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D9189" w14:textId="77777777" w:rsidR="000F69BA" w:rsidRPr="000F69BA" w:rsidRDefault="000F69BA" w:rsidP="000F69BA">
      <w:pPr>
        <w:jc w:val="center"/>
        <w:rPr>
          <w:rFonts w:ascii="Montserrat Extra Bold" w:eastAsia="MS Gothic" w:hAnsi="Montserrat Extra Bold" w:cstheme="majorBidi"/>
          <w:b/>
          <w:bCs/>
          <w:color w:val="004563"/>
          <w:sz w:val="40"/>
          <w:szCs w:val="28"/>
          <w:lang w:val="en-US"/>
        </w:rPr>
      </w:pPr>
      <w:bookmarkStart w:id="0" w:name="_Toc33600538"/>
      <w:r w:rsidRPr="000F69BA">
        <w:rPr>
          <w:rFonts w:ascii="Montserrat Extra Bold" w:eastAsia="MS Gothic" w:hAnsi="Montserrat Extra Bold" w:cstheme="majorBidi"/>
          <w:b/>
          <w:bCs/>
          <w:color w:val="004563"/>
          <w:sz w:val="40"/>
          <w:szCs w:val="28"/>
          <w:lang w:val="en-US"/>
        </w:rPr>
        <w:t>Executive summary</w:t>
      </w:r>
      <w:bookmarkEnd w:id="0"/>
    </w:p>
    <w:p w14:paraId="58B117FC" w14:textId="12CCF239" w:rsidR="001E303D" w:rsidRPr="00C0323F" w:rsidRDefault="009660D9" w:rsidP="00C0323F">
      <w:pPr>
        <w:spacing w:after="120"/>
        <w:rPr>
          <w:rFonts w:eastAsia="Calibri" w:cs="Arial"/>
          <w:lang w:val="en-US"/>
        </w:rPr>
      </w:pPr>
      <w:r w:rsidRPr="00DE49EE">
        <w:rPr>
          <w:rFonts w:eastAsia="Calibri" w:cs="Arial"/>
          <w:lang w:val="en-US"/>
        </w:rPr>
        <w:t>On 28 November 2016, the Commission received terms of reference to review the fiscal equalisation methodologies that inform the goods and services tax (GST) distribution and to recommend the per</w:t>
      </w:r>
      <w:r w:rsidR="00EE59D9">
        <w:rPr>
          <w:rFonts w:eastAsia="Calibri" w:cs="Arial"/>
          <w:lang w:val="en-US"/>
        </w:rPr>
        <w:t> </w:t>
      </w:r>
      <w:r w:rsidRPr="00DE49EE">
        <w:rPr>
          <w:rFonts w:eastAsia="Calibri" w:cs="Arial"/>
          <w:lang w:val="en-US"/>
        </w:rPr>
        <w:t>capita relativities for distributing GST revenue among the States in 2020</w:t>
      </w:r>
      <w:r w:rsidRPr="00DE49EE">
        <w:rPr>
          <w:rFonts w:eastAsia="Calibri" w:cs="Arial"/>
          <w:lang w:val="en-US"/>
        </w:rPr>
        <w:noBreakHyphen/>
        <w:t>21. Supplementary terms of reference were also received providing additional guidance on matters relevant to the 2020</w:t>
      </w:r>
      <w:r w:rsidR="00143B7E">
        <w:rPr>
          <w:rFonts w:eastAsia="Calibri" w:cs="Arial"/>
          <w:lang w:val="en-US"/>
        </w:rPr>
        <w:t> </w:t>
      </w:r>
      <w:r w:rsidRPr="00DE49EE">
        <w:rPr>
          <w:rFonts w:eastAsia="Calibri" w:cs="Arial"/>
          <w:lang w:val="en-US"/>
        </w:rPr>
        <w:t xml:space="preserve">Review. </w:t>
      </w:r>
      <w:bookmarkStart w:id="1" w:name="_GoBack"/>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F3F5"/>
        <w:tblLook w:val="04A0" w:firstRow="1" w:lastRow="0" w:firstColumn="1" w:lastColumn="0" w:noHBand="0" w:noVBand="1"/>
      </w:tblPr>
      <w:tblGrid>
        <w:gridCol w:w="9279"/>
      </w:tblGrid>
      <w:tr w:rsidR="00B53964" w:rsidRPr="00DE49EE" w14:paraId="726AC40C" w14:textId="77777777" w:rsidTr="00D11527">
        <w:tc>
          <w:tcPr>
            <w:tcW w:w="9282" w:type="dxa"/>
            <w:shd w:val="clear" w:color="auto" w:fill="EBF3F5"/>
            <w:tcMar>
              <w:top w:w="85" w:type="dxa"/>
              <w:bottom w:w="85" w:type="dxa"/>
            </w:tcMar>
          </w:tcPr>
          <w:p w14:paraId="3E98870B" w14:textId="0BB09062" w:rsidR="00B53964" w:rsidRPr="00DE49EE" w:rsidRDefault="008211F0" w:rsidP="00802B3C">
            <w:pPr>
              <w:spacing w:before="0"/>
              <w:rPr>
                <w:rFonts w:eastAsia="Calibri" w:cs="Arial"/>
                <w:lang w:val="en-US"/>
              </w:rPr>
            </w:pPr>
            <w:r>
              <w:rPr>
                <w:rFonts w:eastAsia="Calibri" w:cs="Arial"/>
                <w:lang w:val="en-US"/>
              </w:rPr>
              <w:t>The 2020 Review report</w:t>
            </w:r>
            <w:r w:rsidR="00B53964" w:rsidRPr="00DE49EE">
              <w:rPr>
                <w:rFonts w:eastAsia="Calibri" w:cs="Arial"/>
                <w:lang w:val="en-US"/>
              </w:rPr>
              <w:t xml:space="preserve"> presents the per capita relativities that the Commission recommends be used to distribute GST revenue among the States and Territories (the States) in 2020</w:t>
            </w:r>
            <w:r w:rsidR="00B53964" w:rsidRPr="00DE49EE">
              <w:rPr>
                <w:rFonts w:eastAsia="Calibri" w:cs="Arial"/>
                <w:lang w:val="en-US"/>
              </w:rPr>
              <w:noBreakHyphen/>
              <w:t>21</w:t>
            </w:r>
            <w:r w:rsidR="00B53964" w:rsidRPr="00DE49EE" w:rsidDel="00166017">
              <w:rPr>
                <w:rFonts w:eastAsia="Calibri" w:cs="Arial"/>
                <w:lang w:val="en-US"/>
              </w:rPr>
              <w:t xml:space="preserve">, </w:t>
            </w:r>
            <w:r w:rsidR="00B53964" w:rsidRPr="00DE49EE">
              <w:rPr>
                <w:rFonts w:eastAsia="Calibri" w:cs="Arial"/>
                <w:lang w:val="en-US"/>
              </w:rPr>
              <w:t xml:space="preserve">following an assessment of States’ revenue raising capacities and costs of providing services. It also presents the results of the Commission’s review of the methods used to measure State relative fiscal capacities. </w:t>
            </w:r>
          </w:p>
          <w:p w14:paraId="7C8187E9" w14:textId="77777777" w:rsidR="00B53964" w:rsidRPr="00DE49EE" w:rsidRDefault="00B53964" w:rsidP="00D11527">
            <w:pPr>
              <w:rPr>
                <w:rFonts w:eastAsia="Calibri" w:cs="Arial"/>
                <w:lang w:val="en-US"/>
              </w:rPr>
            </w:pPr>
            <w:r w:rsidRPr="00DE49EE">
              <w:rPr>
                <w:rFonts w:eastAsia="Calibri" w:cs="Arial"/>
                <w:lang w:val="en-US"/>
              </w:rPr>
              <w:t xml:space="preserve">The terms of reference asked the Commission to undertake a comprehensive review of the methods that underlie its recommendations. In doing so, the Commission was asked to </w:t>
            </w:r>
            <w:proofErr w:type="gramStart"/>
            <w:r w:rsidRPr="00DE49EE">
              <w:rPr>
                <w:rFonts w:eastAsia="Calibri" w:cs="Arial"/>
                <w:lang w:val="en-US"/>
              </w:rPr>
              <w:t>take into account</w:t>
            </w:r>
            <w:proofErr w:type="gramEnd"/>
            <w:r w:rsidRPr="00DE49EE">
              <w:rPr>
                <w:rFonts w:eastAsia="Calibri" w:cs="Arial"/>
                <w:lang w:val="en-US"/>
              </w:rPr>
              <w:t xml:space="preserve"> the </w:t>
            </w:r>
            <w:r w:rsidRPr="00DE49EE">
              <w:rPr>
                <w:rFonts w:eastAsia="Calibri" w:cs="Arial"/>
                <w:i/>
                <w:lang w:val="en-US"/>
              </w:rPr>
              <w:t xml:space="preserve">Intergovernmental Agreement on Federal Financial Relations </w:t>
            </w:r>
            <w:r w:rsidRPr="00DE49EE">
              <w:rPr>
                <w:rFonts w:eastAsia="Calibri" w:cs="Arial"/>
                <w:iCs/>
                <w:lang w:val="en-US"/>
              </w:rPr>
              <w:t>(IGA)</w:t>
            </w:r>
            <w:r w:rsidRPr="00DE49EE">
              <w:rPr>
                <w:rFonts w:eastAsia="Calibri" w:cs="Arial"/>
                <w:lang w:val="en-US"/>
              </w:rPr>
              <w:t>, which provides that GST revenue will be distributed in accordance with the principle of horizontal fiscal equalisation (HFE). This principle ensures that each of Australia’s States has the same fiscal capacity, under average policies, to provide services and the associated infrastructure to their communities.</w:t>
            </w:r>
          </w:p>
          <w:p w14:paraId="1047EA76" w14:textId="77777777" w:rsidR="00B53964" w:rsidRPr="00DE49EE" w:rsidRDefault="00B53964" w:rsidP="00D11527">
            <w:pPr>
              <w:rPr>
                <w:rFonts w:eastAsia="Calibri" w:cs="Arial"/>
                <w:lang w:val="en-US"/>
              </w:rPr>
            </w:pPr>
            <w:r w:rsidRPr="00DE49EE">
              <w:rPr>
                <w:rFonts w:eastAsia="Calibri" w:cs="Arial"/>
                <w:lang w:val="en-US"/>
              </w:rPr>
              <w:t>The Commission was also asked to consider whether its supporting principles remain appropriate. After considering States’ submissions, the Commission has taken the view that its existing principles remain relevant and appropriate for supporting its work in assessing State fiscal capacities.</w:t>
            </w:r>
          </w:p>
          <w:p w14:paraId="31FA6B3D" w14:textId="77777777" w:rsidR="00B53964" w:rsidRPr="00DE49EE" w:rsidRDefault="00B53964" w:rsidP="00D11527">
            <w:pPr>
              <w:rPr>
                <w:rFonts w:eastAsia="Calibri" w:cs="Arial"/>
                <w:lang w:val="en-US"/>
              </w:rPr>
            </w:pPr>
            <w:r w:rsidRPr="00DE49EE">
              <w:rPr>
                <w:rFonts w:eastAsia="Calibri" w:cs="Arial"/>
                <w:lang w:val="en-US"/>
              </w:rPr>
              <w:t xml:space="preserve">In this review, the Commission has developed a new urban transport assessment, with the help of transport consultants, which better captures the influence of population density, passenger numbers and urban </w:t>
            </w:r>
            <w:proofErr w:type="spellStart"/>
            <w:r w:rsidRPr="00DE49EE">
              <w:rPr>
                <w:rFonts w:eastAsia="Calibri" w:cs="Arial"/>
                <w:lang w:val="en-US"/>
              </w:rPr>
              <w:t>centre</w:t>
            </w:r>
            <w:proofErr w:type="spellEnd"/>
            <w:r w:rsidRPr="00DE49EE">
              <w:rPr>
                <w:rFonts w:eastAsia="Calibri" w:cs="Arial"/>
                <w:lang w:val="en-US"/>
              </w:rPr>
              <w:t xml:space="preserve"> characteristics on States’ costs. Other assessment methodology changes that have had noteworthy effects on the GST distribution are largely evolutionary. For example, </w:t>
            </w:r>
            <w:r w:rsidRPr="00DE49EE">
              <w:rPr>
                <w:rFonts w:eastAsia="Calibri" w:cs="Arial"/>
              </w:rPr>
              <w:t>recognising</w:t>
            </w:r>
            <w:r w:rsidRPr="00DE49EE">
              <w:rPr>
                <w:rFonts w:eastAsia="Calibri" w:cs="Arial"/>
                <w:lang w:val="en-US"/>
              </w:rPr>
              <w:t xml:space="preserve"> changes to the taxation of property transfer activity, the Commission has changed the scope of those revenues that it differentially assesses. Improved data for electricity and water subsidies and Indigenous community development expenses have affected assessments, as has a comprehensive review of the minimum costs faced by States in delivering services. Changes to methods in the expense assessments, </w:t>
            </w:r>
            <w:proofErr w:type="gramStart"/>
            <w:r w:rsidRPr="00DE49EE">
              <w:rPr>
                <w:rFonts w:eastAsia="Calibri" w:cs="Arial"/>
                <w:lang w:val="en-US"/>
              </w:rPr>
              <w:t>in particular urban</w:t>
            </w:r>
            <w:proofErr w:type="gramEnd"/>
            <w:r w:rsidRPr="00DE49EE">
              <w:rPr>
                <w:rFonts w:eastAsia="Calibri" w:cs="Arial"/>
                <w:lang w:val="en-US"/>
              </w:rPr>
              <w:t xml:space="preserve"> transport, changes to the measurement of rural road length and the introduction of an assessment of bridges and tunnels, have also resulted in significant changes to assessed infrastructure requirements.</w:t>
            </w:r>
          </w:p>
          <w:p w14:paraId="6EF0C9BD" w14:textId="77777777" w:rsidR="00B53964" w:rsidRPr="00DE49EE" w:rsidRDefault="00B53964" w:rsidP="00D11527">
            <w:pPr>
              <w:rPr>
                <w:rFonts w:eastAsia="Calibri" w:cs="Arial"/>
                <w:lang w:val="en-US"/>
              </w:rPr>
            </w:pPr>
            <w:r w:rsidRPr="00DE49EE">
              <w:rPr>
                <w:rFonts w:eastAsia="Calibri" w:cs="Arial"/>
                <w:lang w:val="en-US"/>
              </w:rPr>
              <w:t xml:space="preserve">As a result of these method changes, as well as incorporating the latest available data and State circumstances, the assessed fiscal capacities of Victoria, Queensland, Western Australia, South Australia and the ACT have strengthened in this review, reducing those States’ GST shares. Lower assessed costs of providing transport services and infrastructure have increased </w:t>
            </w:r>
            <w:r w:rsidRPr="00DE49EE">
              <w:rPr>
                <w:rFonts w:eastAsia="Calibri" w:cs="Arial"/>
                <w:b/>
                <w:bCs/>
                <w:lang w:val="en-US"/>
              </w:rPr>
              <w:t>Victoria’s</w:t>
            </w:r>
            <w:r w:rsidRPr="00DE49EE">
              <w:rPr>
                <w:rFonts w:eastAsia="Calibri" w:cs="Arial"/>
                <w:lang w:val="en-US"/>
              </w:rPr>
              <w:t xml:space="preserve"> fiscal capacity. </w:t>
            </w:r>
            <w:r w:rsidRPr="00DE49EE">
              <w:rPr>
                <w:rFonts w:eastAsia="Calibri" w:cs="Arial"/>
                <w:b/>
                <w:lang w:val="en-US"/>
              </w:rPr>
              <w:t>Queensland’s</w:t>
            </w:r>
            <w:r w:rsidRPr="00DE49EE">
              <w:rPr>
                <w:rFonts w:eastAsia="Calibri" w:cs="Arial"/>
                <w:lang w:val="en-US"/>
              </w:rPr>
              <w:t xml:space="preserve"> and </w:t>
            </w:r>
            <w:r w:rsidRPr="00DE49EE">
              <w:rPr>
                <w:rFonts w:eastAsia="Calibri" w:cs="Arial"/>
                <w:b/>
                <w:bCs/>
                <w:lang w:val="en-US"/>
              </w:rPr>
              <w:t>Western Australia’s</w:t>
            </w:r>
            <w:r w:rsidRPr="00DE49EE">
              <w:rPr>
                <w:rFonts w:eastAsia="Calibri" w:cs="Arial"/>
                <w:lang w:val="en-US"/>
              </w:rPr>
              <w:t xml:space="preserve"> improved fiscal capacities were mainly driven by an increase in the value of coal and iron ore production, respectively. </w:t>
            </w:r>
            <w:r w:rsidRPr="00DE49EE">
              <w:rPr>
                <w:rFonts w:eastAsia="Calibri" w:cs="Arial"/>
                <w:b/>
                <w:bCs/>
                <w:lang w:val="en-US"/>
              </w:rPr>
              <w:t>South Australia’s</w:t>
            </w:r>
            <w:r w:rsidRPr="00DE49EE">
              <w:rPr>
                <w:rFonts w:eastAsia="Calibri" w:cs="Arial"/>
                <w:lang w:val="en-US"/>
              </w:rPr>
              <w:t xml:space="preserve"> stronger fiscal capacity was driven by an increase in its share of Commonwealth payments, and a fall in its assessed costs of providing transport services. A reduced investment requirement has strengthened the </w:t>
            </w:r>
            <w:r w:rsidRPr="00DE49EE">
              <w:rPr>
                <w:rFonts w:eastAsia="Calibri" w:cs="Arial"/>
                <w:b/>
                <w:bCs/>
                <w:lang w:val="en-US"/>
              </w:rPr>
              <w:t>ACT’s</w:t>
            </w:r>
            <w:r w:rsidRPr="00DE49EE">
              <w:rPr>
                <w:rFonts w:eastAsia="Calibri" w:cs="Arial"/>
                <w:lang w:val="en-US"/>
              </w:rPr>
              <w:t xml:space="preserve"> fiscal capacity</w:t>
            </w:r>
            <w:r w:rsidRPr="00DE49EE">
              <w:rPr>
                <w:rFonts w:eastAsia="Calibri" w:cs="Arial"/>
                <w:b/>
                <w:bCs/>
                <w:lang w:val="en-US"/>
              </w:rPr>
              <w:t>.</w:t>
            </w:r>
          </w:p>
          <w:p w14:paraId="26785BE9" w14:textId="77777777" w:rsidR="00B53964" w:rsidRPr="00DE49EE" w:rsidRDefault="00B53964" w:rsidP="002538C9">
            <w:pPr>
              <w:rPr>
                <w:rFonts w:eastAsia="Calibri" w:cs="Arial"/>
                <w:lang w:val="en-US"/>
              </w:rPr>
            </w:pPr>
            <w:r w:rsidRPr="00DE49EE">
              <w:rPr>
                <w:rFonts w:eastAsia="Calibri" w:cs="Arial"/>
                <w:lang w:val="en-US"/>
              </w:rPr>
              <w:t xml:space="preserve">The assessed fiscal capacities of the other three States have fallen, increasing their GST shares. </w:t>
            </w:r>
            <w:r w:rsidRPr="00DE49EE">
              <w:rPr>
                <w:rFonts w:eastAsia="Calibri" w:cs="Arial"/>
                <w:b/>
                <w:bCs/>
                <w:lang w:val="en-US"/>
              </w:rPr>
              <w:t>New South Wales’</w:t>
            </w:r>
            <w:r w:rsidRPr="00DE49EE">
              <w:rPr>
                <w:rFonts w:eastAsia="Calibri" w:cs="Arial"/>
                <w:lang w:val="en-US"/>
              </w:rPr>
              <w:t xml:space="preserve"> weaker fiscal capacity is due to an increase in its assessed cost of urban transport services and below average growth in property sales. </w:t>
            </w:r>
            <w:r w:rsidRPr="00DE49EE">
              <w:rPr>
                <w:rFonts w:eastAsia="Calibri" w:cs="Arial"/>
                <w:b/>
                <w:bCs/>
                <w:lang w:val="en-US"/>
              </w:rPr>
              <w:t>Tasmania’s</w:t>
            </w:r>
            <w:r w:rsidRPr="00DE49EE">
              <w:rPr>
                <w:rFonts w:eastAsia="Calibri" w:cs="Arial"/>
                <w:lang w:val="en-US"/>
              </w:rPr>
              <w:t xml:space="preserve"> weaker fiscal capacity is due to increases in its assessed cost of policing and minimum fixed costs in providing services. An increased investment requirement has reduced the </w:t>
            </w:r>
            <w:r w:rsidRPr="00DE49EE">
              <w:rPr>
                <w:rFonts w:eastAsia="Calibri" w:cs="Arial"/>
                <w:b/>
                <w:bCs/>
                <w:lang w:val="en-US"/>
              </w:rPr>
              <w:t>Northern Territory’s</w:t>
            </w:r>
            <w:r w:rsidRPr="00DE49EE">
              <w:rPr>
                <w:rFonts w:eastAsia="Calibri" w:cs="Arial"/>
                <w:lang w:val="en-US"/>
              </w:rPr>
              <w:t xml:space="preserve"> fiscal capacity.</w:t>
            </w:r>
          </w:p>
        </w:tc>
      </w:tr>
    </w:tbl>
    <w:p w14:paraId="06B20AB1" w14:textId="395718DB" w:rsidR="00BB472B" w:rsidRPr="004A4C99" w:rsidRDefault="00BB472B" w:rsidP="00802B3C">
      <w:pPr>
        <w:pStyle w:val="CGCTablenote"/>
        <w:spacing w:before="0"/>
      </w:pPr>
    </w:p>
    <w:sectPr w:rsidR="00BB472B" w:rsidRPr="004A4C99" w:rsidSect="002538C9">
      <w:headerReference w:type="default" r:id="rId11"/>
      <w:footerReference w:type="default" r:id="rId12"/>
      <w:headerReference w:type="first" r:id="rId13"/>
      <w:footerReference w:type="first" r:id="rId14"/>
      <w:pgSz w:w="11899" w:h="16838" w:code="9"/>
      <w:pgMar w:top="1474" w:right="1418" w:bottom="1021" w:left="1418"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F9104" w14:textId="77777777" w:rsidR="0091729F" w:rsidRDefault="0091729F">
      <w:r>
        <w:separator/>
      </w:r>
    </w:p>
  </w:endnote>
  <w:endnote w:type="continuationSeparator" w:id="0">
    <w:p w14:paraId="43C8C5AE" w14:textId="77777777" w:rsidR="0091729F" w:rsidRDefault="00917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ontserrat Ultra Light">
    <w:altName w:val="Calibri"/>
    <w:panose1 w:val="00000300000000000000"/>
    <w:charset w:val="00"/>
    <w:family w:val="modern"/>
    <w:notTrueType/>
    <w:pitch w:val="variable"/>
    <w:sig w:usb0="00000007" w:usb1="00000000" w:usb2="00000000" w:usb3="00000000" w:csb0="00000093" w:csb1="00000000"/>
  </w:font>
  <w:font w:name="Montserrat Extra Bold">
    <w:altName w:val="Calibri"/>
    <w:panose1 w:val="00000900000000000000"/>
    <w:charset w:val="00"/>
    <w:family w:val="modern"/>
    <w:notTrueType/>
    <w:pitch w:val="variable"/>
    <w:sig w:usb0="00000007" w:usb1="00000000" w:usb2="00000000" w:usb3="00000000" w:csb0="00000093" w:csb1="00000000"/>
  </w:font>
  <w:font w:name="Montserrat Semi Bold">
    <w:altName w:val="Calibri"/>
    <w:panose1 w:val="000007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ontserrat Light">
    <w:altName w:val="Calibri"/>
    <w:panose1 w:val="00000400000000000000"/>
    <w:charset w:val="00"/>
    <w:family w:val="auto"/>
    <w:pitch w:val="variable"/>
    <w:sig w:usb0="20000207" w:usb1="00000000" w:usb2="00000000" w:usb3="00000000" w:csb0="00000197" w:csb1="00000000"/>
  </w:font>
  <w:font w:name="Open Sans SemiBold">
    <w:altName w:val="Segoe UI"/>
    <w:panose1 w:val="020B07060308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EF8C7" w14:textId="40D9DB63" w:rsidR="00AB1A13" w:rsidRPr="00061222" w:rsidRDefault="00690104" w:rsidP="00061222">
    <w:pPr>
      <w:pStyle w:val="Footer"/>
      <w:pBdr>
        <w:top w:val="single" w:sz="24" w:space="1" w:color="004563"/>
      </w:pBdr>
      <w:tabs>
        <w:tab w:val="clear" w:pos="567"/>
        <w:tab w:val="clear" w:pos="4513"/>
        <w:tab w:val="clear" w:pos="9026"/>
        <w:tab w:val="right" w:pos="851"/>
      </w:tabs>
      <w:ind w:left="0" w:right="0"/>
      <w:jc w:val="left"/>
      <w:rPr>
        <w:rFonts w:ascii="Montserrat Semi Bold" w:hAnsi="Montserrat Semi Bold"/>
        <w:b w:val="0"/>
        <w:bCs/>
        <w:sz w:val="22"/>
        <w:szCs w:val="24"/>
        <w:lang w:val="en-US"/>
      </w:rPr>
    </w:pPr>
    <w:r>
      <w:rPr>
        <w:rFonts w:ascii="Montserrat Semi Bold" w:hAnsi="Montserrat Semi Bold"/>
        <w:b w:val="0"/>
        <w:bCs/>
        <w:sz w:val="22"/>
        <w:szCs w:val="24"/>
        <w:lang w:val="en-US"/>
      </w:rPr>
      <w:t xml:space="preserve">2020 Review — </w:t>
    </w:r>
    <w:r w:rsidR="000F69BA">
      <w:rPr>
        <w:rFonts w:ascii="Montserrat Semi Bold" w:hAnsi="Montserrat Semi Bold"/>
        <w:b w:val="0"/>
        <w:bCs/>
        <w:sz w:val="22"/>
        <w:szCs w:val="24"/>
        <w:lang w:val="en-US"/>
      </w:rPr>
      <w:t>Executive</w:t>
    </w:r>
    <w:r>
      <w:rPr>
        <w:rFonts w:ascii="Montserrat Semi Bold" w:hAnsi="Montserrat Semi Bold"/>
        <w:b w:val="0"/>
        <w:bCs/>
        <w:sz w:val="22"/>
        <w:szCs w:val="24"/>
        <w:lang w:val="en-US"/>
      </w:rPr>
      <w:t xml:space="preserve"> </w:t>
    </w:r>
    <w:r w:rsidR="00D75003">
      <w:rPr>
        <w:rFonts w:ascii="Montserrat Semi Bold" w:hAnsi="Montserrat Semi Bold"/>
        <w:b w:val="0"/>
        <w:bCs/>
        <w:sz w:val="22"/>
        <w:szCs w:val="24"/>
        <w:lang w:val="en-US"/>
      </w:rPr>
      <w:t>summary</w:t>
    </w:r>
    <w:r w:rsidR="00802B3C">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sidR="00061222">
      <w:rPr>
        <w:rFonts w:ascii="Montserrat Semi Bold" w:hAnsi="Montserrat Semi Bold"/>
        <w:b w:val="0"/>
        <w:bCs/>
        <w:sz w:val="22"/>
        <w:szCs w:val="24"/>
        <w:lang w:val="en-US"/>
      </w:rPr>
      <w:t xml:space="preserve">             cgc.gov.au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33E33" w14:textId="6A7206E0" w:rsidR="00690104" w:rsidRPr="002478F7" w:rsidRDefault="00690104" w:rsidP="00690104">
    <w:pPr>
      <w:pStyle w:val="Footer"/>
      <w:pBdr>
        <w:top w:val="single" w:sz="24" w:space="1" w:color="004563"/>
      </w:pBdr>
      <w:tabs>
        <w:tab w:val="clear" w:pos="567"/>
        <w:tab w:val="clear" w:pos="4513"/>
        <w:tab w:val="clear" w:pos="9026"/>
        <w:tab w:val="right" w:pos="851"/>
      </w:tabs>
      <w:ind w:left="0" w:right="0"/>
      <w:jc w:val="left"/>
      <w:rPr>
        <w:rFonts w:ascii="Montserrat Semi Bold" w:hAnsi="Montserrat Semi Bold"/>
        <w:b w:val="0"/>
        <w:bCs/>
        <w:sz w:val="22"/>
        <w:szCs w:val="24"/>
        <w:lang w:val="en-US"/>
      </w:rPr>
    </w:pPr>
    <w:r>
      <w:rPr>
        <w:rFonts w:ascii="Montserrat Semi Bold" w:hAnsi="Montserrat Semi Bold"/>
        <w:b w:val="0"/>
        <w:bCs/>
        <w:sz w:val="22"/>
        <w:szCs w:val="24"/>
        <w:lang w:val="en-US"/>
      </w:rPr>
      <w:t xml:space="preserve">2020 Review — New South Wales </w:t>
    </w:r>
    <w:r w:rsidR="00D75003">
      <w:rPr>
        <w:rFonts w:ascii="Montserrat Semi Bold" w:hAnsi="Montserrat Semi Bold"/>
        <w:b w:val="0"/>
        <w:bCs/>
        <w:sz w:val="22"/>
        <w:szCs w:val="24"/>
        <w:lang w:val="en-US"/>
      </w:rPr>
      <w:t>summary</w:t>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t xml:space="preserve">     </w:t>
    </w:r>
    <w:r w:rsidRPr="004C12B4">
      <w:rPr>
        <w:rFonts w:ascii="Montserrat Semi Bold" w:hAnsi="Montserrat Semi Bold"/>
        <w:b w:val="0"/>
        <w:bCs/>
        <w:sz w:val="22"/>
        <w:szCs w:val="24"/>
        <w:lang w:val="en-US"/>
      </w:rPr>
      <w:fldChar w:fldCharType="begin"/>
    </w:r>
    <w:r w:rsidRPr="004C12B4">
      <w:rPr>
        <w:rFonts w:ascii="Montserrat Semi Bold" w:hAnsi="Montserrat Semi Bold"/>
        <w:b w:val="0"/>
        <w:bCs/>
        <w:sz w:val="22"/>
        <w:szCs w:val="24"/>
        <w:lang w:val="en-US"/>
      </w:rPr>
      <w:instrText xml:space="preserve"> PAGE   \* MERGEFORMAT </w:instrText>
    </w:r>
    <w:r w:rsidRPr="004C12B4">
      <w:rPr>
        <w:rFonts w:ascii="Montserrat Semi Bold" w:hAnsi="Montserrat Semi Bold"/>
        <w:b w:val="0"/>
        <w:bCs/>
        <w:sz w:val="22"/>
        <w:szCs w:val="24"/>
        <w:lang w:val="en-US"/>
      </w:rPr>
      <w:fldChar w:fldCharType="separate"/>
    </w:r>
    <w:r>
      <w:rPr>
        <w:rFonts w:ascii="Montserrat Semi Bold" w:hAnsi="Montserrat Semi Bold"/>
        <w:b w:val="0"/>
        <w:bCs/>
        <w:sz w:val="22"/>
        <w:szCs w:val="24"/>
        <w:lang w:val="en-US"/>
      </w:rPr>
      <w:t>2</w:t>
    </w:r>
    <w:r w:rsidRPr="004C12B4">
      <w:rPr>
        <w:rFonts w:ascii="Montserrat Semi Bold" w:hAnsi="Montserrat Semi Bold"/>
        <w:b w:val="0"/>
        <w:bCs/>
        <w:noProof/>
        <w:sz w:val="22"/>
        <w:szCs w:val="24"/>
        <w:lang w:val="en-US"/>
      </w:rPr>
      <w:fldChar w:fldCharType="end"/>
    </w:r>
  </w:p>
  <w:p w14:paraId="3F8D8BF6" w14:textId="39826681" w:rsidR="002F2AE2" w:rsidRPr="00690104" w:rsidRDefault="002F2AE2" w:rsidP="00690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AE16F" w14:textId="77777777" w:rsidR="0091729F" w:rsidRPr="00201B3A" w:rsidRDefault="0091729F">
      <w:pPr>
        <w:rPr>
          <w:color w:val="ADD6EA"/>
        </w:rPr>
      </w:pPr>
      <w:r w:rsidRPr="00201B3A">
        <w:rPr>
          <w:color w:val="ADD6EA"/>
        </w:rPr>
        <w:separator/>
      </w:r>
    </w:p>
  </w:footnote>
  <w:footnote w:type="continuationSeparator" w:id="0">
    <w:p w14:paraId="08A38A52" w14:textId="77777777" w:rsidR="0091729F" w:rsidRDefault="00917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27182" w14:textId="77777777" w:rsidR="00061222" w:rsidRDefault="00061222" w:rsidP="00061222">
    <w:pPr>
      <w:pStyle w:val="Header"/>
      <w:tabs>
        <w:tab w:val="left" w:pos="2028"/>
      </w:tabs>
      <w:spacing w:before="200"/>
    </w:pPr>
  </w:p>
  <w:p w14:paraId="6EA8EA3B" w14:textId="146C4841" w:rsidR="009D5534" w:rsidRPr="00061222" w:rsidRDefault="00061222" w:rsidP="00B47A36">
    <w:pPr>
      <w:pStyle w:val="Header"/>
      <w:pBdr>
        <w:bottom w:val="single" w:sz="24" w:space="1" w:color="004563"/>
      </w:pBdr>
      <w:spacing w:before="200"/>
      <w:jc w:val="center"/>
    </w:pPr>
    <w:r>
      <w:rPr>
        <w:noProof/>
      </w:rPr>
      <w:drawing>
        <wp:anchor distT="0" distB="0" distL="114300" distR="114300" simplePos="0" relativeHeight="251658752" behindDoc="1" locked="0" layoutInCell="1" allowOverlap="1" wp14:anchorId="3CED6F1C" wp14:editId="7BCC64C7">
          <wp:simplePos x="0" y="0"/>
          <wp:positionH relativeFrom="column">
            <wp:posOffset>1140511</wp:posOffset>
          </wp:positionH>
          <wp:positionV relativeFrom="topMargin">
            <wp:posOffset>252095</wp:posOffset>
          </wp:positionV>
          <wp:extent cx="3427200" cy="648000"/>
          <wp:effectExtent l="0" t="0" r="1905" b="0"/>
          <wp:wrapNone/>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C_Crest_Inline_CGC_Blue_1(200mm).jpg"/>
                  <pic:cNvPicPr/>
                </pic:nvPicPr>
                <pic:blipFill>
                  <a:blip r:embed="rId1">
                    <a:extLst>
                      <a:ext uri="{28A0092B-C50C-407E-A947-70E740481C1C}">
                        <a14:useLocalDpi xmlns:a14="http://schemas.microsoft.com/office/drawing/2010/main" val="0"/>
                      </a:ext>
                    </a:extLst>
                  </a:blip>
                  <a:stretch>
                    <a:fillRect/>
                  </a:stretch>
                </pic:blipFill>
                <pic:spPr>
                  <a:xfrm>
                    <a:off x="0" y="0"/>
                    <a:ext cx="34272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BE5E8" w14:textId="15D05562" w:rsidR="000349FF" w:rsidRDefault="000349FF" w:rsidP="009076A2">
    <w:pPr>
      <w:pStyle w:val="Header"/>
      <w:tabs>
        <w:tab w:val="left" w:pos="2028"/>
      </w:tabs>
      <w:spacing w:before="200"/>
    </w:pPr>
  </w:p>
  <w:p w14:paraId="481C3F99" w14:textId="6E00ED48" w:rsidR="002F2AE2" w:rsidRDefault="001B6448" w:rsidP="000349FF">
    <w:pPr>
      <w:pStyle w:val="Header"/>
      <w:pBdr>
        <w:bottom w:val="single" w:sz="24" w:space="1" w:color="004563"/>
      </w:pBdr>
      <w:spacing w:before="200"/>
      <w:jc w:val="center"/>
    </w:pPr>
    <w:r>
      <w:rPr>
        <w:noProof/>
      </w:rPr>
      <w:drawing>
        <wp:anchor distT="0" distB="0" distL="114300" distR="114300" simplePos="0" relativeHeight="251657728" behindDoc="1" locked="0" layoutInCell="1" allowOverlap="1" wp14:anchorId="4D8D66DF" wp14:editId="04319361">
          <wp:simplePos x="0" y="0"/>
          <wp:positionH relativeFrom="column">
            <wp:posOffset>1140511</wp:posOffset>
          </wp:positionH>
          <wp:positionV relativeFrom="topMargin">
            <wp:posOffset>252095</wp:posOffset>
          </wp:positionV>
          <wp:extent cx="3427200" cy="648000"/>
          <wp:effectExtent l="0" t="0" r="1905" b="0"/>
          <wp:wrapNone/>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C_Crest_Inline_CGC_Blue_1(200mm).jpg"/>
                  <pic:cNvPicPr/>
                </pic:nvPicPr>
                <pic:blipFill>
                  <a:blip r:embed="rId1">
                    <a:extLst>
                      <a:ext uri="{28A0092B-C50C-407E-A947-70E740481C1C}">
                        <a14:useLocalDpi xmlns:a14="http://schemas.microsoft.com/office/drawing/2010/main" val="0"/>
                      </a:ext>
                    </a:extLst>
                  </a:blip>
                  <a:stretch>
                    <a:fillRect/>
                  </a:stretch>
                </pic:blipFill>
                <pic:spPr>
                  <a:xfrm>
                    <a:off x="0" y="0"/>
                    <a:ext cx="34272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A7E6E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8F1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54E8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E253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6624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1CD8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FADD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F61E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6866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8ED3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5161D"/>
    <w:multiLevelType w:val="hybridMultilevel"/>
    <w:tmpl w:val="522261EA"/>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5BF05D3"/>
    <w:multiLevelType w:val="hybridMultilevel"/>
    <w:tmpl w:val="BDDC239A"/>
    <w:lvl w:ilvl="0" w:tplc="51BAAD84">
      <w:start w:val="1"/>
      <w:numFmt w:val="bullet"/>
      <w:pStyle w:val="CGCBullet2"/>
      <w:lvlText w:val=""/>
      <w:lvlJc w:val="left"/>
      <w:pPr>
        <w:ind w:left="720" w:hanging="360"/>
      </w:pPr>
      <w:rPr>
        <w:rFonts w:ascii="Symbol" w:hAnsi="Symbol" w:hint="default"/>
        <w:b/>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E71B9C"/>
    <w:multiLevelType w:val="hybridMultilevel"/>
    <w:tmpl w:val="46B88E1E"/>
    <w:lvl w:ilvl="0" w:tplc="CA885F44">
      <w:start w:val="1"/>
      <w:numFmt w:val="bullet"/>
      <w:pStyle w:val="CGCBullet1"/>
      <w:lvlText w:val=""/>
      <w:lvlJc w:val="left"/>
      <w:pPr>
        <w:ind w:left="720" w:hanging="360"/>
      </w:pPr>
      <w:rPr>
        <w:rFonts w:ascii="Symbol" w:hAnsi="Symbol" w:hint="default"/>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5" w15:restartNumberingAfterBreak="0">
    <w:nsid w:val="305A2F29"/>
    <w:multiLevelType w:val="hybridMultilevel"/>
    <w:tmpl w:val="25EAF598"/>
    <w:lvl w:ilvl="0" w:tplc="245E7AAC">
      <w:start w:val="1"/>
      <w:numFmt w:val="decimal"/>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7A6023"/>
    <w:multiLevelType w:val="hybridMultilevel"/>
    <w:tmpl w:val="1262912E"/>
    <w:lvl w:ilvl="0" w:tplc="9B9083DC">
      <w:start w:val="1"/>
      <w:numFmt w:val="lowerRoman"/>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DF17EB"/>
    <w:multiLevelType w:val="hybridMultilevel"/>
    <w:tmpl w:val="85E628F8"/>
    <w:lvl w:ilvl="0" w:tplc="13B2E7F6">
      <w:start w:val="1"/>
      <w:numFmt w:val="decimal"/>
      <w:pStyle w:val="CGCParaNumber"/>
      <w:lvlText w:val="%1"/>
      <w:lvlJc w:val="left"/>
      <w:pPr>
        <w:ind w:left="360" w:hanging="360"/>
      </w:pPr>
      <w:rPr>
        <w:rFonts w:ascii="Open Sans Light" w:hAnsi="Open Sans Light"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6B56961"/>
    <w:multiLevelType w:val="hybridMultilevel"/>
    <w:tmpl w:val="EC0A00E0"/>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9" w15:restartNumberingAfterBreak="0">
    <w:nsid w:val="6D517EA6"/>
    <w:multiLevelType w:val="multilevel"/>
    <w:tmpl w:val="8CEE0058"/>
    <w:lvl w:ilvl="0">
      <w:start w:val="1"/>
      <w:numFmt w:val="bulle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0" w15:restartNumberingAfterBreak="0">
    <w:nsid w:val="77D62F87"/>
    <w:multiLevelType w:val="hybridMultilevel"/>
    <w:tmpl w:val="E332B1EE"/>
    <w:lvl w:ilvl="0" w:tplc="7898E74C">
      <w:start w:val="1"/>
      <w:numFmt w:val="bulle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19"/>
  </w:num>
  <w:num w:numId="4">
    <w:abstractNumId w:val="16"/>
  </w:num>
  <w:num w:numId="5">
    <w:abstractNumId w:val="20"/>
  </w:num>
  <w:num w:numId="6">
    <w:abstractNumId w:val="15"/>
  </w:num>
  <w:num w:numId="7">
    <w:abstractNumId w:val="13"/>
  </w:num>
  <w:num w:numId="8">
    <w:abstractNumId w:val="12"/>
  </w:num>
  <w:num w:numId="9">
    <w:abstractNumId w:val="10"/>
  </w:num>
  <w:num w:numId="10">
    <w:abstractNumId w:val="18"/>
  </w:num>
  <w:num w:numId="11">
    <w:abstractNumId w:val="15"/>
  </w:num>
  <w:num w:numId="12">
    <w:abstractNumId w:val="13"/>
  </w:num>
  <w:num w:numId="13">
    <w:abstractNumId w:val="12"/>
  </w:num>
  <w:num w:numId="14">
    <w:abstractNumId w:val="10"/>
  </w:num>
  <w:num w:numId="15">
    <w:abstractNumId w:val="18"/>
  </w:num>
  <w:num w:numId="16">
    <w:abstractNumId w:val="15"/>
  </w:num>
  <w:num w:numId="17">
    <w:abstractNumId w:val="13"/>
  </w:num>
  <w:num w:numId="18">
    <w:abstractNumId w:val="12"/>
  </w:num>
  <w:num w:numId="19">
    <w:abstractNumId w:val="10"/>
  </w:num>
  <w:num w:numId="20">
    <w:abstractNumId w:val="18"/>
  </w:num>
  <w:num w:numId="21">
    <w:abstractNumId w:val="15"/>
  </w:num>
  <w:num w:numId="22">
    <w:abstractNumId w:val="13"/>
  </w:num>
  <w:num w:numId="23">
    <w:abstractNumId w:val="12"/>
  </w:num>
  <w:num w:numId="24">
    <w:abstractNumId w:val="10"/>
  </w:num>
  <w:num w:numId="25">
    <w:abstractNumId w:val="18"/>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5"/>
  </w:num>
  <w:num w:numId="37">
    <w:abstractNumId w:val="17"/>
  </w:num>
  <w:num w:numId="38">
    <w:abstractNumId w:val="15"/>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87D7D"/>
    <w:rsid w:val="000052E0"/>
    <w:rsid w:val="00011803"/>
    <w:rsid w:val="00015B3F"/>
    <w:rsid w:val="00016FE0"/>
    <w:rsid w:val="00022EA9"/>
    <w:rsid w:val="00024745"/>
    <w:rsid w:val="00032F41"/>
    <w:rsid w:val="000347E9"/>
    <w:rsid w:val="000349FF"/>
    <w:rsid w:val="0004123E"/>
    <w:rsid w:val="00041748"/>
    <w:rsid w:val="00041E84"/>
    <w:rsid w:val="000424EA"/>
    <w:rsid w:val="00042BC8"/>
    <w:rsid w:val="000512CF"/>
    <w:rsid w:val="00056373"/>
    <w:rsid w:val="00061111"/>
    <w:rsid w:val="00061222"/>
    <w:rsid w:val="000624BB"/>
    <w:rsid w:val="000648E8"/>
    <w:rsid w:val="00077E84"/>
    <w:rsid w:val="00090AEF"/>
    <w:rsid w:val="00090CF6"/>
    <w:rsid w:val="00093796"/>
    <w:rsid w:val="000A3898"/>
    <w:rsid w:val="000A52A1"/>
    <w:rsid w:val="000B2942"/>
    <w:rsid w:val="000B3557"/>
    <w:rsid w:val="000B64E3"/>
    <w:rsid w:val="000B67BC"/>
    <w:rsid w:val="000B7BE2"/>
    <w:rsid w:val="000C6238"/>
    <w:rsid w:val="000D1354"/>
    <w:rsid w:val="000D7085"/>
    <w:rsid w:val="000D7C54"/>
    <w:rsid w:val="000E0210"/>
    <w:rsid w:val="000E4EE3"/>
    <w:rsid w:val="000E53E0"/>
    <w:rsid w:val="000E6AA5"/>
    <w:rsid w:val="000E7F56"/>
    <w:rsid w:val="000F11E8"/>
    <w:rsid w:val="000F1CDA"/>
    <w:rsid w:val="000F36F9"/>
    <w:rsid w:val="000F69BA"/>
    <w:rsid w:val="001039C2"/>
    <w:rsid w:val="001040AD"/>
    <w:rsid w:val="0011178C"/>
    <w:rsid w:val="001128CA"/>
    <w:rsid w:val="00112CF0"/>
    <w:rsid w:val="00113110"/>
    <w:rsid w:val="00120B57"/>
    <w:rsid w:val="001211AB"/>
    <w:rsid w:val="001218B8"/>
    <w:rsid w:val="00124C6E"/>
    <w:rsid w:val="00124ED1"/>
    <w:rsid w:val="00136497"/>
    <w:rsid w:val="00136879"/>
    <w:rsid w:val="00141BD1"/>
    <w:rsid w:val="00143B7E"/>
    <w:rsid w:val="00147115"/>
    <w:rsid w:val="001477CE"/>
    <w:rsid w:val="00161EFB"/>
    <w:rsid w:val="0016723A"/>
    <w:rsid w:val="00171A05"/>
    <w:rsid w:val="00172F3A"/>
    <w:rsid w:val="001730FD"/>
    <w:rsid w:val="00173798"/>
    <w:rsid w:val="00173BE6"/>
    <w:rsid w:val="00173E72"/>
    <w:rsid w:val="001765AF"/>
    <w:rsid w:val="001807C0"/>
    <w:rsid w:val="001811DE"/>
    <w:rsid w:val="00186733"/>
    <w:rsid w:val="00187145"/>
    <w:rsid w:val="001A2D44"/>
    <w:rsid w:val="001A3F59"/>
    <w:rsid w:val="001B0110"/>
    <w:rsid w:val="001B3048"/>
    <w:rsid w:val="001B6448"/>
    <w:rsid w:val="001B696E"/>
    <w:rsid w:val="001B6A56"/>
    <w:rsid w:val="001C469B"/>
    <w:rsid w:val="001C6A71"/>
    <w:rsid w:val="001C7D06"/>
    <w:rsid w:val="001D638B"/>
    <w:rsid w:val="001D6DFA"/>
    <w:rsid w:val="001E303D"/>
    <w:rsid w:val="001E492F"/>
    <w:rsid w:val="001E4FEB"/>
    <w:rsid w:val="001E6180"/>
    <w:rsid w:val="001E674B"/>
    <w:rsid w:val="001E68FC"/>
    <w:rsid w:val="001F1CD6"/>
    <w:rsid w:val="001F45CA"/>
    <w:rsid w:val="00201B3A"/>
    <w:rsid w:val="00204026"/>
    <w:rsid w:val="0020557F"/>
    <w:rsid w:val="00212948"/>
    <w:rsid w:val="00215461"/>
    <w:rsid w:val="00217839"/>
    <w:rsid w:val="00222589"/>
    <w:rsid w:val="00225A3B"/>
    <w:rsid w:val="00226EE9"/>
    <w:rsid w:val="0023081D"/>
    <w:rsid w:val="0023329C"/>
    <w:rsid w:val="00236DC0"/>
    <w:rsid w:val="002373A2"/>
    <w:rsid w:val="00242517"/>
    <w:rsid w:val="0024260B"/>
    <w:rsid w:val="0024401F"/>
    <w:rsid w:val="0024569B"/>
    <w:rsid w:val="002538C9"/>
    <w:rsid w:val="00253E9A"/>
    <w:rsid w:val="00255B5A"/>
    <w:rsid w:val="002671A2"/>
    <w:rsid w:val="00267496"/>
    <w:rsid w:val="00270B61"/>
    <w:rsid w:val="00272511"/>
    <w:rsid w:val="00275B68"/>
    <w:rsid w:val="00277EF8"/>
    <w:rsid w:val="002845EA"/>
    <w:rsid w:val="00286EBE"/>
    <w:rsid w:val="00295B70"/>
    <w:rsid w:val="002A2A08"/>
    <w:rsid w:val="002A2D93"/>
    <w:rsid w:val="002A4E42"/>
    <w:rsid w:val="002A77C3"/>
    <w:rsid w:val="002B10B0"/>
    <w:rsid w:val="002B169C"/>
    <w:rsid w:val="002B42AD"/>
    <w:rsid w:val="002B6EFD"/>
    <w:rsid w:val="002B6F33"/>
    <w:rsid w:val="002B79F0"/>
    <w:rsid w:val="002B7F3E"/>
    <w:rsid w:val="002C1D9C"/>
    <w:rsid w:val="002C366F"/>
    <w:rsid w:val="002C4CA9"/>
    <w:rsid w:val="002C7093"/>
    <w:rsid w:val="002D2270"/>
    <w:rsid w:val="002E25A8"/>
    <w:rsid w:val="002E762E"/>
    <w:rsid w:val="002F04DE"/>
    <w:rsid w:val="002F1CD3"/>
    <w:rsid w:val="002F2AE2"/>
    <w:rsid w:val="002F6E28"/>
    <w:rsid w:val="002F7E68"/>
    <w:rsid w:val="00302E5E"/>
    <w:rsid w:val="00307400"/>
    <w:rsid w:val="00307DEF"/>
    <w:rsid w:val="00311D33"/>
    <w:rsid w:val="00313584"/>
    <w:rsid w:val="00313664"/>
    <w:rsid w:val="00314F90"/>
    <w:rsid w:val="0032344D"/>
    <w:rsid w:val="0033102E"/>
    <w:rsid w:val="00331401"/>
    <w:rsid w:val="00333234"/>
    <w:rsid w:val="00335ED1"/>
    <w:rsid w:val="00336293"/>
    <w:rsid w:val="00337EF8"/>
    <w:rsid w:val="00342A60"/>
    <w:rsid w:val="0034379D"/>
    <w:rsid w:val="0034646D"/>
    <w:rsid w:val="00346EE2"/>
    <w:rsid w:val="00347BE5"/>
    <w:rsid w:val="003522E0"/>
    <w:rsid w:val="0035267F"/>
    <w:rsid w:val="003546F6"/>
    <w:rsid w:val="00354E50"/>
    <w:rsid w:val="0035580D"/>
    <w:rsid w:val="003639FB"/>
    <w:rsid w:val="00363BF7"/>
    <w:rsid w:val="00364DB3"/>
    <w:rsid w:val="00365746"/>
    <w:rsid w:val="00367E79"/>
    <w:rsid w:val="00382AE5"/>
    <w:rsid w:val="003929D2"/>
    <w:rsid w:val="00393FA5"/>
    <w:rsid w:val="003A27BB"/>
    <w:rsid w:val="003A2E4F"/>
    <w:rsid w:val="003B15C1"/>
    <w:rsid w:val="003B673D"/>
    <w:rsid w:val="003B7FDB"/>
    <w:rsid w:val="003C2257"/>
    <w:rsid w:val="003C2577"/>
    <w:rsid w:val="003C36F3"/>
    <w:rsid w:val="003C4448"/>
    <w:rsid w:val="003D3D91"/>
    <w:rsid w:val="003D4708"/>
    <w:rsid w:val="003D477A"/>
    <w:rsid w:val="003E6615"/>
    <w:rsid w:val="003E74B4"/>
    <w:rsid w:val="003E79F9"/>
    <w:rsid w:val="003F12E9"/>
    <w:rsid w:val="003F59F4"/>
    <w:rsid w:val="00401575"/>
    <w:rsid w:val="00404DCD"/>
    <w:rsid w:val="004077D6"/>
    <w:rsid w:val="004121E7"/>
    <w:rsid w:val="00414E51"/>
    <w:rsid w:val="00420F04"/>
    <w:rsid w:val="00423099"/>
    <w:rsid w:val="00424E79"/>
    <w:rsid w:val="0042661C"/>
    <w:rsid w:val="004274B3"/>
    <w:rsid w:val="00443EC1"/>
    <w:rsid w:val="00453264"/>
    <w:rsid w:val="004532AD"/>
    <w:rsid w:val="004613A4"/>
    <w:rsid w:val="0046225D"/>
    <w:rsid w:val="00462B54"/>
    <w:rsid w:val="00463064"/>
    <w:rsid w:val="00472461"/>
    <w:rsid w:val="0047540E"/>
    <w:rsid w:val="004761A6"/>
    <w:rsid w:val="004772E3"/>
    <w:rsid w:val="004809B8"/>
    <w:rsid w:val="004821B9"/>
    <w:rsid w:val="00487EE9"/>
    <w:rsid w:val="00491D88"/>
    <w:rsid w:val="00492060"/>
    <w:rsid w:val="00492625"/>
    <w:rsid w:val="0049605C"/>
    <w:rsid w:val="004965F7"/>
    <w:rsid w:val="004A4C99"/>
    <w:rsid w:val="004A6E06"/>
    <w:rsid w:val="004A7048"/>
    <w:rsid w:val="004B0A0A"/>
    <w:rsid w:val="004B1C4B"/>
    <w:rsid w:val="004B2249"/>
    <w:rsid w:val="004B60CB"/>
    <w:rsid w:val="004C1CB5"/>
    <w:rsid w:val="004C64FE"/>
    <w:rsid w:val="004E581E"/>
    <w:rsid w:val="004E769A"/>
    <w:rsid w:val="004F129E"/>
    <w:rsid w:val="004F40BA"/>
    <w:rsid w:val="00500ACD"/>
    <w:rsid w:val="00504061"/>
    <w:rsid w:val="00505BAE"/>
    <w:rsid w:val="00506956"/>
    <w:rsid w:val="00515380"/>
    <w:rsid w:val="005176CA"/>
    <w:rsid w:val="005177E7"/>
    <w:rsid w:val="005204B9"/>
    <w:rsid w:val="00526462"/>
    <w:rsid w:val="00537A77"/>
    <w:rsid w:val="00541A14"/>
    <w:rsid w:val="00543F9C"/>
    <w:rsid w:val="00546D39"/>
    <w:rsid w:val="00547A9A"/>
    <w:rsid w:val="00550E84"/>
    <w:rsid w:val="00551368"/>
    <w:rsid w:val="005577B0"/>
    <w:rsid w:val="00561895"/>
    <w:rsid w:val="00562084"/>
    <w:rsid w:val="00570EED"/>
    <w:rsid w:val="005716FC"/>
    <w:rsid w:val="005721A4"/>
    <w:rsid w:val="00575DEF"/>
    <w:rsid w:val="00577BD0"/>
    <w:rsid w:val="00581586"/>
    <w:rsid w:val="00583A33"/>
    <w:rsid w:val="005867D2"/>
    <w:rsid w:val="00592669"/>
    <w:rsid w:val="005963CC"/>
    <w:rsid w:val="00596E19"/>
    <w:rsid w:val="005A241E"/>
    <w:rsid w:val="005A6174"/>
    <w:rsid w:val="005A6FED"/>
    <w:rsid w:val="005B1BC4"/>
    <w:rsid w:val="005B6894"/>
    <w:rsid w:val="005C13B2"/>
    <w:rsid w:val="005C27E3"/>
    <w:rsid w:val="005C37CB"/>
    <w:rsid w:val="005C459C"/>
    <w:rsid w:val="005C7076"/>
    <w:rsid w:val="005D1A9F"/>
    <w:rsid w:val="005D52FA"/>
    <w:rsid w:val="005D7746"/>
    <w:rsid w:val="005E266F"/>
    <w:rsid w:val="005E5734"/>
    <w:rsid w:val="005E73CE"/>
    <w:rsid w:val="005F00BD"/>
    <w:rsid w:val="005F07DC"/>
    <w:rsid w:val="005F3022"/>
    <w:rsid w:val="005F64FB"/>
    <w:rsid w:val="0060251E"/>
    <w:rsid w:val="00602DDE"/>
    <w:rsid w:val="00611737"/>
    <w:rsid w:val="0061425B"/>
    <w:rsid w:val="00614DE8"/>
    <w:rsid w:val="00622669"/>
    <w:rsid w:val="00622FE1"/>
    <w:rsid w:val="00625CE5"/>
    <w:rsid w:val="00635027"/>
    <w:rsid w:val="00644A7B"/>
    <w:rsid w:val="006556D9"/>
    <w:rsid w:val="00661C46"/>
    <w:rsid w:val="006652D3"/>
    <w:rsid w:val="00667CF3"/>
    <w:rsid w:val="006723C0"/>
    <w:rsid w:val="006769C4"/>
    <w:rsid w:val="00677627"/>
    <w:rsid w:val="00677BD5"/>
    <w:rsid w:val="0068025E"/>
    <w:rsid w:val="00690104"/>
    <w:rsid w:val="00693C87"/>
    <w:rsid w:val="006A05C7"/>
    <w:rsid w:val="006A607B"/>
    <w:rsid w:val="006A6E27"/>
    <w:rsid w:val="006A72B0"/>
    <w:rsid w:val="006B3E4D"/>
    <w:rsid w:val="006B6A00"/>
    <w:rsid w:val="006C52B9"/>
    <w:rsid w:val="006D1DFE"/>
    <w:rsid w:val="006E1B81"/>
    <w:rsid w:val="006E6BC2"/>
    <w:rsid w:val="006E77BB"/>
    <w:rsid w:val="0070150E"/>
    <w:rsid w:val="00705DB8"/>
    <w:rsid w:val="00713225"/>
    <w:rsid w:val="0072512A"/>
    <w:rsid w:val="00731EE6"/>
    <w:rsid w:val="00732CA9"/>
    <w:rsid w:val="007355A6"/>
    <w:rsid w:val="00740A71"/>
    <w:rsid w:val="007477C5"/>
    <w:rsid w:val="00747938"/>
    <w:rsid w:val="00760479"/>
    <w:rsid w:val="00761F07"/>
    <w:rsid w:val="00762AFB"/>
    <w:rsid w:val="00765BA8"/>
    <w:rsid w:val="00766007"/>
    <w:rsid w:val="00770A26"/>
    <w:rsid w:val="007719FF"/>
    <w:rsid w:val="007A1364"/>
    <w:rsid w:val="007A24A0"/>
    <w:rsid w:val="007A4AB2"/>
    <w:rsid w:val="007A5E68"/>
    <w:rsid w:val="007B1BF7"/>
    <w:rsid w:val="007B5783"/>
    <w:rsid w:val="007C0142"/>
    <w:rsid w:val="007C1BB0"/>
    <w:rsid w:val="007C3B23"/>
    <w:rsid w:val="007C404B"/>
    <w:rsid w:val="007C4BAE"/>
    <w:rsid w:val="007D1D3B"/>
    <w:rsid w:val="007D5960"/>
    <w:rsid w:val="007E114E"/>
    <w:rsid w:val="007E487F"/>
    <w:rsid w:val="007E4B2D"/>
    <w:rsid w:val="007E587D"/>
    <w:rsid w:val="007E71E9"/>
    <w:rsid w:val="007F1D06"/>
    <w:rsid w:val="008010D7"/>
    <w:rsid w:val="008018B9"/>
    <w:rsid w:val="00802B3C"/>
    <w:rsid w:val="00803443"/>
    <w:rsid w:val="0080680D"/>
    <w:rsid w:val="00812C05"/>
    <w:rsid w:val="0081322A"/>
    <w:rsid w:val="008162AB"/>
    <w:rsid w:val="008211F0"/>
    <w:rsid w:val="0082288E"/>
    <w:rsid w:val="008248F7"/>
    <w:rsid w:val="00825D08"/>
    <w:rsid w:val="0083557A"/>
    <w:rsid w:val="00843E6F"/>
    <w:rsid w:val="00846E4A"/>
    <w:rsid w:val="00851AF5"/>
    <w:rsid w:val="00851FB5"/>
    <w:rsid w:val="008647DE"/>
    <w:rsid w:val="00864B95"/>
    <w:rsid w:val="00870EC3"/>
    <w:rsid w:val="008712AF"/>
    <w:rsid w:val="008800D3"/>
    <w:rsid w:val="00881642"/>
    <w:rsid w:val="00882EAA"/>
    <w:rsid w:val="00886CDD"/>
    <w:rsid w:val="0089214D"/>
    <w:rsid w:val="0089393B"/>
    <w:rsid w:val="00893C0D"/>
    <w:rsid w:val="008A20DA"/>
    <w:rsid w:val="008B5C8F"/>
    <w:rsid w:val="008B5F16"/>
    <w:rsid w:val="008B7722"/>
    <w:rsid w:val="008C0E5C"/>
    <w:rsid w:val="008C7EBB"/>
    <w:rsid w:val="008D348B"/>
    <w:rsid w:val="008D646E"/>
    <w:rsid w:val="008E13F6"/>
    <w:rsid w:val="008E2BE4"/>
    <w:rsid w:val="008E3EAE"/>
    <w:rsid w:val="008E6B4E"/>
    <w:rsid w:val="008E7970"/>
    <w:rsid w:val="008E7C34"/>
    <w:rsid w:val="008F0C36"/>
    <w:rsid w:val="008F377B"/>
    <w:rsid w:val="009076A2"/>
    <w:rsid w:val="00915512"/>
    <w:rsid w:val="0091729F"/>
    <w:rsid w:val="009233CC"/>
    <w:rsid w:val="009240D8"/>
    <w:rsid w:val="009360D7"/>
    <w:rsid w:val="009362C9"/>
    <w:rsid w:val="00942387"/>
    <w:rsid w:val="009458F6"/>
    <w:rsid w:val="0094626F"/>
    <w:rsid w:val="009462D2"/>
    <w:rsid w:val="00965003"/>
    <w:rsid w:val="009652D5"/>
    <w:rsid w:val="009660D9"/>
    <w:rsid w:val="009677F8"/>
    <w:rsid w:val="00971146"/>
    <w:rsid w:val="00972A9A"/>
    <w:rsid w:val="00984B47"/>
    <w:rsid w:val="00991675"/>
    <w:rsid w:val="00991AE1"/>
    <w:rsid w:val="00992008"/>
    <w:rsid w:val="00996409"/>
    <w:rsid w:val="00996D00"/>
    <w:rsid w:val="009A03DC"/>
    <w:rsid w:val="009A6CF3"/>
    <w:rsid w:val="009B43BF"/>
    <w:rsid w:val="009B4A2D"/>
    <w:rsid w:val="009C1E0B"/>
    <w:rsid w:val="009D545A"/>
    <w:rsid w:val="009D5534"/>
    <w:rsid w:val="009D6D44"/>
    <w:rsid w:val="009E22FA"/>
    <w:rsid w:val="009E4744"/>
    <w:rsid w:val="009E480D"/>
    <w:rsid w:val="009E4EC9"/>
    <w:rsid w:val="009E5D5A"/>
    <w:rsid w:val="009F2017"/>
    <w:rsid w:val="009F2262"/>
    <w:rsid w:val="009F4ADA"/>
    <w:rsid w:val="009F6A0D"/>
    <w:rsid w:val="00A07991"/>
    <w:rsid w:val="00A10CDE"/>
    <w:rsid w:val="00A13522"/>
    <w:rsid w:val="00A1680D"/>
    <w:rsid w:val="00A17570"/>
    <w:rsid w:val="00A23AB0"/>
    <w:rsid w:val="00A255B3"/>
    <w:rsid w:val="00A266C5"/>
    <w:rsid w:val="00A309C6"/>
    <w:rsid w:val="00A31297"/>
    <w:rsid w:val="00A32E4E"/>
    <w:rsid w:val="00A42348"/>
    <w:rsid w:val="00A43BD3"/>
    <w:rsid w:val="00A505DE"/>
    <w:rsid w:val="00A5327C"/>
    <w:rsid w:val="00A5721C"/>
    <w:rsid w:val="00A57316"/>
    <w:rsid w:val="00A63831"/>
    <w:rsid w:val="00A65534"/>
    <w:rsid w:val="00A67913"/>
    <w:rsid w:val="00A81A94"/>
    <w:rsid w:val="00A81BDD"/>
    <w:rsid w:val="00A86F2E"/>
    <w:rsid w:val="00A907D8"/>
    <w:rsid w:val="00A9681E"/>
    <w:rsid w:val="00AA007A"/>
    <w:rsid w:val="00AB073E"/>
    <w:rsid w:val="00AB1A13"/>
    <w:rsid w:val="00AB4E9F"/>
    <w:rsid w:val="00AC210F"/>
    <w:rsid w:val="00AC319E"/>
    <w:rsid w:val="00AC4BC7"/>
    <w:rsid w:val="00AE3A1E"/>
    <w:rsid w:val="00AE734F"/>
    <w:rsid w:val="00AF0557"/>
    <w:rsid w:val="00AF2656"/>
    <w:rsid w:val="00AF5F9E"/>
    <w:rsid w:val="00AF6110"/>
    <w:rsid w:val="00AF6AC6"/>
    <w:rsid w:val="00B00611"/>
    <w:rsid w:val="00B04354"/>
    <w:rsid w:val="00B249FC"/>
    <w:rsid w:val="00B317E7"/>
    <w:rsid w:val="00B33A57"/>
    <w:rsid w:val="00B34083"/>
    <w:rsid w:val="00B37728"/>
    <w:rsid w:val="00B41FFE"/>
    <w:rsid w:val="00B45C64"/>
    <w:rsid w:val="00B46A32"/>
    <w:rsid w:val="00B46B29"/>
    <w:rsid w:val="00B47A36"/>
    <w:rsid w:val="00B53547"/>
    <w:rsid w:val="00B53597"/>
    <w:rsid w:val="00B53964"/>
    <w:rsid w:val="00B55D3E"/>
    <w:rsid w:val="00B57239"/>
    <w:rsid w:val="00B61484"/>
    <w:rsid w:val="00B62590"/>
    <w:rsid w:val="00B6729F"/>
    <w:rsid w:val="00B82136"/>
    <w:rsid w:val="00B82627"/>
    <w:rsid w:val="00B90AA7"/>
    <w:rsid w:val="00B940E0"/>
    <w:rsid w:val="00B94335"/>
    <w:rsid w:val="00B94D55"/>
    <w:rsid w:val="00BA27FC"/>
    <w:rsid w:val="00BA2D1D"/>
    <w:rsid w:val="00BA65E5"/>
    <w:rsid w:val="00BB09DF"/>
    <w:rsid w:val="00BB3FC5"/>
    <w:rsid w:val="00BB472B"/>
    <w:rsid w:val="00BC2B3B"/>
    <w:rsid w:val="00BC4579"/>
    <w:rsid w:val="00BC5418"/>
    <w:rsid w:val="00BC76B9"/>
    <w:rsid w:val="00BD3131"/>
    <w:rsid w:val="00BD3D24"/>
    <w:rsid w:val="00BE4F68"/>
    <w:rsid w:val="00C0018A"/>
    <w:rsid w:val="00C00905"/>
    <w:rsid w:val="00C01C15"/>
    <w:rsid w:val="00C0323F"/>
    <w:rsid w:val="00C035B5"/>
    <w:rsid w:val="00C07A50"/>
    <w:rsid w:val="00C116EC"/>
    <w:rsid w:val="00C11ABD"/>
    <w:rsid w:val="00C14FB2"/>
    <w:rsid w:val="00C15891"/>
    <w:rsid w:val="00C176AC"/>
    <w:rsid w:val="00C21EF9"/>
    <w:rsid w:val="00C222F7"/>
    <w:rsid w:val="00C24743"/>
    <w:rsid w:val="00C24839"/>
    <w:rsid w:val="00C27C23"/>
    <w:rsid w:val="00C32851"/>
    <w:rsid w:val="00C41C84"/>
    <w:rsid w:val="00C43ACF"/>
    <w:rsid w:val="00C554D4"/>
    <w:rsid w:val="00C579C1"/>
    <w:rsid w:val="00C61B02"/>
    <w:rsid w:val="00C719A2"/>
    <w:rsid w:val="00C72165"/>
    <w:rsid w:val="00C766C4"/>
    <w:rsid w:val="00C83041"/>
    <w:rsid w:val="00C90B42"/>
    <w:rsid w:val="00C9475D"/>
    <w:rsid w:val="00C95056"/>
    <w:rsid w:val="00C951FD"/>
    <w:rsid w:val="00CA33B3"/>
    <w:rsid w:val="00CA7F28"/>
    <w:rsid w:val="00CB0768"/>
    <w:rsid w:val="00CB131F"/>
    <w:rsid w:val="00CB4DCD"/>
    <w:rsid w:val="00CB4F2D"/>
    <w:rsid w:val="00CC1690"/>
    <w:rsid w:val="00CC472B"/>
    <w:rsid w:val="00CC665A"/>
    <w:rsid w:val="00CC6A6B"/>
    <w:rsid w:val="00CE04A0"/>
    <w:rsid w:val="00CE34DC"/>
    <w:rsid w:val="00CF0E93"/>
    <w:rsid w:val="00CF6A55"/>
    <w:rsid w:val="00D07FB4"/>
    <w:rsid w:val="00D20C70"/>
    <w:rsid w:val="00D21FA8"/>
    <w:rsid w:val="00D236B7"/>
    <w:rsid w:val="00D23E48"/>
    <w:rsid w:val="00D244BE"/>
    <w:rsid w:val="00D32A13"/>
    <w:rsid w:val="00D43096"/>
    <w:rsid w:val="00D46AB2"/>
    <w:rsid w:val="00D46F93"/>
    <w:rsid w:val="00D47815"/>
    <w:rsid w:val="00D520FA"/>
    <w:rsid w:val="00D54582"/>
    <w:rsid w:val="00D656EB"/>
    <w:rsid w:val="00D75003"/>
    <w:rsid w:val="00D76BAC"/>
    <w:rsid w:val="00D771FD"/>
    <w:rsid w:val="00D7796D"/>
    <w:rsid w:val="00D81B18"/>
    <w:rsid w:val="00D81C9F"/>
    <w:rsid w:val="00D83541"/>
    <w:rsid w:val="00D93A16"/>
    <w:rsid w:val="00D9496D"/>
    <w:rsid w:val="00D97B7C"/>
    <w:rsid w:val="00DA0768"/>
    <w:rsid w:val="00DA161A"/>
    <w:rsid w:val="00DA3A19"/>
    <w:rsid w:val="00DA5A94"/>
    <w:rsid w:val="00DA743D"/>
    <w:rsid w:val="00DB2355"/>
    <w:rsid w:val="00DB3BB4"/>
    <w:rsid w:val="00DB6554"/>
    <w:rsid w:val="00DC0517"/>
    <w:rsid w:val="00DC0F02"/>
    <w:rsid w:val="00DC0F8D"/>
    <w:rsid w:val="00DC2284"/>
    <w:rsid w:val="00DC3CA4"/>
    <w:rsid w:val="00DC7F1B"/>
    <w:rsid w:val="00DE0CAD"/>
    <w:rsid w:val="00DE4578"/>
    <w:rsid w:val="00DF04EE"/>
    <w:rsid w:val="00DF24FB"/>
    <w:rsid w:val="00DF3E35"/>
    <w:rsid w:val="00E03ED5"/>
    <w:rsid w:val="00E06243"/>
    <w:rsid w:val="00E07169"/>
    <w:rsid w:val="00E14D9E"/>
    <w:rsid w:val="00E1688C"/>
    <w:rsid w:val="00E22665"/>
    <w:rsid w:val="00E27542"/>
    <w:rsid w:val="00E30499"/>
    <w:rsid w:val="00E30B51"/>
    <w:rsid w:val="00E324BB"/>
    <w:rsid w:val="00E377E8"/>
    <w:rsid w:val="00E41ADB"/>
    <w:rsid w:val="00E43464"/>
    <w:rsid w:val="00E45206"/>
    <w:rsid w:val="00E47A69"/>
    <w:rsid w:val="00E50471"/>
    <w:rsid w:val="00E571BB"/>
    <w:rsid w:val="00E616F0"/>
    <w:rsid w:val="00E728DD"/>
    <w:rsid w:val="00E74435"/>
    <w:rsid w:val="00E758AD"/>
    <w:rsid w:val="00E77193"/>
    <w:rsid w:val="00E77D4E"/>
    <w:rsid w:val="00E87D7D"/>
    <w:rsid w:val="00E916A3"/>
    <w:rsid w:val="00E91860"/>
    <w:rsid w:val="00E92B03"/>
    <w:rsid w:val="00E93E9B"/>
    <w:rsid w:val="00E94777"/>
    <w:rsid w:val="00E94AC8"/>
    <w:rsid w:val="00E954B7"/>
    <w:rsid w:val="00E96FDB"/>
    <w:rsid w:val="00EA107B"/>
    <w:rsid w:val="00EC16F1"/>
    <w:rsid w:val="00ED05D6"/>
    <w:rsid w:val="00ED0C6F"/>
    <w:rsid w:val="00ED2FCC"/>
    <w:rsid w:val="00ED41CE"/>
    <w:rsid w:val="00EE52E8"/>
    <w:rsid w:val="00EE59D9"/>
    <w:rsid w:val="00EE5F75"/>
    <w:rsid w:val="00EE6427"/>
    <w:rsid w:val="00EF23C8"/>
    <w:rsid w:val="00EF2722"/>
    <w:rsid w:val="00EF6805"/>
    <w:rsid w:val="00F00508"/>
    <w:rsid w:val="00F01E52"/>
    <w:rsid w:val="00F02875"/>
    <w:rsid w:val="00F042DC"/>
    <w:rsid w:val="00F07024"/>
    <w:rsid w:val="00F07099"/>
    <w:rsid w:val="00F105EA"/>
    <w:rsid w:val="00F11117"/>
    <w:rsid w:val="00F12541"/>
    <w:rsid w:val="00F15BC9"/>
    <w:rsid w:val="00F22035"/>
    <w:rsid w:val="00F22D18"/>
    <w:rsid w:val="00F26545"/>
    <w:rsid w:val="00F3399C"/>
    <w:rsid w:val="00F36C87"/>
    <w:rsid w:val="00F40F2A"/>
    <w:rsid w:val="00F44757"/>
    <w:rsid w:val="00F46927"/>
    <w:rsid w:val="00F53CCD"/>
    <w:rsid w:val="00F55854"/>
    <w:rsid w:val="00F56813"/>
    <w:rsid w:val="00F66AB7"/>
    <w:rsid w:val="00F70110"/>
    <w:rsid w:val="00F7027B"/>
    <w:rsid w:val="00F72C93"/>
    <w:rsid w:val="00F80A88"/>
    <w:rsid w:val="00F81C6A"/>
    <w:rsid w:val="00F823F5"/>
    <w:rsid w:val="00F84F6E"/>
    <w:rsid w:val="00F9170D"/>
    <w:rsid w:val="00F94368"/>
    <w:rsid w:val="00F9494C"/>
    <w:rsid w:val="00F9645D"/>
    <w:rsid w:val="00FA15C8"/>
    <w:rsid w:val="00FA2A0B"/>
    <w:rsid w:val="00FA2D86"/>
    <w:rsid w:val="00FA348C"/>
    <w:rsid w:val="00FB0AD8"/>
    <w:rsid w:val="00FB4DBB"/>
    <w:rsid w:val="00FC725D"/>
    <w:rsid w:val="00FD171C"/>
    <w:rsid w:val="00FE2C17"/>
    <w:rsid w:val="00FF072F"/>
    <w:rsid w:val="00FF13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9AD06A5"/>
  <w15:chartTrackingRefBased/>
  <w15:docId w15:val="{9F1C46BB-7A57-4C82-A069-D4888F38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03D"/>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D46F93"/>
    <w:pPr>
      <w:keepNext/>
      <w:widowControl w:val="0"/>
      <w:spacing w:line="240" w:lineRule="auto"/>
      <w:outlineLvl w:val="0"/>
    </w:pPr>
    <w:rPr>
      <w:rFonts w:ascii="Montserrat Ultra Light" w:eastAsiaTheme="majorEastAsia" w:hAnsi="Montserrat Ultra Light" w:cstheme="majorBidi"/>
      <w:b/>
      <w:bCs/>
      <w:color w:val="004563"/>
      <w:sz w:val="56"/>
      <w:szCs w:val="28"/>
    </w:rPr>
  </w:style>
  <w:style w:type="paragraph" w:styleId="Heading2">
    <w:name w:val="heading 2"/>
    <w:basedOn w:val="Normal"/>
    <w:next w:val="Heading3"/>
    <w:link w:val="Heading2Char"/>
    <w:uiPriority w:val="9"/>
    <w:qFormat/>
    <w:rsid w:val="00D46F93"/>
    <w:pPr>
      <w:keepNext/>
      <w:widowControl w:val="0"/>
      <w:spacing w:after="120" w:line="240" w:lineRule="auto"/>
      <w:outlineLvl w:val="1"/>
    </w:pPr>
    <w:rPr>
      <w:rFonts w:ascii="Montserrat Ultra Light" w:eastAsiaTheme="majorEastAsia" w:hAnsi="Montserrat Ultra Light" w:cstheme="majorBidi"/>
      <w:b/>
      <w:bCs/>
      <w:color w:val="004563"/>
      <w:sz w:val="56"/>
      <w:szCs w:val="26"/>
    </w:rPr>
  </w:style>
  <w:style w:type="paragraph" w:styleId="Heading3">
    <w:name w:val="heading 3"/>
    <w:basedOn w:val="Normal"/>
    <w:next w:val="Heading4"/>
    <w:link w:val="Heading3Char"/>
    <w:uiPriority w:val="9"/>
    <w:qFormat/>
    <w:rsid w:val="00D46F93"/>
    <w:pPr>
      <w:keepNext/>
      <w:widowControl w:val="0"/>
      <w:spacing w:before="240" w:line="240" w:lineRule="auto"/>
      <w:outlineLvl w:val="2"/>
    </w:pPr>
    <w:rPr>
      <w:rFonts w:ascii="Montserrat Extra Bold" w:eastAsiaTheme="majorEastAsia" w:hAnsi="Montserrat Extra Bold" w:cstheme="majorBidi"/>
      <w:bCs/>
      <w:color w:val="004563"/>
      <w:sz w:val="32"/>
    </w:rPr>
  </w:style>
  <w:style w:type="paragraph" w:styleId="Heading4">
    <w:name w:val="heading 4"/>
    <w:basedOn w:val="Normal"/>
    <w:next w:val="Heading5"/>
    <w:link w:val="Heading4Char"/>
    <w:uiPriority w:val="9"/>
    <w:qFormat/>
    <w:rsid w:val="006B6A00"/>
    <w:pPr>
      <w:keepNext/>
      <w:widowControl w:val="0"/>
      <w:spacing w:before="200" w:line="240" w:lineRule="auto"/>
      <w:outlineLvl w:val="3"/>
    </w:pPr>
    <w:rPr>
      <w:rFonts w:ascii="Montserrat Semi Bold" w:eastAsiaTheme="majorEastAsia" w:hAnsi="Montserrat Semi Bold" w:cstheme="majorBidi"/>
      <w:bCs/>
      <w:iCs/>
      <w:color w:val="006991"/>
      <w:sz w:val="28"/>
    </w:rPr>
  </w:style>
  <w:style w:type="paragraph" w:styleId="Heading5">
    <w:name w:val="heading 5"/>
    <w:basedOn w:val="Normal"/>
    <w:next w:val="Heading6"/>
    <w:link w:val="Heading5Char"/>
    <w:uiPriority w:val="9"/>
    <w:qFormat/>
    <w:rsid w:val="00D46F93"/>
    <w:pPr>
      <w:keepNext/>
      <w:tabs>
        <w:tab w:val="clear" w:pos="567"/>
      </w:tabs>
      <w:outlineLvl w:val="4"/>
    </w:pPr>
    <w:rPr>
      <w:rFonts w:ascii="Montserrat Semi Bold" w:eastAsiaTheme="majorEastAsia" w:hAnsi="Montserrat Semi Bold" w:cstheme="majorBidi"/>
      <w:color w:val="636466"/>
      <w:sz w:val="24"/>
    </w:rPr>
  </w:style>
  <w:style w:type="paragraph" w:styleId="Heading6">
    <w:name w:val="heading 6"/>
    <w:basedOn w:val="Normal"/>
    <w:next w:val="Normal"/>
    <w:link w:val="Heading6Char"/>
    <w:uiPriority w:val="9"/>
    <w:qFormat/>
    <w:rsid w:val="00D46F93"/>
    <w:pPr>
      <w:keepNext/>
      <w:keepLines/>
      <w:outlineLvl w:val="5"/>
    </w:pPr>
    <w:rPr>
      <w:rFonts w:ascii="Montserrat Semi Bold" w:eastAsiaTheme="majorEastAsia" w:hAnsi="Montserrat Semi Bold" w:cstheme="majorBidi"/>
      <w:i/>
      <w:iCs/>
      <w:color w:val="636466"/>
    </w:rPr>
  </w:style>
  <w:style w:type="paragraph" w:styleId="Heading7">
    <w:name w:val="heading 7"/>
    <w:basedOn w:val="Heading5"/>
    <w:next w:val="Normal"/>
    <w:link w:val="Heading7Char"/>
    <w:uiPriority w:val="9"/>
    <w:semiHidden/>
    <w:rsid w:val="00201B3A"/>
    <w:pPr>
      <w:keepLines/>
      <w:spacing w:before="200"/>
      <w:outlineLvl w:val="6"/>
    </w:pPr>
    <w:rPr>
      <w:i/>
      <w:iCs/>
      <w:color w:val="939598"/>
      <w:sz w:val="20"/>
    </w:rPr>
  </w:style>
  <w:style w:type="paragraph" w:styleId="Heading8">
    <w:name w:val="heading 8"/>
    <w:aliases w:val="(Do not use),(Sub-section Nos)"/>
    <w:basedOn w:val="Normal"/>
    <w:next w:val="Normal"/>
    <w:semiHidden/>
    <w:rsid w:val="00765BA8"/>
    <w:pPr>
      <w:numPr>
        <w:ilvl w:val="7"/>
        <w:numId w:val="2"/>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2"/>
      </w:numPr>
      <w:spacing w:before="240" w:after="60"/>
      <w:outlineLvl w:val="8"/>
    </w:pPr>
    <w:rPr>
      <w:rFonts w:ascii="Arial" w:hAnsi="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ationtitle1">
    <w:name w:val="Publication title 1"/>
    <w:basedOn w:val="Normal"/>
    <w:next w:val="Normal"/>
    <w:rsid w:val="00D520FA"/>
    <w:pPr>
      <w:spacing w:line="240" w:lineRule="auto"/>
      <w:jc w:val="center"/>
    </w:pPr>
    <w:rPr>
      <w:rFonts w:ascii="Montserrat Extra Bold" w:hAnsi="Montserrat Extra Bold"/>
      <w:color w:val="004563"/>
      <w:sz w:val="60"/>
    </w:rPr>
  </w:style>
  <w:style w:type="paragraph" w:styleId="Caption">
    <w:name w:val="caption"/>
    <w:basedOn w:val="Normal"/>
    <w:next w:val="Normal"/>
    <w:link w:val="CaptionChar"/>
    <w:qFormat/>
    <w:rsid w:val="00E94777"/>
    <w:pPr>
      <w:keepNext/>
      <w:keepLines/>
      <w:tabs>
        <w:tab w:val="clear" w:pos="567"/>
        <w:tab w:val="left" w:pos="1134"/>
        <w:tab w:val="left" w:pos="1418"/>
      </w:tabs>
      <w:spacing w:before="200" w:after="40" w:line="240" w:lineRule="auto"/>
      <w:ind w:left="1134" w:hanging="1134"/>
    </w:pPr>
    <w:rPr>
      <w:rFonts w:ascii="Montserrat Light" w:hAnsi="Montserrat Light"/>
      <w:b/>
      <w:bCs/>
      <w:color w:val="004563"/>
      <w:szCs w:val="20"/>
    </w:rPr>
  </w:style>
  <w:style w:type="paragraph" w:customStyle="1" w:styleId="Publicationtitle2">
    <w:name w:val="Publication title 2"/>
    <w:basedOn w:val="Publicationtitle1"/>
    <w:next w:val="Normal"/>
    <w:rsid w:val="00D520FA"/>
    <w:pPr>
      <w:spacing w:before="0"/>
    </w:pPr>
    <w:rPr>
      <w:rFonts w:ascii="Montserrat Ultra Light" w:hAnsi="Montserrat Ultra Light"/>
      <w:b/>
      <w:color w:val="60B5D7"/>
      <w:sz w:val="52"/>
    </w:rPr>
  </w:style>
  <w:style w:type="paragraph" w:customStyle="1" w:styleId="Publicationtitle3">
    <w:name w:val="Publication title 3"/>
    <w:basedOn w:val="Publicationtitle2"/>
    <w:next w:val="Normal"/>
    <w:rsid w:val="00D520FA"/>
    <w:rPr>
      <w:b w:val="0"/>
      <w:color w:val="004563"/>
    </w:rPr>
  </w:style>
  <w:style w:type="paragraph" w:customStyle="1" w:styleId="CGCTableFootnote">
    <w:name w:val="CGC Table Footnote"/>
    <w:basedOn w:val="Normal"/>
    <w:next w:val="Normal"/>
    <w:rsid w:val="00D46F93"/>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E616F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Cs w:val="20"/>
    </w:rPr>
  </w:style>
  <w:style w:type="paragraph" w:customStyle="1" w:styleId="CGCTableStub">
    <w:name w:val="CGC Table Stub"/>
    <w:basedOn w:val="Normal"/>
    <w:link w:val="CGCTableStubChar"/>
    <w:rsid w:val="00D46F93"/>
    <w:pPr>
      <w:keepNext/>
      <w:keepLines/>
      <w:tabs>
        <w:tab w:val="left" w:pos="284"/>
      </w:tabs>
      <w:spacing w:before="60" w:after="60" w:line="200" w:lineRule="atLeast"/>
    </w:pPr>
    <w:rPr>
      <w:rFonts w:asciiTheme="minorHAnsi" w:hAnsiTheme="minorHAnsi"/>
      <w:szCs w:val="20"/>
    </w:rPr>
  </w:style>
  <w:style w:type="paragraph" w:customStyle="1" w:styleId="CGCTableheader">
    <w:name w:val="CGC Table header"/>
    <w:basedOn w:val="CGCTablerow"/>
    <w:next w:val="Normal"/>
    <w:rsid w:val="00011803"/>
    <w:rPr>
      <w:rFonts w:ascii="Open Sans SemiBold" w:hAnsi="Open Sans SemiBold" w:cs="Open Sans SemiBold"/>
      <w:color w:val="FFFFFF" w:themeColor="background1"/>
      <w:lang w:val="en-US"/>
    </w:rPr>
  </w:style>
  <w:style w:type="character" w:styleId="FootnoteReference">
    <w:name w:val="footnote reference"/>
    <w:basedOn w:val="DefaultParagraphFont"/>
    <w:rsid w:val="00D46F93"/>
    <w:rPr>
      <w:vertAlign w:val="superscript"/>
    </w:rPr>
  </w:style>
  <w:style w:type="paragraph" w:customStyle="1" w:styleId="CGCTablesubhead1">
    <w:name w:val="CGC Table subhead1"/>
    <w:basedOn w:val="Normal"/>
    <w:rsid w:val="00011803"/>
    <w:pPr>
      <w:spacing w:before="0" w:line="240" w:lineRule="auto"/>
    </w:pPr>
    <w:rPr>
      <w:rFonts w:ascii="Open Sans SemiBold" w:hAnsi="Open Sans SemiBold"/>
      <w:sz w:val="16"/>
      <w:lang w:val="en-US"/>
    </w:rPr>
  </w:style>
  <w:style w:type="paragraph" w:styleId="DocumentMap">
    <w:name w:val="Document Map"/>
    <w:basedOn w:val="Normal"/>
    <w:rsid w:val="00765BA8"/>
    <w:pPr>
      <w:shd w:val="clear" w:color="auto" w:fill="000080"/>
    </w:pPr>
    <w:rPr>
      <w:rFonts w:ascii="Tahoma" w:hAnsi="Tahoma" w:cs="Tahoma"/>
      <w:szCs w:val="20"/>
    </w:rPr>
  </w:style>
  <w:style w:type="paragraph" w:styleId="ListParagraph">
    <w:name w:val="List Paragraph"/>
    <w:basedOn w:val="Normal"/>
    <w:uiPriority w:val="34"/>
    <w:rsid w:val="006E1B81"/>
    <w:pPr>
      <w:ind w:left="720"/>
      <w:contextualSpacing/>
    </w:pPr>
  </w:style>
  <w:style w:type="paragraph" w:styleId="Footer">
    <w:name w:val="footer"/>
    <w:basedOn w:val="Normal"/>
    <w:link w:val="FooterChar"/>
    <w:uiPriority w:val="99"/>
    <w:unhideWhenUsed/>
    <w:rsid w:val="00011803"/>
    <w:pPr>
      <w:tabs>
        <w:tab w:val="center" w:pos="4513"/>
        <w:tab w:val="right" w:pos="9026"/>
      </w:tabs>
      <w:spacing w:before="0" w:line="240" w:lineRule="auto"/>
      <w:ind w:left="-284" w:right="-284"/>
      <w:jc w:val="right"/>
    </w:pPr>
    <w:rPr>
      <w:rFonts w:ascii="Montserrat Ultra Light" w:hAnsi="Montserrat Ultra Light"/>
      <w:b/>
      <w:color w:val="004563"/>
    </w:rPr>
  </w:style>
  <w:style w:type="paragraph" w:styleId="FootnoteText">
    <w:name w:val="footnote text"/>
    <w:basedOn w:val="Normal"/>
    <w:link w:val="FootnoteTextChar"/>
    <w:qFormat/>
    <w:rsid w:val="00F3399C"/>
    <w:pPr>
      <w:tabs>
        <w:tab w:val="left" w:pos="680"/>
      </w:tabs>
      <w:spacing w:before="40" w:line="240" w:lineRule="auto"/>
      <w:ind w:left="113" w:hanging="113"/>
    </w:pPr>
    <w:rPr>
      <w:sz w:val="14"/>
      <w:szCs w:val="20"/>
    </w:rPr>
  </w:style>
  <w:style w:type="paragraph" w:styleId="Header">
    <w:name w:val="header"/>
    <w:basedOn w:val="Normal"/>
    <w:link w:val="HeaderChar"/>
    <w:uiPriority w:val="99"/>
    <w:unhideWhenUsed/>
    <w:rsid w:val="00F3399C"/>
    <w:pPr>
      <w:tabs>
        <w:tab w:val="clear" w:pos="567"/>
        <w:tab w:val="center" w:pos="4513"/>
        <w:tab w:val="right" w:pos="9026"/>
      </w:tabs>
      <w:spacing w:line="240" w:lineRule="auto"/>
    </w:pPr>
    <w:rPr>
      <w:rFonts w:ascii="Montserrat Ultra Light" w:hAnsi="Montserrat Ultra Light"/>
      <w:color w:val="004563"/>
    </w:rPr>
  </w:style>
  <w:style w:type="character" w:styleId="Hyperlink">
    <w:name w:val="Hyperlink"/>
    <w:basedOn w:val="DefaultParagraphFont"/>
    <w:uiPriority w:val="99"/>
    <w:unhideWhenUsed/>
    <w:qFormat/>
    <w:rsid w:val="00D46F93"/>
    <w:rPr>
      <w:color w:val="006991"/>
      <w:u w:val="single"/>
    </w:rPr>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F3399C"/>
    <w:rPr>
      <w:rFonts w:ascii="Montserrat Ultra Light" w:hAnsi="Montserrat Ultra Light"/>
      <w:color w:val="004563"/>
      <w:sz w:val="20"/>
    </w:rPr>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CTablesubhead2">
    <w:name w:val="CGC Table subhead2"/>
    <w:basedOn w:val="Normal"/>
    <w:rsid w:val="00011803"/>
    <w:pPr>
      <w:spacing w:before="0" w:line="240" w:lineRule="auto"/>
    </w:pPr>
    <w:rPr>
      <w:rFonts w:ascii="Open Sans SemiBold" w:hAnsi="Open Sans SemiBold"/>
      <w:sz w:val="16"/>
      <w:lang w:val="en-US"/>
    </w:rPr>
  </w:style>
  <w:style w:type="paragraph" w:customStyle="1" w:styleId="TableRowUnits">
    <w:name w:val="TableRowUnits"/>
    <w:basedOn w:val="Normal"/>
    <w:rsid w:val="00765BA8"/>
    <w:pPr>
      <w:keepNext/>
      <w:keepLines/>
      <w:tabs>
        <w:tab w:val="left" w:pos="475"/>
        <w:tab w:val="left" w:pos="1440"/>
        <w:tab w:val="left" w:pos="2160"/>
        <w:tab w:val="left" w:pos="2880"/>
      </w:tabs>
      <w:spacing w:line="240" w:lineRule="auto"/>
      <w:jc w:val="right"/>
    </w:pPr>
    <w:rPr>
      <w:szCs w:val="20"/>
    </w:rPr>
  </w:style>
  <w:style w:type="paragraph" w:styleId="TOAHeading">
    <w:name w:val="toa heading"/>
    <w:basedOn w:val="Normal"/>
    <w:next w:val="Normal"/>
    <w:rsid w:val="00581586"/>
    <w:rPr>
      <w:rFonts w:cs="Arial"/>
      <w:b/>
      <w:bCs/>
    </w:rPr>
  </w:style>
  <w:style w:type="paragraph" w:styleId="TOC1">
    <w:name w:val="toc 1"/>
    <w:basedOn w:val="Normal"/>
    <w:next w:val="Normal"/>
    <w:uiPriority w:val="39"/>
    <w:rsid w:val="00581586"/>
    <w:pPr>
      <w:tabs>
        <w:tab w:val="clear" w:pos="567"/>
        <w:tab w:val="right" w:pos="8942"/>
      </w:tabs>
      <w:ind w:left="113"/>
    </w:pPr>
    <w:rPr>
      <w:rFonts w:ascii="Open Sans" w:hAnsi="Open Sans"/>
      <w:b/>
      <w:bCs/>
      <w:color w:val="636466"/>
      <w:szCs w:val="20"/>
    </w:rPr>
  </w:style>
  <w:style w:type="paragraph" w:styleId="TOC2">
    <w:name w:val="toc 2"/>
    <w:basedOn w:val="Normal"/>
    <w:next w:val="Normal"/>
    <w:rsid w:val="00581586"/>
    <w:pPr>
      <w:tabs>
        <w:tab w:val="clear" w:pos="567"/>
        <w:tab w:val="right" w:pos="8942"/>
      </w:tabs>
      <w:spacing w:before="0"/>
      <w:ind w:left="113"/>
    </w:pPr>
    <w:rPr>
      <w:rFonts w:ascii="Open Sans" w:hAnsi="Open Sans"/>
      <w:color w:val="636466"/>
      <w:szCs w:val="20"/>
    </w:rPr>
  </w:style>
  <w:style w:type="paragraph" w:styleId="TOC3">
    <w:name w:val="toc 3"/>
    <w:basedOn w:val="Normal"/>
    <w:next w:val="Normal"/>
    <w:uiPriority w:val="39"/>
    <w:rsid w:val="00581586"/>
    <w:pPr>
      <w:tabs>
        <w:tab w:val="clear" w:pos="567"/>
        <w:tab w:val="right" w:pos="8942"/>
      </w:tabs>
      <w:spacing w:before="40"/>
      <w:ind w:left="397"/>
    </w:pPr>
    <w:rPr>
      <w:iCs/>
      <w:color w:val="636466"/>
    </w:rPr>
  </w:style>
  <w:style w:type="paragraph" w:styleId="TOC4">
    <w:name w:val="toc 4"/>
    <w:basedOn w:val="Normal"/>
    <w:next w:val="Normal"/>
    <w:uiPriority w:val="39"/>
    <w:rsid w:val="00581586"/>
    <w:pPr>
      <w:tabs>
        <w:tab w:val="clear" w:pos="567"/>
        <w:tab w:val="right" w:pos="8942"/>
      </w:tabs>
      <w:spacing w:before="40" w:line="276" w:lineRule="auto"/>
      <w:ind w:left="680"/>
    </w:pPr>
    <w:rPr>
      <w:i/>
      <w:color w:val="636466"/>
    </w:rPr>
  </w:style>
  <w:style w:type="paragraph" w:styleId="TOC5">
    <w:name w:val="toc 5"/>
    <w:basedOn w:val="Normal"/>
    <w:next w:val="Normal"/>
    <w:autoRedefine/>
    <w:unhideWhenUsed/>
    <w:rsid w:val="00581586"/>
    <w:pPr>
      <w:tabs>
        <w:tab w:val="clear" w:pos="567"/>
      </w:tabs>
      <w:ind w:left="799"/>
    </w:pPr>
    <w:rPr>
      <w:lang w:val="en-US"/>
    </w:rPr>
  </w:style>
  <w:style w:type="paragraph" w:styleId="TOC6">
    <w:name w:val="toc 6"/>
    <w:basedOn w:val="Normal"/>
    <w:next w:val="Normal"/>
    <w:autoRedefine/>
    <w:unhideWhenUsed/>
    <w:rsid w:val="00581586"/>
    <w:pPr>
      <w:tabs>
        <w:tab w:val="clear" w:pos="567"/>
      </w:tabs>
      <w:ind w:left="998"/>
    </w:pPr>
    <w:rPr>
      <w:lang w:val="en-US"/>
    </w:rPr>
  </w:style>
  <w:style w:type="character" w:customStyle="1" w:styleId="Heading1Char">
    <w:name w:val="Heading 1 Char"/>
    <w:basedOn w:val="DefaultParagraphFont"/>
    <w:link w:val="Heading1"/>
    <w:uiPriority w:val="9"/>
    <w:rsid w:val="00D46F93"/>
    <w:rPr>
      <w:rFonts w:ascii="Montserrat Ultra Light" w:eastAsiaTheme="majorEastAsia" w:hAnsi="Montserrat Ultra Light" w:cstheme="majorBidi"/>
      <w:b/>
      <w:bCs/>
      <w:color w:val="004563"/>
      <w:sz w:val="56"/>
      <w:szCs w:val="28"/>
    </w:rPr>
  </w:style>
  <w:style w:type="character" w:customStyle="1" w:styleId="Heading2Char">
    <w:name w:val="Heading 2 Char"/>
    <w:basedOn w:val="DefaultParagraphFont"/>
    <w:link w:val="Heading2"/>
    <w:uiPriority w:val="9"/>
    <w:rsid w:val="00D46F93"/>
    <w:rPr>
      <w:rFonts w:ascii="Montserrat Ultra Light" w:eastAsiaTheme="majorEastAsia" w:hAnsi="Montserrat Ultra Light" w:cstheme="majorBidi"/>
      <w:b/>
      <w:bCs/>
      <w:color w:val="004563"/>
      <w:sz w:val="56"/>
      <w:szCs w:val="26"/>
    </w:rPr>
  </w:style>
  <w:style w:type="character" w:customStyle="1" w:styleId="Heading3Char">
    <w:name w:val="Heading 3 Char"/>
    <w:basedOn w:val="DefaultParagraphFont"/>
    <w:link w:val="Heading3"/>
    <w:uiPriority w:val="9"/>
    <w:rsid w:val="00D46F93"/>
    <w:rPr>
      <w:rFonts w:ascii="Montserrat Extra Bold" w:eastAsiaTheme="majorEastAsia" w:hAnsi="Montserrat Extra Bold" w:cstheme="majorBidi"/>
      <w:bCs/>
      <w:color w:val="004563"/>
      <w:sz w:val="32"/>
    </w:rPr>
  </w:style>
  <w:style w:type="character" w:customStyle="1" w:styleId="Heading4Char">
    <w:name w:val="Heading 4 Char"/>
    <w:basedOn w:val="DefaultParagraphFont"/>
    <w:link w:val="Heading4"/>
    <w:uiPriority w:val="9"/>
    <w:rsid w:val="006B6A00"/>
    <w:rPr>
      <w:rFonts w:ascii="Montserrat Semi Bold" w:eastAsiaTheme="majorEastAsia" w:hAnsi="Montserrat Semi Bold" w:cstheme="majorBidi"/>
      <w:bCs/>
      <w:iCs/>
      <w:color w:val="006991"/>
      <w:sz w:val="28"/>
    </w:rPr>
  </w:style>
  <w:style w:type="character" w:customStyle="1" w:styleId="Heading5Char">
    <w:name w:val="Heading 5 Char"/>
    <w:basedOn w:val="DefaultParagraphFont"/>
    <w:link w:val="Heading5"/>
    <w:uiPriority w:val="9"/>
    <w:rsid w:val="00D46F93"/>
    <w:rPr>
      <w:rFonts w:ascii="Montserrat Semi Bold" w:eastAsiaTheme="majorEastAsia" w:hAnsi="Montserrat Semi Bold" w:cstheme="majorBidi"/>
      <w:color w:val="636466"/>
      <w:sz w:val="24"/>
    </w:rPr>
  </w:style>
  <w:style w:type="paragraph" w:styleId="TOCHeading">
    <w:name w:val="TOC Heading"/>
    <w:basedOn w:val="Heading1"/>
    <w:next w:val="Normal"/>
    <w:uiPriority w:val="39"/>
    <w:semiHidden/>
    <w:unhideWhenUsed/>
    <w:qFormat/>
    <w:rsid w:val="00D46F93"/>
    <w:pPr>
      <w:keepLines/>
      <w:spacing w:before="480" w:line="320" w:lineRule="atLeast"/>
      <w:outlineLvl w:val="9"/>
    </w:pPr>
    <w:rPr>
      <w:rFonts w:asciiTheme="majorHAnsi" w:hAnsiTheme="majorHAnsi"/>
      <w:caps/>
      <w:color w:val="365F91" w:themeColor="accent1" w:themeShade="BF"/>
      <w:sz w:val="28"/>
    </w:rPr>
  </w:style>
  <w:style w:type="character" w:customStyle="1" w:styleId="FooterChar">
    <w:name w:val="Footer Char"/>
    <w:basedOn w:val="DefaultParagraphFont"/>
    <w:link w:val="Footer"/>
    <w:uiPriority w:val="99"/>
    <w:rsid w:val="00011803"/>
    <w:rPr>
      <w:rFonts w:ascii="Montserrat Ultra Light" w:hAnsi="Montserrat Ultra Light"/>
      <w:b/>
      <w:color w:val="004563"/>
      <w:sz w:val="20"/>
    </w:rPr>
  </w:style>
  <w:style w:type="character" w:customStyle="1" w:styleId="HeaderChar">
    <w:name w:val="Header Char"/>
    <w:basedOn w:val="DefaultParagraphFont"/>
    <w:link w:val="Header"/>
    <w:uiPriority w:val="99"/>
    <w:rsid w:val="00F3399C"/>
    <w:rPr>
      <w:rFonts w:ascii="Montserrat Ultra Light" w:hAnsi="Montserrat Ultra Light"/>
      <w:color w:val="004563"/>
      <w:sz w:val="20"/>
      <w:lang w:val="en-US"/>
    </w:rPr>
  </w:style>
  <w:style w:type="paragraph" w:customStyle="1" w:styleId="CGCDataCaption">
    <w:name w:val="CGC Data Caption"/>
    <w:basedOn w:val="CGCTableFootnote"/>
    <w:next w:val="Normal"/>
    <w:link w:val="DataCaptionChar"/>
    <w:rsid w:val="00622669"/>
  </w:style>
  <w:style w:type="character" w:customStyle="1" w:styleId="CaptionChar">
    <w:name w:val="Caption Char"/>
    <w:basedOn w:val="DefaultParagraphFont"/>
    <w:link w:val="Caption"/>
    <w:rsid w:val="00E94777"/>
    <w:rPr>
      <w:rFonts w:ascii="Montserrat Light" w:hAnsi="Montserrat Light"/>
      <w:b/>
      <w:bCs/>
      <w:color w:val="004563"/>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F3399C"/>
    <w:rPr>
      <w:rFonts w:ascii="Open Sans Light" w:hAnsi="Open Sans Light"/>
      <w:sz w:val="14"/>
      <w:szCs w:val="20"/>
      <w:lang w:val="en-US"/>
    </w:rPr>
  </w:style>
  <w:style w:type="character" w:customStyle="1" w:styleId="Heading6Char">
    <w:name w:val="Heading 6 Char"/>
    <w:basedOn w:val="DefaultParagraphFont"/>
    <w:link w:val="Heading6"/>
    <w:uiPriority w:val="9"/>
    <w:rsid w:val="00D46F93"/>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201B3A"/>
    <w:rPr>
      <w:rFonts w:ascii="Montserrat Semi Bold" w:eastAsiaTheme="majorEastAsia" w:hAnsi="Montserrat Semi Bold" w:cstheme="majorBidi"/>
      <w:i/>
      <w:iCs/>
      <w:color w:val="939598"/>
      <w:sz w:val="20"/>
    </w:rPr>
  </w:style>
  <w:style w:type="paragraph" w:customStyle="1" w:styleId="CGCParaNumber">
    <w:name w:val="CGC Para Number"/>
    <w:basedOn w:val="Normal"/>
    <w:autoRedefine/>
    <w:qFormat/>
    <w:rsid w:val="00581586"/>
    <w:pPr>
      <w:numPr>
        <w:numId w:val="37"/>
      </w:numPr>
    </w:pPr>
  </w:style>
  <w:style w:type="paragraph" w:customStyle="1" w:styleId="CGCBullet1">
    <w:name w:val="CGC Bullet 1"/>
    <w:basedOn w:val="Normal"/>
    <w:qFormat/>
    <w:rsid w:val="00364DB3"/>
    <w:pPr>
      <w:numPr>
        <w:numId w:val="22"/>
      </w:numPr>
      <w:ind w:left="924" w:hanging="357"/>
    </w:pPr>
  </w:style>
  <w:style w:type="paragraph" w:customStyle="1" w:styleId="CGCBullet2">
    <w:name w:val="CGC Bullet 2"/>
    <w:basedOn w:val="Normal"/>
    <w:autoRedefine/>
    <w:qFormat/>
    <w:rsid w:val="00161EFB"/>
    <w:pPr>
      <w:numPr>
        <w:numId w:val="23"/>
      </w:numPr>
      <w:ind w:left="1208" w:hanging="357"/>
    </w:pPr>
  </w:style>
  <w:style w:type="paragraph" w:customStyle="1" w:styleId="CGCBullet3">
    <w:name w:val="CGC Bullet 3"/>
    <w:basedOn w:val="Normal"/>
    <w:qFormat/>
    <w:rsid w:val="00401575"/>
    <w:pPr>
      <w:numPr>
        <w:numId w:val="24"/>
      </w:numPr>
      <w:ind w:left="1491" w:hanging="357"/>
    </w:pPr>
  </w:style>
  <w:style w:type="paragraph" w:customStyle="1" w:styleId="CGCQuoteText">
    <w:name w:val="CGC Quote Text"/>
    <w:basedOn w:val="Normal"/>
    <w:next w:val="Normal"/>
    <w:rsid w:val="00F3399C"/>
    <w:pPr>
      <w:spacing w:after="120"/>
      <w:ind w:left="1418" w:right="1134"/>
    </w:pPr>
  </w:style>
  <w:style w:type="paragraph" w:customStyle="1" w:styleId="CGCQuoteBullet">
    <w:name w:val="CGC Quote Bullet"/>
    <w:basedOn w:val="CGCQuoteText"/>
    <w:next w:val="Normal"/>
    <w:rsid w:val="00F3399C"/>
    <w:pPr>
      <w:numPr>
        <w:numId w:val="25"/>
      </w:numPr>
      <w:spacing w:after="0"/>
      <w:ind w:left="1775" w:right="1418" w:hanging="357"/>
    </w:pPr>
  </w:style>
  <w:style w:type="paragraph" w:customStyle="1" w:styleId="CGCTablerow">
    <w:name w:val="CGC Table row"/>
    <w:basedOn w:val="Normal"/>
    <w:rsid w:val="00D46F93"/>
    <w:pPr>
      <w:spacing w:before="0" w:line="240" w:lineRule="auto"/>
    </w:pPr>
    <w:rPr>
      <w:sz w:val="16"/>
    </w:rPr>
  </w:style>
  <w:style w:type="paragraph" w:customStyle="1" w:styleId="CGCTablenote">
    <w:name w:val="CGC Table note"/>
    <w:basedOn w:val="Normal"/>
    <w:next w:val="Normal"/>
    <w:qFormat/>
    <w:rsid w:val="00277EF8"/>
    <w:pPr>
      <w:tabs>
        <w:tab w:val="left" w:pos="680"/>
      </w:tabs>
      <w:spacing w:before="40" w:line="240" w:lineRule="auto"/>
      <w:ind w:left="567" w:hanging="567"/>
    </w:pPr>
    <w:rPr>
      <w:sz w:val="14"/>
    </w:rPr>
  </w:style>
  <w:style w:type="character" w:customStyle="1" w:styleId="CGCTableHeadingChar">
    <w:name w:val="CGC Table Heading Char"/>
    <w:basedOn w:val="DefaultParagraphFont"/>
    <w:link w:val="CGCTableHeading"/>
    <w:rsid w:val="00E616F0"/>
    <w:rPr>
      <w:rFonts w:ascii="Montserrat Ultra Light" w:hAnsi="Montserrat Ultra Light"/>
      <w:b/>
      <w:sz w:val="20"/>
      <w:szCs w:val="20"/>
      <w:lang w:val="en-US"/>
    </w:rPr>
  </w:style>
  <w:style w:type="character" w:customStyle="1" w:styleId="CGCTableStubChar">
    <w:name w:val="CGC Table Stub Char"/>
    <w:basedOn w:val="DefaultParagraphFont"/>
    <w:link w:val="CGCTableStub"/>
    <w:rsid w:val="00D46F93"/>
    <w:rPr>
      <w:sz w:val="20"/>
      <w:szCs w:val="20"/>
    </w:rPr>
  </w:style>
  <w:style w:type="paragraph" w:styleId="NoSpacing">
    <w:name w:val="No Spacing"/>
    <w:link w:val="NoSpacingChar"/>
    <w:uiPriority w:val="1"/>
    <w:rsid w:val="00D46F93"/>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D46F93"/>
    <w:rPr>
      <w:sz w:val="24"/>
    </w:rPr>
  </w:style>
  <w:style w:type="paragraph" w:styleId="BalloonText">
    <w:name w:val="Balloon Text"/>
    <w:basedOn w:val="Normal"/>
    <w:link w:val="BalloonTextChar"/>
    <w:uiPriority w:val="99"/>
    <w:semiHidden/>
    <w:unhideWhenUsed/>
    <w:rsid w:val="00E87D7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D7D"/>
    <w:rPr>
      <w:rFonts w:ascii="Segoe UI" w:hAnsi="Segoe UI" w:cs="Segoe UI"/>
      <w:sz w:val="18"/>
      <w:szCs w:val="18"/>
    </w:rPr>
  </w:style>
  <w:style w:type="character" w:styleId="CommentReference">
    <w:name w:val="annotation reference"/>
    <w:basedOn w:val="DefaultParagraphFont"/>
    <w:semiHidden/>
    <w:unhideWhenUsed/>
    <w:rsid w:val="00124C6E"/>
    <w:rPr>
      <w:sz w:val="16"/>
      <w:szCs w:val="16"/>
    </w:rPr>
  </w:style>
  <w:style w:type="paragraph" w:styleId="CommentText">
    <w:name w:val="annotation text"/>
    <w:basedOn w:val="Normal"/>
    <w:link w:val="CommentTextChar"/>
    <w:semiHidden/>
    <w:unhideWhenUsed/>
    <w:rsid w:val="00124C6E"/>
    <w:pPr>
      <w:spacing w:line="240" w:lineRule="auto"/>
    </w:pPr>
    <w:rPr>
      <w:szCs w:val="20"/>
    </w:rPr>
  </w:style>
  <w:style w:type="character" w:customStyle="1" w:styleId="CommentTextChar">
    <w:name w:val="Comment Text Char"/>
    <w:basedOn w:val="DefaultParagraphFont"/>
    <w:link w:val="CommentText"/>
    <w:semiHidden/>
    <w:rsid w:val="00124C6E"/>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124C6E"/>
    <w:rPr>
      <w:b/>
      <w:bCs/>
    </w:rPr>
  </w:style>
  <w:style w:type="character" w:customStyle="1" w:styleId="CommentSubjectChar">
    <w:name w:val="Comment Subject Char"/>
    <w:basedOn w:val="CommentTextChar"/>
    <w:link w:val="CommentSubject"/>
    <w:semiHidden/>
    <w:rsid w:val="00124C6E"/>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EA9839F97DA84EAC43A7FB852BABF8" ma:contentTypeVersion="12" ma:contentTypeDescription="Create a new document." ma:contentTypeScope="" ma:versionID="26f4eaebbbf5eea6eea98917bd7a920a">
  <xsd:schema xmlns:xsd="http://www.w3.org/2001/XMLSchema" xmlns:xs="http://www.w3.org/2001/XMLSchema" xmlns:p="http://schemas.microsoft.com/office/2006/metadata/properties" xmlns:ns2="fddab0a8-5dcd-452e-8920-feabfc03300f" xmlns:ns3="3b147965-d003-4c9e-9913-90f0d9e77379" targetNamespace="http://schemas.microsoft.com/office/2006/metadata/properties" ma:root="true" ma:fieldsID="72ec95277f14174cd63dc65a16bd5d7a" ns2:_="" ns3:_="">
    <xsd:import namespace="fddab0a8-5dcd-452e-8920-feabfc03300f"/>
    <xsd:import namespace="3b147965-d003-4c9e-9913-90f0d9e773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ab0a8-5dcd-452e-8920-feabfc033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47965-d003-4c9e-9913-90f0d9e773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DB58D-7CA3-49B9-9043-A7149A30B84A}">
  <ds:schemaRefs>
    <ds:schemaRef ds:uri="http://purl.org/dc/dcmitype/"/>
    <ds:schemaRef ds:uri="fddab0a8-5dcd-452e-8920-feabfc03300f"/>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3b147965-d003-4c9e-9913-90f0d9e77379"/>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83D72712-1B19-45FB-ADF0-BCE91516FF55}">
  <ds:schemaRefs>
    <ds:schemaRef ds:uri="http://schemas.microsoft.com/sharepoint/v3/contenttype/forms"/>
  </ds:schemaRefs>
</ds:datastoreItem>
</file>

<file path=customXml/itemProps3.xml><?xml version="1.0" encoding="utf-8"?>
<ds:datastoreItem xmlns:ds="http://schemas.openxmlformats.org/officeDocument/2006/customXml" ds:itemID="{6FFD0B4C-A249-49D8-8D25-828CA4000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ab0a8-5dcd-452e-8920-feabfc03300f"/>
    <ds:schemaRef ds:uri="3b147965-d003-4c9e-9913-90f0d9e77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674D45-5359-4449-8E25-C5948350D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vt:lpstr>
    </vt:vector>
  </TitlesOfParts>
  <Company>The Commonwealth Grants Commission</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Deborah Fleming</dc:creator>
  <cp:keywords/>
  <dc:description/>
  <cp:lastModifiedBy>Deborah Fleming</cp:lastModifiedBy>
  <cp:revision>2</cp:revision>
  <cp:lastPrinted>2020-03-03T23:09:00Z</cp:lastPrinted>
  <dcterms:created xsi:type="dcterms:W3CDTF">2020-03-12T05:38:00Z</dcterms:created>
  <dcterms:modified xsi:type="dcterms:W3CDTF">2020-03-12T05:38:00Z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0x0101009AEA9839F97DA84EAC43A7FB852BABF8</vt:lpwstr>
  </property>
</Properties>
</file>