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EA9FFEE" w14:textId="0B703FF9" w:rsidR="006C4D50" w:rsidRDefault="006C4D50" w:rsidP="00D938E3">
      <w:pPr>
        <w:tabs>
          <w:tab w:val="clear" w:pos="567"/>
          <w:tab w:val="left" w:pos="1348"/>
        </w:tabs>
        <w:rPr>
          <w:color w:val="FFFFFF" w:themeColor="background1"/>
        </w:rPr>
      </w:pPr>
      <w:r>
        <w:rPr>
          <w:noProof/>
        </w:rPr>
        <mc:AlternateContent>
          <mc:Choice Requires="wps">
            <w:drawing>
              <wp:anchor distT="0" distB="0" distL="114300" distR="114300" simplePos="0" relativeHeight="251658240" behindDoc="1" locked="0" layoutInCell="1" allowOverlap="1" wp14:anchorId="3336C2D8" wp14:editId="5E7466EA">
                <wp:simplePos x="0" y="0"/>
                <wp:positionH relativeFrom="margin">
                  <wp:align>center</wp:align>
                </wp:positionH>
                <wp:positionV relativeFrom="margin">
                  <wp:align>center</wp:align>
                </wp:positionV>
                <wp:extent cx="8542800" cy="11498400"/>
                <wp:effectExtent l="0" t="0" r="0" b="8255"/>
                <wp:wrapNone/>
                <wp:docPr id="3" name="Rectangle 3"/>
                <wp:cNvGraphicFramePr/>
                <a:graphic xmlns:a="http://schemas.openxmlformats.org/drawingml/2006/main">
                  <a:graphicData uri="http://schemas.microsoft.com/office/word/2010/wordprocessingShape">
                    <wps:wsp>
                      <wps:cNvSpPr/>
                      <wps:spPr>
                        <a:xfrm>
                          <a:off x="0" y="0"/>
                          <a:ext cx="8542800" cy="11498400"/>
                        </a:xfrm>
                        <a:prstGeom prst="rect">
                          <a:avLst/>
                        </a:prstGeom>
                        <a:solidFill>
                          <a:srgbClr val="004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5F1A7" w14:textId="77777777" w:rsidR="00613152" w:rsidRDefault="00613152" w:rsidP="00A665E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6C2D8" id="Rectangle 3" o:spid="_x0000_s1026" style="position:absolute;margin-left:0;margin-top:0;width:672.65pt;height:905.4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" fillcolor="#004563" stroked="f" strokeweight="1pt">
                <v:textbox inset="0,0,0,0">
                  <w:txbxContent>
                    <w:p w14:paraId="26E5F1A7" w14:textId="77777777" w:rsidR="00613152" w:rsidRDefault="00613152" w:rsidP="00A665E8"/>
                  </w:txbxContent>
                </v:textbox>
                <w10:wrap anchorx="margin" anchory="margin"/>
              </v:rect>
            </w:pict>
          </mc:Fallback>
        </mc:AlternateContent>
      </w:r>
    </w:p>
    <w:p w14:paraId="05804585" w14:textId="73AAE857" w:rsidR="00A01A3E" w:rsidRPr="00106C5E" w:rsidRDefault="00813BD8" w:rsidP="00813BD8">
      <w:pPr>
        <w:jc w:val="center"/>
        <w:rPr>
          <w:color w:val="FFFFFF" w:themeColor="background1"/>
        </w:rPr>
      </w:pPr>
      <w:r>
        <w:rPr>
          <w:noProof/>
        </w:rPr>
        <w:drawing>
          <wp:inline distT="0" distB="0" distL="0" distR="0" wp14:anchorId="349EE64A" wp14:editId="30860E1E">
            <wp:extent cx="2944800" cy="1425600"/>
            <wp:effectExtent l="0" t="0" r="8255" b="3175"/>
            <wp:docPr id="205092946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2944800" cy="1425600"/>
                    </a:xfrm>
                    <a:prstGeom prst="rect">
                      <a:avLst/>
                    </a:prstGeom>
                  </pic:spPr>
                </pic:pic>
              </a:graphicData>
            </a:graphic>
          </wp:inline>
        </w:drawing>
      </w:r>
    </w:p>
    <w:p w14:paraId="55DB3850" w14:textId="77777777" w:rsidR="004C3B86" w:rsidRDefault="004C3B86" w:rsidP="004C3B86"/>
    <w:p w14:paraId="71CDB616" w14:textId="77777777" w:rsidR="00B357A3" w:rsidRDefault="00B357A3" w:rsidP="00B357A3"/>
    <w:p w14:paraId="4B9A57AD" w14:textId="77777777" w:rsidR="00613152" w:rsidRDefault="00613152" w:rsidP="00B357A3"/>
    <w:p w14:paraId="0F5739E5" w14:textId="77777777" w:rsidR="0094639B" w:rsidRPr="00B357A3" w:rsidRDefault="0094639B" w:rsidP="00B357A3"/>
    <w:p w14:paraId="02CD62E6" w14:textId="77777777" w:rsidR="007820D6" w:rsidRDefault="00813BD8" w:rsidP="00A63647">
      <w:pPr>
        <w:pStyle w:val="Publicationtitle1"/>
        <w:rPr>
          <w:color w:val="FFFFFF" w:themeColor="background1"/>
        </w:rPr>
      </w:pPr>
      <w:r w:rsidRPr="00303081">
        <w:rPr>
          <w:color w:val="FFFFFF" w:themeColor="background1"/>
        </w:rPr>
        <w:t>Report on</w:t>
      </w:r>
      <w:r w:rsidR="00947032">
        <w:rPr>
          <w:color w:val="FFFFFF" w:themeColor="background1"/>
        </w:rPr>
        <w:t xml:space="preserve"> </w:t>
      </w:r>
      <w:r w:rsidR="00947032">
        <w:rPr>
          <w:color w:val="FFFFFF" w:themeColor="background1"/>
        </w:rPr>
        <w:br/>
      </w:r>
      <w:r w:rsidRPr="00EF4BA4">
        <w:rPr>
          <w:color w:val="FFFFFF" w:themeColor="background1"/>
        </w:rPr>
        <w:t>GST Revenue Sharing Relativities</w:t>
      </w:r>
    </w:p>
    <w:p w14:paraId="4E9B5B85" w14:textId="256730F1" w:rsidR="00813BD8" w:rsidRPr="00EF4BA4" w:rsidRDefault="00813BD8" w:rsidP="00D375FA">
      <w:pPr>
        <w:pStyle w:val="Publicationtitle1"/>
        <w:spacing w:before="360"/>
        <w:rPr>
          <w:color w:val="FFFFFF" w:themeColor="background1"/>
        </w:rPr>
      </w:pPr>
      <w:r w:rsidRPr="00EF4BA4">
        <w:rPr>
          <w:color w:val="FFFFFF" w:themeColor="background1"/>
        </w:rPr>
        <w:t>2020</w:t>
      </w:r>
      <w:r w:rsidR="00E35D80" w:rsidRPr="00EF4BA4">
        <w:rPr>
          <w:color w:val="FFFFFF" w:themeColor="background1"/>
        </w:rPr>
        <w:t> </w:t>
      </w:r>
      <w:r w:rsidRPr="00EF4BA4">
        <w:rPr>
          <w:color w:val="FFFFFF" w:themeColor="background1"/>
        </w:rPr>
        <w:t>Review</w:t>
      </w:r>
    </w:p>
    <w:p w14:paraId="2F87389B" w14:textId="743A9BA4" w:rsidR="00C27682" w:rsidRDefault="00C27682" w:rsidP="0033043B"/>
    <w:p w14:paraId="0771D094" w14:textId="77777777" w:rsidR="0033043B" w:rsidRDefault="0033043B" w:rsidP="0033043B"/>
    <w:p w14:paraId="13B7117C" w14:textId="488C538D" w:rsidR="00B65842" w:rsidRDefault="00813BD8" w:rsidP="00A63647">
      <w:pPr>
        <w:pStyle w:val="Publicationtitle2"/>
      </w:pPr>
      <w:r>
        <w:t>Volume 1 —</w:t>
      </w:r>
      <w:r w:rsidR="00AE6045">
        <w:t xml:space="preserve"> </w:t>
      </w:r>
      <w:r w:rsidR="00951BE5">
        <w:t>GST revenue sharing</w:t>
      </w:r>
      <w:r w:rsidR="00BC3AF3">
        <w:br/>
      </w:r>
      <w:r w:rsidR="00951BE5">
        <w:t>relativities for 2020</w:t>
      </w:r>
      <w:r w:rsidR="00E35D80">
        <w:noBreakHyphen/>
      </w:r>
      <w:r w:rsidR="00951BE5">
        <w:t>21</w:t>
      </w:r>
    </w:p>
    <w:p w14:paraId="77042898" w14:textId="759638CA" w:rsidR="00947032" w:rsidRDefault="00947032" w:rsidP="001B7305"/>
    <w:p w14:paraId="1F0D9B0A" w14:textId="680199A2" w:rsidR="004C3B86" w:rsidRDefault="004C3B86" w:rsidP="001B7305"/>
    <w:p w14:paraId="206FD53D" w14:textId="7D544286" w:rsidR="004C3B86" w:rsidRDefault="004C3B86" w:rsidP="001B7305"/>
    <w:p w14:paraId="132C4C7A" w14:textId="1165D3CB" w:rsidR="00A97C95" w:rsidRDefault="00A84946" w:rsidP="00A84946">
      <w:pPr>
        <w:jc w:val="center"/>
      </w:pPr>
      <w:r>
        <w:rPr>
          <w:noProof/>
        </w:rPr>
        <w:drawing>
          <wp:anchor distT="0" distB="0" distL="114300" distR="114300" simplePos="0" relativeHeight="251658241" behindDoc="0" locked="0" layoutInCell="1" allowOverlap="1" wp14:anchorId="1589F41C" wp14:editId="01686673">
            <wp:simplePos x="2787091" y="7615123"/>
            <wp:positionH relativeFrom="page">
              <wp:align>center</wp:align>
            </wp:positionH>
            <wp:positionV relativeFrom="bottomMargin">
              <wp:posOffset>-900430</wp:posOffset>
            </wp:positionV>
            <wp:extent cx="1980000" cy="792000"/>
            <wp:effectExtent l="0" t="0" r="127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792000"/>
                    </a:xfrm>
                    <a:prstGeom prst="rect">
                      <a:avLst/>
                    </a:prstGeom>
                    <a:noFill/>
                  </pic:spPr>
                </pic:pic>
              </a:graphicData>
            </a:graphic>
            <wp14:sizeRelH relativeFrom="margin">
              <wp14:pctWidth>0</wp14:pctWidth>
            </wp14:sizeRelH>
            <wp14:sizeRelV relativeFrom="margin">
              <wp14:pctHeight>0</wp14:pctHeight>
            </wp14:sizeRelV>
          </wp:anchor>
        </w:drawing>
      </w:r>
    </w:p>
    <w:p w14:paraId="06C2C591" w14:textId="77777777" w:rsidR="00A97C95" w:rsidRDefault="00A97C95" w:rsidP="001B7305"/>
    <w:p w14:paraId="7B0937F6" w14:textId="77777777" w:rsidR="009E3A7B" w:rsidRPr="009E3A7B" w:rsidRDefault="009E3A7B" w:rsidP="009E3A7B"/>
    <w:p w14:paraId="127467B1" w14:textId="77777777" w:rsidR="00804347" w:rsidRDefault="00804347" w:rsidP="001B7305"/>
    <w:p w14:paraId="71267778" w14:textId="6A7829A3" w:rsidR="00B65842" w:rsidRPr="00B65842" w:rsidRDefault="00B65842" w:rsidP="002852B3">
      <w:pPr>
        <w:sectPr w:rsidR="00B65842" w:rsidRPr="00B65842" w:rsidSect="000D690B">
          <w:pgSz w:w="11907" w:h="16840" w:code="9"/>
          <w:pgMar w:top="851" w:right="851" w:bottom="851" w:left="851" w:header="567" w:footer="567" w:gutter="0"/>
          <w:pgNumType w:start="1"/>
          <w:cols w:space="720"/>
          <w:titlePg/>
          <w:docGrid w:linePitch="360"/>
        </w:sectPr>
      </w:pPr>
    </w:p>
    <w:p w14:paraId="6BC223FD" w14:textId="26006AB1" w:rsidR="00951BE5" w:rsidRPr="00816D66" w:rsidRDefault="00B65842" w:rsidP="00251FE8">
      <w:pPr>
        <w:rPr>
          <w:rFonts w:ascii="Montserrat ExtraBold" w:hAnsi="Montserrat ExtraBold"/>
          <w:color w:val="004563"/>
          <w:sz w:val="32"/>
          <w:szCs w:val="32"/>
        </w:rPr>
      </w:pPr>
      <w:r w:rsidRPr="00816D66">
        <w:rPr>
          <w:rFonts w:ascii="Montserrat ExtraBold" w:hAnsi="Montserrat ExtraBold"/>
          <w:color w:val="004563"/>
          <w:sz w:val="32"/>
          <w:szCs w:val="32"/>
        </w:rPr>
        <w:lastRenderedPageBreak/>
        <w:t>Copyright</w:t>
      </w:r>
    </w:p>
    <w:p w14:paraId="11EB823F" w14:textId="77777777" w:rsidR="00B65842" w:rsidRDefault="00577FFA" w:rsidP="00577FFA">
      <w:r>
        <w:t>© Commonwealth of Australia 2020</w:t>
      </w:r>
      <w:r>
        <w:tab/>
      </w:r>
      <w:r w:rsidR="00BC7D89">
        <w:tab/>
        <w:t xml:space="preserve">ISBN: </w:t>
      </w:r>
      <w:r w:rsidR="00351B4F">
        <w:t>978-0-6485912-0-7</w:t>
      </w:r>
    </w:p>
    <w:p w14:paraId="60ABA061" w14:textId="52FF2182" w:rsidR="00E87B31" w:rsidRPr="00E87B31" w:rsidRDefault="00E87B31" w:rsidP="00E87B31">
      <w:r w:rsidRPr="00E87B31">
        <w:t xml:space="preserve">With the exception of the Commonwealth Coat of Arms, all material presented in this document is provided under </w:t>
      </w:r>
      <w:hyperlink r:id="rId13" w:history="1">
        <w:r w:rsidRPr="00E87B31">
          <w:rPr>
            <w:rStyle w:val="Hyperlink"/>
          </w:rPr>
          <w:t>Creative Commons Attribution 4.0</w:t>
        </w:r>
      </w:hyperlink>
      <w:r w:rsidRPr="00E87B31">
        <w:t xml:space="preserve"> (https://creativecommons.org/licenses/by/4.0/) licence. The details of the relevant licence conditions are available on the Creative Commons website as is the full legal code for </w:t>
      </w:r>
      <w:hyperlink r:id="rId14" w:history="1">
        <w:r w:rsidRPr="00E87B31">
          <w:rPr>
            <w:rStyle w:val="Hyperlink"/>
          </w:rPr>
          <w:t>CC BY 4.0 International</w:t>
        </w:r>
      </w:hyperlink>
      <w:r w:rsidRPr="00E87B31">
        <w:t xml:space="preserve"> (https://creativecommons.org/licenses/by/4.0/legalcode). </w:t>
      </w:r>
    </w:p>
    <w:p w14:paraId="2A1BEA90" w14:textId="46A2F09F" w:rsidR="00E8562E" w:rsidRPr="00B65842" w:rsidRDefault="00E8562E" w:rsidP="00577FFA">
      <w:r w:rsidRPr="002A48E0">
        <w:rPr>
          <w:noProof/>
          <w:lang w:eastAsia="en-AU"/>
        </w:rPr>
        <w:drawing>
          <wp:inline distT="0" distB="0" distL="0" distR="0" wp14:anchorId="459C3A07" wp14:editId="156AFA7C">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5"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4356F98" w14:textId="77777777" w:rsidR="00A11B26" w:rsidRDefault="00A11B26" w:rsidP="00577FFA"/>
    <w:p w14:paraId="6A56CB9E" w14:textId="77777777" w:rsidR="00B65842" w:rsidRPr="00754ED0" w:rsidRDefault="00B65842" w:rsidP="00754ED0">
      <w:pPr>
        <w:rPr>
          <w:rFonts w:ascii="Montserrat Semi Bold" w:hAnsi="Montserrat Semi Bold"/>
          <w:color w:val="006991"/>
          <w:sz w:val="28"/>
          <w:szCs w:val="28"/>
        </w:rPr>
      </w:pPr>
      <w:r w:rsidRPr="00754ED0">
        <w:rPr>
          <w:rFonts w:ascii="Montserrat Semi Bold" w:hAnsi="Montserrat Semi Bold"/>
          <w:color w:val="006991"/>
          <w:sz w:val="28"/>
          <w:szCs w:val="28"/>
        </w:rPr>
        <w:t xml:space="preserve">Use of the </w:t>
      </w:r>
      <w:r w:rsidR="00093420" w:rsidRPr="00754ED0">
        <w:rPr>
          <w:rFonts w:ascii="Montserrat Semi Bold" w:hAnsi="Montserrat Semi Bold"/>
          <w:color w:val="006991"/>
          <w:sz w:val="28"/>
          <w:szCs w:val="28"/>
        </w:rPr>
        <w:t>C</w:t>
      </w:r>
      <w:r w:rsidRPr="00754ED0">
        <w:rPr>
          <w:rFonts w:ascii="Montserrat Semi Bold" w:hAnsi="Montserrat Semi Bold"/>
          <w:color w:val="006991"/>
          <w:sz w:val="28"/>
          <w:szCs w:val="28"/>
        </w:rPr>
        <w:t xml:space="preserve">oat of </w:t>
      </w:r>
      <w:r w:rsidR="00093420" w:rsidRPr="00754ED0">
        <w:rPr>
          <w:rFonts w:ascii="Montserrat Semi Bold" w:hAnsi="Montserrat Semi Bold"/>
          <w:color w:val="006991"/>
          <w:sz w:val="28"/>
          <w:szCs w:val="28"/>
        </w:rPr>
        <w:t>A</w:t>
      </w:r>
      <w:r w:rsidRPr="00754ED0">
        <w:rPr>
          <w:rFonts w:ascii="Montserrat Semi Bold" w:hAnsi="Montserrat Semi Bold"/>
          <w:color w:val="006991"/>
          <w:sz w:val="28"/>
          <w:szCs w:val="28"/>
        </w:rPr>
        <w:t>rms</w:t>
      </w:r>
    </w:p>
    <w:p w14:paraId="1ECE67E2" w14:textId="08BC8A4C" w:rsidR="00B65842" w:rsidRPr="00B65842" w:rsidRDefault="00093420" w:rsidP="0003150B">
      <w:r>
        <w:t xml:space="preserve">The terms under which the Coat of Arms can be used are detailed on the </w:t>
      </w:r>
      <w:hyperlink r:id="rId16" w:history="1">
        <w:r w:rsidRPr="00093420">
          <w:rPr>
            <w:rStyle w:val="Hyperlink"/>
          </w:rPr>
          <w:t>It’s an Honour website</w:t>
        </w:r>
      </w:hyperlink>
      <w:r>
        <w:t xml:space="preserve"> (https://www.pmc.gov.au/government/commonwealth-coat-arms). </w:t>
      </w:r>
    </w:p>
    <w:p w14:paraId="0D022E0C" w14:textId="77777777" w:rsidR="006B065A" w:rsidRPr="00754ED0" w:rsidRDefault="006B065A" w:rsidP="006B065A">
      <w:pPr>
        <w:rPr>
          <w:rFonts w:ascii="Montserrat Semi Bold" w:hAnsi="Montserrat Semi Bold"/>
          <w:color w:val="006991"/>
          <w:sz w:val="28"/>
          <w:szCs w:val="28"/>
        </w:rPr>
      </w:pPr>
      <w:r w:rsidRPr="00754ED0">
        <w:rPr>
          <w:rFonts w:ascii="Montserrat Semi Bold" w:hAnsi="Montserrat Semi Bold"/>
          <w:color w:val="006991"/>
          <w:sz w:val="28"/>
          <w:szCs w:val="28"/>
        </w:rPr>
        <w:t>Attribution</w:t>
      </w:r>
    </w:p>
    <w:p w14:paraId="27AD4892" w14:textId="2AA1D2A2" w:rsidR="006B065A" w:rsidRPr="00B65842" w:rsidRDefault="006B065A" w:rsidP="006B065A">
      <w:r>
        <w:t>Th</w:t>
      </w:r>
      <w:r w:rsidR="00B54841">
        <w:t>e recommended attribution for this</w:t>
      </w:r>
      <w:r>
        <w:t xml:space="preserve"> document </w:t>
      </w:r>
      <w:r w:rsidR="00B54841">
        <w:t>is</w:t>
      </w:r>
      <w:r>
        <w:t xml:space="preserve"> Commonwealth Grants Commission, </w:t>
      </w:r>
      <w:r>
        <w:rPr>
          <w:i/>
        </w:rPr>
        <w:t>Report on GST Revenue Sharing Relativities 2020 Review — Volume 1.</w:t>
      </w:r>
    </w:p>
    <w:p w14:paraId="6F7409C3" w14:textId="77777777" w:rsidR="00B65842" w:rsidRPr="00B65B71" w:rsidRDefault="00B65842" w:rsidP="00B65B71">
      <w:pPr>
        <w:rPr>
          <w:rFonts w:ascii="Montserrat ExtraBold" w:hAnsi="Montserrat ExtraBold"/>
          <w:color w:val="004563"/>
          <w:sz w:val="32"/>
          <w:szCs w:val="32"/>
        </w:rPr>
      </w:pPr>
      <w:r w:rsidRPr="00B65B71">
        <w:rPr>
          <w:rFonts w:ascii="Montserrat ExtraBold" w:hAnsi="Montserrat ExtraBold"/>
          <w:color w:val="004563"/>
          <w:sz w:val="32"/>
          <w:szCs w:val="32"/>
        </w:rPr>
        <w:t>Contact us</w:t>
      </w:r>
    </w:p>
    <w:p w14:paraId="51A774AD" w14:textId="77777777" w:rsidR="00353B22" w:rsidRDefault="006D087D" w:rsidP="00106C5E">
      <w:pPr>
        <w:spacing w:before="0"/>
      </w:pPr>
      <w:r>
        <w:t xml:space="preserve">Inquiries regarding the </w:t>
      </w:r>
      <w:r w:rsidRPr="006E5C50">
        <w:t>licence</w:t>
      </w:r>
      <w:r>
        <w:t xml:space="preserve"> and any use of this document should be directed to:</w:t>
      </w:r>
    </w:p>
    <w:p w14:paraId="2033EDFC" w14:textId="77777777" w:rsidR="006D087D" w:rsidRDefault="0003150B" w:rsidP="006D087D">
      <w:r>
        <w:t>Secretary</w:t>
      </w:r>
    </w:p>
    <w:p w14:paraId="033DADEC" w14:textId="77777777" w:rsidR="006D087D" w:rsidRDefault="006D087D" w:rsidP="00106C5E">
      <w:pPr>
        <w:spacing w:before="0"/>
      </w:pPr>
      <w:r>
        <w:t>Commonwealth Grants Commission</w:t>
      </w:r>
    </w:p>
    <w:p w14:paraId="7045F43F" w14:textId="3F369F82" w:rsidR="006D087D" w:rsidRDefault="001C7DB5" w:rsidP="00106C5E">
      <w:pPr>
        <w:spacing w:before="0"/>
      </w:pPr>
      <w:r>
        <w:t>Second</w:t>
      </w:r>
      <w:r w:rsidR="006D087D">
        <w:t xml:space="preserve"> Floor, Phoenix House</w:t>
      </w:r>
    </w:p>
    <w:p w14:paraId="46B819F6" w14:textId="77777777" w:rsidR="006D087D" w:rsidRDefault="006D087D" w:rsidP="00106C5E">
      <w:pPr>
        <w:spacing w:before="0"/>
      </w:pPr>
      <w:r>
        <w:t>86-88 Northbourne Avenue</w:t>
      </w:r>
    </w:p>
    <w:p w14:paraId="1FC8D3B4" w14:textId="77777777" w:rsidR="006D087D" w:rsidRDefault="006D087D" w:rsidP="00106C5E">
      <w:pPr>
        <w:spacing w:before="0"/>
      </w:pPr>
      <w:r>
        <w:t>BRADDON ACT 2612</w:t>
      </w:r>
    </w:p>
    <w:p w14:paraId="766E51FD" w14:textId="37310B43" w:rsidR="006D087D" w:rsidRDefault="006D087D" w:rsidP="00106C5E">
      <w:pPr>
        <w:spacing w:before="0"/>
      </w:pPr>
      <w:r>
        <w:t>Telephone</w:t>
      </w:r>
      <w:r w:rsidR="0003150B">
        <w:t xml:space="preserve"> (02) 62</w:t>
      </w:r>
      <w:r w:rsidR="001C7DB5">
        <w:t>18 5700</w:t>
      </w:r>
    </w:p>
    <w:p w14:paraId="6A20F4FC" w14:textId="7A856DFC" w:rsidR="006D087D" w:rsidRPr="00B65842" w:rsidRDefault="006D087D" w:rsidP="00106C5E">
      <w:pPr>
        <w:spacing w:before="0"/>
      </w:pPr>
      <w:r>
        <w:t xml:space="preserve">Email </w:t>
      </w:r>
      <w:hyperlink r:id="rId17" w:history="1">
        <w:r w:rsidR="0003150B" w:rsidRPr="0010194C">
          <w:rPr>
            <w:rStyle w:val="Hyperlink"/>
          </w:rPr>
          <w:t>secretary@cgc.gov.au</w:t>
        </w:r>
      </w:hyperlink>
    </w:p>
    <w:p w14:paraId="0D6359BE" w14:textId="77777777" w:rsidR="00B65842" w:rsidRPr="00B65B71" w:rsidRDefault="00B65842" w:rsidP="00B65B71">
      <w:pPr>
        <w:rPr>
          <w:rFonts w:ascii="Montserrat ExtraBold" w:hAnsi="Montserrat ExtraBold"/>
          <w:color w:val="004563"/>
          <w:sz w:val="32"/>
          <w:szCs w:val="32"/>
        </w:rPr>
      </w:pPr>
      <w:r w:rsidRPr="00B65B71">
        <w:rPr>
          <w:rFonts w:ascii="Montserrat ExtraBold" w:hAnsi="Montserrat ExtraBold"/>
          <w:color w:val="004563"/>
          <w:sz w:val="32"/>
          <w:szCs w:val="32"/>
        </w:rPr>
        <w:t>Internet</w:t>
      </w:r>
    </w:p>
    <w:p w14:paraId="37768612" w14:textId="6BD9485E" w:rsidR="00B65842" w:rsidRPr="00B65842" w:rsidRDefault="006D087D" w:rsidP="006D087D">
      <w:r>
        <w:t xml:space="preserve">A copy of this report can be obtained from the </w:t>
      </w:r>
      <w:hyperlink r:id="rId18" w:history="1">
        <w:r w:rsidRPr="006D087D">
          <w:rPr>
            <w:rStyle w:val="Hyperlink"/>
          </w:rPr>
          <w:t>Commission’s website</w:t>
        </w:r>
      </w:hyperlink>
      <w:r>
        <w:t xml:space="preserve"> (http://www.cgc.gov.au).</w:t>
      </w:r>
    </w:p>
    <w:p w14:paraId="59023548" w14:textId="77777777" w:rsidR="00B65842" w:rsidRPr="00B65842" w:rsidRDefault="00B65842" w:rsidP="00B65842">
      <w:pPr>
        <w:pStyle w:val="Heading4"/>
        <w:sectPr w:rsidR="00B65842" w:rsidRPr="00B65842" w:rsidSect="00E22AA8">
          <w:footerReference w:type="first" r:id="rId19"/>
          <w:pgSz w:w="11907" w:h="16840" w:code="9"/>
          <w:pgMar w:top="1418" w:right="1474" w:bottom="851" w:left="1474" w:header="720" w:footer="567" w:gutter="0"/>
          <w:pgNumType w:start="1"/>
          <w:cols w:space="720"/>
          <w:vAlign w:val="bottom"/>
          <w:titlePg/>
          <w:docGrid w:linePitch="360"/>
        </w:sectPr>
      </w:pPr>
    </w:p>
    <w:p w14:paraId="5D350A7E" w14:textId="32ADD9D0" w:rsidR="00795117" w:rsidRDefault="00D6497A" w:rsidP="00795117">
      <w:r w:rsidRPr="00D6497A">
        <w:rPr>
          <w:noProof/>
        </w:rPr>
        <w:lastRenderedPageBreak/>
        <w:drawing>
          <wp:inline distT="0" distB="0" distL="0" distR="0" wp14:anchorId="29FE3336" wp14:editId="335700A7">
            <wp:extent cx="5896051" cy="8333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9418" cy="8337808"/>
                    </a:xfrm>
                    <a:prstGeom prst="rect">
                      <a:avLst/>
                    </a:prstGeom>
                    <a:noFill/>
                    <a:ln>
                      <a:noFill/>
                    </a:ln>
                  </pic:spPr>
                </pic:pic>
              </a:graphicData>
            </a:graphic>
          </wp:inline>
        </w:drawing>
      </w:r>
    </w:p>
    <w:p w14:paraId="34D2401C" w14:textId="77777777" w:rsidR="00951BE5" w:rsidRDefault="00951BE5" w:rsidP="00795117"/>
    <w:p w14:paraId="44C2F5B4" w14:textId="668F4C79" w:rsidR="00123012" w:rsidRPr="00037B7E" w:rsidRDefault="00123012" w:rsidP="00795117">
      <w:pPr>
        <w:sectPr w:rsidR="00123012" w:rsidRPr="00037B7E" w:rsidSect="00E22AA8">
          <w:footerReference w:type="first" r:id="rId21"/>
          <w:pgSz w:w="11907" w:h="16840" w:code="9"/>
          <w:pgMar w:top="1418" w:right="1474" w:bottom="1418" w:left="1474" w:header="720" w:footer="567" w:gutter="0"/>
          <w:pgNumType w:fmt="lowerRoman" w:start="1"/>
          <w:cols w:space="720"/>
          <w:titlePg/>
          <w:docGrid w:linePitch="360"/>
        </w:sectPr>
      </w:pPr>
    </w:p>
    <w:p w14:paraId="0658DF79" w14:textId="77777777" w:rsidR="00951BE5" w:rsidRDefault="00951BE5" w:rsidP="006D087D">
      <w:pPr>
        <w:pStyle w:val="Heading2"/>
      </w:pPr>
      <w:bookmarkStart w:id="1" w:name="_Toc33600534"/>
      <w:r>
        <w:lastRenderedPageBreak/>
        <w:t>Acknowledgements</w:t>
      </w:r>
      <w:bookmarkEnd w:id="1"/>
    </w:p>
    <w:p w14:paraId="1FE99705" w14:textId="3D5E3333" w:rsidR="005853A4" w:rsidRDefault="004B64E7" w:rsidP="004B64E7">
      <w:pPr>
        <w:rPr>
          <w:lang w:val="en-AU"/>
        </w:rPr>
      </w:pPr>
      <w:r>
        <w:t xml:space="preserve">The Commission appreciates the </w:t>
      </w:r>
      <w:r w:rsidR="005853A4" w:rsidRPr="005853A4">
        <w:rPr>
          <w:lang w:val="en-AU"/>
        </w:rPr>
        <w:t xml:space="preserve">ready co-operation extended to the Commission and its staff, throughout the review, by the Australian, State and Territory governments and their officials across a range of departments and agencies. </w:t>
      </w:r>
    </w:p>
    <w:p w14:paraId="0289C9CD" w14:textId="6FF4FCAA" w:rsidR="004B64E7" w:rsidRDefault="005853A4" w:rsidP="004B64E7">
      <w:r w:rsidRPr="005853A4">
        <w:rPr>
          <w:lang w:val="en-AU"/>
        </w:rPr>
        <w:t>We are particularly grateful for the efforts of the State Treasuries in organising submissions to the inquiry, participating in conferences and responding to our many requests for information. Staff of the Australian Bureau of Statistics, the Independent Hospital Pricing Authority, the Australian Institute of Health and Welfare, the Australian Curriculum, Assessment and Reporting Authority and other Commonwealth agencies have been most helpful in providing the data needed to complete the necessary calculations. We also acknowledge the help of other research and data gathering agencies</w:t>
      </w:r>
      <w:r w:rsidR="0047235F">
        <w:rPr>
          <w:lang w:val="en-AU"/>
        </w:rPr>
        <w:t>.</w:t>
      </w:r>
    </w:p>
    <w:p w14:paraId="2B8BF369" w14:textId="7D9FC3DE" w:rsidR="005853A4" w:rsidRPr="005853A4" w:rsidRDefault="005853A4" w:rsidP="004B64E7">
      <w:pPr>
        <w:rPr>
          <w:lang w:val="en-AU"/>
        </w:rPr>
      </w:pPr>
      <w:r w:rsidRPr="005853A4">
        <w:rPr>
          <w:lang w:val="en-AU"/>
        </w:rPr>
        <w:t>The Commission expresses its special thanks to all Commission staff whose professionalism and dedication have been essential to the completion of the review.</w:t>
      </w:r>
    </w:p>
    <w:p w14:paraId="21055910" w14:textId="77777777" w:rsidR="005853A4" w:rsidRDefault="005853A4" w:rsidP="004B64E7"/>
    <w:p w14:paraId="1B5B8138" w14:textId="77777777" w:rsidR="004B64E7" w:rsidRPr="004B64E7" w:rsidRDefault="004B64E7" w:rsidP="004B64E7">
      <w:pPr>
        <w:pStyle w:val="Heading5"/>
        <w:sectPr w:rsidR="004B64E7" w:rsidRPr="004B64E7" w:rsidSect="00E22AA8">
          <w:pgSz w:w="11907" w:h="16840" w:code="9"/>
          <w:pgMar w:top="1418" w:right="1474" w:bottom="1418" w:left="1474" w:header="720" w:footer="567" w:gutter="0"/>
          <w:pgNumType w:fmt="lowerRoman"/>
          <w:cols w:space="720"/>
          <w:titlePg/>
          <w:docGrid w:linePitch="360"/>
        </w:sectPr>
      </w:pPr>
    </w:p>
    <w:p w14:paraId="5781B739" w14:textId="77777777" w:rsidR="001805B2" w:rsidRPr="001805B2" w:rsidRDefault="00951BE5" w:rsidP="001805B2">
      <w:pPr>
        <w:pStyle w:val="Heading2"/>
        <w:spacing w:after="0"/>
      </w:pPr>
      <w:bookmarkStart w:id="2" w:name="_Toc33600535"/>
      <w:r>
        <w:lastRenderedPageBreak/>
        <w:t>Terms of reference</w:t>
      </w:r>
      <w:bookmarkEnd w:id="2"/>
    </w:p>
    <w:p w14:paraId="43D4BFC7" w14:textId="122E36B5" w:rsidR="00F93C98" w:rsidRPr="00F93C98" w:rsidRDefault="0076119D" w:rsidP="00F93C98">
      <w:r w:rsidRPr="0076119D">
        <w:rPr>
          <w:noProof/>
        </w:rPr>
        <w:drawing>
          <wp:inline distT="0" distB="0" distL="0" distR="0" wp14:anchorId="39705A37" wp14:editId="5EDD49B8">
            <wp:extent cx="5607050" cy="774616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164" cy="7754606"/>
                    </a:xfrm>
                    <a:prstGeom prst="rect">
                      <a:avLst/>
                    </a:prstGeom>
                    <a:noFill/>
                    <a:ln>
                      <a:noFill/>
                    </a:ln>
                  </pic:spPr>
                </pic:pic>
              </a:graphicData>
            </a:graphic>
          </wp:inline>
        </w:drawing>
      </w:r>
    </w:p>
    <w:p w14:paraId="2513DD19" w14:textId="05B8B2F8" w:rsidR="003D4F6A" w:rsidRDefault="00617597" w:rsidP="0048632A">
      <w:pPr>
        <w:spacing w:before="0"/>
      </w:pPr>
      <w:r w:rsidRPr="00617597">
        <w:rPr>
          <w:noProof/>
        </w:rPr>
        <w:lastRenderedPageBreak/>
        <w:drawing>
          <wp:inline distT="0" distB="0" distL="0" distR="0" wp14:anchorId="5281BCBD" wp14:editId="69C3B6DC">
            <wp:extent cx="5409486" cy="779969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363" cy="7809611"/>
                    </a:xfrm>
                    <a:prstGeom prst="rect">
                      <a:avLst/>
                    </a:prstGeom>
                    <a:noFill/>
                    <a:ln>
                      <a:noFill/>
                    </a:ln>
                  </pic:spPr>
                </pic:pic>
              </a:graphicData>
            </a:graphic>
          </wp:inline>
        </w:drawing>
      </w:r>
    </w:p>
    <w:p w14:paraId="0B53286B" w14:textId="2B310663" w:rsidR="003D4F6A" w:rsidRPr="003D4F6A" w:rsidRDefault="002E412A" w:rsidP="003D4F6A">
      <w:r w:rsidRPr="002E412A">
        <w:rPr>
          <w:noProof/>
        </w:rPr>
        <w:lastRenderedPageBreak/>
        <w:drawing>
          <wp:inline distT="0" distB="0" distL="0" distR="0" wp14:anchorId="01028755" wp14:editId="440137C8">
            <wp:extent cx="5873115" cy="8329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3115" cy="8329930"/>
                    </a:xfrm>
                    <a:prstGeom prst="rect">
                      <a:avLst/>
                    </a:prstGeom>
                    <a:noFill/>
                    <a:ln>
                      <a:noFill/>
                    </a:ln>
                  </pic:spPr>
                </pic:pic>
              </a:graphicData>
            </a:graphic>
          </wp:inline>
        </w:drawing>
      </w:r>
    </w:p>
    <w:p w14:paraId="4489A410" w14:textId="3B176429" w:rsidR="00FC7F5E" w:rsidRPr="00FC7F5E" w:rsidRDefault="00FC6550" w:rsidP="00FC7F5E">
      <w:r w:rsidRPr="00FC6550">
        <w:rPr>
          <w:noProof/>
        </w:rPr>
        <w:lastRenderedPageBreak/>
        <w:drawing>
          <wp:inline distT="0" distB="0" distL="0" distR="0" wp14:anchorId="6B2C188B" wp14:editId="59F65ED8">
            <wp:extent cx="5646420" cy="8437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6420" cy="8437880"/>
                    </a:xfrm>
                    <a:prstGeom prst="rect">
                      <a:avLst/>
                    </a:prstGeom>
                    <a:noFill/>
                    <a:ln>
                      <a:noFill/>
                    </a:ln>
                  </pic:spPr>
                </pic:pic>
              </a:graphicData>
            </a:graphic>
          </wp:inline>
        </w:drawing>
      </w:r>
    </w:p>
    <w:p w14:paraId="6766A266" w14:textId="77777777" w:rsidR="0076119D" w:rsidRDefault="0076119D" w:rsidP="003D4F6A"/>
    <w:p w14:paraId="69F7D3EB" w14:textId="294644CE" w:rsidR="0080639F" w:rsidRDefault="00597C96" w:rsidP="003D4F6A">
      <w:r w:rsidRPr="00597C96">
        <w:rPr>
          <w:noProof/>
        </w:rPr>
        <w:lastRenderedPageBreak/>
        <w:drawing>
          <wp:inline distT="0" distB="0" distL="0" distR="0" wp14:anchorId="0F51173A" wp14:editId="63F9D30F">
            <wp:extent cx="5640070" cy="80248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2995" cy="8029046"/>
                    </a:xfrm>
                    <a:prstGeom prst="rect">
                      <a:avLst/>
                    </a:prstGeom>
                    <a:noFill/>
                    <a:ln>
                      <a:noFill/>
                    </a:ln>
                  </pic:spPr>
                </pic:pic>
              </a:graphicData>
            </a:graphic>
          </wp:inline>
        </w:drawing>
      </w:r>
    </w:p>
    <w:p w14:paraId="1EBB2977" w14:textId="78BC7912" w:rsidR="00683D00" w:rsidRDefault="00683D00">
      <w:pPr>
        <w:tabs>
          <w:tab w:val="clear" w:pos="567"/>
        </w:tabs>
        <w:spacing w:before="0" w:after="160" w:line="259" w:lineRule="auto"/>
      </w:pPr>
      <w:r>
        <w:br w:type="page"/>
      </w:r>
    </w:p>
    <w:p w14:paraId="717DA87D" w14:textId="1443DBEA" w:rsidR="00324994" w:rsidRDefault="00DD6805" w:rsidP="003D4F6A">
      <w:r w:rsidRPr="00DD6805">
        <w:rPr>
          <w:noProof/>
        </w:rPr>
        <w:lastRenderedPageBreak/>
        <w:drawing>
          <wp:inline distT="0" distB="0" distL="0" distR="0" wp14:anchorId="562DC976" wp14:editId="03960E57">
            <wp:extent cx="5688965" cy="80403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8965" cy="8040370"/>
                    </a:xfrm>
                    <a:prstGeom prst="rect">
                      <a:avLst/>
                    </a:prstGeom>
                    <a:noFill/>
                    <a:ln>
                      <a:noFill/>
                    </a:ln>
                  </pic:spPr>
                </pic:pic>
              </a:graphicData>
            </a:graphic>
          </wp:inline>
        </w:drawing>
      </w:r>
    </w:p>
    <w:p w14:paraId="0A5858BB" w14:textId="77777777" w:rsidR="00324994" w:rsidRDefault="00324994">
      <w:pPr>
        <w:tabs>
          <w:tab w:val="clear" w:pos="567"/>
        </w:tabs>
        <w:spacing w:before="0" w:after="160" w:line="259" w:lineRule="auto"/>
      </w:pPr>
      <w:r>
        <w:br w:type="page"/>
      </w:r>
    </w:p>
    <w:p w14:paraId="3882FD80" w14:textId="174F76F5" w:rsidR="000C0552" w:rsidRDefault="000C0552" w:rsidP="003D4F6A">
      <w:r w:rsidRPr="000C0552">
        <w:rPr>
          <w:noProof/>
        </w:rPr>
        <w:lastRenderedPageBreak/>
        <w:drawing>
          <wp:inline distT="0" distB="0" distL="0" distR="0" wp14:anchorId="722EAA83" wp14:editId="63CE24D3">
            <wp:extent cx="5688965" cy="72390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965" cy="7239000"/>
                    </a:xfrm>
                    <a:prstGeom prst="rect">
                      <a:avLst/>
                    </a:prstGeom>
                    <a:noFill/>
                    <a:ln>
                      <a:noFill/>
                    </a:ln>
                  </pic:spPr>
                </pic:pic>
              </a:graphicData>
            </a:graphic>
          </wp:inline>
        </w:drawing>
      </w:r>
    </w:p>
    <w:p w14:paraId="5E934328" w14:textId="77777777" w:rsidR="000C0552" w:rsidRDefault="000C0552">
      <w:pPr>
        <w:tabs>
          <w:tab w:val="clear" w:pos="567"/>
        </w:tabs>
        <w:spacing w:before="0" w:after="160" w:line="259" w:lineRule="auto"/>
      </w:pPr>
      <w:r>
        <w:br w:type="page"/>
      </w:r>
    </w:p>
    <w:p w14:paraId="2319293B" w14:textId="0DCAB210" w:rsidR="00191BA2" w:rsidRDefault="00A973C6" w:rsidP="003D4F6A">
      <w:r w:rsidRPr="00A973C6">
        <w:rPr>
          <w:noProof/>
        </w:rPr>
        <w:lastRenderedPageBreak/>
        <w:drawing>
          <wp:inline distT="0" distB="0" distL="0" distR="0" wp14:anchorId="49656BD5" wp14:editId="65644A4B">
            <wp:extent cx="5688965" cy="55137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1364" cy="5574182"/>
                    </a:xfrm>
                    <a:prstGeom prst="rect">
                      <a:avLst/>
                    </a:prstGeom>
                    <a:noFill/>
                    <a:ln>
                      <a:noFill/>
                    </a:ln>
                  </pic:spPr>
                </pic:pic>
              </a:graphicData>
            </a:graphic>
          </wp:inline>
        </w:drawing>
      </w:r>
    </w:p>
    <w:p w14:paraId="5207713D" w14:textId="77777777" w:rsidR="00D43892" w:rsidRDefault="00D43892" w:rsidP="003D4F6A"/>
    <w:p w14:paraId="0384FCEF" w14:textId="77777777" w:rsidR="008823B9" w:rsidRDefault="008823B9" w:rsidP="003D4F6A">
      <w:pPr>
        <w:sectPr w:rsidR="008823B9" w:rsidSect="00E22AA8">
          <w:footerReference w:type="default" r:id="rId30"/>
          <w:pgSz w:w="11907" w:h="16840" w:code="9"/>
          <w:pgMar w:top="1418" w:right="1474" w:bottom="1134" w:left="1474" w:header="720" w:footer="567" w:gutter="0"/>
          <w:pgNumType w:fmt="lowerRoman"/>
          <w:cols w:space="720"/>
          <w:titlePg/>
          <w:docGrid w:linePitch="360"/>
        </w:sectPr>
      </w:pPr>
    </w:p>
    <w:p w14:paraId="0BC7F4FD" w14:textId="4BF2C250" w:rsidR="00B65842" w:rsidRDefault="003146C9" w:rsidP="003146C9">
      <w:pPr>
        <w:pStyle w:val="Heading2"/>
      </w:pPr>
      <w:bookmarkStart w:id="3" w:name="_Toc33600536"/>
      <w:r>
        <w:lastRenderedPageBreak/>
        <w:t>List of a</w:t>
      </w:r>
      <w:r w:rsidR="00472035">
        <w:t>cronyms</w:t>
      </w:r>
      <w:bookmarkEnd w:id="3"/>
      <w:r w:rsidR="00472035">
        <w:t xml:space="preserve"> </w:t>
      </w:r>
    </w:p>
    <w:p w14:paraId="3CA46F7C" w14:textId="04CF5BC7" w:rsidR="00843F8F" w:rsidRPr="00D403C8" w:rsidRDefault="00843F8F" w:rsidP="00DA0C91">
      <w:pPr>
        <w:rPr>
          <w:rFonts w:ascii="Montserrat Semi Bold" w:hAnsi="Montserrat Semi Bold"/>
          <w:color w:val="636466"/>
          <w:sz w:val="24"/>
          <w:szCs w:val="28"/>
        </w:rPr>
      </w:pPr>
      <w:r w:rsidRPr="00D403C8">
        <w:rPr>
          <w:rFonts w:ascii="Montserrat Semi Bold" w:hAnsi="Montserrat Semi Bold"/>
          <w:color w:val="636466"/>
          <w:sz w:val="24"/>
          <w:szCs w:val="28"/>
        </w:rPr>
        <w:t>Volume 1</w:t>
      </w:r>
    </w:p>
    <w:tbl>
      <w:tblPr>
        <w:tblW w:w="8940" w:type="dxa"/>
        <w:tblInd w:w="93" w:type="dxa"/>
        <w:tblBorders>
          <w:top w:val="single" w:sz="4" w:space="0" w:color="ADD6EA"/>
          <w:bottom w:val="single" w:sz="4" w:space="0" w:color="ADD6EA"/>
          <w:insideH w:val="single" w:sz="4" w:space="0" w:color="ADD6EA"/>
        </w:tblBorders>
        <w:tblLook w:val="04A0" w:firstRow="1" w:lastRow="0" w:firstColumn="1" w:lastColumn="0" w:noHBand="0" w:noVBand="1"/>
      </w:tblPr>
      <w:tblGrid>
        <w:gridCol w:w="1440"/>
        <w:gridCol w:w="7500"/>
      </w:tblGrid>
      <w:tr w:rsidR="00843F8F" w:rsidRPr="00653E98" w14:paraId="0739BA10" w14:textId="77777777" w:rsidTr="009902F2">
        <w:trPr>
          <w:trHeight w:val="315"/>
        </w:trPr>
        <w:tc>
          <w:tcPr>
            <w:tcW w:w="1440" w:type="dxa"/>
            <w:shd w:val="clear" w:color="auto" w:fill="auto"/>
          </w:tcPr>
          <w:p w14:paraId="2E143988" w14:textId="19A346A1" w:rsidR="00843F8F" w:rsidRPr="00653E98" w:rsidRDefault="00843F8F" w:rsidP="00843F8F">
            <w:pPr>
              <w:spacing w:before="0"/>
            </w:pPr>
            <w:r w:rsidRPr="00843F8F">
              <w:t>ABS</w:t>
            </w:r>
          </w:p>
        </w:tc>
        <w:tc>
          <w:tcPr>
            <w:tcW w:w="7500" w:type="dxa"/>
            <w:shd w:val="clear" w:color="auto" w:fill="auto"/>
          </w:tcPr>
          <w:p w14:paraId="58EFEBE6" w14:textId="5417FA29" w:rsidR="00843F8F" w:rsidRPr="00653E98" w:rsidRDefault="00843F8F" w:rsidP="00843F8F">
            <w:pPr>
              <w:spacing w:before="0"/>
            </w:pPr>
            <w:r w:rsidRPr="00843F8F">
              <w:t>Australian Bureau of Statistics</w:t>
            </w:r>
          </w:p>
        </w:tc>
      </w:tr>
      <w:tr w:rsidR="00A446AA" w:rsidRPr="00653E98" w14:paraId="2FDA68FA" w14:textId="77777777" w:rsidTr="009902F2">
        <w:trPr>
          <w:trHeight w:val="315"/>
        </w:trPr>
        <w:tc>
          <w:tcPr>
            <w:tcW w:w="1440" w:type="dxa"/>
            <w:shd w:val="clear" w:color="auto" w:fill="auto"/>
          </w:tcPr>
          <w:p w14:paraId="5FD0F972" w14:textId="11E21E50" w:rsidR="00A446AA" w:rsidRPr="00843F8F" w:rsidRDefault="00A446AA" w:rsidP="00843F8F">
            <w:pPr>
              <w:spacing w:before="0"/>
            </w:pPr>
            <w:r>
              <w:t>CoE</w:t>
            </w:r>
          </w:p>
        </w:tc>
        <w:tc>
          <w:tcPr>
            <w:tcW w:w="7500" w:type="dxa"/>
            <w:shd w:val="clear" w:color="auto" w:fill="auto"/>
          </w:tcPr>
          <w:p w14:paraId="6EFE60F4" w14:textId="0D6E0DD3" w:rsidR="00A446AA" w:rsidRPr="00843F8F" w:rsidRDefault="00A446AA" w:rsidP="00843F8F">
            <w:pPr>
              <w:spacing w:before="0"/>
            </w:pPr>
            <w:r>
              <w:t>Compensation of Employees</w:t>
            </w:r>
          </w:p>
        </w:tc>
      </w:tr>
      <w:tr w:rsidR="00A446AA" w:rsidRPr="00653E98" w14:paraId="01F21FA6" w14:textId="77777777" w:rsidTr="009902F2">
        <w:trPr>
          <w:trHeight w:val="315"/>
        </w:trPr>
        <w:tc>
          <w:tcPr>
            <w:tcW w:w="1440" w:type="dxa"/>
            <w:shd w:val="clear" w:color="auto" w:fill="auto"/>
          </w:tcPr>
          <w:p w14:paraId="6BE77738" w14:textId="6069AAA8" w:rsidR="00A446AA" w:rsidRPr="00843F8F" w:rsidRDefault="00A446AA" w:rsidP="00843F8F">
            <w:pPr>
              <w:spacing w:before="0"/>
            </w:pPr>
            <w:r>
              <w:t>CoES</w:t>
            </w:r>
          </w:p>
        </w:tc>
        <w:tc>
          <w:tcPr>
            <w:tcW w:w="7500" w:type="dxa"/>
            <w:shd w:val="clear" w:color="auto" w:fill="auto"/>
          </w:tcPr>
          <w:p w14:paraId="29D59642" w14:textId="1C0B6F3D" w:rsidR="00A446AA" w:rsidRPr="00843F8F" w:rsidRDefault="00A446AA" w:rsidP="00843F8F">
            <w:pPr>
              <w:spacing w:before="0"/>
            </w:pPr>
            <w:r>
              <w:t>Characteristics of Employment Survey</w:t>
            </w:r>
          </w:p>
        </w:tc>
      </w:tr>
      <w:tr w:rsidR="00843F8F" w:rsidRPr="00653E98" w14:paraId="56192019" w14:textId="77777777" w:rsidTr="009902F2">
        <w:trPr>
          <w:trHeight w:val="315"/>
        </w:trPr>
        <w:tc>
          <w:tcPr>
            <w:tcW w:w="1440" w:type="dxa"/>
            <w:shd w:val="clear" w:color="auto" w:fill="auto"/>
          </w:tcPr>
          <w:p w14:paraId="66EB1035" w14:textId="1CF14849" w:rsidR="00843F8F" w:rsidRPr="00843F8F" w:rsidRDefault="00843F8F" w:rsidP="00843F8F">
            <w:pPr>
              <w:spacing w:before="0"/>
            </w:pPr>
            <w:r w:rsidRPr="00843F8F">
              <w:t>EPC</w:t>
            </w:r>
          </w:p>
        </w:tc>
        <w:tc>
          <w:tcPr>
            <w:tcW w:w="7500" w:type="dxa"/>
            <w:shd w:val="clear" w:color="auto" w:fill="auto"/>
          </w:tcPr>
          <w:p w14:paraId="62D9BC49" w14:textId="6F6ECCE4" w:rsidR="00843F8F" w:rsidRPr="00843F8F" w:rsidRDefault="00843F8F" w:rsidP="00843F8F">
            <w:pPr>
              <w:spacing w:before="0"/>
            </w:pPr>
            <w:r w:rsidRPr="00843F8F">
              <w:t>Equal per capita</w:t>
            </w:r>
          </w:p>
        </w:tc>
      </w:tr>
      <w:tr w:rsidR="00843F8F" w:rsidRPr="00653E98" w14:paraId="3679971B" w14:textId="77777777" w:rsidTr="009902F2">
        <w:trPr>
          <w:trHeight w:val="315"/>
        </w:trPr>
        <w:tc>
          <w:tcPr>
            <w:tcW w:w="1440" w:type="dxa"/>
            <w:shd w:val="clear" w:color="auto" w:fill="auto"/>
          </w:tcPr>
          <w:p w14:paraId="517CF1C1" w14:textId="71A6A885" w:rsidR="00843F8F" w:rsidRPr="00843F8F" w:rsidRDefault="00843F8F" w:rsidP="00843F8F">
            <w:pPr>
              <w:spacing w:before="0"/>
            </w:pPr>
            <w:r w:rsidRPr="00843F8F">
              <w:t>GFS</w:t>
            </w:r>
          </w:p>
        </w:tc>
        <w:tc>
          <w:tcPr>
            <w:tcW w:w="7500" w:type="dxa"/>
            <w:shd w:val="clear" w:color="auto" w:fill="auto"/>
          </w:tcPr>
          <w:p w14:paraId="41535F3E" w14:textId="219BDB9F" w:rsidR="00843F8F" w:rsidRPr="00843F8F" w:rsidRDefault="00843F8F" w:rsidP="00843F8F">
            <w:pPr>
              <w:spacing w:before="0"/>
            </w:pPr>
            <w:r w:rsidRPr="00843F8F">
              <w:t>Government finance statistics</w:t>
            </w:r>
          </w:p>
        </w:tc>
      </w:tr>
      <w:tr w:rsidR="00843F8F" w:rsidRPr="00653E98" w14:paraId="2C53DA81" w14:textId="77777777" w:rsidTr="009902F2">
        <w:trPr>
          <w:trHeight w:val="315"/>
        </w:trPr>
        <w:tc>
          <w:tcPr>
            <w:tcW w:w="1440" w:type="dxa"/>
            <w:shd w:val="clear" w:color="auto" w:fill="auto"/>
          </w:tcPr>
          <w:p w14:paraId="226B7B8E" w14:textId="27F25431" w:rsidR="00843F8F" w:rsidRPr="00843F8F" w:rsidRDefault="00843F8F" w:rsidP="00843F8F">
            <w:pPr>
              <w:spacing w:before="0"/>
            </w:pPr>
            <w:r w:rsidRPr="00843F8F">
              <w:t>GST</w:t>
            </w:r>
          </w:p>
        </w:tc>
        <w:tc>
          <w:tcPr>
            <w:tcW w:w="7500" w:type="dxa"/>
            <w:shd w:val="clear" w:color="auto" w:fill="auto"/>
          </w:tcPr>
          <w:p w14:paraId="106FCE8E" w14:textId="1694A0AA" w:rsidR="00843F8F" w:rsidRPr="00843F8F" w:rsidRDefault="00843F8F" w:rsidP="00843F8F">
            <w:pPr>
              <w:spacing w:before="0"/>
            </w:pPr>
            <w:r w:rsidRPr="00843F8F">
              <w:t>Goods and Services Tax</w:t>
            </w:r>
          </w:p>
        </w:tc>
      </w:tr>
      <w:tr w:rsidR="00843F8F" w:rsidRPr="00653E98" w14:paraId="640B6007" w14:textId="77777777" w:rsidTr="009902F2">
        <w:trPr>
          <w:trHeight w:val="315"/>
        </w:trPr>
        <w:tc>
          <w:tcPr>
            <w:tcW w:w="1440" w:type="dxa"/>
            <w:shd w:val="clear" w:color="auto" w:fill="auto"/>
          </w:tcPr>
          <w:p w14:paraId="3FB12F07" w14:textId="236FDA04" w:rsidR="00843F8F" w:rsidRPr="00843F8F" w:rsidRDefault="00843F8F" w:rsidP="00843F8F">
            <w:pPr>
              <w:spacing w:before="0"/>
            </w:pPr>
            <w:r w:rsidRPr="00843F8F">
              <w:t>HFE</w:t>
            </w:r>
          </w:p>
        </w:tc>
        <w:tc>
          <w:tcPr>
            <w:tcW w:w="7500" w:type="dxa"/>
            <w:shd w:val="clear" w:color="auto" w:fill="auto"/>
          </w:tcPr>
          <w:p w14:paraId="0B660646" w14:textId="150B8D65" w:rsidR="00843F8F" w:rsidRPr="00843F8F" w:rsidRDefault="00843F8F" w:rsidP="00843F8F">
            <w:pPr>
              <w:spacing w:before="0"/>
            </w:pPr>
            <w:r w:rsidRPr="00843F8F">
              <w:t>Horizontal fiscal equalisation</w:t>
            </w:r>
          </w:p>
        </w:tc>
      </w:tr>
      <w:tr w:rsidR="00843F8F" w:rsidRPr="00653E98" w14:paraId="6FA08436" w14:textId="77777777" w:rsidTr="009902F2">
        <w:trPr>
          <w:trHeight w:val="315"/>
        </w:trPr>
        <w:tc>
          <w:tcPr>
            <w:tcW w:w="1440" w:type="dxa"/>
            <w:shd w:val="clear" w:color="auto" w:fill="auto"/>
          </w:tcPr>
          <w:p w14:paraId="7D431D87" w14:textId="7BFD0B71" w:rsidR="00843F8F" w:rsidRPr="00843F8F" w:rsidRDefault="00843F8F" w:rsidP="00843F8F">
            <w:pPr>
              <w:spacing w:before="0"/>
            </w:pPr>
            <w:r w:rsidRPr="00843F8F">
              <w:t>IGA</w:t>
            </w:r>
          </w:p>
        </w:tc>
        <w:tc>
          <w:tcPr>
            <w:tcW w:w="7500" w:type="dxa"/>
            <w:shd w:val="clear" w:color="auto" w:fill="auto"/>
          </w:tcPr>
          <w:p w14:paraId="12D0CEF7" w14:textId="35ACE9C2" w:rsidR="00843F8F" w:rsidRPr="00843F8F" w:rsidRDefault="00843F8F" w:rsidP="00843F8F">
            <w:pPr>
              <w:spacing w:before="0"/>
            </w:pPr>
            <w:r w:rsidRPr="00843F8F">
              <w:t>Intergovernmental Agreement on Federal Financial Relations</w:t>
            </w:r>
          </w:p>
        </w:tc>
      </w:tr>
      <w:tr w:rsidR="00843F8F" w:rsidRPr="00653E98" w14:paraId="0D436C2B" w14:textId="77777777" w:rsidTr="009902F2">
        <w:trPr>
          <w:trHeight w:val="315"/>
        </w:trPr>
        <w:tc>
          <w:tcPr>
            <w:tcW w:w="1440" w:type="dxa"/>
            <w:shd w:val="clear" w:color="auto" w:fill="auto"/>
          </w:tcPr>
          <w:p w14:paraId="10A74899" w14:textId="6E99564E" w:rsidR="00843F8F" w:rsidRPr="00843F8F" w:rsidRDefault="00843F8F" w:rsidP="00843F8F">
            <w:pPr>
              <w:spacing w:before="0"/>
            </w:pPr>
            <w:r w:rsidRPr="00843F8F">
              <w:t>MYEFO</w:t>
            </w:r>
          </w:p>
        </w:tc>
        <w:tc>
          <w:tcPr>
            <w:tcW w:w="7500" w:type="dxa"/>
            <w:shd w:val="clear" w:color="auto" w:fill="auto"/>
          </w:tcPr>
          <w:p w14:paraId="7C98CED3" w14:textId="0B90E061" w:rsidR="00843F8F" w:rsidRPr="00843F8F" w:rsidRDefault="00843F8F" w:rsidP="00843F8F">
            <w:pPr>
              <w:spacing w:before="0"/>
            </w:pPr>
            <w:r w:rsidRPr="00843F8F">
              <w:t>Mid-Year Economic and Fiscal Outlook</w:t>
            </w:r>
          </w:p>
        </w:tc>
      </w:tr>
      <w:tr w:rsidR="00843F8F" w:rsidRPr="00653E98" w14:paraId="47446C2F" w14:textId="77777777" w:rsidTr="009902F2">
        <w:trPr>
          <w:trHeight w:val="315"/>
        </w:trPr>
        <w:tc>
          <w:tcPr>
            <w:tcW w:w="1440" w:type="dxa"/>
            <w:shd w:val="clear" w:color="auto" w:fill="auto"/>
          </w:tcPr>
          <w:p w14:paraId="4B5151C1" w14:textId="26F71C58" w:rsidR="00843F8F" w:rsidRPr="00843F8F" w:rsidRDefault="00843F8F" w:rsidP="00843F8F">
            <w:pPr>
              <w:spacing w:before="0"/>
            </w:pPr>
            <w:r w:rsidRPr="00843F8F">
              <w:t>NDIS</w:t>
            </w:r>
          </w:p>
        </w:tc>
        <w:tc>
          <w:tcPr>
            <w:tcW w:w="7500" w:type="dxa"/>
            <w:shd w:val="clear" w:color="auto" w:fill="auto"/>
          </w:tcPr>
          <w:p w14:paraId="09BA3308" w14:textId="71072A91" w:rsidR="00843F8F" w:rsidRPr="00843F8F" w:rsidRDefault="00843F8F" w:rsidP="00843F8F">
            <w:pPr>
              <w:spacing w:before="0"/>
            </w:pPr>
            <w:r w:rsidRPr="00843F8F">
              <w:t>National Disability Insurance Scheme</w:t>
            </w:r>
          </w:p>
        </w:tc>
      </w:tr>
      <w:tr w:rsidR="00843F8F" w:rsidRPr="00653E98" w14:paraId="0259556C" w14:textId="77777777" w:rsidTr="009902F2">
        <w:trPr>
          <w:trHeight w:val="315"/>
        </w:trPr>
        <w:tc>
          <w:tcPr>
            <w:tcW w:w="1440" w:type="dxa"/>
            <w:shd w:val="clear" w:color="auto" w:fill="auto"/>
          </w:tcPr>
          <w:p w14:paraId="4C41023A" w14:textId="382EB639" w:rsidR="00843F8F" w:rsidRPr="00843F8F" w:rsidRDefault="00843F8F" w:rsidP="00843F8F">
            <w:pPr>
              <w:spacing w:before="0"/>
            </w:pPr>
            <w:r w:rsidRPr="00843F8F">
              <w:t>PSPs</w:t>
            </w:r>
          </w:p>
        </w:tc>
        <w:tc>
          <w:tcPr>
            <w:tcW w:w="7500" w:type="dxa"/>
            <w:shd w:val="clear" w:color="auto" w:fill="auto"/>
          </w:tcPr>
          <w:p w14:paraId="74FF547E" w14:textId="22DF5550" w:rsidR="00843F8F" w:rsidRPr="00843F8F" w:rsidRDefault="00843F8F" w:rsidP="00843F8F">
            <w:pPr>
              <w:spacing w:before="0"/>
            </w:pPr>
            <w:r w:rsidRPr="00843F8F">
              <w:t xml:space="preserve">Payments for </w:t>
            </w:r>
            <w:r w:rsidR="00DF1F8E">
              <w:t>S</w:t>
            </w:r>
            <w:r w:rsidRPr="00843F8F">
              <w:t xml:space="preserve">pecific </w:t>
            </w:r>
            <w:r w:rsidR="00DF1F8E">
              <w:t>P</w:t>
            </w:r>
            <w:r w:rsidRPr="00843F8F">
              <w:t>urposes</w:t>
            </w:r>
          </w:p>
        </w:tc>
      </w:tr>
      <w:tr w:rsidR="00A446AA" w:rsidRPr="00653E98" w14:paraId="3EAEB2ED" w14:textId="77777777" w:rsidTr="009902F2">
        <w:trPr>
          <w:trHeight w:val="315"/>
        </w:trPr>
        <w:tc>
          <w:tcPr>
            <w:tcW w:w="1440" w:type="dxa"/>
            <w:shd w:val="clear" w:color="auto" w:fill="auto"/>
          </w:tcPr>
          <w:p w14:paraId="736768D8" w14:textId="784D10FA" w:rsidR="00A446AA" w:rsidRPr="00843F8F" w:rsidRDefault="00A446AA" w:rsidP="00843F8F">
            <w:pPr>
              <w:spacing w:before="0"/>
            </w:pPr>
            <w:r>
              <w:t>QA</w:t>
            </w:r>
          </w:p>
        </w:tc>
        <w:tc>
          <w:tcPr>
            <w:tcW w:w="7500" w:type="dxa"/>
            <w:shd w:val="clear" w:color="auto" w:fill="auto"/>
          </w:tcPr>
          <w:p w14:paraId="612E0CD2" w14:textId="779278CD" w:rsidR="00A446AA" w:rsidRPr="00843F8F" w:rsidRDefault="00A446AA" w:rsidP="00843F8F">
            <w:pPr>
              <w:spacing w:before="0"/>
            </w:pPr>
            <w:r>
              <w:t xml:space="preserve">Quality </w:t>
            </w:r>
            <w:r w:rsidR="006A1729">
              <w:t>a</w:t>
            </w:r>
            <w:r>
              <w:t>ssurance</w:t>
            </w:r>
          </w:p>
        </w:tc>
      </w:tr>
    </w:tbl>
    <w:p w14:paraId="399D0FD0" w14:textId="77777777" w:rsidR="00705CF8" w:rsidRDefault="00705CF8" w:rsidP="003D4F6A"/>
    <w:p w14:paraId="02EEFDF7" w14:textId="77777777" w:rsidR="00B65842" w:rsidRDefault="00B65842" w:rsidP="003D4F6A"/>
    <w:p w14:paraId="20790E99" w14:textId="6E563D73" w:rsidR="00843F8F" w:rsidRPr="00B300CA" w:rsidRDefault="00843F8F" w:rsidP="003D4F6A">
      <w:pPr>
        <w:sectPr w:rsidR="00843F8F" w:rsidRPr="00B300CA" w:rsidSect="00E22AA8">
          <w:pgSz w:w="11907" w:h="16840" w:code="9"/>
          <w:pgMar w:top="1418" w:right="1474" w:bottom="1304" w:left="1474" w:header="720" w:footer="567" w:gutter="0"/>
          <w:pgNumType w:fmt="lowerRoman"/>
          <w:cols w:space="720"/>
          <w:titlePg/>
          <w:docGrid w:linePitch="360"/>
        </w:sectPr>
      </w:pPr>
    </w:p>
    <w:p w14:paraId="12D81A26" w14:textId="28372D52" w:rsidR="00951BE5" w:rsidRDefault="00951BE5" w:rsidP="00306D0A">
      <w:pPr>
        <w:pStyle w:val="Heading2"/>
      </w:pPr>
      <w:bookmarkStart w:id="4" w:name="_Toc33600537"/>
      <w:r>
        <w:lastRenderedPageBreak/>
        <w:t xml:space="preserve">Purpose of this </w:t>
      </w:r>
      <w:r w:rsidR="00B77F01">
        <w:t>report</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9"/>
      </w:tblGrid>
      <w:tr w:rsidR="00951BE5" w14:paraId="3084B6F3" w14:textId="77777777" w:rsidTr="009A54A6">
        <w:tc>
          <w:tcPr>
            <w:tcW w:w="9282" w:type="dxa"/>
            <w:shd w:val="clear" w:color="auto" w:fill="EBF3F5"/>
            <w:tcMar>
              <w:top w:w="85" w:type="dxa"/>
              <w:bottom w:w="85" w:type="dxa"/>
            </w:tcMar>
          </w:tcPr>
          <w:p w14:paraId="076FD975" w14:textId="51DC7E98" w:rsidR="00951BE5" w:rsidRDefault="00951BE5" w:rsidP="009A54A6">
            <w:r>
              <w:t>On 28</w:t>
            </w:r>
            <w:r w:rsidR="00B65842">
              <w:t> </w:t>
            </w:r>
            <w:r>
              <w:t>November</w:t>
            </w:r>
            <w:r w:rsidR="00B65842">
              <w:t> </w:t>
            </w:r>
            <w:r>
              <w:t xml:space="preserve">2016, the Commission received terms of reference </w:t>
            </w:r>
            <w:r w:rsidR="00776745">
              <w:t>to</w:t>
            </w:r>
            <w:r>
              <w:t xml:space="preserve"> review </w:t>
            </w:r>
            <w:r w:rsidR="00776745">
              <w:t xml:space="preserve">the </w:t>
            </w:r>
            <w:r w:rsidR="00B65842">
              <w:t xml:space="preserve">fiscal </w:t>
            </w:r>
            <w:r>
              <w:t>equali</w:t>
            </w:r>
            <w:r w:rsidR="00B65842">
              <w:t>s</w:t>
            </w:r>
            <w:r>
              <w:t xml:space="preserve">ation methodologies </w:t>
            </w:r>
            <w:r w:rsidR="0014445D">
              <w:t xml:space="preserve">that </w:t>
            </w:r>
            <w:r>
              <w:t xml:space="preserve">inform the goods and services tax (GST) distribution </w:t>
            </w:r>
            <w:r w:rsidR="00D257E9">
              <w:t xml:space="preserve">and </w:t>
            </w:r>
            <w:r w:rsidR="004B700B">
              <w:t xml:space="preserve">to </w:t>
            </w:r>
            <w:r w:rsidR="00FE660F">
              <w:t>recommend the per capita relativities for distributing GST revenue among the State</w:t>
            </w:r>
            <w:r w:rsidR="00C13114">
              <w:t>s</w:t>
            </w:r>
            <w:r w:rsidR="00FE660F">
              <w:t xml:space="preserve"> in 2020</w:t>
            </w:r>
            <w:r w:rsidR="00FE660F">
              <w:noBreakHyphen/>
              <w:t>2</w:t>
            </w:r>
            <w:r w:rsidR="005E1748">
              <w:t>1.</w:t>
            </w:r>
            <w:r>
              <w:t xml:space="preserve"> </w:t>
            </w:r>
            <w:r w:rsidR="00AB6B88">
              <w:t xml:space="preserve">Supplementary terms of reference were </w:t>
            </w:r>
            <w:r w:rsidR="003B04D7">
              <w:t xml:space="preserve">also </w:t>
            </w:r>
            <w:r w:rsidR="00AB6B88">
              <w:t xml:space="preserve">received </w:t>
            </w:r>
            <w:r w:rsidR="003B04D7">
              <w:t>providing additional guidance on matters relevant to the</w:t>
            </w:r>
            <w:r w:rsidR="00585DC0">
              <w:t xml:space="preserve"> 2020</w:t>
            </w:r>
            <w:r w:rsidR="003B04D7">
              <w:t xml:space="preserve"> Review</w:t>
            </w:r>
            <w:r w:rsidR="00AB6B88">
              <w:t xml:space="preserve">. </w:t>
            </w:r>
            <w:r w:rsidR="00B65842">
              <w:t>This report responds to the requirement that the Commission provide</w:t>
            </w:r>
            <w:r w:rsidR="009B6DB7">
              <w:t>s</w:t>
            </w:r>
            <w:r w:rsidR="00B65842">
              <w:t xml:space="preserve"> a final report </w:t>
            </w:r>
            <w:r w:rsidR="00CE0481">
              <w:t xml:space="preserve">to governments </w:t>
            </w:r>
            <w:r w:rsidR="00B65842">
              <w:t>by 28 February 2020.</w:t>
            </w:r>
            <w:r w:rsidR="001162BA">
              <w:t xml:space="preserve"> </w:t>
            </w:r>
          </w:p>
          <w:p w14:paraId="4346BB3C" w14:textId="727D67C7" w:rsidR="00B65842" w:rsidRDefault="00B77F01" w:rsidP="009A54A6">
            <w:r w:rsidRPr="00B77F01">
              <w:t>This volume sets out the recommended relativities for 2020-21 and the principal reasons, both collectively and for each State, why they differ from the 2019-20 relativities. It also describes the main drivers of the differences in fiscal capacities between the States, including the main drivers within each State, leading to a recommended distribution of GST revenue that differs from equal per capita</w:t>
            </w:r>
            <w:r w:rsidR="00D23471">
              <w:t>.</w:t>
            </w:r>
            <w:r w:rsidR="001162BA">
              <w:t xml:space="preserve"> </w:t>
            </w:r>
          </w:p>
          <w:p w14:paraId="1515A5A6" w14:textId="3FC7E3DD" w:rsidR="00424361" w:rsidRDefault="00424361" w:rsidP="009A54A6">
            <w:r w:rsidRPr="00424361">
              <w:t xml:space="preserve">This volume also describes the processes adopted by the Commission in order to comply with the terms of reference requirement to </w:t>
            </w:r>
            <w:r w:rsidR="00F26B87">
              <w:t>‘</w:t>
            </w:r>
            <w:r w:rsidRPr="00424361">
              <w:t>ensure robust quality assurance processes</w:t>
            </w:r>
            <w:r w:rsidR="004F5319">
              <w:t>’</w:t>
            </w:r>
            <w:r w:rsidRPr="00424361">
              <w:t xml:space="preserve"> are adopted in preparing its assessments</w:t>
            </w:r>
            <w:r>
              <w:t>.</w:t>
            </w:r>
            <w:r w:rsidR="001162BA">
              <w:t xml:space="preserve"> </w:t>
            </w:r>
          </w:p>
          <w:p w14:paraId="0B89C5E4" w14:textId="04E6D832" w:rsidR="00353B22" w:rsidRDefault="00353B22" w:rsidP="009A54A6">
            <w:r>
              <w:t xml:space="preserve">Volume 2 of the report </w:t>
            </w:r>
            <w:r w:rsidR="007349CF">
              <w:t>presents the results of the review of methods used to determine State</w:t>
            </w:r>
            <w:r w:rsidR="005D1960">
              <w:t xml:space="preserve"> </w:t>
            </w:r>
            <w:r w:rsidR="007349CF">
              <w:t xml:space="preserve">fiscal capacities. It </w:t>
            </w:r>
            <w:r>
              <w:t>describes the processes, methods and data sources adopted by the Commission in arriving at its recommendations.</w:t>
            </w:r>
            <w:r w:rsidR="00781071">
              <w:t xml:space="preserve"> </w:t>
            </w:r>
          </w:p>
          <w:p w14:paraId="3F796E2E" w14:textId="59C11DFD" w:rsidR="00951BE5" w:rsidRDefault="00527F93" w:rsidP="00841DF3">
            <w:pPr>
              <w:spacing w:after="120"/>
            </w:pPr>
            <w:r>
              <w:rPr>
                <w:rStyle w:val="normaltextrun"/>
                <w:rFonts w:cs="Open Sans Light"/>
                <w:color w:val="000000"/>
                <w:szCs w:val="20"/>
                <w:shd w:val="clear" w:color="auto" w:fill="EBF3F5"/>
              </w:rPr>
              <w:t xml:space="preserve">Volume 2 also outlines the Commission’s preliminary understanding of the requirements for its future work </w:t>
            </w:r>
            <w:r w:rsidR="00B37F70" w:rsidRPr="00B37F70">
              <w:rPr>
                <w:rStyle w:val="normaltextrun"/>
                <w:rFonts w:cs="Open Sans Light"/>
                <w:color w:val="000000"/>
                <w:szCs w:val="20"/>
                <w:shd w:val="clear" w:color="auto" w:fill="EBF3F5"/>
              </w:rPr>
              <w:t xml:space="preserve">in relation to the Commonwealth’s new equalisation arrangements enacted in the </w:t>
            </w:r>
            <w:r w:rsidR="00B37F70" w:rsidRPr="00F95290">
              <w:rPr>
                <w:rStyle w:val="normaltextrun"/>
                <w:rFonts w:cs="Open Sans Light"/>
                <w:i/>
                <w:iCs/>
                <w:color w:val="000000"/>
                <w:szCs w:val="20"/>
                <w:shd w:val="clear" w:color="auto" w:fill="EBF3F5"/>
              </w:rPr>
              <w:t>Treasury Laws Amendment (Making Sure Every State and Territory Gets Their Fair Share of GST) Act</w:t>
            </w:r>
            <w:r w:rsidR="00B37F70" w:rsidRPr="00F95290">
              <w:rPr>
                <w:rStyle w:val="normaltextrun"/>
                <w:rFonts w:ascii="Arial" w:hAnsi="Arial" w:cs="Arial"/>
                <w:i/>
                <w:iCs/>
                <w:color w:val="000000"/>
                <w:szCs w:val="20"/>
                <w:shd w:val="clear" w:color="auto" w:fill="EBF3F5"/>
              </w:rPr>
              <w:t> </w:t>
            </w:r>
            <w:r w:rsidR="00B37F70" w:rsidRPr="00F95290">
              <w:rPr>
                <w:rStyle w:val="normaltextrun"/>
                <w:rFonts w:cs="Open Sans Light"/>
                <w:i/>
                <w:iCs/>
                <w:color w:val="000000"/>
                <w:szCs w:val="20"/>
                <w:shd w:val="clear" w:color="auto" w:fill="EBF3F5"/>
              </w:rPr>
              <w:t>2018</w:t>
            </w:r>
            <w:r w:rsidR="00B37F70" w:rsidRPr="00B37F70">
              <w:rPr>
                <w:rStyle w:val="normaltextrun"/>
                <w:rFonts w:cs="Open Sans Light"/>
                <w:color w:val="000000"/>
                <w:szCs w:val="20"/>
                <w:shd w:val="clear" w:color="auto" w:fill="EBF3F5"/>
              </w:rPr>
              <w:t>.</w:t>
            </w:r>
          </w:p>
        </w:tc>
      </w:tr>
    </w:tbl>
    <w:p w14:paraId="447C4DD7" w14:textId="6B6C57F7" w:rsidR="00951BE5" w:rsidRDefault="00951BE5" w:rsidP="00951BE5"/>
    <w:p w14:paraId="2652A515" w14:textId="64E1C62B" w:rsidR="00951BE5" w:rsidRPr="00951BE5" w:rsidRDefault="00951BE5" w:rsidP="00951BE5">
      <w:pPr>
        <w:sectPr w:rsidR="00951BE5" w:rsidRPr="00951BE5" w:rsidSect="00E22AA8">
          <w:pgSz w:w="11907" w:h="16840" w:code="9"/>
          <w:pgMar w:top="1418" w:right="1474" w:bottom="1418" w:left="1474" w:header="720" w:footer="567" w:gutter="0"/>
          <w:pgNumType w:fmt="lowerRoman"/>
          <w:cols w:space="720"/>
          <w:titlePg/>
          <w:docGrid w:linePitch="360"/>
        </w:sectPr>
      </w:pPr>
    </w:p>
    <w:p w14:paraId="1C04B7D1" w14:textId="77777777" w:rsidR="008E6477" w:rsidRDefault="00B65842" w:rsidP="00593D8C">
      <w:pPr>
        <w:pStyle w:val="TOCtitle"/>
      </w:pPr>
      <w:bookmarkStart w:id="5" w:name="_Hlk31200095"/>
      <w:r>
        <w:lastRenderedPageBreak/>
        <w:t xml:space="preserve">Contents </w:t>
      </w:r>
    </w:p>
    <w:bookmarkEnd w:id="5"/>
    <w:p w14:paraId="3A71CA44" w14:textId="4754BBBE" w:rsidR="007C08D0" w:rsidRDefault="007C08D0">
      <w:pPr>
        <w:pStyle w:val="TOC1"/>
      </w:pPr>
      <w:r>
        <w:t>Letter of transmittal</w:t>
      </w:r>
      <w:r>
        <w:tab/>
        <w:t>i</w:t>
      </w:r>
    </w:p>
    <w:p w14:paraId="1E77DB6C" w14:textId="2B5F8DFE" w:rsidR="006D0B72" w:rsidRDefault="001117C5">
      <w:pPr>
        <w:pStyle w:val="TOC1"/>
        <w:rPr>
          <w:rFonts w:asciiTheme="minorHAnsi" w:eastAsiaTheme="minorEastAsia" w:hAnsiTheme="minorHAnsi"/>
          <w:b w:val="0"/>
          <w:bCs w:val="0"/>
          <w:noProof/>
          <w:color w:val="auto"/>
          <w:sz w:val="22"/>
          <w:szCs w:val="22"/>
          <w:lang w:eastAsia="en-AU"/>
        </w:rPr>
      </w:pPr>
      <w:r>
        <w:fldChar w:fldCharType="begin"/>
      </w:r>
      <w:r>
        <w:instrText xml:space="preserve"> TOC \o "2-2" \f \h \z \u \t "Heading 2,1,Heading 3,3,Heading 4,4" </w:instrText>
      </w:r>
      <w:r>
        <w:fldChar w:fldCharType="separate"/>
      </w:r>
      <w:hyperlink w:anchor="_Toc33600534" w:history="1">
        <w:r w:rsidR="006D0B72" w:rsidRPr="00A97EE0">
          <w:rPr>
            <w:rStyle w:val="Hyperlink"/>
            <w:noProof/>
          </w:rPr>
          <w:t>Acknowledgements</w:t>
        </w:r>
        <w:r w:rsidR="006D0B72">
          <w:rPr>
            <w:noProof/>
            <w:webHidden/>
          </w:rPr>
          <w:tab/>
        </w:r>
        <w:r w:rsidR="006D0B72">
          <w:rPr>
            <w:noProof/>
            <w:webHidden/>
          </w:rPr>
          <w:fldChar w:fldCharType="begin"/>
        </w:r>
        <w:r w:rsidR="006D0B72">
          <w:rPr>
            <w:noProof/>
            <w:webHidden/>
          </w:rPr>
          <w:instrText xml:space="preserve"> PAGEREF _Toc33600534 \h </w:instrText>
        </w:r>
        <w:r w:rsidR="006D0B72">
          <w:rPr>
            <w:noProof/>
            <w:webHidden/>
          </w:rPr>
        </w:r>
        <w:r w:rsidR="006D0B72">
          <w:rPr>
            <w:noProof/>
            <w:webHidden/>
          </w:rPr>
          <w:fldChar w:fldCharType="separate"/>
        </w:r>
        <w:r w:rsidR="003D49C2">
          <w:rPr>
            <w:noProof/>
            <w:webHidden/>
          </w:rPr>
          <w:t>ii</w:t>
        </w:r>
        <w:r w:rsidR="006D0B72">
          <w:rPr>
            <w:noProof/>
            <w:webHidden/>
          </w:rPr>
          <w:fldChar w:fldCharType="end"/>
        </w:r>
      </w:hyperlink>
    </w:p>
    <w:p w14:paraId="77297C7F" w14:textId="3ADC4BBF" w:rsidR="006D0B72" w:rsidRDefault="006B490F">
      <w:pPr>
        <w:pStyle w:val="TOC1"/>
        <w:rPr>
          <w:rFonts w:asciiTheme="minorHAnsi" w:eastAsiaTheme="minorEastAsia" w:hAnsiTheme="minorHAnsi"/>
          <w:b w:val="0"/>
          <w:bCs w:val="0"/>
          <w:noProof/>
          <w:color w:val="auto"/>
          <w:sz w:val="22"/>
          <w:szCs w:val="22"/>
          <w:lang w:eastAsia="en-AU"/>
        </w:rPr>
      </w:pPr>
      <w:hyperlink w:anchor="_Toc33600535" w:history="1">
        <w:r w:rsidR="006D0B72" w:rsidRPr="00A97EE0">
          <w:rPr>
            <w:rStyle w:val="Hyperlink"/>
            <w:noProof/>
          </w:rPr>
          <w:t>Terms of reference</w:t>
        </w:r>
        <w:r w:rsidR="006D0B72">
          <w:rPr>
            <w:noProof/>
            <w:webHidden/>
          </w:rPr>
          <w:tab/>
        </w:r>
        <w:r w:rsidR="006D0B72">
          <w:rPr>
            <w:noProof/>
            <w:webHidden/>
          </w:rPr>
          <w:fldChar w:fldCharType="begin"/>
        </w:r>
        <w:r w:rsidR="006D0B72">
          <w:rPr>
            <w:noProof/>
            <w:webHidden/>
          </w:rPr>
          <w:instrText xml:space="preserve"> PAGEREF _Toc33600535 \h </w:instrText>
        </w:r>
        <w:r w:rsidR="006D0B72">
          <w:rPr>
            <w:noProof/>
            <w:webHidden/>
          </w:rPr>
        </w:r>
        <w:r w:rsidR="006D0B72">
          <w:rPr>
            <w:noProof/>
            <w:webHidden/>
          </w:rPr>
          <w:fldChar w:fldCharType="separate"/>
        </w:r>
        <w:r w:rsidR="003D49C2">
          <w:rPr>
            <w:noProof/>
            <w:webHidden/>
          </w:rPr>
          <w:t>iii</w:t>
        </w:r>
        <w:r w:rsidR="006D0B72">
          <w:rPr>
            <w:noProof/>
            <w:webHidden/>
          </w:rPr>
          <w:fldChar w:fldCharType="end"/>
        </w:r>
      </w:hyperlink>
    </w:p>
    <w:p w14:paraId="0D9A122B" w14:textId="711073A0" w:rsidR="006D0B72" w:rsidRDefault="006B490F">
      <w:pPr>
        <w:pStyle w:val="TOC1"/>
        <w:rPr>
          <w:rFonts w:asciiTheme="minorHAnsi" w:eastAsiaTheme="minorEastAsia" w:hAnsiTheme="minorHAnsi"/>
          <w:b w:val="0"/>
          <w:bCs w:val="0"/>
          <w:noProof/>
          <w:color w:val="auto"/>
          <w:sz w:val="22"/>
          <w:szCs w:val="22"/>
          <w:lang w:eastAsia="en-AU"/>
        </w:rPr>
      </w:pPr>
      <w:hyperlink w:anchor="_Toc33600536" w:history="1">
        <w:r w:rsidR="006D0B72" w:rsidRPr="00A97EE0">
          <w:rPr>
            <w:rStyle w:val="Hyperlink"/>
            <w:noProof/>
          </w:rPr>
          <w:t>List of acronyms</w:t>
        </w:r>
        <w:r w:rsidR="006D0B72">
          <w:rPr>
            <w:noProof/>
            <w:webHidden/>
          </w:rPr>
          <w:tab/>
        </w:r>
        <w:r w:rsidR="006D0B72">
          <w:rPr>
            <w:noProof/>
            <w:webHidden/>
          </w:rPr>
          <w:fldChar w:fldCharType="begin"/>
        </w:r>
        <w:r w:rsidR="006D0B72">
          <w:rPr>
            <w:noProof/>
            <w:webHidden/>
          </w:rPr>
          <w:instrText xml:space="preserve"> PAGEREF _Toc33600536 \h </w:instrText>
        </w:r>
        <w:r w:rsidR="006D0B72">
          <w:rPr>
            <w:noProof/>
            <w:webHidden/>
          </w:rPr>
        </w:r>
        <w:r w:rsidR="006D0B72">
          <w:rPr>
            <w:noProof/>
            <w:webHidden/>
          </w:rPr>
          <w:fldChar w:fldCharType="separate"/>
        </w:r>
        <w:r w:rsidR="003D49C2">
          <w:rPr>
            <w:noProof/>
            <w:webHidden/>
          </w:rPr>
          <w:t>xi</w:t>
        </w:r>
        <w:r w:rsidR="006D0B72">
          <w:rPr>
            <w:noProof/>
            <w:webHidden/>
          </w:rPr>
          <w:fldChar w:fldCharType="end"/>
        </w:r>
      </w:hyperlink>
    </w:p>
    <w:p w14:paraId="6AB7C32D" w14:textId="2CEB5FE3" w:rsidR="006D0B72" w:rsidRDefault="006B490F">
      <w:pPr>
        <w:pStyle w:val="TOC1"/>
        <w:rPr>
          <w:rFonts w:asciiTheme="minorHAnsi" w:eastAsiaTheme="minorEastAsia" w:hAnsiTheme="minorHAnsi"/>
          <w:b w:val="0"/>
          <w:bCs w:val="0"/>
          <w:noProof/>
          <w:color w:val="auto"/>
          <w:sz w:val="22"/>
          <w:szCs w:val="22"/>
          <w:lang w:eastAsia="en-AU"/>
        </w:rPr>
      </w:pPr>
      <w:hyperlink w:anchor="_Toc33600537" w:history="1">
        <w:r w:rsidR="006D0B72" w:rsidRPr="00A97EE0">
          <w:rPr>
            <w:rStyle w:val="Hyperlink"/>
            <w:noProof/>
          </w:rPr>
          <w:t>Purpose of this report</w:t>
        </w:r>
        <w:r w:rsidR="006D0B72">
          <w:rPr>
            <w:noProof/>
            <w:webHidden/>
          </w:rPr>
          <w:tab/>
        </w:r>
        <w:r w:rsidR="006D0B72">
          <w:rPr>
            <w:noProof/>
            <w:webHidden/>
          </w:rPr>
          <w:fldChar w:fldCharType="begin"/>
        </w:r>
        <w:r w:rsidR="006D0B72">
          <w:rPr>
            <w:noProof/>
            <w:webHidden/>
          </w:rPr>
          <w:instrText xml:space="preserve"> PAGEREF _Toc33600537 \h </w:instrText>
        </w:r>
        <w:r w:rsidR="006D0B72">
          <w:rPr>
            <w:noProof/>
            <w:webHidden/>
          </w:rPr>
        </w:r>
        <w:r w:rsidR="006D0B72">
          <w:rPr>
            <w:noProof/>
            <w:webHidden/>
          </w:rPr>
          <w:fldChar w:fldCharType="separate"/>
        </w:r>
        <w:r w:rsidR="003D49C2">
          <w:rPr>
            <w:noProof/>
            <w:webHidden/>
          </w:rPr>
          <w:t>xii</w:t>
        </w:r>
        <w:r w:rsidR="006D0B72">
          <w:rPr>
            <w:noProof/>
            <w:webHidden/>
          </w:rPr>
          <w:fldChar w:fldCharType="end"/>
        </w:r>
      </w:hyperlink>
    </w:p>
    <w:p w14:paraId="26C78119" w14:textId="589F7A8E" w:rsidR="006D0B72" w:rsidRDefault="006B490F">
      <w:pPr>
        <w:pStyle w:val="TOC1"/>
        <w:rPr>
          <w:rFonts w:asciiTheme="minorHAnsi" w:eastAsiaTheme="minorEastAsia" w:hAnsiTheme="minorHAnsi"/>
          <w:b w:val="0"/>
          <w:bCs w:val="0"/>
          <w:noProof/>
          <w:color w:val="auto"/>
          <w:sz w:val="22"/>
          <w:szCs w:val="22"/>
          <w:lang w:eastAsia="en-AU"/>
        </w:rPr>
      </w:pPr>
      <w:hyperlink w:anchor="_Toc33600538" w:history="1">
        <w:r w:rsidR="006D0B72" w:rsidRPr="00A97EE0">
          <w:rPr>
            <w:rStyle w:val="Hyperlink"/>
            <w:noProof/>
          </w:rPr>
          <w:t>Executive summary</w:t>
        </w:r>
        <w:r w:rsidR="006D0B72">
          <w:rPr>
            <w:noProof/>
            <w:webHidden/>
          </w:rPr>
          <w:tab/>
        </w:r>
        <w:r w:rsidR="006D0B72">
          <w:rPr>
            <w:noProof/>
            <w:webHidden/>
          </w:rPr>
          <w:fldChar w:fldCharType="begin"/>
        </w:r>
        <w:r w:rsidR="006D0B72">
          <w:rPr>
            <w:noProof/>
            <w:webHidden/>
          </w:rPr>
          <w:instrText xml:space="preserve"> PAGEREF _Toc33600538 \h </w:instrText>
        </w:r>
        <w:r w:rsidR="006D0B72">
          <w:rPr>
            <w:noProof/>
            <w:webHidden/>
          </w:rPr>
        </w:r>
        <w:r w:rsidR="006D0B72">
          <w:rPr>
            <w:noProof/>
            <w:webHidden/>
          </w:rPr>
          <w:fldChar w:fldCharType="separate"/>
        </w:r>
        <w:r w:rsidR="003D49C2">
          <w:rPr>
            <w:noProof/>
            <w:webHidden/>
          </w:rPr>
          <w:t>xv</w:t>
        </w:r>
        <w:r w:rsidR="006D0B72">
          <w:rPr>
            <w:noProof/>
            <w:webHidden/>
          </w:rPr>
          <w:fldChar w:fldCharType="end"/>
        </w:r>
      </w:hyperlink>
    </w:p>
    <w:p w14:paraId="4EB05733" w14:textId="5EF156EF" w:rsidR="006D0B72" w:rsidRDefault="006B490F">
      <w:pPr>
        <w:pStyle w:val="TOC1"/>
        <w:tabs>
          <w:tab w:val="left" w:pos="680"/>
        </w:tabs>
        <w:rPr>
          <w:rFonts w:asciiTheme="minorHAnsi" w:eastAsiaTheme="minorEastAsia" w:hAnsiTheme="minorHAnsi"/>
          <w:b w:val="0"/>
          <w:bCs w:val="0"/>
          <w:noProof/>
          <w:color w:val="auto"/>
          <w:sz w:val="22"/>
          <w:szCs w:val="22"/>
          <w:lang w:eastAsia="en-AU"/>
        </w:rPr>
      </w:pPr>
      <w:hyperlink w:anchor="_Toc33600539" w:history="1">
        <w:r w:rsidR="006D0B72" w:rsidRPr="00A97EE0">
          <w:rPr>
            <w:rStyle w:val="Hyperlink"/>
            <w:noProof/>
          </w:rPr>
          <w:t>1</w:t>
        </w:r>
        <w:r w:rsidR="006D0B72">
          <w:rPr>
            <w:rFonts w:asciiTheme="minorHAnsi" w:eastAsiaTheme="minorEastAsia" w:hAnsiTheme="minorHAnsi"/>
            <w:b w:val="0"/>
            <w:bCs w:val="0"/>
            <w:noProof/>
            <w:color w:val="auto"/>
            <w:sz w:val="22"/>
            <w:szCs w:val="22"/>
            <w:lang w:eastAsia="en-AU"/>
          </w:rPr>
          <w:tab/>
        </w:r>
        <w:r w:rsidR="006D0B72" w:rsidRPr="00A97EE0">
          <w:rPr>
            <w:rStyle w:val="Hyperlink"/>
            <w:noProof/>
          </w:rPr>
          <w:t>Recommended GST distribution</w:t>
        </w:r>
        <w:r w:rsidR="006D0B72">
          <w:rPr>
            <w:noProof/>
            <w:webHidden/>
          </w:rPr>
          <w:tab/>
        </w:r>
        <w:r w:rsidR="006D0B72">
          <w:rPr>
            <w:noProof/>
            <w:webHidden/>
          </w:rPr>
          <w:fldChar w:fldCharType="begin"/>
        </w:r>
        <w:r w:rsidR="006D0B72">
          <w:rPr>
            <w:noProof/>
            <w:webHidden/>
          </w:rPr>
          <w:instrText xml:space="preserve"> PAGEREF _Toc33600539 \h </w:instrText>
        </w:r>
        <w:r w:rsidR="006D0B72">
          <w:rPr>
            <w:noProof/>
            <w:webHidden/>
          </w:rPr>
        </w:r>
        <w:r w:rsidR="006D0B72">
          <w:rPr>
            <w:noProof/>
            <w:webHidden/>
          </w:rPr>
          <w:fldChar w:fldCharType="separate"/>
        </w:r>
        <w:r w:rsidR="003D49C2">
          <w:rPr>
            <w:noProof/>
            <w:webHidden/>
          </w:rPr>
          <w:t>1</w:t>
        </w:r>
        <w:r w:rsidR="006D0B72">
          <w:rPr>
            <w:noProof/>
            <w:webHidden/>
          </w:rPr>
          <w:fldChar w:fldCharType="end"/>
        </w:r>
      </w:hyperlink>
    </w:p>
    <w:p w14:paraId="5E0E256E" w14:textId="181E8704" w:rsidR="006D0B72" w:rsidRDefault="006B490F">
      <w:pPr>
        <w:pStyle w:val="TOC3"/>
        <w:rPr>
          <w:rFonts w:asciiTheme="minorHAnsi" w:eastAsiaTheme="minorEastAsia" w:hAnsiTheme="minorHAnsi"/>
          <w:iCs w:val="0"/>
          <w:noProof/>
          <w:color w:val="auto"/>
          <w:sz w:val="22"/>
          <w:lang w:eastAsia="en-AU"/>
        </w:rPr>
      </w:pPr>
      <w:hyperlink w:anchor="_Toc33600540" w:history="1">
        <w:r w:rsidR="006D0B72" w:rsidRPr="00A97EE0">
          <w:rPr>
            <w:rStyle w:val="Hyperlink"/>
            <w:noProof/>
          </w:rPr>
          <w:t>Recommended GST distribution</w:t>
        </w:r>
        <w:r w:rsidR="006D0B72">
          <w:rPr>
            <w:noProof/>
            <w:webHidden/>
          </w:rPr>
          <w:tab/>
        </w:r>
        <w:r w:rsidR="006D0B72">
          <w:rPr>
            <w:noProof/>
            <w:webHidden/>
          </w:rPr>
          <w:fldChar w:fldCharType="begin"/>
        </w:r>
        <w:r w:rsidR="006D0B72">
          <w:rPr>
            <w:noProof/>
            <w:webHidden/>
          </w:rPr>
          <w:instrText xml:space="preserve"> PAGEREF _Toc33600540 \h </w:instrText>
        </w:r>
        <w:r w:rsidR="006D0B72">
          <w:rPr>
            <w:noProof/>
            <w:webHidden/>
          </w:rPr>
        </w:r>
        <w:r w:rsidR="006D0B72">
          <w:rPr>
            <w:noProof/>
            <w:webHidden/>
          </w:rPr>
          <w:fldChar w:fldCharType="separate"/>
        </w:r>
        <w:r w:rsidR="003D49C2">
          <w:rPr>
            <w:noProof/>
            <w:webHidden/>
          </w:rPr>
          <w:t>1</w:t>
        </w:r>
        <w:r w:rsidR="006D0B72">
          <w:rPr>
            <w:noProof/>
            <w:webHidden/>
          </w:rPr>
          <w:fldChar w:fldCharType="end"/>
        </w:r>
      </w:hyperlink>
    </w:p>
    <w:p w14:paraId="5FBEC7FF" w14:textId="1ED86A21" w:rsidR="006D0B72" w:rsidRDefault="006B490F">
      <w:pPr>
        <w:pStyle w:val="TOC3"/>
        <w:rPr>
          <w:rFonts w:asciiTheme="minorHAnsi" w:eastAsiaTheme="minorEastAsia" w:hAnsiTheme="minorHAnsi"/>
          <w:iCs w:val="0"/>
          <w:noProof/>
          <w:color w:val="auto"/>
          <w:sz w:val="22"/>
          <w:lang w:eastAsia="en-AU"/>
        </w:rPr>
      </w:pPr>
      <w:hyperlink w:anchor="_Toc33600541" w:history="1">
        <w:r w:rsidR="006D0B72" w:rsidRPr="00A97EE0">
          <w:rPr>
            <w:rStyle w:val="Hyperlink"/>
            <w:noProof/>
          </w:rPr>
          <w:t>Movements in the GST distribution</w:t>
        </w:r>
        <w:r w:rsidR="006D0B72">
          <w:rPr>
            <w:noProof/>
            <w:webHidden/>
          </w:rPr>
          <w:tab/>
        </w:r>
        <w:r w:rsidR="006D0B72">
          <w:rPr>
            <w:noProof/>
            <w:webHidden/>
          </w:rPr>
          <w:fldChar w:fldCharType="begin"/>
        </w:r>
        <w:r w:rsidR="006D0B72">
          <w:rPr>
            <w:noProof/>
            <w:webHidden/>
          </w:rPr>
          <w:instrText xml:space="preserve"> PAGEREF _Toc33600541 \h </w:instrText>
        </w:r>
        <w:r w:rsidR="006D0B72">
          <w:rPr>
            <w:noProof/>
            <w:webHidden/>
          </w:rPr>
        </w:r>
        <w:r w:rsidR="006D0B72">
          <w:rPr>
            <w:noProof/>
            <w:webHidden/>
          </w:rPr>
          <w:fldChar w:fldCharType="separate"/>
        </w:r>
        <w:r w:rsidR="003D49C2">
          <w:rPr>
            <w:noProof/>
            <w:webHidden/>
          </w:rPr>
          <w:t>2</w:t>
        </w:r>
        <w:r w:rsidR="006D0B72">
          <w:rPr>
            <w:noProof/>
            <w:webHidden/>
          </w:rPr>
          <w:fldChar w:fldCharType="end"/>
        </w:r>
      </w:hyperlink>
    </w:p>
    <w:p w14:paraId="350B7614" w14:textId="26ADE9D0" w:rsidR="006D0B72" w:rsidRDefault="006B490F">
      <w:pPr>
        <w:pStyle w:val="TOC1"/>
        <w:tabs>
          <w:tab w:val="left" w:pos="680"/>
        </w:tabs>
        <w:rPr>
          <w:rFonts w:asciiTheme="minorHAnsi" w:eastAsiaTheme="minorEastAsia" w:hAnsiTheme="minorHAnsi"/>
          <w:b w:val="0"/>
          <w:bCs w:val="0"/>
          <w:noProof/>
          <w:color w:val="auto"/>
          <w:sz w:val="22"/>
          <w:szCs w:val="22"/>
          <w:lang w:eastAsia="en-AU"/>
        </w:rPr>
      </w:pPr>
      <w:hyperlink w:anchor="_Toc33600542" w:history="1">
        <w:r w:rsidR="006D0B72" w:rsidRPr="00A97EE0">
          <w:rPr>
            <w:rStyle w:val="Hyperlink"/>
            <w:noProof/>
          </w:rPr>
          <w:t>2</w:t>
        </w:r>
        <w:r w:rsidR="006D0B72">
          <w:rPr>
            <w:rFonts w:asciiTheme="minorHAnsi" w:eastAsiaTheme="minorEastAsia" w:hAnsiTheme="minorHAnsi"/>
            <w:b w:val="0"/>
            <w:bCs w:val="0"/>
            <w:noProof/>
            <w:color w:val="auto"/>
            <w:sz w:val="22"/>
            <w:szCs w:val="22"/>
            <w:lang w:eastAsia="en-AU"/>
          </w:rPr>
          <w:tab/>
        </w:r>
        <w:r w:rsidR="006D0B72" w:rsidRPr="00A97EE0">
          <w:rPr>
            <w:rStyle w:val="Hyperlink"/>
            <w:noProof/>
          </w:rPr>
          <w:t>Changes since the 2019 Update</w:t>
        </w:r>
        <w:r w:rsidR="006D0B72">
          <w:rPr>
            <w:noProof/>
            <w:webHidden/>
          </w:rPr>
          <w:tab/>
        </w:r>
        <w:r w:rsidR="006D0B72">
          <w:rPr>
            <w:noProof/>
            <w:webHidden/>
          </w:rPr>
          <w:fldChar w:fldCharType="begin"/>
        </w:r>
        <w:r w:rsidR="006D0B72">
          <w:rPr>
            <w:noProof/>
            <w:webHidden/>
          </w:rPr>
          <w:instrText xml:space="preserve"> PAGEREF _Toc33600542 \h </w:instrText>
        </w:r>
        <w:r w:rsidR="006D0B72">
          <w:rPr>
            <w:noProof/>
            <w:webHidden/>
          </w:rPr>
        </w:r>
        <w:r w:rsidR="006D0B72">
          <w:rPr>
            <w:noProof/>
            <w:webHidden/>
          </w:rPr>
          <w:fldChar w:fldCharType="separate"/>
        </w:r>
        <w:r w:rsidR="003D49C2">
          <w:rPr>
            <w:noProof/>
            <w:webHidden/>
          </w:rPr>
          <w:t>4</w:t>
        </w:r>
        <w:r w:rsidR="006D0B72">
          <w:rPr>
            <w:noProof/>
            <w:webHidden/>
          </w:rPr>
          <w:fldChar w:fldCharType="end"/>
        </w:r>
      </w:hyperlink>
    </w:p>
    <w:p w14:paraId="13BD9B16" w14:textId="1B9D17C9" w:rsidR="006D0B72" w:rsidRDefault="006B490F">
      <w:pPr>
        <w:pStyle w:val="TOC3"/>
        <w:rPr>
          <w:rFonts w:asciiTheme="minorHAnsi" w:eastAsiaTheme="minorEastAsia" w:hAnsiTheme="minorHAnsi"/>
          <w:iCs w:val="0"/>
          <w:noProof/>
          <w:color w:val="auto"/>
          <w:sz w:val="22"/>
          <w:lang w:eastAsia="en-AU"/>
        </w:rPr>
      </w:pPr>
      <w:hyperlink w:anchor="_Toc33600543" w:history="1">
        <w:r w:rsidR="006D0B72" w:rsidRPr="00A97EE0">
          <w:rPr>
            <w:rStyle w:val="Hyperlink"/>
            <w:noProof/>
          </w:rPr>
          <w:t>Why State fiscal capacities have changed</w:t>
        </w:r>
        <w:r w:rsidR="006D0B72">
          <w:rPr>
            <w:noProof/>
            <w:webHidden/>
          </w:rPr>
          <w:tab/>
        </w:r>
        <w:r w:rsidR="006D0B72">
          <w:rPr>
            <w:noProof/>
            <w:webHidden/>
          </w:rPr>
          <w:fldChar w:fldCharType="begin"/>
        </w:r>
        <w:r w:rsidR="006D0B72">
          <w:rPr>
            <w:noProof/>
            <w:webHidden/>
          </w:rPr>
          <w:instrText xml:space="preserve"> PAGEREF _Toc33600543 \h </w:instrText>
        </w:r>
        <w:r w:rsidR="006D0B72">
          <w:rPr>
            <w:noProof/>
            <w:webHidden/>
          </w:rPr>
        </w:r>
        <w:r w:rsidR="006D0B72">
          <w:rPr>
            <w:noProof/>
            <w:webHidden/>
          </w:rPr>
          <w:fldChar w:fldCharType="separate"/>
        </w:r>
        <w:r w:rsidR="003D49C2">
          <w:rPr>
            <w:noProof/>
            <w:webHidden/>
          </w:rPr>
          <w:t>4</w:t>
        </w:r>
        <w:r w:rsidR="006D0B72">
          <w:rPr>
            <w:noProof/>
            <w:webHidden/>
          </w:rPr>
          <w:fldChar w:fldCharType="end"/>
        </w:r>
      </w:hyperlink>
    </w:p>
    <w:p w14:paraId="6BF348D9" w14:textId="2734A6EA" w:rsidR="006D0B72" w:rsidRDefault="006B490F">
      <w:pPr>
        <w:pStyle w:val="TOC3"/>
        <w:rPr>
          <w:rFonts w:asciiTheme="minorHAnsi" w:eastAsiaTheme="minorEastAsia" w:hAnsiTheme="minorHAnsi"/>
          <w:iCs w:val="0"/>
          <w:noProof/>
          <w:color w:val="auto"/>
          <w:sz w:val="22"/>
          <w:lang w:eastAsia="en-AU"/>
        </w:rPr>
      </w:pPr>
      <w:hyperlink w:anchor="_Toc33600544" w:history="1">
        <w:r w:rsidR="006D0B72" w:rsidRPr="00A97EE0">
          <w:rPr>
            <w:rStyle w:val="Hyperlink"/>
            <w:noProof/>
          </w:rPr>
          <w:t>Method changes</w:t>
        </w:r>
        <w:r w:rsidR="006D0B72">
          <w:rPr>
            <w:noProof/>
            <w:webHidden/>
          </w:rPr>
          <w:tab/>
        </w:r>
        <w:r w:rsidR="006D0B72">
          <w:rPr>
            <w:noProof/>
            <w:webHidden/>
          </w:rPr>
          <w:fldChar w:fldCharType="begin"/>
        </w:r>
        <w:r w:rsidR="006D0B72">
          <w:rPr>
            <w:noProof/>
            <w:webHidden/>
          </w:rPr>
          <w:instrText xml:space="preserve"> PAGEREF _Toc33600544 \h </w:instrText>
        </w:r>
        <w:r w:rsidR="006D0B72">
          <w:rPr>
            <w:noProof/>
            <w:webHidden/>
          </w:rPr>
        </w:r>
        <w:r w:rsidR="006D0B72">
          <w:rPr>
            <w:noProof/>
            <w:webHidden/>
          </w:rPr>
          <w:fldChar w:fldCharType="separate"/>
        </w:r>
        <w:r w:rsidR="003D49C2">
          <w:rPr>
            <w:noProof/>
            <w:webHidden/>
          </w:rPr>
          <w:t>5</w:t>
        </w:r>
        <w:r w:rsidR="006D0B72">
          <w:rPr>
            <w:noProof/>
            <w:webHidden/>
          </w:rPr>
          <w:fldChar w:fldCharType="end"/>
        </w:r>
      </w:hyperlink>
    </w:p>
    <w:p w14:paraId="6F3E8CF6" w14:textId="1416E97B" w:rsidR="006D0B72" w:rsidRDefault="006B490F">
      <w:pPr>
        <w:pStyle w:val="TOC3"/>
        <w:rPr>
          <w:rFonts w:asciiTheme="minorHAnsi" w:eastAsiaTheme="minorEastAsia" w:hAnsiTheme="minorHAnsi"/>
          <w:iCs w:val="0"/>
          <w:noProof/>
          <w:color w:val="auto"/>
          <w:sz w:val="22"/>
          <w:lang w:eastAsia="en-AU"/>
        </w:rPr>
      </w:pPr>
      <w:hyperlink w:anchor="_Toc33600545" w:history="1">
        <w:r w:rsidR="006D0B72" w:rsidRPr="00A97EE0">
          <w:rPr>
            <w:rStyle w:val="Hyperlink"/>
            <w:noProof/>
          </w:rPr>
          <w:t>Data revisions</w:t>
        </w:r>
        <w:r w:rsidR="006D0B72">
          <w:rPr>
            <w:noProof/>
            <w:webHidden/>
          </w:rPr>
          <w:tab/>
        </w:r>
        <w:r w:rsidR="006D0B72">
          <w:rPr>
            <w:noProof/>
            <w:webHidden/>
          </w:rPr>
          <w:fldChar w:fldCharType="begin"/>
        </w:r>
        <w:r w:rsidR="006D0B72">
          <w:rPr>
            <w:noProof/>
            <w:webHidden/>
          </w:rPr>
          <w:instrText xml:space="preserve"> PAGEREF _Toc33600545 \h </w:instrText>
        </w:r>
        <w:r w:rsidR="006D0B72">
          <w:rPr>
            <w:noProof/>
            <w:webHidden/>
          </w:rPr>
        </w:r>
        <w:r w:rsidR="006D0B72">
          <w:rPr>
            <w:noProof/>
            <w:webHidden/>
          </w:rPr>
          <w:fldChar w:fldCharType="separate"/>
        </w:r>
        <w:r w:rsidR="003D49C2">
          <w:rPr>
            <w:noProof/>
            <w:webHidden/>
          </w:rPr>
          <w:t>8</w:t>
        </w:r>
        <w:r w:rsidR="006D0B72">
          <w:rPr>
            <w:noProof/>
            <w:webHidden/>
          </w:rPr>
          <w:fldChar w:fldCharType="end"/>
        </w:r>
      </w:hyperlink>
    </w:p>
    <w:p w14:paraId="4DB2BB5E" w14:textId="1B480361" w:rsidR="006D0B72" w:rsidRDefault="006B490F">
      <w:pPr>
        <w:pStyle w:val="TOC3"/>
        <w:rPr>
          <w:rFonts w:asciiTheme="minorHAnsi" w:eastAsiaTheme="minorEastAsia" w:hAnsiTheme="minorHAnsi"/>
          <w:iCs w:val="0"/>
          <w:noProof/>
          <w:color w:val="auto"/>
          <w:sz w:val="22"/>
          <w:lang w:eastAsia="en-AU"/>
        </w:rPr>
      </w:pPr>
      <w:hyperlink w:anchor="_Toc33600546" w:history="1">
        <w:r w:rsidR="006D0B72" w:rsidRPr="00A97EE0">
          <w:rPr>
            <w:rStyle w:val="Hyperlink"/>
            <w:noProof/>
          </w:rPr>
          <w:t>Changes in State circumstances</w:t>
        </w:r>
        <w:r w:rsidR="006D0B72">
          <w:rPr>
            <w:noProof/>
            <w:webHidden/>
          </w:rPr>
          <w:tab/>
        </w:r>
        <w:r w:rsidR="006D0B72">
          <w:rPr>
            <w:noProof/>
            <w:webHidden/>
          </w:rPr>
          <w:fldChar w:fldCharType="begin"/>
        </w:r>
        <w:r w:rsidR="006D0B72">
          <w:rPr>
            <w:noProof/>
            <w:webHidden/>
          </w:rPr>
          <w:instrText xml:space="preserve"> PAGEREF _Toc33600546 \h </w:instrText>
        </w:r>
        <w:r w:rsidR="006D0B72">
          <w:rPr>
            <w:noProof/>
            <w:webHidden/>
          </w:rPr>
        </w:r>
        <w:r w:rsidR="006D0B72">
          <w:rPr>
            <w:noProof/>
            <w:webHidden/>
          </w:rPr>
          <w:fldChar w:fldCharType="separate"/>
        </w:r>
        <w:r w:rsidR="003D49C2">
          <w:rPr>
            <w:noProof/>
            <w:webHidden/>
          </w:rPr>
          <w:t>9</w:t>
        </w:r>
        <w:r w:rsidR="006D0B72">
          <w:rPr>
            <w:noProof/>
            <w:webHidden/>
          </w:rPr>
          <w:fldChar w:fldCharType="end"/>
        </w:r>
      </w:hyperlink>
    </w:p>
    <w:p w14:paraId="5CCAE4AE" w14:textId="548AC490" w:rsidR="006D0B72" w:rsidRDefault="006B490F">
      <w:pPr>
        <w:pStyle w:val="TOC4"/>
        <w:rPr>
          <w:rFonts w:asciiTheme="minorHAnsi" w:eastAsiaTheme="minorEastAsia" w:hAnsiTheme="minorHAnsi"/>
          <w:i w:val="0"/>
          <w:noProof/>
          <w:color w:val="auto"/>
          <w:sz w:val="22"/>
          <w:lang w:eastAsia="en-AU"/>
        </w:rPr>
      </w:pPr>
      <w:hyperlink w:anchor="_Toc33600547" w:history="1">
        <w:r w:rsidR="006D0B72" w:rsidRPr="00A97EE0">
          <w:rPr>
            <w:rStyle w:val="Hyperlink"/>
            <w:noProof/>
          </w:rPr>
          <w:t>Revenue including Commonwealth payments</w:t>
        </w:r>
        <w:r w:rsidR="006D0B72">
          <w:rPr>
            <w:noProof/>
            <w:webHidden/>
          </w:rPr>
          <w:tab/>
        </w:r>
        <w:r w:rsidR="006D0B72">
          <w:rPr>
            <w:noProof/>
            <w:webHidden/>
          </w:rPr>
          <w:fldChar w:fldCharType="begin"/>
        </w:r>
        <w:r w:rsidR="006D0B72">
          <w:rPr>
            <w:noProof/>
            <w:webHidden/>
          </w:rPr>
          <w:instrText xml:space="preserve"> PAGEREF _Toc33600547 \h </w:instrText>
        </w:r>
        <w:r w:rsidR="006D0B72">
          <w:rPr>
            <w:noProof/>
            <w:webHidden/>
          </w:rPr>
        </w:r>
        <w:r w:rsidR="006D0B72">
          <w:rPr>
            <w:noProof/>
            <w:webHidden/>
          </w:rPr>
          <w:fldChar w:fldCharType="separate"/>
        </w:r>
        <w:r w:rsidR="003D49C2">
          <w:rPr>
            <w:noProof/>
            <w:webHidden/>
          </w:rPr>
          <w:t>11</w:t>
        </w:r>
        <w:r w:rsidR="006D0B72">
          <w:rPr>
            <w:noProof/>
            <w:webHidden/>
          </w:rPr>
          <w:fldChar w:fldCharType="end"/>
        </w:r>
      </w:hyperlink>
    </w:p>
    <w:p w14:paraId="6EB3D7C0" w14:textId="2217C946" w:rsidR="006D0B72" w:rsidRDefault="006B490F">
      <w:pPr>
        <w:pStyle w:val="TOC4"/>
        <w:rPr>
          <w:rFonts w:asciiTheme="minorHAnsi" w:eastAsiaTheme="minorEastAsia" w:hAnsiTheme="minorHAnsi"/>
          <w:i w:val="0"/>
          <w:noProof/>
          <w:color w:val="auto"/>
          <w:sz w:val="22"/>
          <w:lang w:eastAsia="en-AU"/>
        </w:rPr>
      </w:pPr>
      <w:hyperlink w:anchor="_Toc33600548" w:history="1">
        <w:r w:rsidR="006D0B72" w:rsidRPr="00A97EE0">
          <w:rPr>
            <w:rStyle w:val="Hyperlink"/>
            <w:noProof/>
          </w:rPr>
          <w:t>Expenditure</w:t>
        </w:r>
        <w:r w:rsidR="006D0B72">
          <w:rPr>
            <w:noProof/>
            <w:webHidden/>
          </w:rPr>
          <w:tab/>
        </w:r>
        <w:r w:rsidR="006D0B72">
          <w:rPr>
            <w:noProof/>
            <w:webHidden/>
          </w:rPr>
          <w:fldChar w:fldCharType="begin"/>
        </w:r>
        <w:r w:rsidR="006D0B72">
          <w:rPr>
            <w:noProof/>
            <w:webHidden/>
          </w:rPr>
          <w:instrText xml:space="preserve"> PAGEREF _Toc33600548 \h </w:instrText>
        </w:r>
        <w:r w:rsidR="006D0B72">
          <w:rPr>
            <w:noProof/>
            <w:webHidden/>
          </w:rPr>
        </w:r>
        <w:r w:rsidR="006D0B72">
          <w:rPr>
            <w:noProof/>
            <w:webHidden/>
          </w:rPr>
          <w:fldChar w:fldCharType="separate"/>
        </w:r>
        <w:r w:rsidR="003D49C2">
          <w:rPr>
            <w:noProof/>
            <w:webHidden/>
          </w:rPr>
          <w:t>16</w:t>
        </w:r>
        <w:r w:rsidR="006D0B72">
          <w:rPr>
            <w:noProof/>
            <w:webHidden/>
          </w:rPr>
          <w:fldChar w:fldCharType="end"/>
        </w:r>
      </w:hyperlink>
    </w:p>
    <w:p w14:paraId="0468DA36" w14:textId="31ADB5D9" w:rsidR="006D0B72" w:rsidRDefault="006B490F">
      <w:pPr>
        <w:pStyle w:val="TOC1"/>
        <w:tabs>
          <w:tab w:val="left" w:pos="680"/>
        </w:tabs>
        <w:rPr>
          <w:rFonts w:asciiTheme="minorHAnsi" w:eastAsiaTheme="minorEastAsia" w:hAnsiTheme="minorHAnsi"/>
          <w:b w:val="0"/>
          <w:bCs w:val="0"/>
          <w:noProof/>
          <w:color w:val="auto"/>
          <w:sz w:val="22"/>
          <w:szCs w:val="22"/>
          <w:lang w:eastAsia="en-AU"/>
        </w:rPr>
      </w:pPr>
      <w:hyperlink w:anchor="_Toc33600549" w:history="1">
        <w:r w:rsidR="006D0B72" w:rsidRPr="00A97EE0">
          <w:rPr>
            <w:rStyle w:val="Hyperlink"/>
            <w:noProof/>
          </w:rPr>
          <w:t>3</w:t>
        </w:r>
        <w:r w:rsidR="006D0B72">
          <w:rPr>
            <w:rFonts w:asciiTheme="minorHAnsi" w:eastAsiaTheme="minorEastAsia" w:hAnsiTheme="minorHAnsi"/>
            <w:b w:val="0"/>
            <w:bCs w:val="0"/>
            <w:noProof/>
            <w:color w:val="auto"/>
            <w:sz w:val="22"/>
            <w:szCs w:val="22"/>
            <w:lang w:eastAsia="en-AU"/>
          </w:rPr>
          <w:tab/>
        </w:r>
        <w:r w:rsidR="006D0B72" w:rsidRPr="00A97EE0">
          <w:rPr>
            <w:rStyle w:val="Hyperlink"/>
            <w:noProof/>
          </w:rPr>
          <w:t>State by State changes</w:t>
        </w:r>
        <w:r w:rsidR="006D0B72">
          <w:rPr>
            <w:noProof/>
            <w:webHidden/>
          </w:rPr>
          <w:tab/>
        </w:r>
        <w:r w:rsidR="006D0B72">
          <w:rPr>
            <w:noProof/>
            <w:webHidden/>
          </w:rPr>
          <w:fldChar w:fldCharType="begin"/>
        </w:r>
        <w:r w:rsidR="006D0B72">
          <w:rPr>
            <w:noProof/>
            <w:webHidden/>
          </w:rPr>
          <w:instrText xml:space="preserve"> PAGEREF _Toc33600549 \h </w:instrText>
        </w:r>
        <w:r w:rsidR="006D0B72">
          <w:rPr>
            <w:noProof/>
            <w:webHidden/>
          </w:rPr>
        </w:r>
        <w:r w:rsidR="006D0B72">
          <w:rPr>
            <w:noProof/>
            <w:webHidden/>
          </w:rPr>
          <w:fldChar w:fldCharType="separate"/>
        </w:r>
        <w:r w:rsidR="003D49C2">
          <w:rPr>
            <w:noProof/>
            <w:webHidden/>
          </w:rPr>
          <w:t>17</w:t>
        </w:r>
        <w:r w:rsidR="006D0B72">
          <w:rPr>
            <w:noProof/>
            <w:webHidden/>
          </w:rPr>
          <w:fldChar w:fldCharType="end"/>
        </w:r>
      </w:hyperlink>
    </w:p>
    <w:p w14:paraId="45880E07" w14:textId="7EA8BD09" w:rsidR="006D0B72" w:rsidRDefault="006B490F">
      <w:pPr>
        <w:pStyle w:val="TOC3"/>
        <w:rPr>
          <w:rFonts w:asciiTheme="minorHAnsi" w:eastAsiaTheme="minorEastAsia" w:hAnsiTheme="minorHAnsi"/>
          <w:iCs w:val="0"/>
          <w:noProof/>
          <w:color w:val="auto"/>
          <w:sz w:val="22"/>
          <w:lang w:eastAsia="en-AU"/>
        </w:rPr>
      </w:pPr>
      <w:hyperlink w:anchor="_Toc33600550" w:history="1">
        <w:r w:rsidR="006D0B72" w:rsidRPr="00A97EE0">
          <w:rPr>
            <w:rStyle w:val="Hyperlink"/>
            <w:noProof/>
          </w:rPr>
          <w:t>New South Wales</w:t>
        </w:r>
        <w:r w:rsidR="006D0B72">
          <w:rPr>
            <w:noProof/>
            <w:webHidden/>
          </w:rPr>
          <w:tab/>
        </w:r>
        <w:r w:rsidR="006D0B72">
          <w:rPr>
            <w:noProof/>
            <w:webHidden/>
          </w:rPr>
          <w:fldChar w:fldCharType="begin"/>
        </w:r>
        <w:r w:rsidR="006D0B72">
          <w:rPr>
            <w:noProof/>
            <w:webHidden/>
          </w:rPr>
          <w:instrText xml:space="preserve"> PAGEREF _Toc33600550 \h </w:instrText>
        </w:r>
        <w:r w:rsidR="006D0B72">
          <w:rPr>
            <w:noProof/>
            <w:webHidden/>
          </w:rPr>
        </w:r>
        <w:r w:rsidR="006D0B72">
          <w:rPr>
            <w:noProof/>
            <w:webHidden/>
          </w:rPr>
          <w:fldChar w:fldCharType="separate"/>
        </w:r>
        <w:r w:rsidR="003D49C2">
          <w:rPr>
            <w:noProof/>
            <w:webHidden/>
          </w:rPr>
          <w:t>18</w:t>
        </w:r>
        <w:r w:rsidR="006D0B72">
          <w:rPr>
            <w:noProof/>
            <w:webHidden/>
          </w:rPr>
          <w:fldChar w:fldCharType="end"/>
        </w:r>
      </w:hyperlink>
    </w:p>
    <w:p w14:paraId="0F8EF62B" w14:textId="1A5424EA" w:rsidR="006D0B72" w:rsidRDefault="006B490F">
      <w:pPr>
        <w:pStyle w:val="TOC3"/>
        <w:rPr>
          <w:rFonts w:asciiTheme="minorHAnsi" w:eastAsiaTheme="minorEastAsia" w:hAnsiTheme="minorHAnsi"/>
          <w:iCs w:val="0"/>
          <w:noProof/>
          <w:color w:val="auto"/>
          <w:sz w:val="22"/>
          <w:lang w:eastAsia="en-AU"/>
        </w:rPr>
      </w:pPr>
      <w:hyperlink w:anchor="_Toc33600551" w:history="1">
        <w:r w:rsidR="006D0B72" w:rsidRPr="00A97EE0">
          <w:rPr>
            <w:rStyle w:val="Hyperlink"/>
            <w:noProof/>
          </w:rPr>
          <w:t>Victoria</w:t>
        </w:r>
        <w:r w:rsidR="006D0B72">
          <w:rPr>
            <w:noProof/>
            <w:webHidden/>
          </w:rPr>
          <w:tab/>
        </w:r>
        <w:r w:rsidR="006D0B72">
          <w:rPr>
            <w:noProof/>
            <w:webHidden/>
          </w:rPr>
          <w:fldChar w:fldCharType="begin"/>
        </w:r>
        <w:r w:rsidR="006D0B72">
          <w:rPr>
            <w:noProof/>
            <w:webHidden/>
          </w:rPr>
          <w:instrText xml:space="preserve"> PAGEREF _Toc33600551 \h </w:instrText>
        </w:r>
        <w:r w:rsidR="006D0B72">
          <w:rPr>
            <w:noProof/>
            <w:webHidden/>
          </w:rPr>
        </w:r>
        <w:r w:rsidR="006D0B72">
          <w:rPr>
            <w:noProof/>
            <w:webHidden/>
          </w:rPr>
          <w:fldChar w:fldCharType="separate"/>
        </w:r>
        <w:r w:rsidR="003D49C2">
          <w:rPr>
            <w:noProof/>
            <w:webHidden/>
          </w:rPr>
          <w:t>19</w:t>
        </w:r>
        <w:r w:rsidR="006D0B72">
          <w:rPr>
            <w:noProof/>
            <w:webHidden/>
          </w:rPr>
          <w:fldChar w:fldCharType="end"/>
        </w:r>
      </w:hyperlink>
    </w:p>
    <w:p w14:paraId="7A867801" w14:textId="386F87A5" w:rsidR="006D0B72" w:rsidRDefault="006B490F">
      <w:pPr>
        <w:pStyle w:val="TOC3"/>
        <w:rPr>
          <w:rFonts w:asciiTheme="minorHAnsi" w:eastAsiaTheme="minorEastAsia" w:hAnsiTheme="minorHAnsi"/>
          <w:iCs w:val="0"/>
          <w:noProof/>
          <w:color w:val="auto"/>
          <w:sz w:val="22"/>
          <w:lang w:eastAsia="en-AU"/>
        </w:rPr>
      </w:pPr>
      <w:hyperlink w:anchor="_Toc33600552" w:history="1">
        <w:r w:rsidR="006D0B72" w:rsidRPr="00A97EE0">
          <w:rPr>
            <w:rStyle w:val="Hyperlink"/>
            <w:noProof/>
          </w:rPr>
          <w:t>Queensland</w:t>
        </w:r>
        <w:r w:rsidR="006D0B72">
          <w:rPr>
            <w:noProof/>
            <w:webHidden/>
          </w:rPr>
          <w:tab/>
        </w:r>
        <w:r w:rsidR="006D0B72">
          <w:rPr>
            <w:noProof/>
            <w:webHidden/>
          </w:rPr>
          <w:fldChar w:fldCharType="begin"/>
        </w:r>
        <w:r w:rsidR="006D0B72">
          <w:rPr>
            <w:noProof/>
            <w:webHidden/>
          </w:rPr>
          <w:instrText xml:space="preserve"> PAGEREF _Toc33600552 \h </w:instrText>
        </w:r>
        <w:r w:rsidR="006D0B72">
          <w:rPr>
            <w:noProof/>
            <w:webHidden/>
          </w:rPr>
        </w:r>
        <w:r w:rsidR="006D0B72">
          <w:rPr>
            <w:noProof/>
            <w:webHidden/>
          </w:rPr>
          <w:fldChar w:fldCharType="separate"/>
        </w:r>
        <w:r w:rsidR="003D49C2">
          <w:rPr>
            <w:noProof/>
            <w:webHidden/>
          </w:rPr>
          <w:t>20</w:t>
        </w:r>
        <w:r w:rsidR="006D0B72">
          <w:rPr>
            <w:noProof/>
            <w:webHidden/>
          </w:rPr>
          <w:fldChar w:fldCharType="end"/>
        </w:r>
      </w:hyperlink>
    </w:p>
    <w:p w14:paraId="13B6BAE6" w14:textId="676CB807" w:rsidR="006D0B72" w:rsidRDefault="006B490F">
      <w:pPr>
        <w:pStyle w:val="TOC3"/>
        <w:rPr>
          <w:rFonts w:asciiTheme="minorHAnsi" w:eastAsiaTheme="minorEastAsia" w:hAnsiTheme="minorHAnsi"/>
          <w:iCs w:val="0"/>
          <w:noProof/>
          <w:color w:val="auto"/>
          <w:sz w:val="22"/>
          <w:lang w:eastAsia="en-AU"/>
        </w:rPr>
      </w:pPr>
      <w:hyperlink w:anchor="_Toc33600553" w:history="1">
        <w:r w:rsidR="006D0B72" w:rsidRPr="00A97EE0">
          <w:rPr>
            <w:rStyle w:val="Hyperlink"/>
            <w:noProof/>
          </w:rPr>
          <w:t>Western Australia</w:t>
        </w:r>
        <w:r w:rsidR="006D0B72">
          <w:rPr>
            <w:noProof/>
            <w:webHidden/>
          </w:rPr>
          <w:tab/>
        </w:r>
        <w:r w:rsidR="006D0B72">
          <w:rPr>
            <w:noProof/>
            <w:webHidden/>
          </w:rPr>
          <w:fldChar w:fldCharType="begin"/>
        </w:r>
        <w:r w:rsidR="006D0B72">
          <w:rPr>
            <w:noProof/>
            <w:webHidden/>
          </w:rPr>
          <w:instrText xml:space="preserve"> PAGEREF _Toc33600553 \h </w:instrText>
        </w:r>
        <w:r w:rsidR="006D0B72">
          <w:rPr>
            <w:noProof/>
            <w:webHidden/>
          </w:rPr>
        </w:r>
        <w:r w:rsidR="006D0B72">
          <w:rPr>
            <w:noProof/>
            <w:webHidden/>
          </w:rPr>
          <w:fldChar w:fldCharType="separate"/>
        </w:r>
        <w:r w:rsidR="003D49C2">
          <w:rPr>
            <w:noProof/>
            <w:webHidden/>
          </w:rPr>
          <w:t>21</w:t>
        </w:r>
        <w:r w:rsidR="006D0B72">
          <w:rPr>
            <w:noProof/>
            <w:webHidden/>
          </w:rPr>
          <w:fldChar w:fldCharType="end"/>
        </w:r>
      </w:hyperlink>
    </w:p>
    <w:p w14:paraId="642CB8D5" w14:textId="450F6742" w:rsidR="006D0B72" w:rsidRDefault="006B490F">
      <w:pPr>
        <w:pStyle w:val="TOC3"/>
        <w:rPr>
          <w:rFonts w:asciiTheme="minorHAnsi" w:eastAsiaTheme="minorEastAsia" w:hAnsiTheme="minorHAnsi"/>
          <w:iCs w:val="0"/>
          <w:noProof/>
          <w:color w:val="auto"/>
          <w:sz w:val="22"/>
          <w:lang w:eastAsia="en-AU"/>
        </w:rPr>
      </w:pPr>
      <w:hyperlink w:anchor="_Toc33600554" w:history="1">
        <w:r w:rsidR="006D0B72" w:rsidRPr="00A97EE0">
          <w:rPr>
            <w:rStyle w:val="Hyperlink"/>
            <w:noProof/>
          </w:rPr>
          <w:t>South Australia</w:t>
        </w:r>
        <w:r w:rsidR="006D0B72">
          <w:rPr>
            <w:noProof/>
            <w:webHidden/>
          </w:rPr>
          <w:tab/>
        </w:r>
        <w:r w:rsidR="006D0B72">
          <w:rPr>
            <w:noProof/>
            <w:webHidden/>
          </w:rPr>
          <w:fldChar w:fldCharType="begin"/>
        </w:r>
        <w:r w:rsidR="006D0B72">
          <w:rPr>
            <w:noProof/>
            <w:webHidden/>
          </w:rPr>
          <w:instrText xml:space="preserve"> PAGEREF _Toc33600554 \h </w:instrText>
        </w:r>
        <w:r w:rsidR="006D0B72">
          <w:rPr>
            <w:noProof/>
            <w:webHidden/>
          </w:rPr>
        </w:r>
        <w:r w:rsidR="006D0B72">
          <w:rPr>
            <w:noProof/>
            <w:webHidden/>
          </w:rPr>
          <w:fldChar w:fldCharType="separate"/>
        </w:r>
        <w:r w:rsidR="003D49C2">
          <w:rPr>
            <w:noProof/>
            <w:webHidden/>
          </w:rPr>
          <w:t>22</w:t>
        </w:r>
        <w:r w:rsidR="006D0B72">
          <w:rPr>
            <w:noProof/>
            <w:webHidden/>
          </w:rPr>
          <w:fldChar w:fldCharType="end"/>
        </w:r>
      </w:hyperlink>
    </w:p>
    <w:p w14:paraId="22BBB4D3" w14:textId="428E97E2" w:rsidR="006D0B72" w:rsidRDefault="006B490F">
      <w:pPr>
        <w:pStyle w:val="TOC3"/>
        <w:rPr>
          <w:rFonts w:asciiTheme="minorHAnsi" w:eastAsiaTheme="minorEastAsia" w:hAnsiTheme="minorHAnsi"/>
          <w:iCs w:val="0"/>
          <w:noProof/>
          <w:color w:val="auto"/>
          <w:sz w:val="22"/>
          <w:lang w:eastAsia="en-AU"/>
        </w:rPr>
      </w:pPr>
      <w:hyperlink w:anchor="_Toc33600555" w:history="1">
        <w:r w:rsidR="006D0B72" w:rsidRPr="00A97EE0">
          <w:rPr>
            <w:rStyle w:val="Hyperlink"/>
            <w:noProof/>
          </w:rPr>
          <w:t>Tasmania</w:t>
        </w:r>
        <w:r w:rsidR="006D0B72">
          <w:rPr>
            <w:noProof/>
            <w:webHidden/>
          </w:rPr>
          <w:tab/>
        </w:r>
        <w:r w:rsidR="006D0B72">
          <w:rPr>
            <w:noProof/>
            <w:webHidden/>
          </w:rPr>
          <w:fldChar w:fldCharType="begin"/>
        </w:r>
        <w:r w:rsidR="006D0B72">
          <w:rPr>
            <w:noProof/>
            <w:webHidden/>
          </w:rPr>
          <w:instrText xml:space="preserve"> PAGEREF _Toc33600555 \h </w:instrText>
        </w:r>
        <w:r w:rsidR="006D0B72">
          <w:rPr>
            <w:noProof/>
            <w:webHidden/>
          </w:rPr>
        </w:r>
        <w:r w:rsidR="006D0B72">
          <w:rPr>
            <w:noProof/>
            <w:webHidden/>
          </w:rPr>
          <w:fldChar w:fldCharType="separate"/>
        </w:r>
        <w:r w:rsidR="003D49C2">
          <w:rPr>
            <w:noProof/>
            <w:webHidden/>
          </w:rPr>
          <w:t>23</w:t>
        </w:r>
        <w:r w:rsidR="006D0B72">
          <w:rPr>
            <w:noProof/>
            <w:webHidden/>
          </w:rPr>
          <w:fldChar w:fldCharType="end"/>
        </w:r>
      </w:hyperlink>
    </w:p>
    <w:p w14:paraId="1614B648" w14:textId="1BE26C4B" w:rsidR="006D0B72" w:rsidRDefault="006B490F">
      <w:pPr>
        <w:pStyle w:val="TOC3"/>
        <w:rPr>
          <w:rFonts w:asciiTheme="minorHAnsi" w:eastAsiaTheme="minorEastAsia" w:hAnsiTheme="minorHAnsi"/>
          <w:iCs w:val="0"/>
          <w:noProof/>
          <w:color w:val="auto"/>
          <w:sz w:val="22"/>
          <w:lang w:eastAsia="en-AU"/>
        </w:rPr>
      </w:pPr>
      <w:hyperlink w:anchor="_Toc33600556" w:history="1">
        <w:r w:rsidR="006D0B72" w:rsidRPr="00A97EE0">
          <w:rPr>
            <w:rStyle w:val="Hyperlink"/>
            <w:noProof/>
          </w:rPr>
          <w:t>Australian Capital Territory</w:t>
        </w:r>
        <w:r w:rsidR="006D0B72">
          <w:rPr>
            <w:noProof/>
            <w:webHidden/>
          </w:rPr>
          <w:tab/>
        </w:r>
        <w:r w:rsidR="006D0B72">
          <w:rPr>
            <w:noProof/>
            <w:webHidden/>
          </w:rPr>
          <w:fldChar w:fldCharType="begin"/>
        </w:r>
        <w:r w:rsidR="006D0B72">
          <w:rPr>
            <w:noProof/>
            <w:webHidden/>
          </w:rPr>
          <w:instrText xml:space="preserve"> PAGEREF _Toc33600556 \h </w:instrText>
        </w:r>
        <w:r w:rsidR="006D0B72">
          <w:rPr>
            <w:noProof/>
            <w:webHidden/>
          </w:rPr>
        </w:r>
        <w:r w:rsidR="006D0B72">
          <w:rPr>
            <w:noProof/>
            <w:webHidden/>
          </w:rPr>
          <w:fldChar w:fldCharType="separate"/>
        </w:r>
        <w:r w:rsidR="003D49C2">
          <w:rPr>
            <w:noProof/>
            <w:webHidden/>
          </w:rPr>
          <w:t>24</w:t>
        </w:r>
        <w:r w:rsidR="006D0B72">
          <w:rPr>
            <w:noProof/>
            <w:webHidden/>
          </w:rPr>
          <w:fldChar w:fldCharType="end"/>
        </w:r>
      </w:hyperlink>
    </w:p>
    <w:p w14:paraId="33A1A167" w14:textId="246D7654" w:rsidR="006D0B72" w:rsidRDefault="006B490F">
      <w:pPr>
        <w:pStyle w:val="TOC3"/>
        <w:rPr>
          <w:rFonts w:asciiTheme="minorHAnsi" w:eastAsiaTheme="minorEastAsia" w:hAnsiTheme="minorHAnsi"/>
          <w:iCs w:val="0"/>
          <w:noProof/>
          <w:color w:val="auto"/>
          <w:sz w:val="22"/>
          <w:lang w:eastAsia="en-AU"/>
        </w:rPr>
      </w:pPr>
      <w:hyperlink w:anchor="_Toc33600557" w:history="1">
        <w:r w:rsidR="006D0B72" w:rsidRPr="00A97EE0">
          <w:rPr>
            <w:rStyle w:val="Hyperlink"/>
            <w:noProof/>
          </w:rPr>
          <w:t>Northern Territory</w:t>
        </w:r>
        <w:r w:rsidR="006D0B72">
          <w:rPr>
            <w:noProof/>
            <w:webHidden/>
          </w:rPr>
          <w:tab/>
        </w:r>
        <w:r w:rsidR="006D0B72">
          <w:rPr>
            <w:noProof/>
            <w:webHidden/>
          </w:rPr>
          <w:fldChar w:fldCharType="begin"/>
        </w:r>
        <w:r w:rsidR="006D0B72">
          <w:rPr>
            <w:noProof/>
            <w:webHidden/>
          </w:rPr>
          <w:instrText xml:space="preserve"> PAGEREF _Toc33600557 \h </w:instrText>
        </w:r>
        <w:r w:rsidR="006D0B72">
          <w:rPr>
            <w:noProof/>
            <w:webHidden/>
          </w:rPr>
        </w:r>
        <w:r w:rsidR="006D0B72">
          <w:rPr>
            <w:noProof/>
            <w:webHidden/>
          </w:rPr>
          <w:fldChar w:fldCharType="separate"/>
        </w:r>
        <w:r w:rsidR="003D49C2">
          <w:rPr>
            <w:noProof/>
            <w:webHidden/>
          </w:rPr>
          <w:t>25</w:t>
        </w:r>
        <w:r w:rsidR="006D0B72">
          <w:rPr>
            <w:noProof/>
            <w:webHidden/>
          </w:rPr>
          <w:fldChar w:fldCharType="end"/>
        </w:r>
      </w:hyperlink>
    </w:p>
    <w:p w14:paraId="5AB9BD90" w14:textId="29A6BD2B" w:rsidR="006D0B72" w:rsidRDefault="006B490F">
      <w:pPr>
        <w:pStyle w:val="TOC1"/>
        <w:tabs>
          <w:tab w:val="left" w:pos="680"/>
        </w:tabs>
        <w:rPr>
          <w:rFonts w:asciiTheme="minorHAnsi" w:eastAsiaTheme="minorEastAsia" w:hAnsiTheme="minorHAnsi"/>
          <w:b w:val="0"/>
          <w:bCs w:val="0"/>
          <w:noProof/>
          <w:color w:val="auto"/>
          <w:sz w:val="22"/>
          <w:szCs w:val="22"/>
          <w:lang w:eastAsia="en-AU"/>
        </w:rPr>
      </w:pPr>
      <w:hyperlink w:anchor="_Toc33600558" w:history="1">
        <w:r w:rsidR="006D0B72" w:rsidRPr="00A97EE0">
          <w:rPr>
            <w:rStyle w:val="Hyperlink"/>
            <w:noProof/>
          </w:rPr>
          <w:t>4</w:t>
        </w:r>
        <w:r w:rsidR="006D0B72">
          <w:rPr>
            <w:rFonts w:asciiTheme="minorHAnsi" w:eastAsiaTheme="minorEastAsia" w:hAnsiTheme="minorHAnsi"/>
            <w:b w:val="0"/>
            <w:bCs w:val="0"/>
            <w:noProof/>
            <w:color w:val="auto"/>
            <w:sz w:val="22"/>
            <w:szCs w:val="22"/>
            <w:lang w:eastAsia="en-AU"/>
          </w:rPr>
          <w:tab/>
        </w:r>
        <w:r w:rsidR="006D0B72" w:rsidRPr="00A97EE0">
          <w:rPr>
            <w:rStyle w:val="Hyperlink"/>
            <w:noProof/>
          </w:rPr>
          <w:t>Why State relative fiscal capacities differ</w:t>
        </w:r>
        <w:r w:rsidR="006D0B72">
          <w:rPr>
            <w:noProof/>
            <w:webHidden/>
          </w:rPr>
          <w:tab/>
        </w:r>
        <w:r w:rsidR="006D0B72">
          <w:rPr>
            <w:noProof/>
            <w:webHidden/>
          </w:rPr>
          <w:fldChar w:fldCharType="begin"/>
        </w:r>
        <w:r w:rsidR="006D0B72">
          <w:rPr>
            <w:noProof/>
            <w:webHidden/>
          </w:rPr>
          <w:instrText xml:space="preserve"> PAGEREF _Toc33600558 \h </w:instrText>
        </w:r>
        <w:r w:rsidR="006D0B72">
          <w:rPr>
            <w:noProof/>
            <w:webHidden/>
          </w:rPr>
        </w:r>
        <w:r w:rsidR="006D0B72">
          <w:rPr>
            <w:noProof/>
            <w:webHidden/>
          </w:rPr>
          <w:fldChar w:fldCharType="separate"/>
        </w:r>
        <w:r w:rsidR="003D49C2">
          <w:rPr>
            <w:noProof/>
            <w:webHidden/>
          </w:rPr>
          <w:t>26</w:t>
        </w:r>
        <w:r w:rsidR="006D0B72">
          <w:rPr>
            <w:noProof/>
            <w:webHidden/>
          </w:rPr>
          <w:fldChar w:fldCharType="end"/>
        </w:r>
      </w:hyperlink>
    </w:p>
    <w:p w14:paraId="22AA32A7" w14:textId="1E09AC4D" w:rsidR="006D0B72" w:rsidRDefault="006B490F">
      <w:pPr>
        <w:pStyle w:val="TOC3"/>
        <w:rPr>
          <w:rFonts w:asciiTheme="minorHAnsi" w:eastAsiaTheme="minorEastAsia" w:hAnsiTheme="minorHAnsi"/>
          <w:iCs w:val="0"/>
          <w:noProof/>
          <w:color w:val="auto"/>
          <w:sz w:val="22"/>
          <w:lang w:eastAsia="en-AU"/>
        </w:rPr>
      </w:pPr>
      <w:hyperlink w:anchor="_Toc33600559" w:history="1">
        <w:r w:rsidR="006D0B72" w:rsidRPr="00A97EE0">
          <w:rPr>
            <w:rStyle w:val="Hyperlink"/>
            <w:noProof/>
          </w:rPr>
          <w:t>Differences in State fiscal capacities</w:t>
        </w:r>
        <w:r w:rsidR="006D0B72">
          <w:rPr>
            <w:noProof/>
            <w:webHidden/>
          </w:rPr>
          <w:tab/>
        </w:r>
        <w:r w:rsidR="006D0B72">
          <w:rPr>
            <w:noProof/>
            <w:webHidden/>
          </w:rPr>
          <w:fldChar w:fldCharType="begin"/>
        </w:r>
        <w:r w:rsidR="006D0B72">
          <w:rPr>
            <w:noProof/>
            <w:webHidden/>
          </w:rPr>
          <w:instrText xml:space="preserve"> PAGEREF _Toc33600559 \h </w:instrText>
        </w:r>
        <w:r w:rsidR="006D0B72">
          <w:rPr>
            <w:noProof/>
            <w:webHidden/>
          </w:rPr>
        </w:r>
        <w:r w:rsidR="006D0B72">
          <w:rPr>
            <w:noProof/>
            <w:webHidden/>
          </w:rPr>
          <w:fldChar w:fldCharType="separate"/>
        </w:r>
        <w:r w:rsidR="003D49C2">
          <w:rPr>
            <w:noProof/>
            <w:webHidden/>
          </w:rPr>
          <w:t>26</w:t>
        </w:r>
        <w:r w:rsidR="006D0B72">
          <w:rPr>
            <w:noProof/>
            <w:webHidden/>
          </w:rPr>
          <w:fldChar w:fldCharType="end"/>
        </w:r>
      </w:hyperlink>
    </w:p>
    <w:p w14:paraId="7665F560" w14:textId="1C12257C" w:rsidR="006D0B72" w:rsidRDefault="006B490F">
      <w:pPr>
        <w:pStyle w:val="TOC3"/>
        <w:rPr>
          <w:rFonts w:asciiTheme="minorHAnsi" w:eastAsiaTheme="minorEastAsia" w:hAnsiTheme="minorHAnsi"/>
          <w:iCs w:val="0"/>
          <w:noProof/>
          <w:color w:val="auto"/>
          <w:sz w:val="22"/>
          <w:lang w:eastAsia="en-AU"/>
        </w:rPr>
      </w:pPr>
      <w:hyperlink w:anchor="_Toc33600560" w:history="1">
        <w:r w:rsidR="006D0B72" w:rsidRPr="00A97EE0">
          <w:rPr>
            <w:rStyle w:val="Hyperlink"/>
            <w:noProof/>
          </w:rPr>
          <w:t>Drivers of fiscal differences</w:t>
        </w:r>
        <w:r w:rsidR="006D0B72">
          <w:rPr>
            <w:noProof/>
            <w:webHidden/>
          </w:rPr>
          <w:tab/>
        </w:r>
        <w:r w:rsidR="006D0B72">
          <w:rPr>
            <w:noProof/>
            <w:webHidden/>
          </w:rPr>
          <w:fldChar w:fldCharType="begin"/>
        </w:r>
        <w:r w:rsidR="006D0B72">
          <w:rPr>
            <w:noProof/>
            <w:webHidden/>
          </w:rPr>
          <w:instrText xml:space="preserve"> PAGEREF _Toc33600560 \h </w:instrText>
        </w:r>
        <w:r w:rsidR="006D0B72">
          <w:rPr>
            <w:noProof/>
            <w:webHidden/>
          </w:rPr>
        </w:r>
        <w:r w:rsidR="006D0B72">
          <w:rPr>
            <w:noProof/>
            <w:webHidden/>
          </w:rPr>
          <w:fldChar w:fldCharType="separate"/>
        </w:r>
        <w:r w:rsidR="003D49C2">
          <w:rPr>
            <w:noProof/>
            <w:webHidden/>
          </w:rPr>
          <w:t>28</w:t>
        </w:r>
        <w:r w:rsidR="006D0B72">
          <w:rPr>
            <w:noProof/>
            <w:webHidden/>
          </w:rPr>
          <w:fldChar w:fldCharType="end"/>
        </w:r>
      </w:hyperlink>
    </w:p>
    <w:p w14:paraId="4083535E" w14:textId="2456A002" w:rsidR="006D0B72" w:rsidRDefault="006B490F">
      <w:pPr>
        <w:pStyle w:val="TOC4"/>
        <w:rPr>
          <w:rFonts w:asciiTheme="minorHAnsi" w:eastAsiaTheme="minorEastAsia" w:hAnsiTheme="minorHAnsi"/>
          <w:i w:val="0"/>
          <w:noProof/>
          <w:color w:val="auto"/>
          <w:sz w:val="22"/>
          <w:lang w:eastAsia="en-AU"/>
        </w:rPr>
      </w:pPr>
      <w:hyperlink w:anchor="_Toc33600561" w:history="1">
        <w:r w:rsidR="006D0B72" w:rsidRPr="00A97EE0">
          <w:rPr>
            <w:rStyle w:val="Hyperlink"/>
            <w:noProof/>
          </w:rPr>
          <w:t>Revenue</w:t>
        </w:r>
        <w:r w:rsidR="006D0B72">
          <w:rPr>
            <w:noProof/>
            <w:webHidden/>
          </w:rPr>
          <w:tab/>
        </w:r>
        <w:r w:rsidR="006D0B72">
          <w:rPr>
            <w:noProof/>
            <w:webHidden/>
          </w:rPr>
          <w:fldChar w:fldCharType="begin"/>
        </w:r>
        <w:r w:rsidR="006D0B72">
          <w:rPr>
            <w:noProof/>
            <w:webHidden/>
          </w:rPr>
          <w:instrText xml:space="preserve"> PAGEREF _Toc33600561 \h </w:instrText>
        </w:r>
        <w:r w:rsidR="006D0B72">
          <w:rPr>
            <w:noProof/>
            <w:webHidden/>
          </w:rPr>
        </w:r>
        <w:r w:rsidR="006D0B72">
          <w:rPr>
            <w:noProof/>
            <w:webHidden/>
          </w:rPr>
          <w:fldChar w:fldCharType="separate"/>
        </w:r>
        <w:r w:rsidR="003D49C2">
          <w:rPr>
            <w:noProof/>
            <w:webHidden/>
          </w:rPr>
          <w:t>28</w:t>
        </w:r>
        <w:r w:rsidR="006D0B72">
          <w:rPr>
            <w:noProof/>
            <w:webHidden/>
          </w:rPr>
          <w:fldChar w:fldCharType="end"/>
        </w:r>
      </w:hyperlink>
    </w:p>
    <w:p w14:paraId="092221C8" w14:textId="3DE203A9" w:rsidR="006D0B72" w:rsidRDefault="006B490F">
      <w:pPr>
        <w:pStyle w:val="TOC4"/>
        <w:rPr>
          <w:rFonts w:asciiTheme="minorHAnsi" w:eastAsiaTheme="minorEastAsia" w:hAnsiTheme="minorHAnsi"/>
          <w:i w:val="0"/>
          <w:noProof/>
          <w:color w:val="auto"/>
          <w:sz w:val="22"/>
          <w:lang w:eastAsia="en-AU"/>
        </w:rPr>
      </w:pPr>
      <w:hyperlink w:anchor="_Toc33600562" w:history="1">
        <w:r w:rsidR="006D0B72" w:rsidRPr="00A97EE0">
          <w:rPr>
            <w:rStyle w:val="Hyperlink"/>
            <w:noProof/>
          </w:rPr>
          <w:t>Expenditure</w:t>
        </w:r>
        <w:r w:rsidR="006D0B72">
          <w:rPr>
            <w:noProof/>
            <w:webHidden/>
          </w:rPr>
          <w:tab/>
        </w:r>
        <w:r w:rsidR="006D0B72">
          <w:rPr>
            <w:noProof/>
            <w:webHidden/>
          </w:rPr>
          <w:fldChar w:fldCharType="begin"/>
        </w:r>
        <w:r w:rsidR="006D0B72">
          <w:rPr>
            <w:noProof/>
            <w:webHidden/>
          </w:rPr>
          <w:instrText xml:space="preserve"> PAGEREF _Toc33600562 \h </w:instrText>
        </w:r>
        <w:r w:rsidR="006D0B72">
          <w:rPr>
            <w:noProof/>
            <w:webHidden/>
          </w:rPr>
        </w:r>
        <w:r w:rsidR="006D0B72">
          <w:rPr>
            <w:noProof/>
            <w:webHidden/>
          </w:rPr>
          <w:fldChar w:fldCharType="separate"/>
        </w:r>
        <w:r w:rsidR="003D49C2">
          <w:rPr>
            <w:noProof/>
            <w:webHidden/>
          </w:rPr>
          <w:t>33</w:t>
        </w:r>
        <w:r w:rsidR="006D0B72">
          <w:rPr>
            <w:noProof/>
            <w:webHidden/>
          </w:rPr>
          <w:fldChar w:fldCharType="end"/>
        </w:r>
      </w:hyperlink>
    </w:p>
    <w:p w14:paraId="7D76A6F5" w14:textId="50B555D5" w:rsidR="006D0B72" w:rsidRDefault="006B490F">
      <w:pPr>
        <w:pStyle w:val="TOC3"/>
        <w:rPr>
          <w:rFonts w:asciiTheme="minorHAnsi" w:eastAsiaTheme="minorEastAsia" w:hAnsiTheme="minorHAnsi"/>
          <w:iCs w:val="0"/>
          <w:noProof/>
          <w:color w:val="auto"/>
          <w:sz w:val="22"/>
          <w:lang w:eastAsia="en-AU"/>
        </w:rPr>
      </w:pPr>
      <w:hyperlink w:anchor="_Toc33600563" w:history="1">
        <w:r w:rsidR="006D0B72" w:rsidRPr="00A97EE0">
          <w:rPr>
            <w:rStyle w:val="Hyperlink"/>
            <w:noProof/>
          </w:rPr>
          <w:t>State fiscal circumstances</w:t>
        </w:r>
        <w:r w:rsidR="006D0B72">
          <w:rPr>
            <w:noProof/>
            <w:webHidden/>
          </w:rPr>
          <w:tab/>
        </w:r>
        <w:r w:rsidR="006D0B72">
          <w:rPr>
            <w:noProof/>
            <w:webHidden/>
          </w:rPr>
          <w:fldChar w:fldCharType="begin"/>
        </w:r>
        <w:r w:rsidR="006D0B72">
          <w:rPr>
            <w:noProof/>
            <w:webHidden/>
          </w:rPr>
          <w:instrText xml:space="preserve"> PAGEREF _Toc33600563 \h </w:instrText>
        </w:r>
        <w:r w:rsidR="006D0B72">
          <w:rPr>
            <w:noProof/>
            <w:webHidden/>
          </w:rPr>
        </w:r>
        <w:r w:rsidR="006D0B72">
          <w:rPr>
            <w:noProof/>
            <w:webHidden/>
          </w:rPr>
          <w:fldChar w:fldCharType="separate"/>
        </w:r>
        <w:r w:rsidR="003D49C2">
          <w:rPr>
            <w:noProof/>
            <w:webHidden/>
          </w:rPr>
          <w:t>37</w:t>
        </w:r>
        <w:r w:rsidR="006D0B72">
          <w:rPr>
            <w:noProof/>
            <w:webHidden/>
          </w:rPr>
          <w:fldChar w:fldCharType="end"/>
        </w:r>
      </w:hyperlink>
    </w:p>
    <w:p w14:paraId="4BEFF2C6" w14:textId="4A1BF3FB" w:rsidR="006D0B72" w:rsidRDefault="006B490F">
      <w:pPr>
        <w:pStyle w:val="TOC4"/>
        <w:rPr>
          <w:rFonts w:asciiTheme="minorHAnsi" w:eastAsiaTheme="minorEastAsia" w:hAnsiTheme="minorHAnsi"/>
          <w:i w:val="0"/>
          <w:noProof/>
          <w:color w:val="auto"/>
          <w:sz w:val="22"/>
          <w:lang w:eastAsia="en-AU"/>
        </w:rPr>
      </w:pPr>
      <w:hyperlink w:anchor="_Toc33600564" w:history="1">
        <w:r w:rsidR="006D0B72" w:rsidRPr="00A97EE0">
          <w:rPr>
            <w:rStyle w:val="Hyperlink"/>
            <w:noProof/>
          </w:rPr>
          <w:t>New South Wales</w:t>
        </w:r>
        <w:r w:rsidR="006D0B72">
          <w:rPr>
            <w:noProof/>
            <w:webHidden/>
          </w:rPr>
          <w:tab/>
        </w:r>
        <w:r w:rsidR="006D0B72">
          <w:rPr>
            <w:noProof/>
            <w:webHidden/>
          </w:rPr>
          <w:fldChar w:fldCharType="begin"/>
        </w:r>
        <w:r w:rsidR="006D0B72">
          <w:rPr>
            <w:noProof/>
            <w:webHidden/>
          </w:rPr>
          <w:instrText xml:space="preserve"> PAGEREF _Toc33600564 \h </w:instrText>
        </w:r>
        <w:r w:rsidR="006D0B72">
          <w:rPr>
            <w:noProof/>
            <w:webHidden/>
          </w:rPr>
        </w:r>
        <w:r w:rsidR="006D0B72">
          <w:rPr>
            <w:noProof/>
            <w:webHidden/>
          </w:rPr>
          <w:fldChar w:fldCharType="separate"/>
        </w:r>
        <w:r w:rsidR="003D49C2">
          <w:rPr>
            <w:noProof/>
            <w:webHidden/>
          </w:rPr>
          <w:t>37</w:t>
        </w:r>
        <w:r w:rsidR="006D0B72">
          <w:rPr>
            <w:noProof/>
            <w:webHidden/>
          </w:rPr>
          <w:fldChar w:fldCharType="end"/>
        </w:r>
      </w:hyperlink>
    </w:p>
    <w:p w14:paraId="4F4173D0" w14:textId="177D13D7" w:rsidR="006D0B72" w:rsidRDefault="006B490F">
      <w:pPr>
        <w:pStyle w:val="TOC4"/>
        <w:rPr>
          <w:rFonts w:asciiTheme="minorHAnsi" w:eastAsiaTheme="minorEastAsia" w:hAnsiTheme="minorHAnsi"/>
          <w:i w:val="0"/>
          <w:noProof/>
          <w:color w:val="auto"/>
          <w:sz w:val="22"/>
          <w:lang w:eastAsia="en-AU"/>
        </w:rPr>
      </w:pPr>
      <w:hyperlink w:anchor="_Toc33600565" w:history="1">
        <w:r w:rsidR="006D0B72" w:rsidRPr="00A97EE0">
          <w:rPr>
            <w:rStyle w:val="Hyperlink"/>
            <w:noProof/>
          </w:rPr>
          <w:t>Victoria</w:t>
        </w:r>
        <w:r w:rsidR="006D0B72">
          <w:rPr>
            <w:noProof/>
            <w:webHidden/>
          </w:rPr>
          <w:tab/>
        </w:r>
        <w:r w:rsidR="006D0B72">
          <w:rPr>
            <w:noProof/>
            <w:webHidden/>
          </w:rPr>
          <w:fldChar w:fldCharType="begin"/>
        </w:r>
        <w:r w:rsidR="006D0B72">
          <w:rPr>
            <w:noProof/>
            <w:webHidden/>
          </w:rPr>
          <w:instrText xml:space="preserve"> PAGEREF _Toc33600565 \h </w:instrText>
        </w:r>
        <w:r w:rsidR="006D0B72">
          <w:rPr>
            <w:noProof/>
            <w:webHidden/>
          </w:rPr>
        </w:r>
        <w:r w:rsidR="006D0B72">
          <w:rPr>
            <w:noProof/>
            <w:webHidden/>
          </w:rPr>
          <w:fldChar w:fldCharType="separate"/>
        </w:r>
        <w:r w:rsidR="003D49C2">
          <w:rPr>
            <w:noProof/>
            <w:webHidden/>
          </w:rPr>
          <w:t>37</w:t>
        </w:r>
        <w:r w:rsidR="006D0B72">
          <w:rPr>
            <w:noProof/>
            <w:webHidden/>
          </w:rPr>
          <w:fldChar w:fldCharType="end"/>
        </w:r>
      </w:hyperlink>
    </w:p>
    <w:p w14:paraId="1D04E342" w14:textId="1C015F40" w:rsidR="006D0B72" w:rsidRDefault="006B490F">
      <w:pPr>
        <w:pStyle w:val="TOC4"/>
        <w:rPr>
          <w:rFonts w:asciiTheme="minorHAnsi" w:eastAsiaTheme="minorEastAsia" w:hAnsiTheme="minorHAnsi"/>
          <w:i w:val="0"/>
          <w:noProof/>
          <w:color w:val="auto"/>
          <w:sz w:val="22"/>
          <w:lang w:eastAsia="en-AU"/>
        </w:rPr>
      </w:pPr>
      <w:hyperlink w:anchor="_Toc33600566" w:history="1">
        <w:r w:rsidR="006D0B72" w:rsidRPr="00A97EE0">
          <w:rPr>
            <w:rStyle w:val="Hyperlink"/>
            <w:noProof/>
          </w:rPr>
          <w:t>Queensland</w:t>
        </w:r>
        <w:r w:rsidR="006D0B72">
          <w:rPr>
            <w:noProof/>
            <w:webHidden/>
          </w:rPr>
          <w:tab/>
        </w:r>
        <w:r w:rsidR="006D0B72">
          <w:rPr>
            <w:noProof/>
            <w:webHidden/>
          </w:rPr>
          <w:fldChar w:fldCharType="begin"/>
        </w:r>
        <w:r w:rsidR="006D0B72">
          <w:rPr>
            <w:noProof/>
            <w:webHidden/>
          </w:rPr>
          <w:instrText xml:space="preserve"> PAGEREF _Toc33600566 \h </w:instrText>
        </w:r>
        <w:r w:rsidR="006D0B72">
          <w:rPr>
            <w:noProof/>
            <w:webHidden/>
          </w:rPr>
        </w:r>
        <w:r w:rsidR="006D0B72">
          <w:rPr>
            <w:noProof/>
            <w:webHidden/>
          </w:rPr>
          <w:fldChar w:fldCharType="separate"/>
        </w:r>
        <w:r w:rsidR="003D49C2">
          <w:rPr>
            <w:noProof/>
            <w:webHidden/>
          </w:rPr>
          <w:t>38</w:t>
        </w:r>
        <w:r w:rsidR="006D0B72">
          <w:rPr>
            <w:noProof/>
            <w:webHidden/>
          </w:rPr>
          <w:fldChar w:fldCharType="end"/>
        </w:r>
      </w:hyperlink>
    </w:p>
    <w:p w14:paraId="5F8F15A5" w14:textId="23D2DA77" w:rsidR="006D0B72" w:rsidRDefault="006B490F">
      <w:pPr>
        <w:pStyle w:val="TOC4"/>
        <w:rPr>
          <w:rFonts w:asciiTheme="minorHAnsi" w:eastAsiaTheme="minorEastAsia" w:hAnsiTheme="minorHAnsi"/>
          <w:i w:val="0"/>
          <w:noProof/>
          <w:color w:val="auto"/>
          <w:sz w:val="22"/>
          <w:lang w:eastAsia="en-AU"/>
        </w:rPr>
      </w:pPr>
      <w:hyperlink w:anchor="_Toc33600567" w:history="1">
        <w:r w:rsidR="006D0B72" w:rsidRPr="00A97EE0">
          <w:rPr>
            <w:rStyle w:val="Hyperlink"/>
            <w:noProof/>
          </w:rPr>
          <w:t>Western Australia</w:t>
        </w:r>
        <w:r w:rsidR="006D0B72">
          <w:rPr>
            <w:noProof/>
            <w:webHidden/>
          </w:rPr>
          <w:tab/>
        </w:r>
        <w:r w:rsidR="006D0B72">
          <w:rPr>
            <w:noProof/>
            <w:webHidden/>
          </w:rPr>
          <w:fldChar w:fldCharType="begin"/>
        </w:r>
        <w:r w:rsidR="006D0B72">
          <w:rPr>
            <w:noProof/>
            <w:webHidden/>
          </w:rPr>
          <w:instrText xml:space="preserve"> PAGEREF _Toc33600567 \h </w:instrText>
        </w:r>
        <w:r w:rsidR="006D0B72">
          <w:rPr>
            <w:noProof/>
            <w:webHidden/>
          </w:rPr>
        </w:r>
        <w:r w:rsidR="006D0B72">
          <w:rPr>
            <w:noProof/>
            <w:webHidden/>
          </w:rPr>
          <w:fldChar w:fldCharType="separate"/>
        </w:r>
        <w:r w:rsidR="003D49C2">
          <w:rPr>
            <w:noProof/>
            <w:webHidden/>
          </w:rPr>
          <w:t>38</w:t>
        </w:r>
        <w:r w:rsidR="006D0B72">
          <w:rPr>
            <w:noProof/>
            <w:webHidden/>
          </w:rPr>
          <w:fldChar w:fldCharType="end"/>
        </w:r>
      </w:hyperlink>
    </w:p>
    <w:p w14:paraId="0F3E3D67" w14:textId="7401C8F8" w:rsidR="006D0B72" w:rsidRDefault="006B490F">
      <w:pPr>
        <w:pStyle w:val="TOC4"/>
        <w:rPr>
          <w:rFonts w:asciiTheme="minorHAnsi" w:eastAsiaTheme="minorEastAsia" w:hAnsiTheme="minorHAnsi"/>
          <w:i w:val="0"/>
          <w:noProof/>
          <w:color w:val="auto"/>
          <w:sz w:val="22"/>
          <w:lang w:eastAsia="en-AU"/>
        </w:rPr>
      </w:pPr>
      <w:hyperlink w:anchor="_Toc33600568" w:history="1">
        <w:r w:rsidR="006D0B72" w:rsidRPr="00A97EE0">
          <w:rPr>
            <w:rStyle w:val="Hyperlink"/>
            <w:noProof/>
          </w:rPr>
          <w:t>South Australia</w:t>
        </w:r>
        <w:r w:rsidR="006D0B72">
          <w:rPr>
            <w:noProof/>
            <w:webHidden/>
          </w:rPr>
          <w:tab/>
        </w:r>
        <w:r w:rsidR="006D0B72">
          <w:rPr>
            <w:noProof/>
            <w:webHidden/>
          </w:rPr>
          <w:fldChar w:fldCharType="begin"/>
        </w:r>
        <w:r w:rsidR="006D0B72">
          <w:rPr>
            <w:noProof/>
            <w:webHidden/>
          </w:rPr>
          <w:instrText xml:space="preserve"> PAGEREF _Toc33600568 \h </w:instrText>
        </w:r>
        <w:r w:rsidR="006D0B72">
          <w:rPr>
            <w:noProof/>
            <w:webHidden/>
          </w:rPr>
        </w:r>
        <w:r w:rsidR="006D0B72">
          <w:rPr>
            <w:noProof/>
            <w:webHidden/>
          </w:rPr>
          <w:fldChar w:fldCharType="separate"/>
        </w:r>
        <w:r w:rsidR="003D49C2">
          <w:rPr>
            <w:noProof/>
            <w:webHidden/>
          </w:rPr>
          <w:t>39</w:t>
        </w:r>
        <w:r w:rsidR="006D0B72">
          <w:rPr>
            <w:noProof/>
            <w:webHidden/>
          </w:rPr>
          <w:fldChar w:fldCharType="end"/>
        </w:r>
      </w:hyperlink>
    </w:p>
    <w:p w14:paraId="61C63F74" w14:textId="095FA49B" w:rsidR="006D0B72" w:rsidRDefault="006B490F">
      <w:pPr>
        <w:pStyle w:val="TOC4"/>
        <w:rPr>
          <w:rFonts w:asciiTheme="minorHAnsi" w:eastAsiaTheme="minorEastAsia" w:hAnsiTheme="minorHAnsi"/>
          <w:i w:val="0"/>
          <w:noProof/>
          <w:color w:val="auto"/>
          <w:sz w:val="22"/>
          <w:lang w:eastAsia="en-AU"/>
        </w:rPr>
      </w:pPr>
      <w:hyperlink w:anchor="_Toc33600569" w:history="1">
        <w:r w:rsidR="006D0B72" w:rsidRPr="00A97EE0">
          <w:rPr>
            <w:rStyle w:val="Hyperlink"/>
            <w:noProof/>
          </w:rPr>
          <w:t>Tasmania</w:t>
        </w:r>
        <w:r w:rsidR="006D0B72">
          <w:rPr>
            <w:noProof/>
            <w:webHidden/>
          </w:rPr>
          <w:tab/>
        </w:r>
        <w:r w:rsidR="006D0B72">
          <w:rPr>
            <w:noProof/>
            <w:webHidden/>
          </w:rPr>
          <w:fldChar w:fldCharType="begin"/>
        </w:r>
        <w:r w:rsidR="006D0B72">
          <w:rPr>
            <w:noProof/>
            <w:webHidden/>
          </w:rPr>
          <w:instrText xml:space="preserve"> PAGEREF _Toc33600569 \h </w:instrText>
        </w:r>
        <w:r w:rsidR="006D0B72">
          <w:rPr>
            <w:noProof/>
            <w:webHidden/>
          </w:rPr>
        </w:r>
        <w:r w:rsidR="006D0B72">
          <w:rPr>
            <w:noProof/>
            <w:webHidden/>
          </w:rPr>
          <w:fldChar w:fldCharType="separate"/>
        </w:r>
        <w:r w:rsidR="003D49C2">
          <w:rPr>
            <w:noProof/>
            <w:webHidden/>
          </w:rPr>
          <w:t>39</w:t>
        </w:r>
        <w:r w:rsidR="006D0B72">
          <w:rPr>
            <w:noProof/>
            <w:webHidden/>
          </w:rPr>
          <w:fldChar w:fldCharType="end"/>
        </w:r>
      </w:hyperlink>
    </w:p>
    <w:p w14:paraId="0D7D3756" w14:textId="212FE695" w:rsidR="006D0B72" w:rsidRDefault="006B490F">
      <w:pPr>
        <w:pStyle w:val="TOC4"/>
        <w:rPr>
          <w:rFonts w:asciiTheme="minorHAnsi" w:eastAsiaTheme="minorEastAsia" w:hAnsiTheme="minorHAnsi"/>
          <w:i w:val="0"/>
          <w:noProof/>
          <w:color w:val="auto"/>
          <w:sz w:val="22"/>
          <w:lang w:eastAsia="en-AU"/>
        </w:rPr>
      </w:pPr>
      <w:hyperlink w:anchor="_Toc33600570" w:history="1">
        <w:r w:rsidR="006D0B72" w:rsidRPr="00A97EE0">
          <w:rPr>
            <w:rStyle w:val="Hyperlink"/>
            <w:noProof/>
          </w:rPr>
          <w:t>Australian Capital Territory</w:t>
        </w:r>
        <w:r w:rsidR="006D0B72">
          <w:rPr>
            <w:noProof/>
            <w:webHidden/>
          </w:rPr>
          <w:tab/>
        </w:r>
        <w:r w:rsidR="006D0B72">
          <w:rPr>
            <w:noProof/>
            <w:webHidden/>
          </w:rPr>
          <w:fldChar w:fldCharType="begin"/>
        </w:r>
        <w:r w:rsidR="006D0B72">
          <w:rPr>
            <w:noProof/>
            <w:webHidden/>
          </w:rPr>
          <w:instrText xml:space="preserve"> PAGEREF _Toc33600570 \h </w:instrText>
        </w:r>
        <w:r w:rsidR="006D0B72">
          <w:rPr>
            <w:noProof/>
            <w:webHidden/>
          </w:rPr>
        </w:r>
        <w:r w:rsidR="006D0B72">
          <w:rPr>
            <w:noProof/>
            <w:webHidden/>
          </w:rPr>
          <w:fldChar w:fldCharType="separate"/>
        </w:r>
        <w:r w:rsidR="003D49C2">
          <w:rPr>
            <w:noProof/>
            <w:webHidden/>
          </w:rPr>
          <w:t>40</w:t>
        </w:r>
        <w:r w:rsidR="006D0B72">
          <w:rPr>
            <w:noProof/>
            <w:webHidden/>
          </w:rPr>
          <w:fldChar w:fldCharType="end"/>
        </w:r>
      </w:hyperlink>
    </w:p>
    <w:p w14:paraId="17C08AD4" w14:textId="2FC707AE" w:rsidR="006D0B72" w:rsidRDefault="006B490F">
      <w:pPr>
        <w:pStyle w:val="TOC4"/>
        <w:rPr>
          <w:rFonts w:asciiTheme="minorHAnsi" w:eastAsiaTheme="minorEastAsia" w:hAnsiTheme="minorHAnsi"/>
          <w:i w:val="0"/>
          <w:noProof/>
          <w:color w:val="auto"/>
          <w:sz w:val="22"/>
          <w:lang w:eastAsia="en-AU"/>
        </w:rPr>
      </w:pPr>
      <w:hyperlink w:anchor="_Toc33600571" w:history="1">
        <w:r w:rsidR="006D0B72" w:rsidRPr="00A97EE0">
          <w:rPr>
            <w:rStyle w:val="Hyperlink"/>
            <w:noProof/>
          </w:rPr>
          <w:t>Northern Territory</w:t>
        </w:r>
        <w:r w:rsidR="006D0B72">
          <w:rPr>
            <w:noProof/>
            <w:webHidden/>
          </w:rPr>
          <w:tab/>
        </w:r>
        <w:r w:rsidR="006D0B72">
          <w:rPr>
            <w:noProof/>
            <w:webHidden/>
          </w:rPr>
          <w:fldChar w:fldCharType="begin"/>
        </w:r>
        <w:r w:rsidR="006D0B72">
          <w:rPr>
            <w:noProof/>
            <w:webHidden/>
          </w:rPr>
          <w:instrText xml:space="preserve"> PAGEREF _Toc33600571 \h </w:instrText>
        </w:r>
        <w:r w:rsidR="006D0B72">
          <w:rPr>
            <w:noProof/>
            <w:webHidden/>
          </w:rPr>
        </w:r>
        <w:r w:rsidR="006D0B72">
          <w:rPr>
            <w:noProof/>
            <w:webHidden/>
          </w:rPr>
          <w:fldChar w:fldCharType="separate"/>
        </w:r>
        <w:r w:rsidR="003D49C2">
          <w:rPr>
            <w:noProof/>
            <w:webHidden/>
          </w:rPr>
          <w:t>40</w:t>
        </w:r>
        <w:r w:rsidR="006D0B72">
          <w:rPr>
            <w:noProof/>
            <w:webHidden/>
          </w:rPr>
          <w:fldChar w:fldCharType="end"/>
        </w:r>
      </w:hyperlink>
    </w:p>
    <w:p w14:paraId="509A9D6A" w14:textId="696C17F0" w:rsidR="006D0B72" w:rsidRDefault="006B490F">
      <w:pPr>
        <w:pStyle w:val="TOC3"/>
        <w:rPr>
          <w:rFonts w:asciiTheme="minorHAnsi" w:eastAsiaTheme="minorEastAsia" w:hAnsiTheme="minorHAnsi"/>
          <w:iCs w:val="0"/>
          <w:noProof/>
          <w:color w:val="auto"/>
          <w:sz w:val="22"/>
          <w:lang w:eastAsia="en-AU"/>
        </w:rPr>
      </w:pPr>
      <w:hyperlink w:anchor="_Toc33600572" w:history="1">
        <w:r w:rsidR="006D0B72" w:rsidRPr="00A97EE0">
          <w:rPr>
            <w:rStyle w:val="Hyperlink"/>
            <w:noProof/>
          </w:rPr>
          <w:t>Size of the equalisation task</w:t>
        </w:r>
        <w:r w:rsidR="006D0B72">
          <w:rPr>
            <w:noProof/>
            <w:webHidden/>
          </w:rPr>
          <w:tab/>
        </w:r>
        <w:r w:rsidR="006D0B72">
          <w:rPr>
            <w:noProof/>
            <w:webHidden/>
          </w:rPr>
          <w:fldChar w:fldCharType="begin"/>
        </w:r>
        <w:r w:rsidR="006D0B72">
          <w:rPr>
            <w:noProof/>
            <w:webHidden/>
          </w:rPr>
          <w:instrText xml:space="preserve"> PAGEREF _Toc33600572 \h </w:instrText>
        </w:r>
        <w:r w:rsidR="006D0B72">
          <w:rPr>
            <w:noProof/>
            <w:webHidden/>
          </w:rPr>
        </w:r>
        <w:r w:rsidR="006D0B72">
          <w:rPr>
            <w:noProof/>
            <w:webHidden/>
          </w:rPr>
          <w:fldChar w:fldCharType="separate"/>
        </w:r>
        <w:r w:rsidR="003D49C2">
          <w:rPr>
            <w:noProof/>
            <w:webHidden/>
          </w:rPr>
          <w:t>41</w:t>
        </w:r>
        <w:r w:rsidR="006D0B72">
          <w:rPr>
            <w:noProof/>
            <w:webHidden/>
          </w:rPr>
          <w:fldChar w:fldCharType="end"/>
        </w:r>
      </w:hyperlink>
    </w:p>
    <w:p w14:paraId="5695C067" w14:textId="7BA80C20" w:rsidR="006D0B72" w:rsidRDefault="006B490F">
      <w:pPr>
        <w:pStyle w:val="TOC1"/>
        <w:tabs>
          <w:tab w:val="left" w:pos="680"/>
        </w:tabs>
        <w:rPr>
          <w:rFonts w:asciiTheme="minorHAnsi" w:eastAsiaTheme="minorEastAsia" w:hAnsiTheme="minorHAnsi"/>
          <w:b w:val="0"/>
          <w:bCs w:val="0"/>
          <w:noProof/>
          <w:color w:val="auto"/>
          <w:sz w:val="22"/>
          <w:szCs w:val="22"/>
          <w:lang w:eastAsia="en-AU"/>
        </w:rPr>
      </w:pPr>
      <w:hyperlink w:anchor="_Toc33600573" w:history="1">
        <w:r w:rsidR="006D0B72" w:rsidRPr="00A97EE0">
          <w:rPr>
            <w:rStyle w:val="Hyperlink"/>
            <w:noProof/>
          </w:rPr>
          <w:t>5</w:t>
        </w:r>
        <w:r w:rsidR="006D0B72">
          <w:rPr>
            <w:rFonts w:asciiTheme="minorHAnsi" w:eastAsiaTheme="minorEastAsia" w:hAnsiTheme="minorHAnsi"/>
            <w:b w:val="0"/>
            <w:bCs w:val="0"/>
            <w:noProof/>
            <w:color w:val="auto"/>
            <w:sz w:val="22"/>
            <w:szCs w:val="22"/>
            <w:lang w:eastAsia="en-AU"/>
          </w:rPr>
          <w:tab/>
        </w:r>
        <w:r w:rsidR="006D0B72" w:rsidRPr="00A97EE0">
          <w:rPr>
            <w:rStyle w:val="Hyperlink"/>
            <w:noProof/>
          </w:rPr>
          <w:t>Quality assurance</w:t>
        </w:r>
        <w:r w:rsidR="006D0B72">
          <w:rPr>
            <w:noProof/>
            <w:webHidden/>
          </w:rPr>
          <w:tab/>
        </w:r>
        <w:r w:rsidR="006D0B72">
          <w:rPr>
            <w:noProof/>
            <w:webHidden/>
          </w:rPr>
          <w:fldChar w:fldCharType="begin"/>
        </w:r>
        <w:r w:rsidR="006D0B72">
          <w:rPr>
            <w:noProof/>
            <w:webHidden/>
          </w:rPr>
          <w:instrText xml:space="preserve"> PAGEREF _Toc33600573 \h </w:instrText>
        </w:r>
        <w:r w:rsidR="006D0B72">
          <w:rPr>
            <w:noProof/>
            <w:webHidden/>
          </w:rPr>
        </w:r>
        <w:r w:rsidR="006D0B72">
          <w:rPr>
            <w:noProof/>
            <w:webHidden/>
          </w:rPr>
          <w:fldChar w:fldCharType="separate"/>
        </w:r>
        <w:r w:rsidR="003D49C2">
          <w:rPr>
            <w:noProof/>
            <w:webHidden/>
          </w:rPr>
          <w:t>45</w:t>
        </w:r>
        <w:r w:rsidR="006D0B72">
          <w:rPr>
            <w:noProof/>
            <w:webHidden/>
          </w:rPr>
          <w:fldChar w:fldCharType="end"/>
        </w:r>
      </w:hyperlink>
    </w:p>
    <w:p w14:paraId="4A03018A" w14:textId="30704351" w:rsidR="006D0B72" w:rsidRDefault="006B490F">
      <w:pPr>
        <w:pStyle w:val="TOC3"/>
        <w:rPr>
          <w:rFonts w:asciiTheme="minorHAnsi" w:eastAsiaTheme="minorEastAsia" w:hAnsiTheme="minorHAnsi"/>
          <w:iCs w:val="0"/>
          <w:noProof/>
          <w:color w:val="auto"/>
          <w:sz w:val="22"/>
          <w:lang w:eastAsia="en-AU"/>
        </w:rPr>
      </w:pPr>
      <w:hyperlink w:anchor="_Toc33600574" w:history="1">
        <w:r w:rsidR="006D0B72" w:rsidRPr="00A97EE0">
          <w:rPr>
            <w:rStyle w:val="Hyperlink"/>
            <w:noProof/>
          </w:rPr>
          <w:t>Approach</w:t>
        </w:r>
        <w:r w:rsidR="006D0B72">
          <w:rPr>
            <w:noProof/>
            <w:webHidden/>
          </w:rPr>
          <w:tab/>
        </w:r>
        <w:r w:rsidR="006D0B72">
          <w:rPr>
            <w:noProof/>
            <w:webHidden/>
          </w:rPr>
          <w:fldChar w:fldCharType="begin"/>
        </w:r>
        <w:r w:rsidR="006D0B72">
          <w:rPr>
            <w:noProof/>
            <w:webHidden/>
          </w:rPr>
          <w:instrText xml:space="preserve"> PAGEREF _Toc33600574 \h </w:instrText>
        </w:r>
        <w:r w:rsidR="006D0B72">
          <w:rPr>
            <w:noProof/>
            <w:webHidden/>
          </w:rPr>
        </w:r>
        <w:r w:rsidR="006D0B72">
          <w:rPr>
            <w:noProof/>
            <w:webHidden/>
          </w:rPr>
          <w:fldChar w:fldCharType="separate"/>
        </w:r>
        <w:r w:rsidR="003D49C2">
          <w:rPr>
            <w:noProof/>
            <w:webHidden/>
          </w:rPr>
          <w:t>45</w:t>
        </w:r>
        <w:r w:rsidR="006D0B72">
          <w:rPr>
            <w:noProof/>
            <w:webHidden/>
          </w:rPr>
          <w:fldChar w:fldCharType="end"/>
        </w:r>
      </w:hyperlink>
    </w:p>
    <w:p w14:paraId="705EE7F7" w14:textId="0C3B2A13" w:rsidR="006D0B72" w:rsidRDefault="006B490F">
      <w:pPr>
        <w:pStyle w:val="TOC3"/>
        <w:rPr>
          <w:rFonts w:asciiTheme="minorHAnsi" w:eastAsiaTheme="minorEastAsia" w:hAnsiTheme="minorHAnsi"/>
          <w:iCs w:val="0"/>
          <w:noProof/>
          <w:color w:val="auto"/>
          <w:sz w:val="22"/>
          <w:lang w:eastAsia="en-AU"/>
        </w:rPr>
      </w:pPr>
      <w:hyperlink w:anchor="_Toc33600575" w:history="1">
        <w:r w:rsidR="006D0B72" w:rsidRPr="00A97EE0">
          <w:rPr>
            <w:rStyle w:val="Hyperlink"/>
            <w:noProof/>
          </w:rPr>
          <w:t>Implementation</w:t>
        </w:r>
        <w:r w:rsidR="006D0B72">
          <w:rPr>
            <w:noProof/>
            <w:webHidden/>
          </w:rPr>
          <w:tab/>
        </w:r>
        <w:r w:rsidR="006D0B72">
          <w:rPr>
            <w:noProof/>
            <w:webHidden/>
          </w:rPr>
          <w:fldChar w:fldCharType="begin"/>
        </w:r>
        <w:r w:rsidR="006D0B72">
          <w:rPr>
            <w:noProof/>
            <w:webHidden/>
          </w:rPr>
          <w:instrText xml:space="preserve"> PAGEREF _Toc33600575 \h </w:instrText>
        </w:r>
        <w:r w:rsidR="006D0B72">
          <w:rPr>
            <w:noProof/>
            <w:webHidden/>
          </w:rPr>
        </w:r>
        <w:r w:rsidR="006D0B72">
          <w:rPr>
            <w:noProof/>
            <w:webHidden/>
          </w:rPr>
          <w:fldChar w:fldCharType="separate"/>
        </w:r>
        <w:r w:rsidR="003D49C2">
          <w:rPr>
            <w:noProof/>
            <w:webHidden/>
          </w:rPr>
          <w:t>45</w:t>
        </w:r>
        <w:r w:rsidR="006D0B72">
          <w:rPr>
            <w:noProof/>
            <w:webHidden/>
          </w:rPr>
          <w:fldChar w:fldCharType="end"/>
        </w:r>
      </w:hyperlink>
    </w:p>
    <w:p w14:paraId="03F5F0F6" w14:textId="5AE888F7" w:rsidR="006D0B72" w:rsidRDefault="006B490F">
      <w:pPr>
        <w:pStyle w:val="TOC3"/>
        <w:rPr>
          <w:rFonts w:asciiTheme="minorHAnsi" w:eastAsiaTheme="minorEastAsia" w:hAnsiTheme="minorHAnsi"/>
          <w:iCs w:val="0"/>
          <w:noProof/>
          <w:color w:val="auto"/>
          <w:sz w:val="22"/>
          <w:lang w:eastAsia="en-AU"/>
        </w:rPr>
      </w:pPr>
      <w:hyperlink w:anchor="_Toc33600576" w:history="1">
        <w:r w:rsidR="006D0B72" w:rsidRPr="00A97EE0">
          <w:rPr>
            <w:rStyle w:val="Hyperlink"/>
            <w:noProof/>
          </w:rPr>
          <w:t>Use of external experts</w:t>
        </w:r>
        <w:r w:rsidR="006D0B72">
          <w:rPr>
            <w:noProof/>
            <w:webHidden/>
          </w:rPr>
          <w:tab/>
        </w:r>
        <w:r w:rsidR="006D0B72">
          <w:rPr>
            <w:noProof/>
            <w:webHidden/>
          </w:rPr>
          <w:fldChar w:fldCharType="begin"/>
        </w:r>
        <w:r w:rsidR="006D0B72">
          <w:rPr>
            <w:noProof/>
            <w:webHidden/>
          </w:rPr>
          <w:instrText xml:space="preserve"> PAGEREF _Toc33600576 \h </w:instrText>
        </w:r>
        <w:r w:rsidR="006D0B72">
          <w:rPr>
            <w:noProof/>
            <w:webHidden/>
          </w:rPr>
        </w:r>
        <w:r w:rsidR="006D0B72">
          <w:rPr>
            <w:noProof/>
            <w:webHidden/>
          </w:rPr>
          <w:fldChar w:fldCharType="separate"/>
        </w:r>
        <w:r w:rsidR="003D49C2">
          <w:rPr>
            <w:noProof/>
            <w:webHidden/>
          </w:rPr>
          <w:t>46</w:t>
        </w:r>
        <w:r w:rsidR="006D0B72">
          <w:rPr>
            <w:noProof/>
            <w:webHidden/>
          </w:rPr>
          <w:fldChar w:fldCharType="end"/>
        </w:r>
      </w:hyperlink>
    </w:p>
    <w:p w14:paraId="0D29B528" w14:textId="67DAC5C7" w:rsidR="006D0B72" w:rsidRDefault="006B490F">
      <w:pPr>
        <w:pStyle w:val="TOC3"/>
        <w:rPr>
          <w:rFonts w:asciiTheme="minorHAnsi" w:eastAsiaTheme="minorEastAsia" w:hAnsiTheme="minorHAnsi"/>
          <w:iCs w:val="0"/>
          <w:noProof/>
          <w:color w:val="auto"/>
          <w:sz w:val="22"/>
          <w:lang w:eastAsia="en-AU"/>
        </w:rPr>
      </w:pPr>
      <w:hyperlink w:anchor="_Toc33600577" w:history="1">
        <w:r w:rsidR="006D0B72" w:rsidRPr="00A97EE0">
          <w:rPr>
            <w:rStyle w:val="Hyperlink"/>
            <w:noProof/>
          </w:rPr>
          <w:t>The Commission’s decision making processes</w:t>
        </w:r>
        <w:r w:rsidR="006D0B72">
          <w:rPr>
            <w:noProof/>
            <w:webHidden/>
          </w:rPr>
          <w:tab/>
        </w:r>
        <w:r w:rsidR="006D0B72">
          <w:rPr>
            <w:noProof/>
            <w:webHidden/>
          </w:rPr>
          <w:fldChar w:fldCharType="begin"/>
        </w:r>
        <w:r w:rsidR="006D0B72">
          <w:rPr>
            <w:noProof/>
            <w:webHidden/>
          </w:rPr>
          <w:instrText xml:space="preserve"> PAGEREF _Toc33600577 \h </w:instrText>
        </w:r>
        <w:r w:rsidR="006D0B72">
          <w:rPr>
            <w:noProof/>
            <w:webHidden/>
          </w:rPr>
        </w:r>
        <w:r w:rsidR="006D0B72">
          <w:rPr>
            <w:noProof/>
            <w:webHidden/>
          </w:rPr>
          <w:fldChar w:fldCharType="separate"/>
        </w:r>
        <w:r w:rsidR="003D49C2">
          <w:rPr>
            <w:noProof/>
            <w:webHidden/>
          </w:rPr>
          <w:t>46</w:t>
        </w:r>
        <w:r w:rsidR="006D0B72">
          <w:rPr>
            <w:noProof/>
            <w:webHidden/>
          </w:rPr>
          <w:fldChar w:fldCharType="end"/>
        </w:r>
      </w:hyperlink>
    </w:p>
    <w:p w14:paraId="14178452" w14:textId="5C60A435" w:rsidR="006D0B72" w:rsidRDefault="006B490F">
      <w:pPr>
        <w:pStyle w:val="TOC3"/>
        <w:rPr>
          <w:rFonts w:asciiTheme="minorHAnsi" w:eastAsiaTheme="minorEastAsia" w:hAnsiTheme="minorHAnsi"/>
          <w:iCs w:val="0"/>
          <w:noProof/>
          <w:color w:val="auto"/>
          <w:sz w:val="22"/>
          <w:lang w:eastAsia="en-AU"/>
        </w:rPr>
      </w:pPr>
      <w:hyperlink w:anchor="_Toc33600578" w:history="1">
        <w:r w:rsidR="006D0B72" w:rsidRPr="00A97EE0">
          <w:rPr>
            <w:rStyle w:val="Hyperlink"/>
            <w:noProof/>
          </w:rPr>
          <w:t>Checking calculations</w:t>
        </w:r>
        <w:r w:rsidR="006D0B72">
          <w:rPr>
            <w:noProof/>
            <w:webHidden/>
          </w:rPr>
          <w:tab/>
        </w:r>
        <w:r w:rsidR="006D0B72">
          <w:rPr>
            <w:noProof/>
            <w:webHidden/>
          </w:rPr>
          <w:fldChar w:fldCharType="begin"/>
        </w:r>
        <w:r w:rsidR="006D0B72">
          <w:rPr>
            <w:noProof/>
            <w:webHidden/>
          </w:rPr>
          <w:instrText xml:space="preserve"> PAGEREF _Toc33600578 \h </w:instrText>
        </w:r>
        <w:r w:rsidR="006D0B72">
          <w:rPr>
            <w:noProof/>
            <w:webHidden/>
          </w:rPr>
        </w:r>
        <w:r w:rsidR="006D0B72">
          <w:rPr>
            <w:noProof/>
            <w:webHidden/>
          </w:rPr>
          <w:fldChar w:fldCharType="separate"/>
        </w:r>
        <w:r w:rsidR="003D49C2">
          <w:rPr>
            <w:noProof/>
            <w:webHidden/>
          </w:rPr>
          <w:t>47</w:t>
        </w:r>
        <w:r w:rsidR="006D0B72">
          <w:rPr>
            <w:noProof/>
            <w:webHidden/>
          </w:rPr>
          <w:fldChar w:fldCharType="end"/>
        </w:r>
      </w:hyperlink>
    </w:p>
    <w:p w14:paraId="653BE786" w14:textId="454A66AA" w:rsidR="006D0B72" w:rsidRDefault="006B490F">
      <w:pPr>
        <w:pStyle w:val="TOC3"/>
        <w:rPr>
          <w:rFonts w:asciiTheme="minorHAnsi" w:eastAsiaTheme="minorEastAsia" w:hAnsiTheme="minorHAnsi"/>
          <w:iCs w:val="0"/>
          <w:noProof/>
          <w:color w:val="auto"/>
          <w:sz w:val="22"/>
          <w:lang w:eastAsia="en-AU"/>
        </w:rPr>
      </w:pPr>
      <w:hyperlink w:anchor="_Toc33600579" w:history="1">
        <w:r w:rsidR="006D0B72" w:rsidRPr="00A97EE0">
          <w:rPr>
            <w:rStyle w:val="Hyperlink"/>
            <w:noProof/>
          </w:rPr>
          <w:t>Reporting of methods, decisions and results</w:t>
        </w:r>
        <w:r w:rsidR="006D0B72">
          <w:rPr>
            <w:noProof/>
            <w:webHidden/>
          </w:rPr>
          <w:tab/>
        </w:r>
        <w:r w:rsidR="006D0B72">
          <w:rPr>
            <w:noProof/>
            <w:webHidden/>
          </w:rPr>
          <w:fldChar w:fldCharType="begin"/>
        </w:r>
        <w:r w:rsidR="006D0B72">
          <w:rPr>
            <w:noProof/>
            <w:webHidden/>
          </w:rPr>
          <w:instrText xml:space="preserve"> PAGEREF _Toc33600579 \h </w:instrText>
        </w:r>
        <w:r w:rsidR="006D0B72">
          <w:rPr>
            <w:noProof/>
            <w:webHidden/>
          </w:rPr>
        </w:r>
        <w:r w:rsidR="006D0B72">
          <w:rPr>
            <w:noProof/>
            <w:webHidden/>
          </w:rPr>
          <w:fldChar w:fldCharType="separate"/>
        </w:r>
        <w:r w:rsidR="003D49C2">
          <w:rPr>
            <w:noProof/>
            <w:webHidden/>
          </w:rPr>
          <w:t>47</w:t>
        </w:r>
        <w:r w:rsidR="006D0B72">
          <w:rPr>
            <w:noProof/>
            <w:webHidden/>
          </w:rPr>
          <w:fldChar w:fldCharType="end"/>
        </w:r>
      </w:hyperlink>
    </w:p>
    <w:p w14:paraId="462DE030" w14:textId="196A389E" w:rsidR="006D0B72" w:rsidRDefault="006B490F">
      <w:pPr>
        <w:pStyle w:val="TOC3"/>
        <w:rPr>
          <w:rFonts w:asciiTheme="minorHAnsi" w:eastAsiaTheme="minorEastAsia" w:hAnsiTheme="minorHAnsi"/>
          <w:iCs w:val="0"/>
          <w:noProof/>
          <w:color w:val="auto"/>
          <w:sz w:val="22"/>
          <w:lang w:eastAsia="en-AU"/>
        </w:rPr>
      </w:pPr>
      <w:hyperlink w:anchor="_Toc33600580" w:history="1">
        <w:r w:rsidR="006D0B72" w:rsidRPr="00A97EE0">
          <w:rPr>
            <w:rStyle w:val="Hyperlink"/>
            <w:noProof/>
          </w:rPr>
          <w:t>Conclusion</w:t>
        </w:r>
        <w:r w:rsidR="006D0B72">
          <w:rPr>
            <w:noProof/>
            <w:webHidden/>
          </w:rPr>
          <w:tab/>
        </w:r>
        <w:r w:rsidR="006D0B72">
          <w:rPr>
            <w:noProof/>
            <w:webHidden/>
          </w:rPr>
          <w:fldChar w:fldCharType="begin"/>
        </w:r>
        <w:r w:rsidR="006D0B72">
          <w:rPr>
            <w:noProof/>
            <w:webHidden/>
          </w:rPr>
          <w:instrText xml:space="preserve"> PAGEREF _Toc33600580 \h </w:instrText>
        </w:r>
        <w:r w:rsidR="006D0B72">
          <w:rPr>
            <w:noProof/>
            <w:webHidden/>
          </w:rPr>
        </w:r>
        <w:r w:rsidR="006D0B72">
          <w:rPr>
            <w:noProof/>
            <w:webHidden/>
          </w:rPr>
          <w:fldChar w:fldCharType="separate"/>
        </w:r>
        <w:r w:rsidR="003D49C2">
          <w:rPr>
            <w:noProof/>
            <w:webHidden/>
          </w:rPr>
          <w:t>47</w:t>
        </w:r>
        <w:r w:rsidR="006D0B72">
          <w:rPr>
            <w:noProof/>
            <w:webHidden/>
          </w:rPr>
          <w:fldChar w:fldCharType="end"/>
        </w:r>
      </w:hyperlink>
    </w:p>
    <w:p w14:paraId="34A342CC" w14:textId="68FE697A" w:rsidR="00593D8C" w:rsidRDefault="001117C5" w:rsidP="00593D8C">
      <w:r>
        <w:fldChar w:fldCharType="end"/>
      </w:r>
    </w:p>
    <w:p w14:paraId="63101020" w14:textId="77777777" w:rsidR="008E6477" w:rsidRDefault="008E6477" w:rsidP="00593D8C"/>
    <w:p w14:paraId="056BB0D5" w14:textId="77777777" w:rsidR="00593D8C" w:rsidRDefault="00593D8C" w:rsidP="00593D8C"/>
    <w:p w14:paraId="4B93F0EB" w14:textId="764663B3" w:rsidR="00B65842" w:rsidRDefault="00B65842" w:rsidP="00593D8C">
      <w:pPr>
        <w:pStyle w:val="Heading6"/>
        <w:sectPr w:rsidR="00B65842" w:rsidSect="00E22AA8">
          <w:pgSz w:w="11907" w:h="16840" w:code="9"/>
          <w:pgMar w:top="1418" w:right="1474" w:bottom="1418" w:left="1474" w:header="720" w:footer="567" w:gutter="0"/>
          <w:pgNumType w:fmt="lowerRoman"/>
          <w:cols w:space="720"/>
          <w:titlePg/>
          <w:docGrid w:linePitch="360"/>
        </w:sectPr>
      </w:pPr>
    </w:p>
    <w:p w14:paraId="058E3C7E" w14:textId="77777777" w:rsidR="00B65842" w:rsidRDefault="00B65842" w:rsidP="006D087D">
      <w:pPr>
        <w:pStyle w:val="Heading2"/>
      </w:pPr>
      <w:bookmarkStart w:id="6" w:name="_Toc33600538"/>
      <w:r>
        <w:lastRenderedPageBreak/>
        <w:t>Executive summary</w:t>
      </w:r>
      <w:bookmarkEnd w:id="6"/>
    </w:p>
    <w:p w14:paraId="3CB36E70" w14:textId="77777777" w:rsidR="004B64E7" w:rsidRDefault="004B64E7" w:rsidP="004B64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9"/>
      </w:tblGrid>
      <w:tr w:rsidR="004B64E7" w14:paraId="2A70CA20" w14:textId="77777777" w:rsidTr="009A54A6">
        <w:tc>
          <w:tcPr>
            <w:tcW w:w="9282" w:type="dxa"/>
            <w:shd w:val="clear" w:color="auto" w:fill="EBF3F5"/>
            <w:tcMar>
              <w:top w:w="85" w:type="dxa"/>
              <w:bottom w:w="85" w:type="dxa"/>
            </w:tcMar>
          </w:tcPr>
          <w:p w14:paraId="4AA08F29" w14:textId="7E529182" w:rsidR="004B64E7" w:rsidRDefault="004B64E7" w:rsidP="009A54A6">
            <w:r>
              <w:t xml:space="preserve">This report </w:t>
            </w:r>
            <w:r w:rsidR="00B45AB1">
              <w:t>presents the per capita relativities</w:t>
            </w:r>
            <w:r w:rsidR="00353B22">
              <w:t xml:space="preserve"> </w:t>
            </w:r>
            <w:r w:rsidR="00FD60A9">
              <w:t xml:space="preserve">that the Commission </w:t>
            </w:r>
            <w:r w:rsidR="00B45AB1">
              <w:t>recommend</w:t>
            </w:r>
            <w:r w:rsidR="00FD60A9">
              <w:t>s</w:t>
            </w:r>
            <w:r w:rsidR="00B45AB1">
              <w:t xml:space="preserve"> be used to distribute</w:t>
            </w:r>
            <w:r w:rsidR="00353B22">
              <w:t xml:space="preserve"> GST revenu</w:t>
            </w:r>
            <w:r w:rsidR="00B1393B">
              <w:t xml:space="preserve">e </w:t>
            </w:r>
            <w:r w:rsidR="00B45AB1">
              <w:t>among</w:t>
            </w:r>
            <w:r w:rsidR="00B1393B">
              <w:t xml:space="preserve"> the States and Territories (the States) in 2020</w:t>
            </w:r>
            <w:r w:rsidR="00B1393B">
              <w:noBreakHyphen/>
              <w:t>21</w:t>
            </w:r>
            <w:r w:rsidR="00B45AB1" w:rsidDel="00166017">
              <w:t>,</w:t>
            </w:r>
            <w:r w:rsidR="00B1393B" w:rsidDel="00166017">
              <w:t xml:space="preserve"> </w:t>
            </w:r>
            <w:r w:rsidR="00DC0D26">
              <w:t>following an assessment of State</w:t>
            </w:r>
            <w:r w:rsidR="003E123C">
              <w:t>s’</w:t>
            </w:r>
            <w:r w:rsidR="00DC0D26">
              <w:t xml:space="preserve"> revenue raising capacities and costs of providing services.</w:t>
            </w:r>
            <w:r w:rsidR="007D5566">
              <w:t xml:space="preserve"> </w:t>
            </w:r>
            <w:r w:rsidR="00166017">
              <w:t xml:space="preserve">It also presents </w:t>
            </w:r>
            <w:r w:rsidR="00B1393B">
              <w:t xml:space="preserve">the results of the Commission’s review of the methods used to </w:t>
            </w:r>
            <w:r w:rsidR="001A36A0">
              <w:t xml:space="preserve">measure </w:t>
            </w:r>
            <w:r w:rsidR="00B1393B">
              <w:t>State relative fiscal capacities</w:t>
            </w:r>
            <w:r w:rsidR="00DC0D26">
              <w:t xml:space="preserve">. </w:t>
            </w:r>
          </w:p>
          <w:p w14:paraId="0CA0F4E2" w14:textId="2432B479" w:rsidR="00B1393B" w:rsidRDefault="00681182" w:rsidP="009A54A6">
            <w:r>
              <w:t>T</w:t>
            </w:r>
            <w:r w:rsidR="00B1393B">
              <w:t>he terms of reference</w:t>
            </w:r>
            <w:r>
              <w:t xml:space="preserve"> ask</w:t>
            </w:r>
            <w:r w:rsidR="00B45AB1">
              <w:t>ed</w:t>
            </w:r>
            <w:r>
              <w:t xml:space="preserve"> the Commission to </w:t>
            </w:r>
            <w:r w:rsidR="00B45AB1">
              <w:t>under</w:t>
            </w:r>
            <w:r>
              <w:t xml:space="preserve">take </w:t>
            </w:r>
            <w:r w:rsidR="00B45AB1">
              <w:t xml:space="preserve">a comprehensive review </w:t>
            </w:r>
            <w:r w:rsidR="00D66DA8">
              <w:t xml:space="preserve">of the methods that underlie its recommendations. In doing so, the Commission was asked to take </w:t>
            </w:r>
            <w:r>
              <w:t xml:space="preserve">into account the </w:t>
            </w:r>
            <w:r w:rsidRPr="00681182">
              <w:rPr>
                <w:i/>
              </w:rPr>
              <w:t>Intergovernmental Agreement on Federal Financial Relations</w:t>
            </w:r>
            <w:r w:rsidR="002753A3">
              <w:rPr>
                <w:i/>
              </w:rPr>
              <w:t xml:space="preserve"> </w:t>
            </w:r>
            <w:r w:rsidR="002753A3">
              <w:rPr>
                <w:iCs/>
              </w:rPr>
              <w:t>(IGA)</w:t>
            </w:r>
            <w:r>
              <w:t>, which provides that GST revenue will be distributed in accordance with the principle of horizontal fiscal equalisation (HFE). This principle ensures that each of Australia’s States has the same fiscal capacity, under average policies, to provide services</w:t>
            </w:r>
            <w:r w:rsidR="00F2441A">
              <w:t xml:space="preserve"> and </w:t>
            </w:r>
            <w:r w:rsidR="00A12E82">
              <w:t xml:space="preserve">the </w:t>
            </w:r>
            <w:r w:rsidR="00F2441A">
              <w:t>associated infrastructure</w:t>
            </w:r>
            <w:r w:rsidR="004C4776">
              <w:t xml:space="preserve"> to their communities</w:t>
            </w:r>
            <w:r>
              <w:t>.</w:t>
            </w:r>
          </w:p>
          <w:p w14:paraId="15DF458A" w14:textId="633D1E41" w:rsidR="00D66DA8" w:rsidRDefault="00D66DA8" w:rsidP="009A54A6">
            <w:r>
              <w:t>The Commission was also asked to consider whether its supporting principles remain appropriate.</w:t>
            </w:r>
            <w:r w:rsidR="00C84D46">
              <w:t xml:space="preserve"> </w:t>
            </w:r>
            <w:r w:rsidR="00041C83">
              <w:t xml:space="preserve">After </w:t>
            </w:r>
            <w:r w:rsidR="007B538A">
              <w:t>considering</w:t>
            </w:r>
            <w:r w:rsidR="00041C83">
              <w:t xml:space="preserve"> State</w:t>
            </w:r>
            <w:r w:rsidR="007B538A">
              <w:t xml:space="preserve">s’ </w:t>
            </w:r>
            <w:r w:rsidR="002D01C5">
              <w:t>submissions</w:t>
            </w:r>
            <w:r w:rsidR="007B538A">
              <w:t xml:space="preserve">, </w:t>
            </w:r>
            <w:r w:rsidR="00041C83" w:rsidRPr="00041C83">
              <w:t xml:space="preserve">the Commission </w:t>
            </w:r>
            <w:r w:rsidR="00410FDD">
              <w:t xml:space="preserve">has taken </w:t>
            </w:r>
            <w:r w:rsidR="00041C83" w:rsidRPr="00041C83">
              <w:t xml:space="preserve">the view that </w:t>
            </w:r>
            <w:r w:rsidR="00410FDD">
              <w:t>its existing</w:t>
            </w:r>
            <w:r w:rsidR="00041C83" w:rsidRPr="00041C83">
              <w:t xml:space="preserve"> principles remain relevant and appropriate for supporting its work in assessing State fiscal capacities.</w:t>
            </w:r>
          </w:p>
          <w:p w14:paraId="503B323D" w14:textId="6BC195B2" w:rsidR="00724CEE" w:rsidRDefault="00724CEE" w:rsidP="009A54A6">
            <w:r>
              <w:t>In this review</w:t>
            </w:r>
            <w:r w:rsidR="000016F5">
              <w:t>,</w:t>
            </w:r>
            <w:r>
              <w:t xml:space="preserve"> the Commission has developed </w:t>
            </w:r>
            <w:r w:rsidR="00CE5DB9">
              <w:t xml:space="preserve">a </w:t>
            </w:r>
            <w:r>
              <w:t>new urban transport assessment, with the help of transport consultants</w:t>
            </w:r>
            <w:r w:rsidR="00C066A0">
              <w:t>,</w:t>
            </w:r>
            <w:r>
              <w:t xml:space="preserve"> </w:t>
            </w:r>
            <w:r w:rsidR="00310DF5">
              <w:t xml:space="preserve">which </w:t>
            </w:r>
            <w:r>
              <w:t>better captur</w:t>
            </w:r>
            <w:r w:rsidR="00310DF5">
              <w:t>e</w:t>
            </w:r>
            <w:r w:rsidR="00E62265">
              <w:t>s</w:t>
            </w:r>
            <w:r>
              <w:t xml:space="preserve"> the influence of population density</w:t>
            </w:r>
            <w:r w:rsidR="00700801">
              <w:t>, passenger numbers</w:t>
            </w:r>
            <w:r>
              <w:t xml:space="preserve"> and urban </w:t>
            </w:r>
            <w:r w:rsidRPr="008215AC">
              <w:t>centre</w:t>
            </w:r>
            <w:r>
              <w:t xml:space="preserve"> characteristics on </w:t>
            </w:r>
            <w:r w:rsidR="0049242C">
              <w:t>States’</w:t>
            </w:r>
            <w:r>
              <w:t xml:space="preserve"> costs</w:t>
            </w:r>
            <w:r w:rsidR="00F57E5E">
              <w:t>.</w:t>
            </w:r>
            <w:r>
              <w:t xml:space="preserve"> Other assessment methodology changes </w:t>
            </w:r>
            <w:r w:rsidR="00493531">
              <w:t xml:space="preserve">that have had </w:t>
            </w:r>
            <w:r w:rsidR="00BA261F">
              <w:t>noteworth</w:t>
            </w:r>
            <w:r w:rsidR="0016687A">
              <w:t>y</w:t>
            </w:r>
            <w:r w:rsidR="00493531">
              <w:t xml:space="preserve"> effects on the GST distribution </w:t>
            </w:r>
            <w:r>
              <w:t>are largely evolutionary</w:t>
            </w:r>
            <w:r w:rsidR="005320F5">
              <w:t>.</w:t>
            </w:r>
            <w:r>
              <w:t xml:space="preserve"> </w:t>
            </w:r>
            <w:r w:rsidR="00D17140">
              <w:t xml:space="preserve">For example, </w:t>
            </w:r>
            <w:r w:rsidR="00A80A81" w:rsidRPr="00C004EC">
              <w:rPr>
                <w:lang w:val="en-AU"/>
              </w:rPr>
              <w:t>recognising</w:t>
            </w:r>
            <w:r w:rsidR="006B423F">
              <w:t xml:space="preserve"> c</w:t>
            </w:r>
            <w:r w:rsidR="00C14B2F">
              <w:t xml:space="preserve">hanges </w:t>
            </w:r>
            <w:r w:rsidR="005A7720">
              <w:t>to</w:t>
            </w:r>
            <w:r w:rsidR="00C14B2F">
              <w:t xml:space="preserve"> the </w:t>
            </w:r>
            <w:r w:rsidR="005F2CF4">
              <w:t>tax</w:t>
            </w:r>
            <w:r w:rsidR="00D30E79">
              <w:t>ation</w:t>
            </w:r>
            <w:r w:rsidR="005F2CF4">
              <w:t xml:space="preserve"> of </w:t>
            </w:r>
            <w:r w:rsidR="0028104A">
              <w:t xml:space="preserve">property transfer </w:t>
            </w:r>
            <w:r w:rsidR="00C14B2F">
              <w:t>activity</w:t>
            </w:r>
            <w:r w:rsidR="006B423F">
              <w:t>,</w:t>
            </w:r>
            <w:r w:rsidR="00C14B2F">
              <w:t xml:space="preserve"> the Commission has changed the scope of th</w:t>
            </w:r>
            <w:r w:rsidR="006E5831">
              <w:t>o</w:t>
            </w:r>
            <w:r w:rsidR="001A414E">
              <w:t>se</w:t>
            </w:r>
            <w:r w:rsidR="00C14B2F">
              <w:t xml:space="preserve"> revenue</w:t>
            </w:r>
            <w:r w:rsidR="001A414E">
              <w:t>s</w:t>
            </w:r>
            <w:r w:rsidR="00C14B2F">
              <w:t xml:space="preserve"> </w:t>
            </w:r>
            <w:r w:rsidR="00F16E17">
              <w:t xml:space="preserve">that it </w:t>
            </w:r>
            <w:r w:rsidR="00C14B2F">
              <w:t>differentially assesse</w:t>
            </w:r>
            <w:r w:rsidR="00F16E17">
              <w:t>s</w:t>
            </w:r>
            <w:r w:rsidR="007C0069">
              <w:t>.</w:t>
            </w:r>
            <w:r w:rsidR="00C14B2F">
              <w:t xml:space="preserve"> </w:t>
            </w:r>
            <w:r w:rsidR="00425EDB">
              <w:t xml:space="preserve">Improved data for electricity and water subsidies and Indigenous community development expenses </w:t>
            </w:r>
            <w:r w:rsidR="0035216B">
              <w:t>ha</w:t>
            </w:r>
            <w:r w:rsidR="009D7D87">
              <w:t>ve</w:t>
            </w:r>
            <w:r w:rsidR="0035216B">
              <w:t xml:space="preserve"> affected</w:t>
            </w:r>
            <w:r w:rsidR="00CF7F88">
              <w:t xml:space="preserve"> </w:t>
            </w:r>
            <w:r w:rsidR="00756BEB">
              <w:t>assessment</w:t>
            </w:r>
            <w:r w:rsidR="00092891">
              <w:t>s</w:t>
            </w:r>
            <w:r w:rsidR="006213FE">
              <w:t xml:space="preserve">, as has </w:t>
            </w:r>
            <w:r w:rsidR="00930A29">
              <w:t>a comprehensive review of the minimum costs faced by States in deliver</w:t>
            </w:r>
            <w:r w:rsidR="00E83800">
              <w:t xml:space="preserve">ing </w:t>
            </w:r>
            <w:r w:rsidR="00930A29">
              <w:t xml:space="preserve">services. </w:t>
            </w:r>
            <w:r w:rsidR="007C1BA4">
              <w:t>Changes to methods in the expense assessments</w:t>
            </w:r>
            <w:r w:rsidR="00647ED9">
              <w:t>, in particular urban transport, changes to the measurement of rural road length and the introduction of an assessment of bridges and tunnels</w:t>
            </w:r>
            <w:r w:rsidR="00354212">
              <w:t>,</w:t>
            </w:r>
            <w:r w:rsidR="007C1BA4">
              <w:t xml:space="preserve"> have also resulted in significant changes</w:t>
            </w:r>
            <w:r w:rsidR="6B7FF216">
              <w:t xml:space="preserve"> to </w:t>
            </w:r>
            <w:r w:rsidR="007C1BA4">
              <w:t>assessed infrastructure requirements.</w:t>
            </w:r>
          </w:p>
          <w:p w14:paraId="128153E3" w14:textId="50E42F6B" w:rsidR="003C4F51" w:rsidRDefault="000F44C8" w:rsidP="009A54A6">
            <w:r>
              <w:t xml:space="preserve">As a result of these </w:t>
            </w:r>
            <w:r w:rsidR="00EF6B48">
              <w:t xml:space="preserve">method </w:t>
            </w:r>
            <w:r>
              <w:t xml:space="preserve">changes, as well </w:t>
            </w:r>
            <w:r w:rsidR="00E42C6C">
              <w:t xml:space="preserve">as </w:t>
            </w:r>
            <w:r w:rsidR="00EF6B48">
              <w:t xml:space="preserve">incorporating </w:t>
            </w:r>
            <w:r w:rsidR="005E27F8">
              <w:t>the latest available</w:t>
            </w:r>
            <w:r w:rsidR="00251AB1">
              <w:t xml:space="preserve"> data</w:t>
            </w:r>
            <w:r w:rsidR="00C45695">
              <w:t xml:space="preserve"> and State circumstances</w:t>
            </w:r>
            <w:r w:rsidR="00251AB1">
              <w:t>, t</w:t>
            </w:r>
            <w:r w:rsidR="005321AE">
              <w:t>he assessed fiscal capacities</w:t>
            </w:r>
            <w:r w:rsidR="009D1996">
              <w:t xml:space="preserve"> of </w:t>
            </w:r>
            <w:r w:rsidR="004E7D1C">
              <w:t>Victoria</w:t>
            </w:r>
            <w:r w:rsidR="004D6C72">
              <w:t xml:space="preserve">, </w:t>
            </w:r>
            <w:r w:rsidR="00527C48">
              <w:t xml:space="preserve">Queensland, </w:t>
            </w:r>
            <w:r w:rsidR="004D6C72">
              <w:t xml:space="preserve">Western Australia, South Australia and the ACT have </w:t>
            </w:r>
            <w:r w:rsidR="006E63B1">
              <w:t xml:space="preserve">strengthened </w:t>
            </w:r>
            <w:r w:rsidR="004D6C72">
              <w:t>in this review</w:t>
            </w:r>
            <w:r w:rsidR="00A53726">
              <w:t>, reducing those States’ GST shares</w:t>
            </w:r>
            <w:r w:rsidR="004D6C72">
              <w:t xml:space="preserve">. </w:t>
            </w:r>
            <w:r w:rsidR="00694611">
              <w:t>L</w:t>
            </w:r>
            <w:r w:rsidR="00840139">
              <w:t xml:space="preserve">ower </w:t>
            </w:r>
            <w:r w:rsidR="00694611">
              <w:t xml:space="preserve">assessed costs of providing transport services </w:t>
            </w:r>
            <w:r w:rsidR="0047080B">
              <w:t xml:space="preserve">and </w:t>
            </w:r>
            <w:r w:rsidR="00F92023">
              <w:t>infrastructure</w:t>
            </w:r>
            <w:r w:rsidR="0047080B">
              <w:t xml:space="preserve"> </w:t>
            </w:r>
            <w:r w:rsidR="00B8480C">
              <w:t>ha</w:t>
            </w:r>
            <w:r w:rsidR="00C97EB0">
              <w:t>ve</w:t>
            </w:r>
            <w:r w:rsidR="00B8480C">
              <w:t xml:space="preserve"> </w:t>
            </w:r>
            <w:r w:rsidR="00624BDE">
              <w:t>increased</w:t>
            </w:r>
            <w:r w:rsidR="00AD5E78">
              <w:t xml:space="preserve"> </w:t>
            </w:r>
            <w:r w:rsidR="00AD5E78" w:rsidRPr="00AD5E78">
              <w:rPr>
                <w:b/>
                <w:bCs/>
              </w:rPr>
              <w:t>Victoria’s</w:t>
            </w:r>
            <w:r w:rsidR="00AD5E78">
              <w:t xml:space="preserve"> </w:t>
            </w:r>
            <w:r w:rsidR="009732D7">
              <w:t xml:space="preserve">fiscal capacity. </w:t>
            </w:r>
            <w:r w:rsidR="003A5622" w:rsidRPr="00BC6C3B">
              <w:rPr>
                <w:b/>
              </w:rPr>
              <w:t>Queensland’s</w:t>
            </w:r>
            <w:r w:rsidR="003A5622">
              <w:t xml:space="preserve"> and </w:t>
            </w:r>
            <w:r w:rsidR="00CD4C9B" w:rsidRPr="009818B3">
              <w:rPr>
                <w:b/>
                <w:bCs/>
              </w:rPr>
              <w:t>Western Australia’s</w:t>
            </w:r>
            <w:r w:rsidR="00CD4C9B">
              <w:t xml:space="preserve"> improved fiscal capacit</w:t>
            </w:r>
            <w:r w:rsidR="00A33771">
              <w:t>ies</w:t>
            </w:r>
            <w:r w:rsidR="00CD4C9B">
              <w:t xml:space="preserve"> </w:t>
            </w:r>
            <w:r w:rsidR="0056067B">
              <w:t>w</w:t>
            </w:r>
            <w:r w:rsidR="00A33771">
              <w:t>ere</w:t>
            </w:r>
            <w:r w:rsidR="0056067B">
              <w:t xml:space="preserve"> </w:t>
            </w:r>
            <w:r w:rsidR="007261E8">
              <w:t xml:space="preserve">mainly </w:t>
            </w:r>
            <w:r w:rsidR="0056067B">
              <w:t xml:space="preserve">driven by </w:t>
            </w:r>
            <w:r w:rsidR="00BA67CE">
              <w:t>a</w:t>
            </w:r>
            <w:r w:rsidR="007261E8">
              <w:t>n</w:t>
            </w:r>
            <w:r w:rsidR="005E0CEC">
              <w:t xml:space="preserve"> increase in the value of </w:t>
            </w:r>
            <w:r w:rsidR="00A33771">
              <w:t xml:space="preserve">coal and </w:t>
            </w:r>
            <w:r w:rsidR="005E0CEC">
              <w:t>iron ore production</w:t>
            </w:r>
            <w:r w:rsidR="008D06DB">
              <w:t>,</w:t>
            </w:r>
            <w:r w:rsidR="00A33771">
              <w:t xml:space="preserve"> respectively</w:t>
            </w:r>
            <w:r w:rsidR="005E0CEC">
              <w:t xml:space="preserve">. </w:t>
            </w:r>
            <w:r w:rsidR="00B62247" w:rsidRPr="00B62247">
              <w:rPr>
                <w:b/>
                <w:bCs/>
              </w:rPr>
              <w:t>South</w:t>
            </w:r>
            <w:r w:rsidR="00B62247">
              <w:rPr>
                <w:b/>
                <w:bCs/>
              </w:rPr>
              <w:t> </w:t>
            </w:r>
            <w:r w:rsidR="00B62247" w:rsidRPr="00B62247">
              <w:rPr>
                <w:b/>
                <w:bCs/>
              </w:rPr>
              <w:t>Australia’s</w:t>
            </w:r>
            <w:r w:rsidR="00B62247">
              <w:t xml:space="preserve"> </w:t>
            </w:r>
            <w:r w:rsidR="00480521">
              <w:t xml:space="preserve">stronger </w:t>
            </w:r>
            <w:r w:rsidR="00D00F98">
              <w:t xml:space="preserve">fiscal capacity </w:t>
            </w:r>
            <w:r w:rsidR="00150203">
              <w:t>was driven by an increase in its share of Commonwealth payments</w:t>
            </w:r>
            <w:r w:rsidR="00975C27">
              <w:t xml:space="preserve">, </w:t>
            </w:r>
            <w:r w:rsidR="00EB7263">
              <w:t xml:space="preserve">and </w:t>
            </w:r>
            <w:r w:rsidR="00975C27">
              <w:t xml:space="preserve">a </w:t>
            </w:r>
            <w:r w:rsidR="00334FE8">
              <w:t xml:space="preserve">fall in its assessed costs of providing transport services. </w:t>
            </w:r>
            <w:r w:rsidR="003F34C2">
              <w:t xml:space="preserve">A reduced </w:t>
            </w:r>
            <w:r w:rsidR="00596C3C">
              <w:t>investment requirement</w:t>
            </w:r>
            <w:r w:rsidR="00406E5C">
              <w:t xml:space="preserve"> ha</w:t>
            </w:r>
            <w:r w:rsidR="003F34C2">
              <w:t>s</w:t>
            </w:r>
            <w:r w:rsidR="00406E5C">
              <w:t xml:space="preserve"> stren</w:t>
            </w:r>
            <w:r w:rsidR="00951013">
              <w:t>g</w:t>
            </w:r>
            <w:r w:rsidR="00406E5C">
              <w:t>thened t</w:t>
            </w:r>
            <w:r w:rsidR="00565B38">
              <w:t xml:space="preserve">he </w:t>
            </w:r>
            <w:r w:rsidR="570A3274" w:rsidRPr="570A3274">
              <w:rPr>
                <w:b/>
                <w:bCs/>
              </w:rPr>
              <w:t>ACT</w:t>
            </w:r>
            <w:r w:rsidR="00497570">
              <w:rPr>
                <w:b/>
                <w:bCs/>
              </w:rPr>
              <w:t>’</w:t>
            </w:r>
            <w:r w:rsidR="570A3274" w:rsidRPr="570A3274">
              <w:rPr>
                <w:b/>
                <w:bCs/>
              </w:rPr>
              <w:t>s</w:t>
            </w:r>
            <w:r w:rsidR="570A3274">
              <w:t xml:space="preserve"> </w:t>
            </w:r>
            <w:r w:rsidR="005573D8">
              <w:t>fiscal capacity</w:t>
            </w:r>
            <w:r w:rsidR="005573D8" w:rsidRPr="005573D8">
              <w:rPr>
                <w:b/>
                <w:bCs/>
              </w:rPr>
              <w:t>.</w:t>
            </w:r>
          </w:p>
          <w:p w14:paraId="7CDFA2AD" w14:textId="4F7123D8" w:rsidR="004B64E7" w:rsidRDefault="003C4F51" w:rsidP="00AA14F2">
            <w:r>
              <w:t xml:space="preserve">The assessed fiscal capacities of the other </w:t>
            </w:r>
            <w:r w:rsidR="00BE0057">
              <w:t>three</w:t>
            </w:r>
            <w:r>
              <w:t xml:space="preserve"> States have fallen</w:t>
            </w:r>
            <w:r w:rsidR="006616BA">
              <w:t>, increasing their GST share</w:t>
            </w:r>
            <w:r w:rsidR="00F01B65">
              <w:t>s</w:t>
            </w:r>
            <w:r>
              <w:t xml:space="preserve">. </w:t>
            </w:r>
            <w:r w:rsidR="004E7D1C" w:rsidRPr="00FA37F4">
              <w:rPr>
                <w:b/>
                <w:bCs/>
              </w:rPr>
              <w:t>New South Wales</w:t>
            </w:r>
            <w:r w:rsidR="00CD2C12" w:rsidRPr="00FA37F4">
              <w:rPr>
                <w:b/>
                <w:bCs/>
              </w:rPr>
              <w:t>’</w:t>
            </w:r>
            <w:r w:rsidR="00CD2C12">
              <w:t xml:space="preserve"> </w:t>
            </w:r>
            <w:r w:rsidR="00EC6A70">
              <w:t xml:space="preserve">weaker </w:t>
            </w:r>
            <w:r w:rsidR="00CD2C12">
              <w:t xml:space="preserve">fiscal capacity </w:t>
            </w:r>
            <w:r w:rsidR="00EC6A70">
              <w:t>is</w:t>
            </w:r>
            <w:r w:rsidR="00FA37F4">
              <w:t xml:space="preserve"> due to</w:t>
            </w:r>
            <w:r w:rsidR="00CD2C12">
              <w:t xml:space="preserve"> </w:t>
            </w:r>
            <w:r w:rsidR="00FA37F4">
              <w:t>a</w:t>
            </w:r>
            <w:r w:rsidR="00CD2C12">
              <w:t xml:space="preserve">n increase in </w:t>
            </w:r>
            <w:r w:rsidR="00FA37F4">
              <w:t xml:space="preserve">its </w:t>
            </w:r>
            <w:r w:rsidR="00CD2C12">
              <w:t xml:space="preserve">assessed </w:t>
            </w:r>
            <w:r w:rsidR="00FA37F4">
              <w:t xml:space="preserve">cost of urban transport </w:t>
            </w:r>
            <w:r w:rsidR="00322FC3">
              <w:t xml:space="preserve">services </w:t>
            </w:r>
            <w:r w:rsidR="00CD2C12">
              <w:t xml:space="preserve">and </w:t>
            </w:r>
            <w:r w:rsidR="00FA37F4">
              <w:t xml:space="preserve">below average growth in property sales. </w:t>
            </w:r>
            <w:r w:rsidR="00974441" w:rsidRPr="00D06FAF">
              <w:rPr>
                <w:b/>
                <w:bCs/>
              </w:rPr>
              <w:t>Tasmania’s</w:t>
            </w:r>
            <w:r w:rsidR="00974441">
              <w:t xml:space="preserve"> </w:t>
            </w:r>
            <w:r w:rsidR="004D112C">
              <w:t xml:space="preserve">weaker </w:t>
            </w:r>
            <w:r w:rsidR="00974441">
              <w:t xml:space="preserve">fiscal capacity </w:t>
            </w:r>
            <w:r w:rsidR="004D112C">
              <w:t>is</w:t>
            </w:r>
            <w:r w:rsidR="00D06FAF">
              <w:t xml:space="preserve"> due to </w:t>
            </w:r>
            <w:r w:rsidR="00C05AB7">
              <w:t>increase</w:t>
            </w:r>
            <w:r w:rsidR="00C94A5D">
              <w:t>s</w:t>
            </w:r>
            <w:r w:rsidR="00C05AB7">
              <w:t xml:space="preserve"> in </w:t>
            </w:r>
            <w:r w:rsidR="00C94A5D">
              <w:t xml:space="preserve">its assessed </w:t>
            </w:r>
            <w:r w:rsidR="00C05AB7">
              <w:t xml:space="preserve">cost of </w:t>
            </w:r>
            <w:r w:rsidR="0046560A">
              <w:t>polic</w:t>
            </w:r>
            <w:r w:rsidR="00E1377F">
              <w:t>ing</w:t>
            </w:r>
            <w:r w:rsidR="0064429F">
              <w:t xml:space="preserve"> </w:t>
            </w:r>
            <w:r w:rsidR="004C34EB">
              <w:t xml:space="preserve">and </w:t>
            </w:r>
            <w:r w:rsidR="00A8096E">
              <w:t>minimum fixed costs</w:t>
            </w:r>
            <w:r w:rsidR="00CA5AE0">
              <w:t xml:space="preserve"> in providing services</w:t>
            </w:r>
            <w:r w:rsidR="002C1F1D">
              <w:t xml:space="preserve">. </w:t>
            </w:r>
            <w:r w:rsidR="00212382">
              <w:t xml:space="preserve">An </w:t>
            </w:r>
            <w:r w:rsidR="009B3708">
              <w:t>increase</w:t>
            </w:r>
            <w:r w:rsidR="00212382">
              <w:t>d</w:t>
            </w:r>
            <w:r w:rsidR="009B3708">
              <w:t xml:space="preserve"> </w:t>
            </w:r>
            <w:r w:rsidR="001C7285">
              <w:t xml:space="preserve">investment </w:t>
            </w:r>
            <w:r w:rsidR="001D1D15">
              <w:t xml:space="preserve">requirement </w:t>
            </w:r>
            <w:r w:rsidR="2E13DF0F">
              <w:t>has</w:t>
            </w:r>
            <w:r w:rsidR="001D1D15">
              <w:t xml:space="preserve"> </w:t>
            </w:r>
            <w:r w:rsidR="003416F4">
              <w:t xml:space="preserve">reduced </w:t>
            </w:r>
            <w:r w:rsidR="00646BAC">
              <w:t>t</w:t>
            </w:r>
            <w:r w:rsidR="00D06FAF">
              <w:t xml:space="preserve">he </w:t>
            </w:r>
            <w:r w:rsidR="00D06FAF" w:rsidRPr="00D06FAF">
              <w:rPr>
                <w:b/>
                <w:bCs/>
              </w:rPr>
              <w:t>Northern</w:t>
            </w:r>
            <w:r w:rsidR="00CC446F">
              <w:rPr>
                <w:b/>
                <w:bCs/>
              </w:rPr>
              <w:t> </w:t>
            </w:r>
            <w:r w:rsidR="00D06FAF" w:rsidRPr="00D06FAF">
              <w:rPr>
                <w:b/>
                <w:bCs/>
              </w:rPr>
              <w:t>Territory</w:t>
            </w:r>
            <w:r w:rsidR="005E2D62">
              <w:rPr>
                <w:b/>
                <w:bCs/>
              </w:rPr>
              <w:t>’s</w:t>
            </w:r>
            <w:r w:rsidR="00D06FAF" w:rsidRPr="00D06FAF">
              <w:t xml:space="preserve"> </w:t>
            </w:r>
            <w:r w:rsidR="00D76F80">
              <w:t>fiscal capacity</w:t>
            </w:r>
            <w:r w:rsidR="001006CF">
              <w:t>.</w:t>
            </w:r>
          </w:p>
        </w:tc>
      </w:tr>
    </w:tbl>
    <w:p w14:paraId="584F6499" w14:textId="77777777" w:rsidR="004B64E7" w:rsidRPr="004B64E7" w:rsidRDefault="004B64E7" w:rsidP="004B64E7">
      <w:pPr>
        <w:pStyle w:val="Heading5"/>
        <w:sectPr w:rsidR="004B64E7" w:rsidRPr="004B64E7" w:rsidSect="00E22AA8">
          <w:footerReference w:type="first" r:id="rId31"/>
          <w:pgSz w:w="11907" w:h="16840" w:code="9"/>
          <w:pgMar w:top="1418" w:right="1474" w:bottom="1418" w:left="1474" w:header="720" w:footer="567" w:gutter="0"/>
          <w:pgNumType w:fmt="lowerRoman"/>
          <w:cols w:space="720"/>
          <w:titlePg/>
          <w:docGrid w:linePitch="360"/>
        </w:sectPr>
      </w:pPr>
    </w:p>
    <w:p w14:paraId="78D31F2A" w14:textId="3C731035" w:rsidR="001D6D17" w:rsidRDefault="006D087D" w:rsidP="006D087D">
      <w:pPr>
        <w:pStyle w:val="Heading2"/>
      </w:pPr>
      <w:bookmarkStart w:id="7" w:name="_Toc33600539"/>
      <w:r>
        <w:lastRenderedPageBreak/>
        <w:t>1</w:t>
      </w:r>
      <w:r w:rsidR="00D413E4">
        <w:tab/>
      </w:r>
      <w:r w:rsidR="001D6D17">
        <w:t xml:space="preserve">Recommended GST </w:t>
      </w:r>
      <w:r w:rsidR="00B767FA">
        <w:t>d</w:t>
      </w:r>
      <w:r w:rsidR="001D6D17">
        <w:t>istribution</w:t>
      </w:r>
      <w:bookmarkEnd w:id="7"/>
    </w:p>
    <w:p w14:paraId="565F8970" w14:textId="77777777" w:rsidR="002F1705" w:rsidRDefault="002F1705" w:rsidP="006D087D">
      <w:pPr>
        <w:pStyle w:val="Heading3"/>
      </w:pPr>
      <w:bookmarkStart w:id="8" w:name="_Toc33600540"/>
      <w:r>
        <w:t>Recommended GST distribution</w:t>
      </w:r>
      <w:bookmarkEnd w:id="8"/>
    </w:p>
    <w:p w14:paraId="2A287F35" w14:textId="7343D0DC" w:rsidR="002F1705" w:rsidRDefault="00264918" w:rsidP="005D3D4C">
      <w:pPr>
        <w:pStyle w:val="CGCParaNumber"/>
      </w:pPr>
      <w:r>
        <w:fldChar w:fldCharType="begin"/>
      </w:r>
      <w:r>
        <w:instrText xml:space="preserve"> REF _Ref27749222 \h </w:instrText>
      </w:r>
      <w:r>
        <w:fldChar w:fldCharType="separate"/>
      </w:r>
      <w:r w:rsidR="003D49C2">
        <w:t>Table 1</w:t>
      </w:r>
      <w:r w:rsidR="003D49C2">
        <w:noBreakHyphen/>
      </w:r>
      <w:r w:rsidR="003D49C2">
        <w:rPr>
          <w:noProof/>
        </w:rPr>
        <w:t>1</w:t>
      </w:r>
      <w:r>
        <w:fldChar w:fldCharType="end"/>
      </w:r>
      <w:r w:rsidR="002F1705">
        <w:t xml:space="preserve"> shows the per capita relativities the Commission recommends for use in distributing the GST revenue among the States in 2020</w:t>
      </w:r>
      <w:r w:rsidR="002F1705">
        <w:noBreakHyphen/>
        <w:t>21. It also shows State shares of the GST revenue implied by the Commission’s 2020</w:t>
      </w:r>
      <w:r w:rsidR="002F1705">
        <w:noBreakHyphen/>
        <w:t xml:space="preserve">21 recommendations and an illustrative GST revenue distribution. The table compares </w:t>
      </w:r>
      <w:r w:rsidR="005D3D4C">
        <w:t>these with the results for 2019</w:t>
      </w:r>
      <w:r w:rsidR="005D3D4C">
        <w:noBreakHyphen/>
        <w:t>20.</w:t>
      </w:r>
    </w:p>
    <w:p w14:paraId="5BF7BDE9" w14:textId="68A64593" w:rsidR="00892597" w:rsidRDefault="005D3D4C" w:rsidP="00892597">
      <w:pPr>
        <w:pStyle w:val="CGCTableHeading"/>
      </w:pPr>
      <w:bookmarkStart w:id="9" w:name="_Ref27749222"/>
      <w:r>
        <w:t xml:space="preserve">Table </w:t>
      </w:r>
      <w:r w:rsidR="007D70A7">
        <w:t>1</w:t>
      </w:r>
      <w:r w:rsidR="007D70A7">
        <w:noBreakHyphen/>
      </w:r>
      <w:r>
        <w:fldChar w:fldCharType="begin"/>
      </w:r>
      <w:r>
        <w:instrText>SEQ Table \* ARABIC</w:instrText>
      </w:r>
      <w:r>
        <w:fldChar w:fldCharType="separate"/>
      </w:r>
      <w:r w:rsidR="003D49C2">
        <w:rPr>
          <w:noProof/>
        </w:rPr>
        <w:t>1</w:t>
      </w:r>
      <w:r>
        <w:fldChar w:fldCharType="end"/>
      </w:r>
      <w:bookmarkEnd w:id="9"/>
      <w:r>
        <w:tab/>
        <w:t>Relativities, shares and illustrative GST distributions, 2019</w:t>
      </w:r>
      <w:r>
        <w:noBreakHyphen/>
        <w:t>20 and 2020</w:t>
      </w:r>
      <w:r>
        <w:noBreakHyphen/>
        <w:t>21</w:t>
      </w:r>
    </w:p>
    <w:tbl>
      <w:tblPr>
        <w:tblW w:w="8902" w:type="dxa"/>
        <w:tblCellMar>
          <w:left w:w="0" w:type="dxa"/>
          <w:right w:w="28" w:type="dxa"/>
        </w:tblCellMar>
        <w:tblLook w:val="04A0" w:firstRow="1" w:lastRow="0" w:firstColumn="1" w:lastColumn="0" w:noHBand="0" w:noVBand="1"/>
      </w:tblPr>
      <w:tblGrid>
        <w:gridCol w:w="2725"/>
        <w:gridCol w:w="1039"/>
        <w:gridCol w:w="1039"/>
        <w:gridCol w:w="1039"/>
        <w:gridCol w:w="1039"/>
        <w:gridCol w:w="1039"/>
        <w:gridCol w:w="1039"/>
      </w:tblGrid>
      <w:tr w:rsidR="00892597" w:rsidRPr="00892597" w14:paraId="7027D839" w14:textId="77777777" w:rsidTr="00901FBC">
        <w:trPr>
          <w:trHeight w:val="375"/>
        </w:trPr>
        <w:tc>
          <w:tcPr>
            <w:tcW w:w="2740" w:type="dxa"/>
            <w:tcBorders>
              <w:top w:val="single" w:sz="4" w:space="0" w:color="ADD6EA"/>
              <w:left w:val="nil"/>
              <w:bottom w:val="single" w:sz="4" w:space="0" w:color="ADD6EA"/>
              <w:right w:val="nil"/>
            </w:tcBorders>
            <w:shd w:val="clear" w:color="000000" w:fill="006991"/>
            <w:noWrap/>
            <w:vAlign w:val="center"/>
            <w:hideMark/>
          </w:tcPr>
          <w:p w14:paraId="76AD8EB7" w14:textId="77777777" w:rsidR="00892597" w:rsidRPr="00892597" w:rsidRDefault="00892597" w:rsidP="00892597">
            <w:pPr>
              <w:tabs>
                <w:tab w:val="clear" w:pos="567"/>
              </w:tabs>
              <w:spacing w:before="0" w:line="240" w:lineRule="auto"/>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 </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7B49030E"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Relativities</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3B073BAE"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GST shares</w:t>
            </w:r>
          </w:p>
        </w:tc>
        <w:tc>
          <w:tcPr>
            <w:tcW w:w="2080" w:type="dxa"/>
            <w:gridSpan w:val="2"/>
            <w:tcBorders>
              <w:top w:val="single" w:sz="4" w:space="0" w:color="ADD6EA"/>
              <w:left w:val="nil"/>
              <w:bottom w:val="single" w:sz="4" w:space="0" w:color="ADD6EA"/>
              <w:right w:val="nil"/>
            </w:tcBorders>
            <w:shd w:val="clear" w:color="000000" w:fill="006991"/>
            <w:noWrap/>
            <w:vAlign w:val="center"/>
            <w:hideMark/>
          </w:tcPr>
          <w:p w14:paraId="1F8944F9"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GST distribution</w:t>
            </w:r>
          </w:p>
        </w:tc>
      </w:tr>
      <w:tr w:rsidR="00892597" w:rsidRPr="00892597" w14:paraId="5CCC9C9F" w14:textId="77777777" w:rsidTr="00901FBC">
        <w:trPr>
          <w:trHeight w:val="315"/>
        </w:trPr>
        <w:tc>
          <w:tcPr>
            <w:tcW w:w="2740" w:type="dxa"/>
            <w:tcBorders>
              <w:top w:val="nil"/>
              <w:left w:val="nil"/>
              <w:bottom w:val="single" w:sz="4" w:space="0" w:color="ADD6EA"/>
              <w:right w:val="nil"/>
            </w:tcBorders>
            <w:shd w:val="clear" w:color="000000" w:fill="006991"/>
            <w:noWrap/>
            <w:vAlign w:val="center"/>
            <w:hideMark/>
          </w:tcPr>
          <w:p w14:paraId="439F05C2" w14:textId="77777777" w:rsidR="00892597" w:rsidRPr="00892597" w:rsidRDefault="00892597" w:rsidP="00892597">
            <w:pPr>
              <w:tabs>
                <w:tab w:val="clear" w:pos="567"/>
              </w:tabs>
              <w:spacing w:before="0" w:line="240" w:lineRule="auto"/>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 </w:t>
            </w:r>
          </w:p>
        </w:tc>
        <w:tc>
          <w:tcPr>
            <w:tcW w:w="1040" w:type="dxa"/>
            <w:tcBorders>
              <w:top w:val="nil"/>
              <w:left w:val="nil"/>
              <w:bottom w:val="single" w:sz="4" w:space="0" w:color="ADD6EA"/>
              <w:right w:val="nil"/>
            </w:tcBorders>
            <w:shd w:val="clear" w:color="000000" w:fill="006991"/>
            <w:noWrap/>
            <w:vAlign w:val="center"/>
            <w:hideMark/>
          </w:tcPr>
          <w:p w14:paraId="46ACB17A"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2019-20</w:t>
            </w:r>
          </w:p>
        </w:tc>
        <w:tc>
          <w:tcPr>
            <w:tcW w:w="1040" w:type="dxa"/>
            <w:tcBorders>
              <w:top w:val="nil"/>
              <w:left w:val="nil"/>
              <w:bottom w:val="single" w:sz="4" w:space="0" w:color="ADD6EA"/>
              <w:right w:val="nil"/>
            </w:tcBorders>
            <w:shd w:val="clear" w:color="000000" w:fill="006991"/>
            <w:noWrap/>
            <w:vAlign w:val="center"/>
            <w:hideMark/>
          </w:tcPr>
          <w:p w14:paraId="6A217287"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2020-21</w:t>
            </w:r>
          </w:p>
        </w:tc>
        <w:tc>
          <w:tcPr>
            <w:tcW w:w="1040" w:type="dxa"/>
            <w:tcBorders>
              <w:top w:val="nil"/>
              <w:left w:val="nil"/>
              <w:bottom w:val="single" w:sz="4" w:space="0" w:color="ADD6EA"/>
              <w:right w:val="nil"/>
            </w:tcBorders>
            <w:shd w:val="clear" w:color="000000" w:fill="006991"/>
            <w:noWrap/>
            <w:vAlign w:val="center"/>
            <w:hideMark/>
          </w:tcPr>
          <w:p w14:paraId="2033A3C0"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2019-20</w:t>
            </w:r>
          </w:p>
        </w:tc>
        <w:tc>
          <w:tcPr>
            <w:tcW w:w="1040" w:type="dxa"/>
            <w:tcBorders>
              <w:top w:val="nil"/>
              <w:left w:val="nil"/>
              <w:bottom w:val="single" w:sz="4" w:space="0" w:color="ADD6EA"/>
              <w:right w:val="nil"/>
            </w:tcBorders>
            <w:shd w:val="clear" w:color="000000" w:fill="006991"/>
            <w:noWrap/>
            <w:vAlign w:val="center"/>
            <w:hideMark/>
          </w:tcPr>
          <w:p w14:paraId="781DB624"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2020-21</w:t>
            </w:r>
          </w:p>
        </w:tc>
        <w:tc>
          <w:tcPr>
            <w:tcW w:w="1040" w:type="dxa"/>
            <w:tcBorders>
              <w:top w:val="nil"/>
              <w:left w:val="nil"/>
              <w:bottom w:val="single" w:sz="4" w:space="0" w:color="ADD6EA"/>
              <w:right w:val="nil"/>
            </w:tcBorders>
            <w:shd w:val="clear" w:color="000000" w:fill="006991"/>
            <w:noWrap/>
            <w:vAlign w:val="center"/>
            <w:hideMark/>
          </w:tcPr>
          <w:p w14:paraId="26E18887"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2019-20</w:t>
            </w:r>
          </w:p>
        </w:tc>
        <w:tc>
          <w:tcPr>
            <w:tcW w:w="1040" w:type="dxa"/>
            <w:tcBorders>
              <w:top w:val="nil"/>
              <w:left w:val="nil"/>
              <w:bottom w:val="single" w:sz="4" w:space="0" w:color="ADD6EA"/>
              <w:right w:val="nil"/>
            </w:tcBorders>
            <w:shd w:val="clear" w:color="000000" w:fill="006991"/>
            <w:noWrap/>
            <w:vAlign w:val="center"/>
            <w:hideMark/>
          </w:tcPr>
          <w:p w14:paraId="353F69DA"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92597">
              <w:rPr>
                <w:rFonts w:ascii="Open Sans SemiBold" w:eastAsia="Times New Roman" w:hAnsi="Open Sans SemiBold" w:cs="Open Sans SemiBold"/>
                <w:color w:val="FFFFFF"/>
                <w:sz w:val="16"/>
                <w:szCs w:val="16"/>
                <w:lang w:val="en-AU" w:eastAsia="en-AU"/>
              </w:rPr>
              <w:t>2020-21</w:t>
            </w:r>
          </w:p>
        </w:tc>
      </w:tr>
      <w:tr w:rsidR="00892597" w:rsidRPr="00892597" w14:paraId="25659E5A" w14:textId="77777777" w:rsidTr="00901FBC">
        <w:trPr>
          <w:trHeight w:val="259"/>
        </w:trPr>
        <w:tc>
          <w:tcPr>
            <w:tcW w:w="2740" w:type="dxa"/>
            <w:tcBorders>
              <w:top w:val="nil"/>
              <w:left w:val="nil"/>
              <w:bottom w:val="single" w:sz="4" w:space="0" w:color="ADD6EA"/>
              <w:right w:val="nil"/>
            </w:tcBorders>
            <w:shd w:val="clear" w:color="000000" w:fill="B6D5E4"/>
            <w:noWrap/>
            <w:vAlign w:val="center"/>
            <w:hideMark/>
          </w:tcPr>
          <w:p w14:paraId="30A16418"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 </w:t>
            </w:r>
          </w:p>
        </w:tc>
        <w:tc>
          <w:tcPr>
            <w:tcW w:w="1040" w:type="dxa"/>
            <w:tcBorders>
              <w:top w:val="nil"/>
              <w:left w:val="nil"/>
              <w:bottom w:val="single" w:sz="4" w:space="0" w:color="ADD6EA"/>
              <w:right w:val="nil"/>
            </w:tcBorders>
            <w:shd w:val="clear" w:color="000000" w:fill="B6D5E4"/>
            <w:noWrap/>
            <w:vAlign w:val="center"/>
            <w:hideMark/>
          </w:tcPr>
          <w:p w14:paraId="3A89A883"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 </w:t>
            </w:r>
          </w:p>
        </w:tc>
        <w:tc>
          <w:tcPr>
            <w:tcW w:w="1040" w:type="dxa"/>
            <w:tcBorders>
              <w:top w:val="nil"/>
              <w:left w:val="nil"/>
              <w:bottom w:val="single" w:sz="4" w:space="0" w:color="ADD6EA"/>
              <w:right w:val="nil"/>
            </w:tcBorders>
            <w:shd w:val="clear" w:color="000000" w:fill="B6D5E4"/>
            <w:noWrap/>
            <w:vAlign w:val="center"/>
            <w:hideMark/>
          </w:tcPr>
          <w:p w14:paraId="4E12817B" w14:textId="77777777" w:rsidR="00892597" w:rsidRPr="00892597" w:rsidRDefault="00892597" w:rsidP="00892597">
            <w:pPr>
              <w:tabs>
                <w:tab w:val="clear" w:pos="567"/>
              </w:tabs>
              <w:spacing w:before="0" w:line="240" w:lineRule="auto"/>
              <w:jc w:val="center"/>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 </w:t>
            </w:r>
          </w:p>
        </w:tc>
        <w:tc>
          <w:tcPr>
            <w:tcW w:w="1040" w:type="dxa"/>
            <w:tcBorders>
              <w:top w:val="nil"/>
              <w:left w:val="nil"/>
              <w:bottom w:val="single" w:sz="4" w:space="0" w:color="ADD6EA"/>
              <w:right w:val="nil"/>
            </w:tcBorders>
            <w:shd w:val="clear" w:color="000000" w:fill="B6D5E4"/>
            <w:noWrap/>
            <w:vAlign w:val="center"/>
            <w:hideMark/>
          </w:tcPr>
          <w:p w14:paraId="36FE27FF"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w:t>
            </w:r>
          </w:p>
        </w:tc>
        <w:tc>
          <w:tcPr>
            <w:tcW w:w="1040" w:type="dxa"/>
            <w:tcBorders>
              <w:top w:val="nil"/>
              <w:left w:val="nil"/>
              <w:bottom w:val="single" w:sz="4" w:space="0" w:color="ADD6EA"/>
              <w:right w:val="nil"/>
            </w:tcBorders>
            <w:shd w:val="clear" w:color="000000" w:fill="B6D5E4"/>
            <w:noWrap/>
            <w:vAlign w:val="center"/>
            <w:hideMark/>
          </w:tcPr>
          <w:p w14:paraId="4F513315"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w:t>
            </w:r>
          </w:p>
        </w:tc>
        <w:tc>
          <w:tcPr>
            <w:tcW w:w="1040" w:type="dxa"/>
            <w:tcBorders>
              <w:top w:val="nil"/>
              <w:left w:val="nil"/>
              <w:bottom w:val="single" w:sz="4" w:space="0" w:color="ADD6EA"/>
              <w:right w:val="nil"/>
            </w:tcBorders>
            <w:shd w:val="clear" w:color="000000" w:fill="B6D5E4"/>
            <w:noWrap/>
            <w:vAlign w:val="center"/>
            <w:hideMark/>
          </w:tcPr>
          <w:p w14:paraId="79219779"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$m</w:t>
            </w:r>
          </w:p>
        </w:tc>
        <w:tc>
          <w:tcPr>
            <w:tcW w:w="1040" w:type="dxa"/>
            <w:tcBorders>
              <w:top w:val="nil"/>
              <w:left w:val="nil"/>
              <w:bottom w:val="single" w:sz="4" w:space="0" w:color="ADD6EA"/>
              <w:right w:val="nil"/>
            </w:tcBorders>
            <w:shd w:val="clear" w:color="000000" w:fill="B6D5E4"/>
            <w:noWrap/>
            <w:vAlign w:val="center"/>
            <w:hideMark/>
          </w:tcPr>
          <w:p w14:paraId="18BCFDE9" w14:textId="77777777" w:rsidR="00892597" w:rsidRPr="00892597"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92597">
              <w:rPr>
                <w:rFonts w:ascii="Open Sans SemiBold" w:eastAsia="Times New Roman" w:hAnsi="Open Sans SemiBold" w:cs="Open Sans SemiBold"/>
                <w:color w:val="000000"/>
                <w:sz w:val="16"/>
                <w:szCs w:val="16"/>
                <w:lang w:val="en-AU" w:eastAsia="en-AU"/>
              </w:rPr>
              <w:t>$m</w:t>
            </w:r>
          </w:p>
        </w:tc>
      </w:tr>
      <w:tr w:rsidR="00892597" w:rsidRPr="00892597" w14:paraId="582F0C1E"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467899D8"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New South Wales</w:t>
            </w:r>
          </w:p>
        </w:tc>
        <w:tc>
          <w:tcPr>
            <w:tcW w:w="1040" w:type="dxa"/>
            <w:tcBorders>
              <w:top w:val="nil"/>
              <w:left w:val="nil"/>
              <w:bottom w:val="single" w:sz="4" w:space="0" w:color="ADD6EA"/>
              <w:right w:val="nil"/>
            </w:tcBorders>
            <w:shd w:val="clear" w:color="auto" w:fill="auto"/>
            <w:vAlign w:val="bottom"/>
            <w:hideMark/>
          </w:tcPr>
          <w:p w14:paraId="1BB2C152"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0.87013</w:t>
            </w:r>
          </w:p>
        </w:tc>
        <w:tc>
          <w:tcPr>
            <w:tcW w:w="1040" w:type="dxa"/>
            <w:tcBorders>
              <w:top w:val="nil"/>
              <w:left w:val="nil"/>
              <w:bottom w:val="single" w:sz="4" w:space="0" w:color="ADD6EA"/>
              <w:right w:val="nil"/>
            </w:tcBorders>
            <w:shd w:val="clear" w:color="000000" w:fill="D6E7F0"/>
            <w:vAlign w:val="bottom"/>
            <w:hideMark/>
          </w:tcPr>
          <w:p w14:paraId="33AF3610"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0.91808</w:t>
            </w:r>
          </w:p>
        </w:tc>
        <w:tc>
          <w:tcPr>
            <w:tcW w:w="1040" w:type="dxa"/>
            <w:tcBorders>
              <w:top w:val="nil"/>
              <w:left w:val="nil"/>
              <w:bottom w:val="single" w:sz="4" w:space="0" w:color="ADD6EA"/>
              <w:right w:val="nil"/>
            </w:tcBorders>
            <w:shd w:val="clear" w:color="auto" w:fill="auto"/>
            <w:vAlign w:val="bottom"/>
            <w:hideMark/>
          </w:tcPr>
          <w:p w14:paraId="63B9E465"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27.8</w:t>
            </w:r>
          </w:p>
        </w:tc>
        <w:tc>
          <w:tcPr>
            <w:tcW w:w="1040" w:type="dxa"/>
            <w:tcBorders>
              <w:top w:val="nil"/>
              <w:left w:val="nil"/>
              <w:bottom w:val="single" w:sz="4" w:space="0" w:color="ADD6EA"/>
              <w:right w:val="nil"/>
            </w:tcBorders>
            <w:shd w:val="clear" w:color="000000" w:fill="D6E7F0"/>
            <w:vAlign w:val="bottom"/>
            <w:hideMark/>
          </w:tcPr>
          <w:p w14:paraId="6D7BD5B3"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29.3</w:t>
            </w:r>
          </w:p>
        </w:tc>
        <w:tc>
          <w:tcPr>
            <w:tcW w:w="1040" w:type="dxa"/>
            <w:tcBorders>
              <w:top w:val="nil"/>
              <w:left w:val="nil"/>
              <w:bottom w:val="single" w:sz="4" w:space="0" w:color="ADD6EA"/>
              <w:right w:val="nil"/>
            </w:tcBorders>
            <w:shd w:val="clear" w:color="auto" w:fill="auto"/>
            <w:vAlign w:val="bottom"/>
            <w:hideMark/>
          </w:tcPr>
          <w:p w14:paraId="42C21A28"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18,192</w:t>
            </w:r>
          </w:p>
        </w:tc>
        <w:tc>
          <w:tcPr>
            <w:tcW w:w="1040" w:type="dxa"/>
            <w:tcBorders>
              <w:top w:val="nil"/>
              <w:left w:val="nil"/>
              <w:bottom w:val="single" w:sz="4" w:space="0" w:color="ADD6EA"/>
              <w:right w:val="nil"/>
            </w:tcBorders>
            <w:shd w:val="clear" w:color="000000" w:fill="D6E7F0"/>
            <w:vAlign w:val="bottom"/>
            <w:hideMark/>
          </w:tcPr>
          <w:p w14:paraId="2B723A30"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19,832</w:t>
            </w:r>
          </w:p>
        </w:tc>
      </w:tr>
      <w:tr w:rsidR="00892597" w:rsidRPr="00892597" w14:paraId="26965DBF"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1FF0BC15"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Victoria</w:t>
            </w:r>
          </w:p>
        </w:tc>
        <w:tc>
          <w:tcPr>
            <w:tcW w:w="1040" w:type="dxa"/>
            <w:tcBorders>
              <w:top w:val="nil"/>
              <w:left w:val="nil"/>
              <w:bottom w:val="single" w:sz="4" w:space="0" w:color="ADD6EA"/>
              <w:right w:val="nil"/>
            </w:tcBorders>
            <w:shd w:val="clear" w:color="auto" w:fill="auto"/>
            <w:vAlign w:val="bottom"/>
            <w:hideMark/>
          </w:tcPr>
          <w:p w14:paraId="716C3BA8"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0.98273</w:t>
            </w:r>
          </w:p>
        </w:tc>
        <w:tc>
          <w:tcPr>
            <w:tcW w:w="1040" w:type="dxa"/>
            <w:tcBorders>
              <w:top w:val="nil"/>
              <w:left w:val="nil"/>
              <w:bottom w:val="single" w:sz="4" w:space="0" w:color="ADD6EA"/>
              <w:right w:val="nil"/>
            </w:tcBorders>
            <w:shd w:val="clear" w:color="000000" w:fill="D6E7F0"/>
            <w:vAlign w:val="bottom"/>
            <w:hideMark/>
          </w:tcPr>
          <w:p w14:paraId="6039878D"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0.95992</w:t>
            </w:r>
          </w:p>
        </w:tc>
        <w:tc>
          <w:tcPr>
            <w:tcW w:w="1040" w:type="dxa"/>
            <w:tcBorders>
              <w:top w:val="nil"/>
              <w:left w:val="nil"/>
              <w:bottom w:val="single" w:sz="4" w:space="0" w:color="ADD6EA"/>
              <w:right w:val="nil"/>
            </w:tcBorders>
            <w:shd w:val="clear" w:color="auto" w:fill="auto"/>
            <w:vAlign w:val="bottom"/>
            <w:hideMark/>
          </w:tcPr>
          <w:p w14:paraId="1A121F3D"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25.7</w:t>
            </w:r>
          </w:p>
        </w:tc>
        <w:tc>
          <w:tcPr>
            <w:tcW w:w="1040" w:type="dxa"/>
            <w:tcBorders>
              <w:top w:val="nil"/>
              <w:left w:val="nil"/>
              <w:bottom w:val="single" w:sz="4" w:space="0" w:color="ADD6EA"/>
              <w:right w:val="nil"/>
            </w:tcBorders>
            <w:shd w:val="clear" w:color="000000" w:fill="D6E7F0"/>
            <w:vAlign w:val="bottom"/>
            <w:hideMark/>
          </w:tcPr>
          <w:p w14:paraId="44453A08"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25.2</w:t>
            </w:r>
          </w:p>
        </w:tc>
        <w:tc>
          <w:tcPr>
            <w:tcW w:w="1040" w:type="dxa"/>
            <w:tcBorders>
              <w:top w:val="nil"/>
              <w:left w:val="nil"/>
              <w:bottom w:val="single" w:sz="4" w:space="0" w:color="ADD6EA"/>
              <w:right w:val="nil"/>
            </w:tcBorders>
            <w:shd w:val="clear" w:color="auto" w:fill="auto"/>
            <w:vAlign w:val="bottom"/>
            <w:hideMark/>
          </w:tcPr>
          <w:p w14:paraId="2ED01AB3"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16,798</w:t>
            </w:r>
          </w:p>
        </w:tc>
        <w:tc>
          <w:tcPr>
            <w:tcW w:w="1040" w:type="dxa"/>
            <w:tcBorders>
              <w:top w:val="nil"/>
              <w:left w:val="nil"/>
              <w:bottom w:val="single" w:sz="4" w:space="0" w:color="ADD6EA"/>
              <w:right w:val="nil"/>
            </w:tcBorders>
            <w:shd w:val="clear" w:color="000000" w:fill="D6E7F0"/>
            <w:vAlign w:val="bottom"/>
            <w:hideMark/>
          </w:tcPr>
          <w:p w14:paraId="009D1E0C"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17,068</w:t>
            </w:r>
          </w:p>
        </w:tc>
      </w:tr>
      <w:tr w:rsidR="00892597" w:rsidRPr="00892597" w14:paraId="5C52C9A7"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71972261"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Queensland</w:t>
            </w:r>
          </w:p>
        </w:tc>
        <w:tc>
          <w:tcPr>
            <w:tcW w:w="1040" w:type="dxa"/>
            <w:tcBorders>
              <w:top w:val="nil"/>
              <w:left w:val="nil"/>
              <w:bottom w:val="single" w:sz="4" w:space="0" w:color="ADD6EA"/>
              <w:right w:val="nil"/>
            </w:tcBorders>
            <w:shd w:val="clear" w:color="auto" w:fill="auto"/>
            <w:vAlign w:val="bottom"/>
            <w:hideMark/>
          </w:tcPr>
          <w:p w14:paraId="4E0EDF35"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1.05370</w:t>
            </w:r>
          </w:p>
        </w:tc>
        <w:tc>
          <w:tcPr>
            <w:tcW w:w="1040" w:type="dxa"/>
            <w:tcBorders>
              <w:top w:val="nil"/>
              <w:left w:val="nil"/>
              <w:bottom w:val="single" w:sz="4" w:space="0" w:color="ADD6EA"/>
              <w:right w:val="nil"/>
            </w:tcBorders>
            <w:shd w:val="clear" w:color="000000" w:fill="D6E7F0"/>
            <w:vAlign w:val="bottom"/>
            <w:hideMark/>
          </w:tcPr>
          <w:p w14:paraId="2B95CF25"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1.04907</w:t>
            </w:r>
          </w:p>
        </w:tc>
        <w:tc>
          <w:tcPr>
            <w:tcW w:w="1040" w:type="dxa"/>
            <w:tcBorders>
              <w:top w:val="nil"/>
              <w:left w:val="nil"/>
              <w:bottom w:val="single" w:sz="4" w:space="0" w:color="ADD6EA"/>
              <w:right w:val="nil"/>
            </w:tcBorders>
            <w:shd w:val="clear" w:color="auto" w:fill="auto"/>
            <w:vAlign w:val="bottom"/>
            <w:hideMark/>
          </w:tcPr>
          <w:p w14:paraId="2D387E95"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21.2</w:t>
            </w:r>
          </w:p>
        </w:tc>
        <w:tc>
          <w:tcPr>
            <w:tcW w:w="1040" w:type="dxa"/>
            <w:tcBorders>
              <w:top w:val="nil"/>
              <w:left w:val="nil"/>
              <w:bottom w:val="single" w:sz="4" w:space="0" w:color="ADD6EA"/>
              <w:right w:val="nil"/>
            </w:tcBorders>
            <w:shd w:val="clear" w:color="000000" w:fill="D6E7F0"/>
            <w:vAlign w:val="bottom"/>
            <w:hideMark/>
          </w:tcPr>
          <w:p w14:paraId="6B5CE02F"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21.1</w:t>
            </w:r>
          </w:p>
        </w:tc>
        <w:tc>
          <w:tcPr>
            <w:tcW w:w="1040" w:type="dxa"/>
            <w:tcBorders>
              <w:top w:val="nil"/>
              <w:left w:val="nil"/>
              <w:bottom w:val="single" w:sz="4" w:space="0" w:color="ADD6EA"/>
              <w:right w:val="nil"/>
            </w:tcBorders>
            <w:shd w:val="clear" w:color="auto" w:fill="auto"/>
            <w:vAlign w:val="bottom"/>
            <w:hideMark/>
          </w:tcPr>
          <w:p w14:paraId="651164E8"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13,868</w:t>
            </w:r>
          </w:p>
        </w:tc>
        <w:tc>
          <w:tcPr>
            <w:tcW w:w="1040" w:type="dxa"/>
            <w:tcBorders>
              <w:top w:val="nil"/>
              <w:left w:val="nil"/>
              <w:bottom w:val="single" w:sz="4" w:space="0" w:color="ADD6EA"/>
              <w:right w:val="nil"/>
            </w:tcBorders>
            <w:shd w:val="clear" w:color="000000" w:fill="D6E7F0"/>
            <w:vAlign w:val="bottom"/>
            <w:hideMark/>
          </w:tcPr>
          <w:p w14:paraId="6758FF9B"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14,286</w:t>
            </w:r>
          </w:p>
        </w:tc>
      </w:tr>
      <w:tr w:rsidR="00892597" w:rsidRPr="00892597" w14:paraId="106FBB64"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6F0EFE88"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Western Australia</w:t>
            </w:r>
          </w:p>
        </w:tc>
        <w:tc>
          <w:tcPr>
            <w:tcW w:w="1040" w:type="dxa"/>
            <w:tcBorders>
              <w:top w:val="nil"/>
              <w:left w:val="nil"/>
              <w:bottom w:val="single" w:sz="4" w:space="0" w:color="ADD6EA"/>
              <w:right w:val="nil"/>
            </w:tcBorders>
            <w:shd w:val="clear" w:color="auto" w:fill="auto"/>
            <w:vAlign w:val="bottom"/>
            <w:hideMark/>
          </w:tcPr>
          <w:p w14:paraId="2D4792B4"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0.51842</w:t>
            </w:r>
          </w:p>
        </w:tc>
        <w:tc>
          <w:tcPr>
            <w:tcW w:w="1040" w:type="dxa"/>
            <w:tcBorders>
              <w:top w:val="nil"/>
              <w:left w:val="nil"/>
              <w:bottom w:val="single" w:sz="4" w:space="0" w:color="ADD6EA"/>
              <w:right w:val="nil"/>
            </w:tcBorders>
            <w:shd w:val="clear" w:color="000000" w:fill="D6E7F0"/>
            <w:vAlign w:val="bottom"/>
            <w:hideMark/>
          </w:tcPr>
          <w:p w14:paraId="2DD3E16D"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0.44970</w:t>
            </w:r>
          </w:p>
        </w:tc>
        <w:tc>
          <w:tcPr>
            <w:tcW w:w="1040" w:type="dxa"/>
            <w:tcBorders>
              <w:top w:val="nil"/>
              <w:left w:val="nil"/>
              <w:bottom w:val="single" w:sz="4" w:space="0" w:color="ADD6EA"/>
              <w:right w:val="nil"/>
            </w:tcBorders>
            <w:shd w:val="clear" w:color="auto" w:fill="auto"/>
            <w:vAlign w:val="bottom"/>
            <w:hideMark/>
          </w:tcPr>
          <w:p w14:paraId="347BEADD"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5.3</w:t>
            </w:r>
          </w:p>
        </w:tc>
        <w:tc>
          <w:tcPr>
            <w:tcW w:w="1040" w:type="dxa"/>
            <w:tcBorders>
              <w:top w:val="nil"/>
              <w:left w:val="nil"/>
              <w:bottom w:val="single" w:sz="4" w:space="0" w:color="ADD6EA"/>
              <w:right w:val="nil"/>
            </w:tcBorders>
            <w:shd w:val="clear" w:color="000000" w:fill="D6E7F0"/>
            <w:vAlign w:val="bottom"/>
            <w:hideMark/>
          </w:tcPr>
          <w:p w14:paraId="10EDF914"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4.6</w:t>
            </w:r>
          </w:p>
        </w:tc>
        <w:tc>
          <w:tcPr>
            <w:tcW w:w="1040" w:type="dxa"/>
            <w:tcBorders>
              <w:top w:val="nil"/>
              <w:left w:val="nil"/>
              <w:bottom w:val="single" w:sz="4" w:space="0" w:color="ADD6EA"/>
              <w:right w:val="nil"/>
            </w:tcBorders>
            <w:shd w:val="clear" w:color="auto" w:fill="auto"/>
            <w:vAlign w:val="bottom"/>
            <w:hideMark/>
          </w:tcPr>
          <w:p w14:paraId="1479311C"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3,489</w:t>
            </w:r>
          </w:p>
        </w:tc>
        <w:tc>
          <w:tcPr>
            <w:tcW w:w="1040" w:type="dxa"/>
            <w:tcBorders>
              <w:top w:val="nil"/>
              <w:left w:val="nil"/>
              <w:bottom w:val="single" w:sz="4" w:space="0" w:color="ADD6EA"/>
              <w:right w:val="nil"/>
            </w:tcBorders>
            <w:shd w:val="clear" w:color="000000" w:fill="D6E7F0"/>
            <w:vAlign w:val="bottom"/>
            <w:hideMark/>
          </w:tcPr>
          <w:p w14:paraId="085DC589"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3,105</w:t>
            </w:r>
          </w:p>
        </w:tc>
      </w:tr>
      <w:tr w:rsidR="00892597" w:rsidRPr="00892597" w14:paraId="58913EE7"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29749BA9"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South Australia</w:t>
            </w:r>
          </w:p>
        </w:tc>
        <w:tc>
          <w:tcPr>
            <w:tcW w:w="1040" w:type="dxa"/>
            <w:tcBorders>
              <w:top w:val="nil"/>
              <w:left w:val="nil"/>
              <w:bottom w:val="single" w:sz="4" w:space="0" w:color="ADD6EA"/>
              <w:right w:val="nil"/>
            </w:tcBorders>
            <w:shd w:val="clear" w:color="auto" w:fill="auto"/>
            <w:vAlign w:val="bottom"/>
            <w:hideMark/>
          </w:tcPr>
          <w:p w14:paraId="79845BF0"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1.46552</w:t>
            </w:r>
          </w:p>
        </w:tc>
        <w:tc>
          <w:tcPr>
            <w:tcW w:w="1040" w:type="dxa"/>
            <w:tcBorders>
              <w:top w:val="nil"/>
              <w:left w:val="nil"/>
              <w:bottom w:val="single" w:sz="4" w:space="0" w:color="ADD6EA"/>
              <w:right w:val="nil"/>
            </w:tcBorders>
            <w:shd w:val="clear" w:color="000000" w:fill="D6E7F0"/>
            <w:vAlign w:val="bottom"/>
            <w:hideMark/>
          </w:tcPr>
          <w:p w14:paraId="65C7F335"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1.35765</w:t>
            </w:r>
          </w:p>
        </w:tc>
        <w:tc>
          <w:tcPr>
            <w:tcW w:w="1040" w:type="dxa"/>
            <w:tcBorders>
              <w:top w:val="nil"/>
              <w:left w:val="nil"/>
              <w:bottom w:val="single" w:sz="4" w:space="0" w:color="ADD6EA"/>
              <w:right w:val="nil"/>
            </w:tcBorders>
            <w:shd w:val="clear" w:color="auto" w:fill="auto"/>
            <w:vAlign w:val="bottom"/>
            <w:hideMark/>
          </w:tcPr>
          <w:p w14:paraId="42CA1D2F"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10.1</w:t>
            </w:r>
          </w:p>
        </w:tc>
        <w:tc>
          <w:tcPr>
            <w:tcW w:w="1040" w:type="dxa"/>
            <w:tcBorders>
              <w:top w:val="nil"/>
              <w:left w:val="nil"/>
              <w:bottom w:val="single" w:sz="4" w:space="0" w:color="ADD6EA"/>
              <w:right w:val="nil"/>
            </w:tcBorders>
            <w:shd w:val="clear" w:color="000000" w:fill="D6E7F0"/>
            <w:vAlign w:val="bottom"/>
            <w:hideMark/>
          </w:tcPr>
          <w:p w14:paraId="5ECE6140"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9.3</w:t>
            </w:r>
          </w:p>
        </w:tc>
        <w:tc>
          <w:tcPr>
            <w:tcW w:w="1040" w:type="dxa"/>
            <w:tcBorders>
              <w:top w:val="nil"/>
              <w:left w:val="nil"/>
              <w:bottom w:val="single" w:sz="4" w:space="0" w:color="ADD6EA"/>
              <w:right w:val="nil"/>
            </w:tcBorders>
            <w:shd w:val="clear" w:color="auto" w:fill="auto"/>
            <w:vAlign w:val="bottom"/>
            <w:hideMark/>
          </w:tcPr>
          <w:p w14:paraId="2E75B18A"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6,592</w:t>
            </w:r>
          </w:p>
        </w:tc>
        <w:tc>
          <w:tcPr>
            <w:tcW w:w="1040" w:type="dxa"/>
            <w:tcBorders>
              <w:top w:val="nil"/>
              <w:left w:val="nil"/>
              <w:bottom w:val="single" w:sz="4" w:space="0" w:color="ADD6EA"/>
              <w:right w:val="nil"/>
            </w:tcBorders>
            <w:shd w:val="clear" w:color="000000" w:fill="D6E7F0"/>
            <w:vAlign w:val="bottom"/>
            <w:hideMark/>
          </w:tcPr>
          <w:p w14:paraId="7428B413"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6,259</w:t>
            </w:r>
          </w:p>
        </w:tc>
      </w:tr>
      <w:tr w:rsidR="00892597" w:rsidRPr="00892597" w14:paraId="4419327A"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57270373"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Tasmania</w:t>
            </w:r>
          </w:p>
        </w:tc>
        <w:tc>
          <w:tcPr>
            <w:tcW w:w="1040" w:type="dxa"/>
            <w:tcBorders>
              <w:top w:val="nil"/>
              <w:left w:val="nil"/>
              <w:bottom w:val="single" w:sz="4" w:space="0" w:color="ADD6EA"/>
              <w:right w:val="nil"/>
            </w:tcBorders>
            <w:shd w:val="clear" w:color="auto" w:fill="auto"/>
            <w:vAlign w:val="bottom"/>
            <w:hideMark/>
          </w:tcPr>
          <w:p w14:paraId="0EBC4353"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1.75576</w:t>
            </w:r>
          </w:p>
        </w:tc>
        <w:tc>
          <w:tcPr>
            <w:tcW w:w="1040" w:type="dxa"/>
            <w:tcBorders>
              <w:top w:val="nil"/>
              <w:left w:val="nil"/>
              <w:bottom w:val="single" w:sz="4" w:space="0" w:color="ADD6EA"/>
              <w:right w:val="nil"/>
            </w:tcBorders>
            <w:shd w:val="clear" w:color="000000" w:fill="D6E7F0"/>
            <w:vAlign w:val="bottom"/>
            <w:hideMark/>
          </w:tcPr>
          <w:p w14:paraId="676F73E2"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1.89742</w:t>
            </w:r>
          </w:p>
        </w:tc>
        <w:tc>
          <w:tcPr>
            <w:tcW w:w="1040" w:type="dxa"/>
            <w:tcBorders>
              <w:top w:val="nil"/>
              <w:left w:val="nil"/>
              <w:bottom w:val="single" w:sz="4" w:space="0" w:color="ADD6EA"/>
              <w:right w:val="nil"/>
            </w:tcBorders>
            <w:shd w:val="clear" w:color="auto" w:fill="auto"/>
            <w:vAlign w:val="bottom"/>
            <w:hideMark/>
          </w:tcPr>
          <w:p w14:paraId="39BD8FCD"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3.7</w:t>
            </w:r>
          </w:p>
        </w:tc>
        <w:tc>
          <w:tcPr>
            <w:tcW w:w="1040" w:type="dxa"/>
            <w:tcBorders>
              <w:top w:val="nil"/>
              <w:left w:val="nil"/>
              <w:bottom w:val="single" w:sz="4" w:space="0" w:color="ADD6EA"/>
              <w:right w:val="nil"/>
            </w:tcBorders>
            <w:shd w:val="clear" w:color="000000" w:fill="D6E7F0"/>
            <w:vAlign w:val="bottom"/>
            <w:hideMark/>
          </w:tcPr>
          <w:p w14:paraId="38427820"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4.0</w:t>
            </w:r>
          </w:p>
        </w:tc>
        <w:tc>
          <w:tcPr>
            <w:tcW w:w="1040" w:type="dxa"/>
            <w:tcBorders>
              <w:top w:val="nil"/>
              <w:left w:val="nil"/>
              <w:bottom w:val="single" w:sz="4" w:space="0" w:color="ADD6EA"/>
              <w:right w:val="nil"/>
            </w:tcBorders>
            <w:shd w:val="clear" w:color="auto" w:fill="auto"/>
            <w:vAlign w:val="bottom"/>
            <w:hideMark/>
          </w:tcPr>
          <w:p w14:paraId="6907367E"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2,417</w:t>
            </w:r>
          </w:p>
        </w:tc>
        <w:tc>
          <w:tcPr>
            <w:tcW w:w="1040" w:type="dxa"/>
            <w:tcBorders>
              <w:top w:val="nil"/>
              <w:left w:val="nil"/>
              <w:bottom w:val="single" w:sz="4" w:space="0" w:color="ADD6EA"/>
              <w:right w:val="nil"/>
            </w:tcBorders>
            <w:shd w:val="clear" w:color="000000" w:fill="D6E7F0"/>
            <w:vAlign w:val="bottom"/>
            <w:hideMark/>
          </w:tcPr>
          <w:p w14:paraId="54C27BEE"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2,688</w:t>
            </w:r>
          </w:p>
        </w:tc>
      </w:tr>
      <w:tr w:rsidR="00892597" w:rsidRPr="00892597" w14:paraId="2894F798"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15B24412"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Australian Capital Territory</w:t>
            </w:r>
          </w:p>
        </w:tc>
        <w:tc>
          <w:tcPr>
            <w:tcW w:w="1040" w:type="dxa"/>
            <w:tcBorders>
              <w:top w:val="nil"/>
              <w:left w:val="nil"/>
              <w:bottom w:val="single" w:sz="4" w:space="0" w:color="ADD6EA"/>
              <w:right w:val="nil"/>
            </w:tcBorders>
            <w:shd w:val="clear" w:color="auto" w:fill="auto"/>
            <w:vAlign w:val="bottom"/>
            <w:hideMark/>
          </w:tcPr>
          <w:p w14:paraId="72EA2088"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1.23759</w:t>
            </w:r>
          </w:p>
        </w:tc>
        <w:tc>
          <w:tcPr>
            <w:tcW w:w="1040" w:type="dxa"/>
            <w:tcBorders>
              <w:top w:val="nil"/>
              <w:left w:val="nil"/>
              <w:bottom w:val="single" w:sz="4" w:space="0" w:color="ADD6EA"/>
              <w:right w:val="nil"/>
            </w:tcBorders>
            <w:shd w:val="clear" w:color="000000" w:fill="D6E7F0"/>
            <w:vAlign w:val="bottom"/>
            <w:hideMark/>
          </w:tcPr>
          <w:p w14:paraId="1AEEF1E0"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1.15112</w:t>
            </w:r>
          </w:p>
        </w:tc>
        <w:tc>
          <w:tcPr>
            <w:tcW w:w="1040" w:type="dxa"/>
            <w:tcBorders>
              <w:top w:val="nil"/>
              <w:left w:val="nil"/>
              <w:bottom w:val="single" w:sz="4" w:space="0" w:color="ADD6EA"/>
              <w:right w:val="nil"/>
            </w:tcBorders>
            <w:shd w:val="clear" w:color="auto" w:fill="auto"/>
            <w:vAlign w:val="bottom"/>
            <w:hideMark/>
          </w:tcPr>
          <w:p w14:paraId="5BC1EA93"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2.1</w:t>
            </w:r>
          </w:p>
        </w:tc>
        <w:tc>
          <w:tcPr>
            <w:tcW w:w="1040" w:type="dxa"/>
            <w:tcBorders>
              <w:top w:val="nil"/>
              <w:left w:val="nil"/>
              <w:bottom w:val="single" w:sz="4" w:space="0" w:color="ADD6EA"/>
              <w:right w:val="nil"/>
            </w:tcBorders>
            <w:shd w:val="clear" w:color="000000" w:fill="D6E7F0"/>
            <w:vAlign w:val="bottom"/>
            <w:hideMark/>
          </w:tcPr>
          <w:p w14:paraId="3950FF31"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2.0</w:t>
            </w:r>
          </w:p>
        </w:tc>
        <w:tc>
          <w:tcPr>
            <w:tcW w:w="1040" w:type="dxa"/>
            <w:tcBorders>
              <w:top w:val="nil"/>
              <w:left w:val="nil"/>
              <w:bottom w:val="single" w:sz="4" w:space="0" w:color="ADD6EA"/>
              <w:right w:val="nil"/>
            </w:tcBorders>
            <w:shd w:val="clear" w:color="auto" w:fill="auto"/>
            <w:vAlign w:val="bottom"/>
            <w:hideMark/>
          </w:tcPr>
          <w:p w14:paraId="735AC2F4"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1,368</w:t>
            </w:r>
          </w:p>
        </w:tc>
        <w:tc>
          <w:tcPr>
            <w:tcW w:w="1040" w:type="dxa"/>
            <w:tcBorders>
              <w:top w:val="nil"/>
              <w:left w:val="nil"/>
              <w:bottom w:val="single" w:sz="4" w:space="0" w:color="ADD6EA"/>
              <w:right w:val="nil"/>
            </w:tcBorders>
            <w:shd w:val="clear" w:color="000000" w:fill="D6E7F0"/>
            <w:vAlign w:val="bottom"/>
            <w:hideMark/>
          </w:tcPr>
          <w:p w14:paraId="7BF607C4"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1,319</w:t>
            </w:r>
          </w:p>
        </w:tc>
      </w:tr>
      <w:tr w:rsidR="00892597" w:rsidRPr="00892597" w14:paraId="39A288E0"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75EB52C4" w14:textId="77777777" w:rsidR="00892597" w:rsidRPr="00892597" w:rsidRDefault="00892597" w:rsidP="00892597">
            <w:pPr>
              <w:tabs>
                <w:tab w:val="clear" w:pos="567"/>
              </w:tabs>
              <w:spacing w:before="0" w:line="240" w:lineRule="auto"/>
              <w:rPr>
                <w:rFonts w:eastAsia="Times New Roman" w:cs="Open Sans Light"/>
                <w:sz w:val="16"/>
                <w:szCs w:val="16"/>
                <w:lang w:val="en-AU" w:eastAsia="en-AU"/>
              </w:rPr>
            </w:pPr>
            <w:r w:rsidRPr="00892597">
              <w:rPr>
                <w:rFonts w:eastAsia="Times New Roman" w:cs="Open Sans Light"/>
                <w:sz w:val="16"/>
                <w:szCs w:val="16"/>
                <w:lang w:val="en-AU" w:eastAsia="en-AU"/>
              </w:rPr>
              <w:t>Northern Territory</w:t>
            </w:r>
          </w:p>
        </w:tc>
        <w:tc>
          <w:tcPr>
            <w:tcW w:w="1040" w:type="dxa"/>
            <w:tcBorders>
              <w:top w:val="nil"/>
              <w:left w:val="nil"/>
              <w:bottom w:val="single" w:sz="4" w:space="0" w:color="ADD6EA"/>
              <w:right w:val="nil"/>
            </w:tcBorders>
            <w:shd w:val="clear" w:color="auto" w:fill="auto"/>
            <w:vAlign w:val="bottom"/>
            <w:hideMark/>
          </w:tcPr>
          <w:p w14:paraId="5FD30D28"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4.26735</w:t>
            </w:r>
          </w:p>
        </w:tc>
        <w:tc>
          <w:tcPr>
            <w:tcW w:w="1040" w:type="dxa"/>
            <w:tcBorders>
              <w:top w:val="nil"/>
              <w:left w:val="nil"/>
              <w:bottom w:val="single" w:sz="4" w:space="0" w:color="ADD6EA"/>
              <w:right w:val="nil"/>
            </w:tcBorders>
            <w:shd w:val="clear" w:color="000000" w:fill="D6E7F0"/>
            <w:vAlign w:val="bottom"/>
            <w:hideMark/>
          </w:tcPr>
          <w:p w14:paraId="3EAC9D5C"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4.76893</w:t>
            </w:r>
          </w:p>
        </w:tc>
        <w:tc>
          <w:tcPr>
            <w:tcW w:w="1040" w:type="dxa"/>
            <w:tcBorders>
              <w:top w:val="nil"/>
              <w:left w:val="nil"/>
              <w:bottom w:val="single" w:sz="4" w:space="0" w:color="ADD6EA"/>
              <w:right w:val="nil"/>
            </w:tcBorders>
            <w:shd w:val="clear" w:color="auto" w:fill="auto"/>
            <w:vAlign w:val="bottom"/>
            <w:hideMark/>
          </w:tcPr>
          <w:p w14:paraId="7F1DA67D"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4.1</w:t>
            </w:r>
          </w:p>
        </w:tc>
        <w:tc>
          <w:tcPr>
            <w:tcW w:w="1040" w:type="dxa"/>
            <w:tcBorders>
              <w:top w:val="nil"/>
              <w:left w:val="nil"/>
              <w:bottom w:val="single" w:sz="4" w:space="0" w:color="ADD6EA"/>
              <w:right w:val="nil"/>
            </w:tcBorders>
            <w:shd w:val="clear" w:color="000000" w:fill="D6E7F0"/>
            <w:vAlign w:val="bottom"/>
            <w:hideMark/>
          </w:tcPr>
          <w:p w14:paraId="2F8901F9"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4.5</w:t>
            </w:r>
          </w:p>
        </w:tc>
        <w:tc>
          <w:tcPr>
            <w:tcW w:w="1040" w:type="dxa"/>
            <w:tcBorders>
              <w:top w:val="nil"/>
              <w:left w:val="nil"/>
              <w:bottom w:val="single" w:sz="4" w:space="0" w:color="ADD6EA"/>
              <w:right w:val="nil"/>
            </w:tcBorders>
            <w:shd w:val="clear" w:color="auto" w:fill="auto"/>
            <w:vAlign w:val="bottom"/>
            <w:hideMark/>
          </w:tcPr>
          <w:p w14:paraId="361D6AF9" w14:textId="77777777" w:rsidR="00892597" w:rsidRPr="00892597" w:rsidRDefault="00892597" w:rsidP="00892597">
            <w:pPr>
              <w:tabs>
                <w:tab w:val="clear" w:pos="567"/>
              </w:tabs>
              <w:spacing w:before="0" w:line="240" w:lineRule="auto"/>
              <w:jc w:val="right"/>
              <w:rPr>
                <w:rFonts w:eastAsia="Times New Roman" w:cs="Open Sans Light"/>
                <w:sz w:val="16"/>
                <w:szCs w:val="16"/>
                <w:lang w:val="en-AU" w:eastAsia="en-AU"/>
              </w:rPr>
            </w:pPr>
            <w:r w:rsidRPr="00892597">
              <w:rPr>
                <w:rFonts w:eastAsia="Times New Roman" w:cs="Open Sans Light"/>
                <w:sz w:val="16"/>
                <w:szCs w:val="16"/>
                <w:lang w:val="en-AU" w:eastAsia="en-AU"/>
              </w:rPr>
              <w:t>2,685</w:t>
            </w:r>
          </w:p>
        </w:tc>
        <w:tc>
          <w:tcPr>
            <w:tcW w:w="1040" w:type="dxa"/>
            <w:tcBorders>
              <w:top w:val="nil"/>
              <w:left w:val="nil"/>
              <w:bottom w:val="single" w:sz="4" w:space="0" w:color="ADD6EA"/>
              <w:right w:val="nil"/>
            </w:tcBorders>
            <w:shd w:val="clear" w:color="000000" w:fill="D6E7F0"/>
            <w:vAlign w:val="bottom"/>
            <w:hideMark/>
          </w:tcPr>
          <w:p w14:paraId="219DB12B" w14:textId="77777777" w:rsidR="00892597" w:rsidRPr="00892597" w:rsidRDefault="00892597" w:rsidP="00892597">
            <w:pPr>
              <w:tabs>
                <w:tab w:val="clear" w:pos="567"/>
              </w:tabs>
              <w:spacing w:before="0" w:line="240" w:lineRule="auto"/>
              <w:jc w:val="right"/>
              <w:rPr>
                <w:rFonts w:eastAsia="Times New Roman" w:cs="Open Sans Light"/>
                <w:color w:val="000000"/>
                <w:sz w:val="16"/>
                <w:szCs w:val="16"/>
                <w:lang w:val="en-AU" w:eastAsia="en-AU"/>
              </w:rPr>
            </w:pPr>
            <w:r w:rsidRPr="00892597">
              <w:rPr>
                <w:rFonts w:eastAsia="Times New Roman" w:cs="Open Sans Light"/>
                <w:color w:val="000000"/>
                <w:sz w:val="16"/>
                <w:szCs w:val="16"/>
                <w:lang w:val="en-AU" w:eastAsia="en-AU"/>
              </w:rPr>
              <w:t>3,053</w:t>
            </w:r>
          </w:p>
        </w:tc>
      </w:tr>
      <w:tr w:rsidR="00892597" w:rsidRPr="00D936DE" w14:paraId="7CB56ED6" w14:textId="77777777" w:rsidTr="00901FBC">
        <w:trPr>
          <w:trHeight w:val="315"/>
        </w:trPr>
        <w:tc>
          <w:tcPr>
            <w:tcW w:w="2740" w:type="dxa"/>
            <w:tcBorders>
              <w:top w:val="nil"/>
              <w:left w:val="nil"/>
              <w:bottom w:val="single" w:sz="4" w:space="0" w:color="ADD6EA"/>
              <w:right w:val="nil"/>
            </w:tcBorders>
            <w:shd w:val="clear" w:color="auto" w:fill="auto"/>
            <w:vAlign w:val="bottom"/>
            <w:hideMark/>
          </w:tcPr>
          <w:p w14:paraId="2B69D371" w14:textId="77777777" w:rsidR="00892597" w:rsidRPr="00D936DE" w:rsidRDefault="00892597" w:rsidP="00892597">
            <w:pPr>
              <w:tabs>
                <w:tab w:val="clear" w:pos="567"/>
              </w:tabs>
              <w:spacing w:before="0" w:line="240" w:lineRule="auto"/>
              <w:rPr>
                <w:rFonts w:ascii="Open Sans SemiBold" w:eastAsia="Times New Roman" w:hAnsi="Open Sans SemiBold" w:cs="Open Sans SemiBold"/>
                <w:sz w:val="16"/>
                <w:szCs w:val="16"/>
                <w:lang w:val="en-AU" w:eastAsia="en-AU"/>
              </w:rPr>
            </w:pPr>
            <w:r w:rsidRPr="00D936DE">
              <w:rPr>
                <w:rFonts w:ascii="Open Sans SemiBold" w:eastAsia="Times New Roman" w:hAnsi="Open Sans SemiBold" w:cs="Open Sans SemiBold"/>
                <w:sz w:val="16"/>
                <w:szCs w:val="16"/>
                <w:lang w:val="en-AU" w:eastAsia="en-AU"/>
              </w:rPr>
              <w:t>Total</w:t>
            </w:r>
          </w:p>
        </w:tc>
        <w:tc>
          <w:tcPr>
            <w:tcW w:w="1040" w:type="dxa"/>
            <w:tcBorders>
              <w:top w:val="nil"/>
              <w:left w:val="nil"/>
              <w:bottom w:val="single" w:sz="4" w:space="0" w:color="ADD6EA"/>
              <w:right w:val="nil"/>
            </w:tcBorders>
            <w:shd w:val="clear" w:color="auto" w:fill="auto"/>
            <w:vAlign w:val="bottom"/>
            <w:hideMark/>
          </w:tcPr>
          <w:p w14:paraId="15E15644"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D936DE">
              <w:rPr>
                <w:rFonts w:ascii="Open Sans SemiBold" w:eastAsia="Times New Roman" w:hAnsi="Open Sans SemiBold" w:cs="Open Sans SemiBold"/>
                <w:sz w:val="16"/>
                <w:szCs w:val="16"/>
                <w:lang w:val="en-AU" w:eastAsia="en-AU"/>
              </w:rPr>
              <w:t>1.00000</w:t>
            </w:r>
          </w:p>
        </w:tc>
        <w:tc>
          <w:tcPr>
            <w:tcW w:w="1040" w:type="dxa"/>
            <w:tcBorders>
              <w:top w:val="nil"/>
              <w:left w:val="nil"/>
              <w:bottom w:val="single" w:sz="4" w:space="0" w:color="ADD6EA"/>
              <w:right w:val="nil"/>
            </w:tcBorders>
            <w:shd w:val="clear" w:color="000000" w:fill="D6E7F0"/>
            <w:vAlign w:val="bottom"/>
            <w:hideMark/>
          </w:tcPr>
          <w:p w14:paraId="00B73BBC"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D936DE">
              <w:rPr>
                <w:rFonts w:ascii="Open Sans SemiBold" w:eastAsia="Times New Roman" w:hAnsi="Open Sans SemiBold" w:cs="Open Sans SemiBold"/>
                <w:color w:val="000000"/>
                <w:sz w:val="16"/>
                <w:szCs w:val="16"/>
                <w:lang w:val="en-AU" w:eastAsia="en-AU"/>
              </w:rPr>
              <w:t>1.00000</w:t>
            </w:r>
          </w:p>
        </w:tc>
        <w:tc>
          <w:tcPr>
            <w:tcW w:w="1040" w:type="dxa"/>
            <w:tcBorders>
              <w:top w:val="nil"/>
              <w:left w:val="nil"/>
              <w:bottom w:val="single" w:sz="4" w:space="0" w:color="ADD6EA"/>
              <w:right w:val="nil"/>
            </w:tcBorders>
            <w:shd w:val="clear" w:color="auto" w:fill="auto"/>
            <w:vAlign w:val="bottom"/>
            <w:hideMark/>
          </w:tcPr>
          <w:p w14:paraId="107B4449"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D936DE">
              <w:rPr>
                <w:rFonts w:ascii="Open Sans SemiBold" w:eastAsia="Times New Roman" w:hAnsi="Open Sans SemiBold" w:cs="Open Sans SemiBold"/>
                <w:sz w:val="16"/>
                <w:szCs w:val="16"/>
                <w:lang w:val="en-AU" w:eastAsia="en-AU"/>
              </w:rPr>
              <w:t>100.0</w:t>
            </w:r>
          </w:p>
        </w:tc>
        <w:tc>
          <w:tcPr>
            <w:tcW w:w="1040" w:type="dxa"/>
            <w:tcBorders>
              <w:top w:val="nil"/>
              <w:left w:val="nil"/>
              <w:bottom w:val="single" w:sz="4" w:space="0" w:color="ADD6EA"/>
              <w:right w:val="nil"/>
            </w:tcBorders>
            <w:shd w:val="clear" w:color="000000" w:fill="D6E7F0"/>
            <w:vAlign w:val="bottom"/>
            <w:hideMark/>
          </w:tcPr>
          <w:p w14:paraId="63F765B5"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D936DE">
              <w:rPr>
                <w:rFonts w:ascii="Open Sans SemiBold" w:eastAsia="Times New Roman" w:hAnsi="Open Sans SemiBold" w:cs="Open Sans SemiBold"/>
                <w:color w:val="000000"/>
                <w:sz w:val="16"/>
                <w:szCs w:val="16"/>
                <w:lang w:val="en-AU" w:eastAsia="en-AU"/>
              </w:rPr>
              <w:t>100.0</w:t>
            </w:r>
          </w:p>
        </w:tc>
        <w:tc>
          <w:tcPr>
            <w:tcW w:w="1040" w:type="dxa"/>
            <w:tcBorders>
              <w:top w:val="nil"/>
              <w:left w:val="nil"/>
              <w:bottom w:val="single" w:sz="4" w:space="0" w:color="ADD6EA"/>
              <w:right w:val="nil"/>
            </w:tcBorders>
            <w:shd w:val="clear" w:color="auto" w:fill="auto"/>
            <w:vAlign w:val="bottom"/>
            <w:hideMark/>
          </w:tcPr>
          <w:p w14:paraId="2505B725"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D936DE">
              <w:rPr>
                <w:rFonts w:ascii="Open Sans SemiBold" w:eastAsia="Times New Roman" w:hAnsi="Open Sans SemiBold" w:cs="Open Sans SemiBold"/>
                <w:sz w:val="16"/>
                <w:szCs w:val="16"/>
                <w:lang w:val="en-AU" w:eastAsia="en-AU"/>
              </w:rPr>
              <w:t>65,410</w:t>
            </w:r>
          </w:p>
        </w:tc>
        <w:tc>
          <w:tcPr>
            <w:tcW w:w="1040" w:type="dxa"/>
            <w:tcBorders>
              <w:top w:val="nil"/>
              <w:left w:val="nil"/>
              <w:bottom w:val="single" w:sz="4" w:space="0" w:color="ADD6EA"/>
              <w:right w:val="nil"/>
            </w:tcBorders>
            <w:shd w:val="clear" w:color="000000" w:fill="D6E7F0"/>
            <w:vAlign w:val="bottom"/>
            <w:hideMark/>
          </w:tcPr>
          <w:p w14:paraId="674FD544" w14:textId="77777777" w:rsidR="00892597" w:rsidRPr="00D936DE" w:rsidRDefault="00892597" w:rsidP="0089259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D936DE">
              <w:rPr>
                <w:rFonts w:ascii="Open Sans SemiBold" w:eastAsia="Times New Roman" w:hAnsi="Open Sans SemiBold" w:cs="Open Sans SemiBold"/>
                <w:color w:val="000000"/>
                <w:sz w:val="16"/>
                <w:szCs w:val="16"/>
                <w:lang w:val="en-AU" w:eastAsia="en-AU"/>
              </w:rPr>
              <w:t>67,610</w:t>
            </w:r>
          </w:p>
        </w:tc>
      </w:tr>
    </w:tbl>
    <w:p w14:paraId="3D579272" w14:textId="4A3D7700" w:rsidR="009A45B8" w:rsidRDefault="006B7328" w:rsidP="006C6DA0">
      <w:pPr>
        <w:pStyle w:val="CGCTablenote"/>
      </w:pPr>
      <w:r>
        <w:t>Note:</w:t>
      </w:r>
      <w:r>
        <w:tab/>
      </w:r>
      <w:r w:rsidR="00C140F2">
        <w:t>The i</w:t>
      </w:r>
      <w:r>
        <w:t>ll</w:t>
      </w:r>
      <w:r w:rsidR="0082162A">
        <w:t xml:space="preserve">ustrative </w:t>
      </w:r>
      <w:r w:rsidR="004842B5">
        <w:t xml:space="preserve">GST </w:t>
      </w:r>
      <w:r w:rsidR="0067367D">
        <w:t>distribution for 2020</w:t>
      </w:r>
      <w:r w:rsidR="0067367D">
        <w:noBreakHyphen/>
        <w:t>21</w:t>
      </w:r>
      <w:r w:rsidR="00252522">
        <w:t xml:space="preserve"> was obtained by applying </w:t>
      </w:r>
      <w:r w:rsidR="008A7FB6">
        <w:t xml:space="preserve">2020 Review </w:t>
      </w:r>
      <w:r w:rsidR="00D309B7">
        <w:t xml:space="preserve">relativities </w:t>
      </w:r>
      <w:r w:rsidR="00373EA5">
        <w:t xml:space="preserve">to </w:t>
      </w:r>
      <w:r w:rsidR="00D309B7">
        <w:t>estimated State</w:t>
      </w:r>
      <w:r w:rsidR="00373EA5">
        <w:t xml:space="preserve"> populations </w:t>
      </w:r>
      <w:r w:rsidR="00857D80">
        <w:t xml:space="preserve">as at December 2020 </w:t>
      </w:r>
      <w:r w:rsidR="00373EA5">
        <w:t>and estimated GST reven</w:t>
      </w:r>
      <w:r w:rsidR="00F749E4">
        <w:t>ue</w:t>
      </w:r>
      <w:r w:rsidR="002A0FDA">
        <w:t xml:space="preserve"> for 2020</w:t>
      </w:r>
      <w:r w:rsidR="002A0FDA">
        <w:noBreakHyphen/>
        <w:t>21.</w:t>
      </w:r>
    </w:p>
    <w:p w14:paraId="7450B962" w14:textId="6EC6026A" w:rsidR="005D3D4C" w:rsidRPr="005D3D4C" w:rsidRDefault="00BA34A0" w:rsidP="006C6DA0">
      <w:pPr>
        <w:pStyle w:val="CGCTablenote"/>
      </w:pPr>
      <w:r>
        <w:t>Source:</w:t>
      </w:r>
      <w:r w:rsidR="00A61087">
        <w:tab/>
        <w:t>Commission calculation.</w:t>
      </w:r>
    </w:p>
    <w:p w14:paraId="57E4DD63" w14:textId="3FAD5243" w:rsidR="005D3D4C" w:rsidRDefault="005D3D4C" w:rsidP="005D3D4C">
      <w:pPr>
        <w:pStyle w:val="CGCParaNumber"/>
      </w:pPr>
      <w:bookmarkStart w:id="10" w:name="_Ref31355120"/>
      <w:r>
        <w:t xml:space="preserve">In addition to GST revenue, the Commonwealth will be making supplementary payments under its horizontal fiscal </w:t>
      </w:r>
      <w:r w:rsidRPr="00B02CB5">
        <w:t>equalisation</w:t>
      </w:r>
      <w:r>
        <w:t xml:space="preserve"> (HFE)</w:t>
      </w:r>
      <w:r w:rsidR="00CD1494">
        <w:t xml:space="preserve"> reform package</w:t>
      </w:r>
      <w:r>
        <w:t xml:space="preserve"> to deliver an outcome equivalent to a relativity of 0.70 to Western</w:t>
      </w:r>
      <w:r w:rsidR="00A73D79">
        <w:t> </w:t>
      </w:r>
      <w:r>
        <w:t>Australia</w:t>
      </w:r>
      <w:r w:rsidR="002B1FC9">
        <w:t>. N</w:t>
      </w:r>
      <w:r w:rsidR="00177F01">
        <w:t xml:space="preserve">o supplementary payments will be required for the Northern Territory as </w:t>
      </w:r>
      <w:r w:rsidR="00B61581">
        <w:t>its recommended relati</w:t>
      </w:r>
      <w:r w:rsidR="00B6619E">
        <w:t xml:space="preserve">vity is greater than </w:t>
      </w:r>
      <w:r w:rsidR="0029444B">
        <w:t>its 4.66</w:t>
      </w:r>
      <w:r w:rsidR="00B14E1D">
        <w:t xml:space="preserve"> </w:t>
      </w:r>
      <w:r w:rsidR="0029444B">
        <w:t>guarantee</w:t>
      </w:r>
      <w:r w:rsidR="00C62901">
        <w:t>.</w:t>
      </w:r>
      <w:bookmarkEnd w:id="10"/>
    </w:p>
    <w:p w14:paraId="020DF151" w14:textId="4E310CF4" w:rsidR="00CD1494" w:rsidRDefault="00CD1494" w:rsidP="005D3D4C">
      <w:pPr>
        <w:pStyle w:val="CGCParaNumber"/>
      </w:pPr>
      <w:r>
        <w:t>The methods used to derive these results for 2020</w:t>
      </w:r>
      <w:r>
        <w:noBreakHyphen/>
        <w:t>21 are set out in Volume 2 of this report. Using these methods</w:t>
      </w:r>
      <w:r w:rsidR="009F7EDE">
        <w:t>, and data for 2016</w:t>
      </w:r>
      <w:r w:rsidR="009F7EDE">
        <w:noBreakHyphen/>
        <w:t>17, 2017</w:t>
      </w:r>
      <w:r w:rsidR="009F7EDE">
        <w:noBreakHyphen/>
        <w:t>18 and 201</w:t>
      </w:r>
      <w:r w:rsidR="00201372">
        <w:t>8</w:t>
      </w:r>
      <w:r w:rsidR="00201372">
        <w:noBreakHyphen/>
        <w:t>1</w:t>
      </w:r>
      <w:r w:rsidR="009F7EDE">
        <w:t>9,</w:t>
      </w:r>
      <w:r>
        <w:t xml:space="preserve"> the Commission has measured how the economic, social, demographic and other characteristics of the States affect the relative expenses States need to incur to provide </w:t>
      </w:r>
      <w:r w:rsidR="003E755D">
        <w:t xml:space="preserve">the average level of </w:t>
      </w:r>
      <w:r>
        <w:t>services (including infrastructure) and capacity of States to raise their own revenue. The expense and revenue assessments are combined with the additional Commonwealth support States receive and data on State populations</w:t>
      </w:r>
      <w:r w:rsidR="00B2769B">
        <w:t xml:space="preserve"> </w:t>
      </w:r>
      <w:r w:rsidR="000710AE" w:rsidRPr="000710AE">
        <w:t>to calculate each State’s share of the GST.</w:t>
      </w:r>
      <w:r w:rsidR="001A10E2">
        <w:rPr>
          <w:rStyle w:val="FootnoteReference"/>
        </w:rPr>
        <w:footnoteReference w:id="2"/>
      </w:r>
      <w:r w:rsidR="000710AE" w:rsidRPr="000710AE">
        <w:t xml:space="preserve"> These shares aim to give each State</w:t>
      </w:r>
      <w:r w:rsidR="00DF20EA">
        <w:t>,</w:t>
      </w:r>
      <w:r w:rsidR="000710AE" w:rsidRPr="000710AE">
        <w:t xml:space="preserve"> in 20</w:t>
      </w:r>
      <w:r w:rsidR="00DF20EA">
        <w:t>20</w:t>
      </w:r>
      <w:r w:rsidR="00B56F04">
        <w:noBreakHyphen/>
      </w:r>
      <w:r w:rsidR="000710AE" w:rsidRPr="000710AE">
        <w:t>2</w:t>
      </w:r>
      <w:r w:rsidR="00DF20EA">
        <w:t>1,</w:t>
      </w:r>
      <w:r w:rsidR="000710AE" w:rsidRPr="000710AE">
        <w:t xml:space="preserve"> the fiscal capacity to provide the </w:t>
      </w:r>
      <w:r w:rsidR="005C45E9">
        <w:t xml:space="preserve">(national) </w:t>
      </w:r>
      <w:r w:rsidR="000710AE" w:rsidRPr="000710AE">
        <w:t>average standard of services and associated infrastructure for its population, if it makes the average effort to raise revenue and operates at the average level of efficiency.</w:t>
      </w:r>
    </w:p>
    <w:p w14:paraId="2E432161" w14:textId="31A6C805" w:rsidR="00976459" w:rsidRDefault="00FE766F" w:rsidP="005D3D4C">
      <w:pPr>
        <w:pStyle w:val="CGCParaNumber"/>
      </w:pPr>
      <w:r>
        <w:lastRenderedPageBreak/>
        <w:fldChar w:fldCharType="begin"/>
      </w:r>
      <w:r>
        <w:instrText xml:space="preserve"> REF _Ref30604745 \h </w:instrText>
      </w:r>
      <w:r>
        <w:fldChar w:fldCharType="separate"/>
      </w:r>
      <w:r w:rsidR="003D49C2">
        <w:t>Figure 1</w:t>
      </w:r>
      <w:r w:rsidR="003D49C2">
        <w:noBreakHyphen/>
      </w:r>
      <w:r w:rsidR="003D49C2">
        <w:rPr>
          <w:noProof/>
        </w:rPr>
        <w:t>1</w:t>
      </w:r>
      <w:r>
        <w:fldChar w:fldCharType="end"/>
      </w:r>
      <w:r>
        <w:t xml:space="preserve"> </w:t>
      </w:r>
      <w:r w:rsidR="00976459" w:rsidRPr="00976459">
        <w:t>illustrates the outcomes of this process. It shows that the per capita GST requirement for each State is the difference between the State’s total assessed expenditure (expenses and investment) and the sum of its assessed own</w:t>
      </w:r>
      <w:r w:rsidR="00800612">
        <w:t>-</w:t>
      </w:r>
      <w:r w:rsidR="00976459" w:rsidRPr="00976459">
        <w:t xml:space="preserve">source revenue, assessed net borrowing and Commonwealth payments. Any additional payments received by </w:t>
      </w:r>
      <w:r w:rsidR="00723F77">
        <w:t xml:space="preserve">a </w:t>
      </w:r>
      <w:r w:rsidR="00976459" w:rsidRPr="00976459">
        <w:t>State that are quarantined from the Commission’s processes increase the fiscal capacities of th</w:t>
      </w:r>
      <w:r w:rsidR="00B60D5C">
        <w:t>at</w:t>
      </w:r>
      <w:r w:rsidR="00976459" w:rsidRPr="00976459">
        <w:t xml:space="preserve"> State relative to the other States.</w:t>
      </w:r>
    </w:p>
    <w:p w14:paraId="23D3B496" w14:textId="47B2991D" w:rsidR="00976459" w:rsidRDefault="00976459" w:rsidP="00976459">
      <w:pPr>
        <w:pStyle w:val="CGCTableHeading"/>
      </w:pPr>
      <w:bookmarkStart w:id="11" w:name="_Ref30604745"/>
      <w:r>
        <w:t xml:space="preserve">Figure </w:t>
      </w:r>
      <w:r w:rsidR="007D70A7">
        <w:t>1</w:t>
      </w:r>
      <w:r w:rsidR="007D70A7">
        <w:noBreakHyphen/>
      </w:r>
      <w:r>
        <w:fldChar w:fldCharType="begin"/>
      </w:r>
      <w:r>
        <w:instrText>SEQ Figure \* ARABIC</w:instrText>
      </w:r>
      <w:r>
        <w:fldChar w:fldCharType="separate"/>
      </w:r>
      <w:r w:rsidR="003D49C2">
        <w:rPr>
          <w:noProof/>
        </w:rPr>
        <w:t>1</w:t>
      </w:r>
      <w:r>
        <w:fldChar w:fldCharType="end"/>
      </w:r>
      <w:bookmarkEnd w:id="11"/>
      <w:r>
        <w:tab/>
        <w:t>Illustrative assessed budgets per capita</w:t>
      </w:r>
      <w:r w:rsidR="00A010D0">
        <w:t>, 2020</w:t>
      </w:r>
      <w:r w:rsidR="00A010D0">
        <w:noBreakHyphen/>
        <w:t>21</w:t>
      </w:r>
    </w:p>
    <w:p w14:paraId="753CC067" w14:textId="583E71CB" w:rsidR="0051302B" w:rsidRDefault="001439B3" w:rsidP="00A010D0">
      <w:pPr>
        <w:rPr>
          <w:noProof/>
        </w:rPr>
      </w:pPr>
      <w:r>
        <w:rPr>
          <w:noProof/>
        </w:rPr>
        <w:drawing>
          <wp:inline distT="0" distB="0" distL="0" distR="0" wp14:anchorId="55279D4E" wp14:editId="4B710BD3">
            <wp:extent cx="5669915" cy="3542030"/>
            <wp:effectExtent l="0" t="0" r="6985" b="1270"/>
            <wp:docPr id="2" name="Picture 2" descr="This bar graph compares expenditure to four sources of revenue, Own source revenue, net borrowing, Commonwealth payments and 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915" cy="3542030"/>
                    </a:xfrm>
                    <a:prstGeom prst="rect">
                      <a:avLst/>
                    </a:prstGeom>
                    <a:noFill/>
                  </pic:spPr>
                </pic:pic>
              </a:graphicData>
            </a:graphic>
          </wp:inline>
        </w:drawing>
      </w:r>
    </w:p>
    <w:p w14:paraId="008A1625" w14:textId="5D5B12A6" w:rsidR="005F1D56" w:rsidRDefault="005F1D56" w:rsidP="00E46185">
      <w:pPr>
        <w:pStyle w:val="CGCTableFootnote"/>
        <w:tabs>
          <w:tab w:val="left" w:pos="709"/>
        </w:tabs>
      </w:pPr>
      <w:r>
        <w:t>Note:</w:t>
      </w:r>
      <w:r>
        <w:tab/>
      </w:r>
      <w:r w:rsidR="00F808DB">
        <w:t xml:space="preserve">These are </w:t>
      </w:r>
      <w:r w:rsidR="00D871E5">
        <w:t xml:space="preserve">assessed </w:t>
      </w:r>
      <w:r w:rsidR="00F808DB">
        <w:t>expenditure</w:t>
      </w:r>
      <w:r w:rsidR="004D6F5D">
        <w:t>s</w:t>
      </w:r>
      <w:r w:rsidR="00F808DB">
        <w:t xml:space="preserve">, </w:t>
      </w:r>
      <w:r w:rsidR="00036090">
        <w:t>own</w:t>
      </w:r>
      <w:r w:rsidR="00800612">
        <w:t>-</w:t>
      </w:r>
      <w:r w:rsidR="00036090">
        <w:t>source revenue, net borrowing</w:t>
      </w:r>
      <w:r w:rsidR="00033CF3">
        <w:t xml:space="preserve">, </w:t>
      </w:r>
      <w:r w:rsidR="00036090">
        <w:t>Commonwealth payments</w:t>
      </w:r>
      <w:r w:rsidR="00033CF3">
        <w:t xml:space="preserve"> and GST.</w:t>
      </w:r>
    </w:p>
    <w:p w14:paraId="44452812" w14:textId="77777777" w:rsidR="0010130D" w:rsidRDefault="0010130D" w:rsidP="0010130D">
      <w:pPr>
        <w:pStyle w:val="CGCTablenote"/>
        <w:numPr>
          <w:ilvl w:val="0"/>
          <w:numId w:val="34"/>
        </w:numPr>
      </w:pPr>
      <w:r>
        <w:t>Includes expenses and investment.</w:t>
      </w:r>
    </w:p>
    <w:p w14:paraId="6A6787C3" w14:textId="00667B80" w:rsidR="00A010D0" w:rsidRDefault="00A010D0" w:rsidP="00A010D0">
      <w:pPr>
        <w:pStyle w:val="CGCTablenote"/>
      </w:pPr>
      <w:r>
        <w:t>Source:</w:t>
      </w:r>
      <w:r>
        <w:tab/>
        <w:t>Commission calculation</w:t>
      </w:r>
      <w:r w:rsidR="000312CF">
        <w:t>.</w:t>
      </w:r>
    </w:p>
    <w:p w14:paraId="43E0ECFB" w14:textId="604423C1" w:rsidR="008E5B63" w:rsidRPr="00840313" w:rsidRDefault="008E5B63" w:rsidP="008E5B63">
      <w:pPr>
        <w:pStyle w:val="CGCParaNumber"/>
      </w:pPr>
      <w:r w:rsidRPr="009B6C78">
        <w:t>Differences in State</w:t>
      </w:r>
      <w:r w:rsidR="0013337C" w:rsidRPr="009B6C78">
        <w:t>s’</w:t>
      </w:r>
      <w:r w:rsidR="005F7282" w:rsidRPr="009B6C78">
        <w:t xml:space="preserve"> </w:t>
      </w:r>
      <w:r w:rsidR="0013337C" w:rsidRPr="009B6C78">
        <w:t>assessed</w:t>
      </w:r>
      <w:r w:rsidRPr="009B6C78">
        <w:t xml:space="preserve"> fiscal capacities have decreased in this </w:t>
      </w:r>
      <w:r w:rsidR="00EE019F">
        <w:t>review</w:t>
      </w:r>
      <w:r w:rsidRPr="009B6C78">
        <w:t xml:space="preserve">, resulting in a decline in the proportion of GST revenue </w:t>
      </w:r>
      <w:r w:rsidR="008C28CA">
        <w:t>recomm</w:t>
      </w:r>
      <w:r w:rsidR="006865B4">
        <w:t xml:space="preserve">ended to be </w:t>
      </w:r>
      <w:r w:rsidRPr="009B6C78">
        <w:t xml:space="preserve">redistributed away from </w:t>
      </w:r>
      <w:r w:rsidR="00001A86">
        <w:t>equal per capita (</w:t>
      </w:r>
      <w:r w:rsidRPr="009B6C78">
        <w:t>EPC</w:t>
      </w:r>
      <w:r w:rsidR="00001A86">
        <w:t>)</w:t>
      </w:r>
      <w:r w:rsidRPr="009B6C78">
        <w:t xml:space="preserve"> to the States with below average fiscal capacities. </w:t>
      </w:r>
      <w:r w:rsidRPr="00064ACA">
        <w:t xml:space="preserve">The proportion of GST revenue redistributed in this </w:t>
      </w:r>
      <w:r w:rsidR="00B13A33">
        <w:t>review</w:t>
      </w:r>
      <w:r w:rsidRPr="00064ACA">
        <w:t xml:space="preserve"> fell from </w:t>
      </w:r>
      <w:r w:rsidR="00900F9B">
        <w:t>9</w:t>
      </w:r>
      <w:r w:rsidRPr="00064ACA">
        <w:t>.</w:t>
      </w:r>
      <w:r w:rsidR="00900F9B">
        <w:t>5</w:t>
      </w:r>
      <w:r w:rsidRPr="00064ACA">
        <w:t>% ($6.</w:t>
      </w:r>
      <w:r w:rsidR="00B26524">
        <w:t>19</w:t>
      </w:r>
      <w:r w:rsidR="00A86BA0">
        <w:t> </w:t>
      </w:r>
      <w:r w:rsidRPr="00064ACA">
        <w:t xml:space="preserve">billion) </w:t>
      </w:r>
      <w:r w:rsidR="00E12B0A">
        <w:t xml:space="preserve">in 2019-20 </w:t>
      </w:r>
      <w:r w:rsidRPr="00064ACA">
        <w:t>to 9.</w:t>
      </w:r>
      <w:r w:rsidR="00BB04C3">
        <w:t>2</w:t>
      </w:r>
      <w:r w:rsidRPr="00064ACA">
        <w:t>% ($6.</w:t>
      </w:r>
      <w:r w:rsidR="00B26524">
        <w:t>2</w:t>
      </w:r>
      <w:r w:rsidR="00EB1057">
        <w:t>1</w:t>
      </w:r>
      <w:r w:rsidR="006B6A93">
        <w:t> </w:t>
      </w:r>
      <w:r w:rsidRPr="00064ACA">
        <w:t>billion)</w:t>
      </w:r>
      <w:r w:rsidR="00E12B0A">
        <w:t xml:space="preserve"> in 2020-21</w:t>
      </w:r>
      <w:r w:rsidRPr="00064ACA">
        <w:t xml:space="preserve">. </w:t>
      </w:r>
      <w:r w:rsidRPr="00840313">
        <w:t xml:space="preserve">The </w:t>
      </w:r>
      <w:r w:rsidR="00E008AD">
        <w:t>magnitude of the</w:t>
      </w:r>
      <w:r w:rsidRPr="00840313">
        <w:t xml:space="preserve"> improvement</w:t>
      </w:r>
      <w:r w:rsidR="008640B1">
        <w:t>s</w:t>
      </w:r>
      <w:r w:rsidRPr="00840313">
        <w:t xml:space="preserve"> in the </w:t>
      </w:r>
      <w:r w:rsidR="00B03A57">
        <w:t>assessed</w:t>
      </w:r>
      <w:r w:rsidR="008640B1">
        <w:t xml:space="preserve"> </w:t>
      </w:r>
      <w:r w:rsidRPr="00840313">
        <w:t>fiscal capacit</w:t>
      </w:r>
      <w:r w:rsidR="008640B1">
        <w:t>ies</w:t>
      </w:r>
      <w:r w:rsidRPr="00840313">
        <w:t xml:space="preserve"> of </w:t>
      </w:r>
      <w:r w:rsidR="00B03A57">
        <w:t>Western Australia, South Australia and the ACT</w:t>
      </w:r>
      <w:r w:rsidR="00E008AD">
        <w:t xml:space="preserve"> </w:t>
      </w:r>
      <w:r w:rsidR="00676ACE">
        <w:t>are</w:t>
      </w:r>
      <w:r w:rsidR="00E008AD">
        <w:t xml:space="preserve"> such that</w:t>
      </w:r>
      <w:r w:rsidR="00B03A57">
        <w:t xml:space="preserve">, </w:t>
      </w:r>
      <w:r w:rsidR="00295A97">
        <w:t xml:space="preserve">even </w:t>
      </w:r>
      <w:r w:rsidR="006F4114">
        <w:t xml:space="preserve">taking into account </w:t>
      </w:r>
      <w:r w:rsidR="00295A97">
        <w:t xml:space="preserve">the </w:t>
      </w:r>
      <w:r w:rsidR="00B03A57">
        <w:t>growth in the GST pool</w:t>
      </w:r>
      <w:r w:rsidR="0030456F">
        <w:t xml:space="preserve">, </w:t>
      </w:r>
      <w:r w:rsidR="00FC6DE0">
        <w:t xml:space="preserve">their </w:t>
      </w:r>
      <w:r w:rsidRPr="00840313">
        <w:t>recommended GST entitlement</w:t>
      </w:r>
      <w:r w:rsidR="00FC6DE0">
        <w:t>s</w:t>
      </w:r>
      <w:r w:rsidRPr="00840313">
        <w:t xml:space="preserve"> </w:t>
      </w:r>
      <w:r w:rsidR="00FC6DE0">
        <w:t>are</w:t>
      </w:r>
      <w:r w:rsidRPr="00840313">
        <w:t xml:space="preserve"> lower in 2020</w:t>
      </w:r>
      <w:r w:rsidR="00DF4223">
        <w:noBreakHyphen/>
      </w:r>
      <w:r w:rsidR="00FC6DE0">
        <w:t>21</w:t>
      </w:r>
      <w:r w:rsidRPr="00840313">
        <w:t xml:space="preserve"> than in 201</w:t>
      </w:r>
      <w:r w:rsidR="00FC6DE0">
        <w:t>9</w:t>
      </w:r>
      <w:r w:rsidR="00C0461A" w:rsidRPr="00840313">
        <w:noBreakHyphen/>
      </w:r>
      <w:r w:rsidR="00FC6DE0">
        <w:t>20</w:t>
      </w:r>
      <w:r w:rsidRPr="00840313">
        <w:t>.</w:t>
      </w:r>
    </w:p>
    <w:p w14:paraId="57AD9F8D" w14:textId="191EAA42" w:rsidR="00CD1494" w:rsidRPr="005D3D4C" w:rsidRDefault="00CD1494" w:rsidP="006D087D">
      <w:pPr>
        <w:pStyle w:val="Heading3"/>
      </w:pPr>
      <w:bookmarkStart w:id="12" w:name="_Toc33600541"/>
      <w:r>
        <w:t>Movements in the GST distribution</w:t>
      </w:r>
      <w:bookmarkEnd w:id="12"/>
    </w:p>
    <w:p w14:paraId="3ACECA5A" w14:textId="418AD0EC" w:rsidR="00BA34A0" w:rsidRDefault="00AA502C" w:rsidP="00D3376C">
      <w:pPr>
        <w:pStyle w:val="CGCParaNumber"/>
      </w:pPr>
      <w:r>
        <w:fldChar w:fldCharType="begin"/>
      </w:r>
      <w:r>
        <w:instrText xml:space="preserve"> REF _Ref27749901 \h </w:instrText>
      </w:r>
      <w:r>
        <w:fldChar w:fldCharType="separate"/>
      </w:r>
      <w:r w:rsidR="003D49C2">
        <w:t>Table 1</w:t>
      </w:r>
      <w:r w:rsidR="003D49C2">
        <w:noBreakHyphen/>
      </w:r>
      <w:r w:rsidR="003D49C2">
        <w:rPr>
          <w:noProof/>
        </w:rPr>
        <w:t>2</w:t>
      </w:r>
      <w:r>
        <w:fldChar w:fldCharType="end"/>
      </w:r>
      <w:r w:rsidR="00D3376C" w:rsidRPr="00D3376C">
        <w:t xml:space="preserve"> shows the differences between the estimated GST distribution for </w:t>
      </w:r>
      <w:r w:rsidR="009F7EDE">
        <w:t>2019</w:t>
      </w:r>
      <w:r w:rsidR="009F7EDE">
        <w:noBreakHyphen/>
        <w:t>20</w:t>
      </w:r>
      <w:r w:rsidR="00D3376C" w:rsidRPr="00D3376C">
        <w:t xml:space="preserve"> and the illustrative distribution for </w:t>
      </w:r>
      <w:r w:rsidR="009F7EDE">
        <w:t>2020</w:t>
      </w:r>
      <w:r w:rsidR="009F7EDE">
        <w:noBreakHyphen/>
        <w:t>21 by State.</w:t>
      </w:r>
    </w:p>
    <w:p w14:paraId="2A35A847" w14:textId="6312122C" w:rsidR="00D3376C" w:rsidRDefault="00AA502C" w:rsidP="00E30831">
      <w:pPr>
        <w:pStyle w:val="CGCTableHeading"/>
      </w:pPr>
      <w:bookmarkStart w:id="13" w:name="_Ref27749901"/>
      <w:r>
        <w:lastRenderedPageBreak/>
        <w:t>Table</w:t>
      </w:r>
      <w:r w:rsidR="00302C3B">
        <w:t> </w:t>
      </w:r>
      <w:r w:rsidR="007D70A7">
        <w:t>1</w:t>
      </w:r>
      <w:r w:rsidR="007D70A7">
        <w:noBreakHyphen/>
      </w:r>
      <w:r>
        <w:fldChar w:fldCharType="begin"/>
      </w:r>
      <w:r>
        <w:instrText>SEQ Table \* ARABIC</w:instrText>
      </w:r>
      <w:r>
        <w:fldChar w:fldCharType="separate"/>
      </w:r>
      <w:r w:rsidR="003D49C2">
        <w:rPr>
          <w:noProof/>
        </w:rPr>
        <w:t>2</w:t>
      </w:r>
      <w:r>
        <w:fldChar w:fldCharType="end"/>
      </w:r>
      <w:bookmarkEnd w:id="13"/>
      <w:r>
        <w:tab/>
        <w:t>Distribution of the 2019</w:t>
      </w:r>
      <w:r>
        <w:noBreakHyphen/>
        <w:t>20 GST and illustrative 2020</w:t>
      </w:r>
      <w:r>
        <w:noBreakHyphen/>
        <w:t>21 GST distribution</w:t>
      </w:r>
    </w:p>
    <w:tbl>
      <w:tblPr>
        <w:tblW w:w="8902" w:type="dxa"/>
        <w:tblCellMar>
          <w:left w:w="0" w:type="dxa"/>
          <w:right w:w="28" w:type="dxa"/>
        </w:tblCellMar>
        <w:tblLook w:val="04A0" w:firstRow="1" w:lastRow="0" w:firstColumn="1" w:lastColumn="0" w:noHBand="0" w:noVBand="1"/>
      </w:tblPr>
      <w:tblGrid>
        <w:gridCol w:w="2452"/>
        <w:gridCol w:w="723"/>
        <w:gridCol w:w="723"/>
        <w:gridCol w:w="723"/>
        <w:gridCol w:w="723"/>
        <w:gridCol w:w="723"/>
        <w:gridCol w:w="723"/>
        <w:gridCol w:w="723"/>
        <w:gridCol w:w="723"/>
        <w:gridCol w:w="723"/>
      </w:tblGrid>
      <w:tr w:rsidR="00CF5A21" w:rsidRPr="00CF5A21" w14:paraId="2DECFC77" w14:textId="77777777" w:rsidTr="00901FBC">
        <w:trPr>
          <w:trHeight w:val="375"/>
        </w:trPr>
        <w:tc>
          <w:tcPr>
            <w:tcW w:w="2460" w:type="dxa"/>
            <w:tcBorders>
              <w:top w:val="single" w:sz="4" w:space="0" w:color="ADD6EA"/>
              <w:left w:val="nil"/>
              <w:bottom w:val="single" w:sz="4" w:space="0" w:color="ADD6EA"/>
              <w:right w:val="nil"/>
            </w:tcBorders>
            <w:shd w:val="clear" w:color="000000" w:fill="006991"/>
            <w:noWrap/>
            <w:vAlign w:val="center"/>
            <w:hideMark/>
          </w:tcPr>
          <w:p w14:paraId="3594DC26" w14:textId="77777777" w:rsidR="00CF5A21" w:rsidRPr="00CF5A21" w:rsidRDefault="00CF5A21" w:rsidP="00CF5A21">
            <w:pPr>
              <w:keepNext/>
              <w:keepLines/>
              <w:tabs>
                <w:tab w:val="clear" w:pos="567"/>
              </w:tabs>
              <w:spacing w:before="0" w:line="240" w:lineRule="auto"/>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2ACE7B9E"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4E691FC2"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31F43AA2"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017A1493"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4373F5F6"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52AFBECD"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3B379B02"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5F428214"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NT</w:t>
            </w:r>
          </w:p>
        </w:tc>
        <w:tc>
          <w:tcPr>
            <w:tcW w:w="720" w:type="dxa"/>
            <w:tcBorders>
              <w:top w:val="single" w:sz="4" w:space="0" w:color="ADD6EA"/>
              <w:left w:val="nil"/>
              <w:bottom w:val="single" w:sz="4" w:space="0" w:color="ADD6EA"/>
              <w:right w:val="nil"/>
            </w:tcBorders>
            <w:shd w:val="clear" w:color="000000" w:fill="006991"/>
            <w:noWrap/>
            <w:vAlign w:val="center"/>
            <w:hideMark/>
          </w:tcPr>
          <w:p w14:paraId="158517C1" w14:textId="77777777" w:rsidR="00CF5A21" w:rsidRPr="00CF5A21" w:rsidRDefault="00CF5A21" w:rsidP="00CF5A21">
            <w:pPr>
              <w:keepNext/>
              <w:keepLines/>
              <w:tabs>
                <w:tab w:val="clear" w:pos="567"/>
              </w:tabs>
              <w:spacing w:before="0" w:line="240" w:lineRule="auto"/>
              <w:jc w:val="right"/>
              <w:rPr>
                <w:rFonts w:ascii="Open Sans" w:eastAsia="Times New Roman" w:hAnsi="Open Sans" w:cs="Open Sans"/>
                <w:b/>
                <w:bCs/>
                <w:color w:val="FFFFFF"/>
                <w:sz w:val="16"/>
                <w:szCs w:val="16"/>
                <w:lang w:val="en-AU" w:eastAsia="en-AU"/>
              </w:rPr>
            </w:pPr>
            <w:r w:rsidRPr="00CF5A21">
              <w:rPr>
                <w:rFonts w:ascii="Open Sans" w:eastAsia="Times New Roman" w:hAnsi="Open Sans" w:cs="Open Sans"/>
                <w:b/>
                <w:bCs/>
                <w:color w:val="FFFFFF"/>
                <w:sz w:val="16"/>
                <w:szCs w:val="16"/>
                <w:lang w:val="en-AU" w:eastAsia="en-AU"/>
              </w:rPr>
              <w:t>Total</w:t>
            </w:r>
          </w:p>
        </w:tc>
      </w:tr>
      <w:tr w:rsidR="00CF5A21" w:rsidRPr="00CF5A21" w14:paraId="0789FAF5" w14:textId="77777777" w:rsidTr="00901FBC">
        <w:trPr>
          <w:trHeight w:val="259"/>
        </w:trPr>
        <w:tc>
          <w:tcPr>
            <w:tcW w:w="2460" w:type="dxa"/>
            <w:tcBorders>
              <w:top w:val="nil"/>
              <w:left w:val="nil"/>
              <w:bottom w:val="single" w:sz="4" w:space="0" w:color="ADD6EA"/>
              <w:right w:val="nil"/>
            </w:tcBorders>
            <w:shd w:val="clear" w:color="000000" w:fill="B6D5E4"/>
            <w:noWrap/>
            <w:vAlign w:val="bottom"/>
            <w:hideMark/>
          </w:tcPr>
          <w:p w14:paraId="779E214B" w14:textId="77777777" w:rsidR="00CF5A21" w:rsidRPr="00CF5A21" w:rsidRDefault="00CF5A21" w:rsidP="00CF5A21">
            <w:pPr>
              <w:keepNext/>
              <w:keepLines/>
              <w:tabs>
                <w:tab w:val="clear" w:pos="567"/>
              </w:tabs>
              <w:spacing w:before="0" w:line="240" w:lineRule="auto"/>
              <w:rPr>
                <w:rFonts w:ascii="Calibri" w:eastAsia="Times New Roman" w:hAnsi="Calibri" w:cs="Calibri"/>
                <w:sz w:val="22"/>
                <w:lang w:val="en-AU" w:eastAsia="en-AU"/>
              </w:rPr>
            </w:pPr>
            <w:r w:rsidRPr="00CF5A21">
              <w:rPr>
                <w:rFonts w:ascii="Calibri" w:eastAsia="Times New Roman" w:hAnsi="Calibri" w:cs="Calibri"/>
                <w:sz w:val="22"/>
                <w:lang w:val="en-AU" w:eastAsia="en-AU"/>
              </w:rPr>
              <w:t> </w:t>
            </w:r>
          </w:p>
        </w:tc>
        <w:tc>
          <w:tcPr>
            <w:tcW w:w="720" w:type="dxa"/>
            <w:tcBorders>
              <w:top w:val="nil"/>
              <w:left w:val="nil"/>
              <w:bottom w:val="single" w:sz="4" w:space="0" w:color="ADD6EA"/>
              <w:right w:val="nil"/>
            </w:tcBorders>
            <w:shd w:val="clear" w:color="000000" w:fill="B6D5E4"/>
            <w:noWrap/>
            <w:vAlign w:val="center"/>
            <w:hideMark/>
          </w:tcPr>
          <w:p w14:paraId="08701FB4"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507CEDC5"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63BA6CF1"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01F2333E"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43A49542"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1BFEE69D"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1CE1D327"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1E6E48E6"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07EF6F35"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$m</w:t>
            </w:r>
          </w:p>
        </w:tc>
      </w:tr>
      <w:tr w:rsidR="00CF5A21" w:rsidRPr="00CF5A21" w14:paraId="6C1FEEAC"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536D2D0B" w14:textId="77777777" w:rsidR="00CF5A21" w:rsidRPr="00CF5A21" w:rsidRDefault="00CF5A21" w:rsidP="00CF5A21">
            <w:pPr>
              <w:keepNext/>
              <w:keepLines/>
              <w:tabs>
                <w:tab w:val="clear" w:pos="567"/>
              </w:tabs>
              <w:spacing w:before="0" w:line="240" w:lineRule="auto"/>
              <w:rPr>
                <w:rFonts w:eastAsia="Times New Roman" w:cs="Open Sans Light"/>
                <w:sz w:val="16"/>
                <w:szCs w:val="16"/>
                <w:lang w:val="en-AU" w:eastAsia="en-AU"/>
              </w:rPr>
            </w:pPr>
            <w:r w:rsidRPr="00CF5A21">
              <w:rPr>
                <w:rFonts w:eastAsia="Times New Roman" w:cs="Open Sans Light"/>
                <w:sz w:val="16"/>
                <w:szCs w:val="16"/>
                <w:lang w:val="en-AU" w:eastAsia="en-AU"/>
              </w:rPr>
              <w:t>Estimated 2019-20</w:t>
            </w:r>
          </w:p>
        </w:tc>
        <w:tc>
          <w:tcPr>
            <w:tcW w:w="720" w:type="dxa"/>
            <w:tcBorders>
              <w:top w:val="nil"/>
              <w:left w:val="nil"/>
              <w:bottom w:val="single" w:sz="4" w:space="0" w:color="ADD6EA"/>
              <w:right w:val="nil"/>
            </w:tcBorders>
            <w:shd w:val="clear" w:color="auto" w:fill="auto"/>
            <w:vAlign w:val="center"/>
            <w:hideMark/>
          </w:tcPr>
          <w:p w14:paraId="1E65E700"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18,192</w:t>
            </w:r>
          </w:p>
        </w:tc>
        <w:tc>
          <w:tcPr>
            <w:tcW w:w="720" w:type="dxa"/>
            <w:tcBorders>
              <w:top w:val="nil"/>
              <w:left w:val="nil"/>
              <w:bottom w:val="single" w:sz="4" w:space="0" w:color="ADD6EA"/>
              <w:right w:val="nil"/>
            </w:tcBorders>
            <w:shd w:val="clear" w:color="auto" w:fill="auto"/>
            <w:vAlign w:val="center"/>
            <w:hideMark/>
          </w:tcPr>
          <w:p w14:paraId="465BA2F9"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16,798</w:t>
            </w:r>
          </w:p>
        </w:tc>
        <w:tc>
          <w:tcPr>
            <w:tcW w:w="720" w:type="dxa"/>
            <w:tcBorders>
              <w:top w:val="nil"/>
              <w:left w:val="nil"/>
              <w:bottom w:val="single" w:sz="4" w:space="0" w:color="ADD6EA"/>
              <w:right w:val="nil"/>
            </w:tcBorders>
            <w:shd w:val="clear" w:color="auto" w:fill="auto"/>
            <w:vAlign w:val="center"/>
            <w:hideMark/>
          </w:tcPr>
          <w:p w14:paraId="4487F83C"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13,868</w:t>
            </w:r>
          </w:p>
        </w:tc>
        <w:tc>
          <w:tcPr>
            <w:tcW w:w="720" w:type="dxa"/>
            <w:tcBorders>
              <w:top w:val="nil"/>
              <w:left w:val="nil"/>
              <w:bottom w:val="single" w:sz="4" w:space="0" w:color="ADD6EA"/>
              <w:right w:val="nil"/>
            </w:tcBorders>
            <w:shd w:val="clear" w:color="auto" w:fill="auto"/>
            <w:vAlign w:val="center"/>
            <w:hideMark/>
          </w:tcPr>
          <w:p w14:paraId="2F4ADE1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3,489</w:t>
            </w:r>
          </w:p>
        </w:tc>
        <w:tc>
          <w:tcPr>
            <w:tcW w:w="720" w:type="dxa"/>
            <w:tcBorders>
              <w:top w:val="nil"/>
              <w:left w:val="nil"/>
              <w:bottom w:val="single" w:sz="4" w:space="0" w:color="ADD6EA"/>
              <w:right w:val="nil"/>
            </w:tcBorders>
            <w:shd w:val="clear" w:color="auto" w:fill="auto"/>
            <w:vAlign w:val="center"/>
            <w:hideMark/>
          </w:tcPr>
          <w:p w14:paraId="66377026"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6,592</w:t>
            </w:r>
          </w:p>
        </w:tc>
        <w:tc>
          <w:tcPr>
            <w:tcW w:w="720" w:type="dxa"/>
            <w:tcBorders>
              <w:top w:val="nil"/>
              <w:left w:val="nil"/>
              <w:bottom w:val="single" w:sz="4" w:space="0" w:color="ADD6EA"/>
              <w:right w:val="nil"/>
            </w:tcBorders>
            <w:shd w:val="clear" w:color="auto" w:fill="auto"/>
            <w:vAlign w:val="center"/>
            <w:hideMark/>
          </w:tcPr>
          <w:p w14:paraId="77D64070"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2,417</w:t>
            </w:r>
          </w:p>
        </w:tc>
        <w:tc>
          <w:tcPr>
            <w:tcW w:w="720" w:type="dxa"/>
            <w:tcBorders>
              <w:top w:val="nil"/>
              <w:left w:val="nil"/>
              <w:bottom w:val="single" w:sz="4" w:space="0" w:color="ADD6EA"/>
              <w:right w:val="nil"/>
            </w:tcBorders>
            <w:shd w:val="clear" w:color="auto" w:fill="auto"/>
            <w:vAlign w:val="center"/>
            <w:hideMark/>
          </w:tcPr>
          <w:p w14:paraId="7172F25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1,368</w:t>
            </w:r>
          </w:p>
        </w:tc>
        <w:tc>
          <w:tcPr>
            <w:tcW w:w="720" w:type="dxa"/>
            <w:tcBorders>
              <w:top w:val="nil"/>
              <w:left w:val="nil"/>
              <w:bottom w:val="single" w:sz="4" w:space="0" w:color="ADD6EA"/>
              <w:right w:val="nil"/>
            </w:tcBorders>
            <w:shd w:val="clear" w:color="auto" w:fill="auto"/>
            <w:vAlign w:val="center"/>
            <w:hideMark/>
          </w:tcPr>
          <w:p w14:paraId="61C7AB9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2,685</w:t>
            </w:r>
          </w:p>
        </w:tc>
        <w:tc>
          <w:tcPr>
            <w:tcW w:w="720" w:type="dxa"/>
            <w:tcBorders>
              <w:top w:val="nil"/>
              <w:left w:val="nil"/>
              <w:bottom w:val="single" w:sz="4" w:space="0" w:color="ADD6EA"/>
              <w:right w:val="nil"/>
            </w:tcBorders>
            <w:shd w:val="clear" w:color="auto" w:fill="auto"/>
            <w:vAlign w:val="center"/>
            <w:hideMark/>
          </w:tcPr>
          <w:p w14:paraId="440E1A9E"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65,410</w:t>
            </w:r>
          </w:p>
        </w:tc>
      </w:tr>
      <w:tr w:rsidR="00CF5A21" w:rsidRPr="00CF5A21" w14:paraId="1EE335C8"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20141D12" w14:textId="77777777" w:rsidR="00CF5A21" w:rsidRPr="00CF5A21" w:rsidRDefault="00CF5A21" w:rsidP="00CF5A21">
            <w:pPr>
              <w:keepNext/>
              <w:keepLines/>
              <w:tabs>
                <w:tab w:val="clear" w:pos="567"/>
              </w:tabs>
              <w:spacing w:before="0" w:line="240" w:lineRule="auto"/>
              <w:rPr>
                <w:rFonts w:eastAsia="Times New Roman" w:cs="Open Sans Light"/>
                <w:sz w:val="16"/>
                <w:szCs w:val="16"/>
                <w:lang w:val="en-AU" w:eastAsia="en-AU"/>
              </w:rPr>
            </w:pPr>
            <w:r w:rsidRPr="00CF5A21">
              <w:rPr>
                <w:rFonts w:eastAsia="Times New Roman" w:cs="Open Sans Light"/>
                <w:sz w:val="16"/>
                <w:szCs w:val="16"/>
                <w:lang w:val="en-AU" w:eastAsia="en-AU"/>
              </w:rPr>
              <w:t>Illustrative 2020-21 (a)</w:t>
            </w:r>
          </w:p>
        </w:tc>
        <w:tc>
          <w:tcPr>
            <w:tcW w:w="720" w:type="dxa"/>
            <w:tcBorders>
              <w:top w:val="nil"/>
              <w:left w:val="nil"/>
              <w:bottom w:val="single" w:sz="4" w:space="0" w:color="ADD6EA"/>
              <w:right w:val="nil"/>
            </w:tcBorders>
            <w:shd w:val="clear" w:color="auto" w:fill="auto"/>
            <w:vAlign w:val="center"/>
            <w:hideMark/>
          </w:tcPr>
          <w:p w14:paraId="3EABF44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19,832</w:t>
            </w:r>
          </w:p>
        </w:tc>
        <w:tc>
          <w:tcPr>
            <w:tcW w:w="720" w:type="dxa"/>
            <w:tcBorders>
              <w:top w:val="nil"/>
              <w:left w:val="nil"/>
              <w:bottom w:val="single" w:sz="4" w:space="0" w:color="ADD6EA"/>
              <w:right w:val="nil"/>
            </w:tcBorders>
            <w:shd w:val="clear" w:color="auto" w:fill="auto"/>
            <w:vAlign w:val="center"/>
            <w:hideMark/>
          </w:tcPr>
          <w:p w14:paraId="65C67512"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17,068</w:t>
            </w:r>
          </w:p>
        </w:tc>
        <w:tc>
          <w:tcPr>
            <w:tcW w:w="720" w:type="dxa"/>
            <w:tcBorders>
              <w:top w:val="nil"/>
              <w:left w:val="nil"/>
              <w:bottom w:val="single" w:sz="4" w:space="0" w:color="ADD6EA"/>
              <w:right w:val="nil"/>
            </w:tcBorders>
            <w:shd w:val="clear" w:color="auto" w:fill="auto"/>
            <w:vAlign w:val="center"/>
            <w:hideMark/>
          </w:tcPr>
          <w:p w14:paraId="09861F5D"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14,286</w:t>
            </w:r>
          </w:p>
        </w:tc>
        <w:tc>
          <w:tcPr>
            <w:tcW w:w="720" w:type="dxa"/>
            <w:tcBorders>
              <w:top w:val="nil"/>
              <w:left w:val="nil"/>
              <w:bottom w:val="single" w:sz="4" w:space="0" w:color="ADD6EA"/>
              <w:right w:val="nil"/>
            </w:tcBorders>
            <w:shd w:val="clear" w:color="auto" w:fill="auto"/>
            <w:vAlign w:val="center"/>
            <w:hideMark/>
          </w:tcPr>
          <w:p w14:paraId="796DF4DE"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3,105</w:t>
            </w:r>
          </w:p>
        </w:tc>
        <w:tc>
          <w:tcPr>
            <w:tcW w:w="720" w:type="dxa"/>
            <w:tcBorders>
              <w:top w:val="nil"/>
              <w:left w:val="nil"/>
              <w:bottom w:val="single" w:sz="4" w:space="0" w:color="ADD6EA"/>
              <w:right w:val="nil"/>
            </w:tcBorders>
            <w:shd w:val="clear" w:color="auto" w:fill="auto"/>
            <w:vAlign w:val="center"/>
            <w:hideMark/>
          </w:tcPr>
          <w:p w14:paraId="0A57F0CC"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6,259</w:t>
            </w:r>
          </w:p>
        </w:tc>
        <w:tc>
          <w:tcPr>
            <w:tcW w:w="720" w:type="dxa"/>
            <w:tcBorders>
              <w:top w:val="nil"/>
              <w:left w:val="nil"/>
              <w:bottom w:val="single" w:sz="4" w:space="0" w:color="ADD6EA"/>
              <w:right w:val="nil"/>
            </w:tcBorders>
            <w:shd w:val="clear" w:color="auto" w:fill="auto"/>
            <w:vAlign w:val="center"/>
            <w:hideMark/>
          </w:tcPr>
          <w:p w14:paraId="6ABD773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2,688</w:t>
            </w:r>
          </w:p>
        </w:tc>
        <w:tc>
          <w:tcPr>
            <w:tcW w:w="720" w:type="dxa"/>
            <w:tcBorders>
              <w:top w:val="nil"/>
              <w:left w:val="nil"/>
              <w:bottom w:val="single" w:sz="4" w:space="0" w:color="ADD6EA"/>
              <w:right w:val="nil"/>
            </w:tcBorders>
            <w:shd w:val="clear" w:color="auto" w:fill="auto"/>
            <w:vAlign w:val="center"/>
            <w:hideMark/>
          </w:tcPr>
          <w:p w14:paraId="01940A5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1,319</w:t>
            </w:r>
          </w:p>
        </w:tc>
        <w:tc>
          <w:tcPr>
            <w:tcW w:w="720" w:type="dxa"/>
            <w:tcBorders>
              <w:top w:val="nil"/>
              <w:left w:val="nil"/>
              <w:bottom w:val="single" w:sz="4" w:space="0" w:color="ADD6EA"/>
              <w:right w:val="nil"/>
            </w:tcBorders>
            <w:shd w:val="clear" w:color="auto" w:fill="auto"/>
            <w:vAlign w:val="center"/>
            <w:hideMark/>
          </w:tcPr>
          <w:p w14:paraId="275CB73E"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3,053</w:t>
            </w:r>
          </w:p>
        </w:tc>
        <w:tc>
          <w:tcPr>
            <w:tcW w:w="720" w:type="dxa"/>
            <w:tcBorders>
              <w:top w:val="nil"/>
              <w:left w:val="nil"/>
              <w:bottom w:val="single" w:sz="4" w:space="0" w:color="ADD6EA"/>
              <w:right w:val="nil"/>
            </w:tcBorders>
            <w:shd w:val="clear" w:color="auto" w:fill="auto"/>
            <w:vAlign w:val="center"/>
            <w:hideMark/>
          </w:tcPr>
          <w:p w14:paraId="2AEE9BFE"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67,610</w:t>
            </w:r>
          </w:p>
        </w:tc>
      </w:tr>
      <w:tr w:rsidR="00CF5A21" w:rsidRPr="00CF5A21" w14:paraId="1D6822AB"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0D92F4F7" w14:textId="77777777" w:rsidR="00CF5A21" w:rsidRPr="00CF5A21" w:rsidRDefault="00CF5A21" w:rsidP="00CF5A21">
            <w:pPr>
              <w:keepNext/>
              <w:keepLines/>
              <w:tabs>
                <w:tab w:val="clear" w:pos="567"/>
              </w:tabs>
              <w:spacing w:before="0" w:line="240" w:lineRule="auto"/>
              <w:rPr>
                <w:rFonts w:eastAsia="Times New Roman" w:cs="Open Sans Light"/>
                <w:sz w:val="16"/>
                <w:szCs w:val="16"/>
                <w:lang w:val="en-AU" w:eastAsia="en-AU"/>
              </w:rPr>
            </w:pPr>
            <w:r w:rsidRPr="00CF5A21">
              <w:rPr>
                <w:rFonts w:eastAsia="Times New Roman" w:cs="Open Sans Light"/>
                <w:sz w:val="16"/>
                <w:szCs w:val="16"/>
                <w:lang w:val="en-AU" w:eastAsia="en-AU"/>
              </w:rPr>
              <w:t>Change</w:t>
            </w:r>
          </w:p>
        </w:tc>
        <w:tc>
          <w:tcPr>
            <w:tcW w:w="720" w:type="dxa"/>
            <w:tcBorders>
              <w:top w:val="nil"/>
              <w:left w:val="nil"/>
              <w:bottom w:val="single" w:sz="4" w:space="0" w:color="ADD6EA"/>
              <w:right w:val="nil"/>
            </w:tcBorders>
            <w:shd w:val="clear" w:color="auto" w:fill="auto"/>
            <w:vAlign w:val="center"/>
            <w:hideMark/>
          </w:tcPr>
          <w:p w14:paraId="59CC6582"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1,640</w:t>
            </w:r>
          </w:p>
        </w:tc>
        <w:tc>
          <w:tcPr>
            <w:tcW w:w="720" w:type="dxa"/>
            <w:tcBorders>
              <w:top w:val="nil"/>
              <w:left w:val="nil"/>
              <w:bottom w:val="single" w:sz="4" w:space="0" w:color="ADD6EA"/>
              <w:right w:val="nil"/>
            </w:tcBorders>
            <w:shd w:val="clear" w:color="auto" w:fill="auto"/>
            <w:vAlign w:val="center"/>
            <w:hideMark/>
          </w:tcPr>
          <w:p w14:paraId="115F1026"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269</w:t>
            </w:r>
          </w:p>
        </w:tc>
        <w:tc>
          <w:tcPr>
            <w:tcW w:w="720" w:type="dxa"/>
            <w:tcBorders>
              <w:top w:val="nil"/>
              <w:left w:val="nil"/>
              <w:bottom w:val="single" w:sz="4" w:space="0" w:color="ADD6EA"/>
              <w:right w:val="nil"/>
            </w:tcBorders>
            <w:shd w:val="clear" w:color="auto" w:fill="auto"/>
            <w:vAlign w:val="center"/>
            <w:hideMark/>
          </w:tcPr>
          <w:p w14:paraId="06FB2A6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418</w:t>
            </w:r>
          </w:p>
        </w:tc>
        <w:tc>
          <w:tcPr>
            <w:tcW w:w="720" w:type="dxa"/>
            <w:tcBorders>
              <w:top w:val="nil"/>
              <w:left w:val="nil"/>
              <w:bottom w:val="single" w:sz="4" w:space="0" w:color="ADD6EA"/>
              <w:right w:val="nil"/>
            </w:tcBorders>
            <w:shd w:val="clear" w:color="auto" w:fill="auto"/>
            <w:vAlign w:val="center"/>
            <w:hideMark/>
          </w:tcPr>
          <w:p w14:paraId="6C970F9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-385</w:t>
            </w:r>
          </w:p>
        </w:tc>
        <w:tc>
          <w:tcPr>
            <w:tcW w:w="720" w:type="dxa"/>
            <w:tcBorders>
              <w:top w:val="nil"/>
              <w:left w:val="nil"/>
              <w:bottom w:val="single" w:sz="4" w:space="0" w:color="ADD6EA"/>
              <w:right w:val="nil"/>
            </w:tcBorders>
            <w:shd w:val="clear" w:color="auto" w:fill="auto"/>
            <w:vAlign w:val="center"/>
            <w:hideMark/>
          </w:tcPr>
          <w:p w14:paraId="7A3D9041"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-332</w:t>
            </w:r>
          </w:p>
        </w:tc>
        <w:tc>
          <w:tcPr>
            <w:tcW w:w="720" w:type="dxa"/>
            <w:tcBorders>
              <w:top w:val="nil"/>
              <w:left w:val="nil"/>
              <w:bottom w:val="single" w:sz="4" w:space="0" w:color="ADD6EA"/>
              <w:right w:val="nil"/>
            </w:tcBorders>
            <w:shd w:val="clear" w:color="auto" w:fill="auto"/>
            <w:vAlign w:val="center"/>
            <w:hideMark/>
          </w:tcPr>
          <w:p w14:paraId="26D4189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271</w:t>
            </w:r>
          </w:p>
        </w:tc>
        <w:tc>
          <w:tcPr>
            <w:tcW w:w="720" w:type="dxa"/>
            <w:tcBorders>
              <w:top w:val="nil"/>
              <w:left w:val="nil"/>
              <w:bottom w:val="single" w:sz="4" w:space="0" w:color="ADD6EA"/>
              <w:right w:val="nil"/>
            </w:tcBorders>
            <w:shd w:val="clear" w:color="auto" w:fill="auto"/>
            <w:vAlign w:val="center"/>
            <w:hideMark/>
          </w:tcPr>
          <w:p w14:paraId="31C0CA0D"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-49</w:t>
            </w:r>
          </w:p>
        </w:tc>
        <w:tc>
          <w:tcPr>
            <w:tcW w:w="720" w:type="dxa"/>
            <w:tcBorders>
              <w:top w:val="nil"/>
              <w:left w:val="nil"/>
              <w:bottom w:val="single" w:sz="4" w:space="0" w:color="ADD6EA"/>
              <w:right w:val="nil"/>
            </w:tcBorders>
            <w:shd w:val="clear" w:color="auto" w:fill="auto"/>
            <w:vAlign w:val="center"/>
            <w:hideMark/>
          </w:tcPr>
          <w:p w14:paraId="4C142319"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368</w:t>
            </w:r>
          </w:p>
        </w:tc>
        <w:tc>
          <w:tcPr>
            <w:tcW w:w="720" w:type="dxa"/>
            <w:tcBorders>
              <w:top w:val="nil"/>
              <w:left w:val="nil"/>
              <w:bottom w:val="single" w:sz="4" w:space="0" w:color="ADD6EA"/>
              <w:right w:val="nil"/>
            </w:tcBorders>
            <w:shd w:val="clear" w:color="auto" w:fill="auto"/>
            <w:vAlign w:val="center"/>
            <w:hideMark/>
          </w:tcPr>
          <w:p w14:paraId="3B934FC6"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2,200</w:t>
            </w:r>
          </w:p>
        </w:tc>
      </w:tr>
      <w:tr w:rsidR="00CF5A21" w:rsidRPr="00CF5A21" w14:paraId="36EC8F27"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3F06B564" w14:textId="77777777" w:rsidR="00CF5A21" w:rsidRPr="00CF5A21" w:rsidRDefault="00CF5A21" w:rsidP="00CF5A21">
            <w:pPr>
              <w:keepNext/>
              <w:keepLines/>
              <w:tabs>
                <w:tab w:val="clear" w:pos="567"/>
              </w:tabs>
              <w:spacing w:before="0" w:line="240" w:lineRule="auto"/>
              <w:rPr>
                <w:rFonts w:eastAsia="Times New Roman" w:cs="Open Sans Light"/>
                <w:sz w:val="16"/>
                <w:szCs w:val="16"/>
                <w:lang w:val="en-AU" w:eastAsia="en-AU"/>
              </w:rPr>
            </w:pPr>
            <w:r w:rsidRPr="00CF5A21">
              <w:rPr>
                <w:rFonts w:eastAsia="Times New Roman" w:cs="Open Sans Light"/>
                <w:sz w:val="16"/>
                <w:szCs w:val="16"/>
                <w:lang w:val="en-AU" w:eastAsia="en-AU"/>
              </w:rPr>
              <w:t>Change caused by new:</w:t>
            </w:r>
          </w:p>
        </w:tc>
        <w:tc>
          <w:tcPr>
            <w:tcW w:w="720" w:type="dxa"/>
            <w:tcBorders>
              <w:top w:val="nil"/>
              <w:left w:val="nil"/>
              <w:bottom w:val="single" w:sz="4" w:space="0" w:color="ADD6EA"/>
              <w:right w:val="nil"/>
            </w:tcBorders>
            <w:shd w:val="clear" w:color="auto" w:fill="auto"/>
            <w:vAlign w:val="center"/>
            <w:hideMark/>
          </w:tcPr>
          <w:p w14:paraId="7F698ACD"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0EFED3A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6109BCC0"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4D9AF5D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4CD69FCF"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60BDAC7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678DB95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430BA787"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vAlign w:val="center"/>
            <w:hideMark/>
          </w:tcPr>
          <w:p w14:paraId="3126C1F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 </w:t>
            </w:r>
          </w:p>
        </w:tc>
      </w:tr>
      <w:tr w:rsidR="00CF5A21" w:rsidRPr="00CF5A21" w14:paraId="71526498"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2C3CA442" w14:textId="77777777" w:rsidR="00CF5A21" w:rsidRPr="00CF5A21" w:rsidRDefault="00CF5A21" w:rsidP="00CF5A21">
            <w:pPr>
              <w:keepNext/>
              <w:keepLines/>
              <w:tabs>
                <w:tab w:val="clear" w:pos="567"/>
              </w:tabs>
              <w:spacing w:before="0" w:line="240" w:lineRule="auto"/>
              <w:ind w:firstLineChars="100" w:firstLine="160"/>
              <w:rPr>
                <w:rFonts w:eastAsia="Times New Roman" w:cs="Open Sans Light"/>
                <w:sz w:val="16"/>
                <w:szCs w:val="16"/>
                <w:lang w:val="en-AU" w:eastAsia="en-AU"/>
              </w:rPr>
            </w:pPr>
            <w:r w:rsidRPr="00CF5A21">
              <w:rPr>
                <w:rFonts w:eastAsia="Times New Roman" w:cs="Open Sans Light"/>
                <w:sz w:val="16"/>
                <w:szCs w:val="16"/>
                <w:lang w:val="en-AU" w:eastAsia="en-AU"/>
              </w:rPr>
              <w:t>Population (b)</w:t>
            </w:r>
          </w:p>
        </w:tc>
        <w:tc>
          <w:tcPr>
            <w:tcW w:w="720" w:type="dxa"/>
            <w:tcBorders>
              <w:top w:val="nil"/>
              <w:left w:val="nil"/>
              <w:bottom w:val="single" w:sz="4" w:space="0" w:color="ADD6EA"/>
              <w:right w:val="nil"/>
            </w:tcBorders>
            <w:shd w:val="clear" w:color="auto" w:fill="auto"/>
            <w:vAlign w:val="center"/>
            <w:hideMark/>
          </w:tcPr>
          <w:p w14:paraId="2D7650B1"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w:t>
            </w:r>
          </w:p>
        </w:tc>
        <w:tc>
          <w:tcPr>
            <w:tcW w:w="720" w:type="dxa"/>
            <w:tcBorders>
              <w:top w:val="nil"/>
              <w:left w:val="nil"/>
              <w:bottom w:val="single" w:sz="4" w:space="0" w:color="ADD6EA"/>
              <w:right w:val="nil"/>
            </w:tcBorders>
            <w:shd w:val="clear" w:color="auto" w:fill="auto"/>
            <w:vAlign w:val="center"/>
            <w:hideMark/>
          </w:tcPr>
          <w:p w14:paraId="2F02728A"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111</w:t>
            </w:r>
          </w:p>
        </w:tc>
        <w:tc>
          <w:tcPr>
            <w:tcW w:w="720" w:type="dxa"/>
            <w:tcBorders>
              <w:top w:val="nil"/>
              <w:left w:val="nil"/>
              <w:bottom w:val="single" w:sz="4" w:space="0" w:color="ADD6EA"/>
              <w:right w:val="nil"/>
            </w:tcBorders>
            <w:shd w:val="clear" w:color="auto" w:fill="auto"/>
            <w:vAlign w:val="center"/>
            <w:hideMark/>
          </w:tcPr>
          <w:p w14:paraId="0BF0E29D"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18</w:t>
            </w:r>
          </w:p>
        </w:tc>
        <w:tc>
          <w:tcPr>
            <w:tcW w:w="720" w:type="dxa"/>
            <w:tcBorders>
              <w:top w:val="nil"/>
              <w:left w:val="nil"/>
              <w:bottom w:val="single" w:sz="4" w:space="0" w:color="ADD6EA"/>
              <w:right w:val="nil"/>
            </w:tcBorders>
            <w:shd w:val="clear" w:color="auto" w:fill="auto"/>
            <w:vAlign w:val="center"/>
            <w:hideMark/>
          </w:tcPr>
          <w:p w14:paraId="333269A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-26</w:t>
            </w:r>
          </w:p>
        </w:tc>
        <w:tc>
          <w:tcPr>
            <w:tcW w:w="720" w:type="dxa"/>
            <w:tcBorders>
              <w:top w:val="nil"/>
              <w:left w:val="nil"/>
              <w:bottom w:val="single" w:sz="4" w:space="0" w:color="ADD6EA"/>
              <w:right w:val="nil"/>
            </w:tcBorders>
            <w:shd w:val="clear" w:color="auto" w:fill="auto"/>
            <w:vAlign w:val="center"/>
            <w:hideMark/>
          </w:tcPr>
          <w:p w14:paraId="300B92CB"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-53</w:t>
            </w:r>
          </w:p>
        </w:tc>
        <w:tc>
          <w:tcPr>
            <w:tcW w:w="720" w:type="dxa"/>
            <w:tcBorders>
              <w:top w:val="nil"/>
              <w:left w:val="nil"/>
              <w:bottom w:val="single" w:sz="4" w:space="0" w:color="ADD6EA"/>
              <w:right w:val="nil"/>
            </w:tcBorders>
            <w:shd w:val="clear" w:color="auto" w:fill="auto"/>
            <w:vAlign w:val="center"/>
            <w:hideMark/>
          </w:tcPr>
          <w:p w14:paraId="470B43E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-10</w:t>
            </w:r>
          </w:p>
        </w:tc>
        <w:tc>
          <w:tcPr>
            <w:tcW w:w="720" w:type="dxa"/>
            <w:tcBorders>
              <w:top w:val="nil"/>
              <w:left w:val="nil"/>
              <w:bottom w:val="single" w:sz="4" w:space="0" w:color="ADD6EA"/>
              <w:right w:val="nil"/>
            </w:tcBorders>
            <w:shd w:val="clear" w:color="auto" w:fill="auto"/>
            <w:vAlign w:val="center"/>
            <w:hideMark/>
          </w:tcPr>
          <w:p w14:paraId="16389357"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5</w:t>
            </w:r>
          </w:p>
        </w:tc>
        <w:tc>
          <w:tcPr>
            <w:tcW w:w="720" w:type="dxa"/>
            <w:tcBorders>
              <w:top w:val="nil"/>
              <w:left w:val="nil"/>
              <w:bottom w:val="single" w:sz="4" w:space="0" w:color="ADD6EA"/>
              <w:right w:val="nil"/>
            </w:tcBorders>
            <w:shd w:val="clear" w:color="auto" w:fill="auto"/>
            <w:vAlign w:val="center"/>
            <w:hideMark/>
          </w:tcPr>
          <w:p w14:paraId="137940B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-42</w:t>
            </w:r>
          </w:p>
        </w:tc>
        <w:tc>
          <w:tcPr>
            <w:tcW w:w="720" w:type="dxa"/>
            <w:tcBorders>
              <w:top w:val="nil"/>
              <w:left w:val="nil"/>
              <w:bottom w:val="single" w:sz="4" w:space="0" w:color="ADD6EA"/>
              <w:right w:val="nil"/>
            </w:tcBorders>
            <w:shd w:val="clear" w:color="auto" w:fill="auto"/>
            <w:vAlign w:val="center"/>
            <w:hideMark/>
          </w:tcPr>
          <w:p w14:paraId="2DB419E6"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0</w:t>
            </w:r>
          </w:p>
        </w:tc>
      </w:tr>
      <w:tr w:rsidR="00CF5A21" w:rsidRPr="00CF5A21" w14:paraId="1779DBE8"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00EA0579" w14:textId="77777777" w:rsidR="00CF5A21" w:rsidRPr="00CF5A21" w:rsidRDefault="00CF5A21" w:rsidP="00CF5A21">
            <w:pPr>
              <w:keepNext/>
              <w:keepLines/>
              <w:tabs>
                <w:tab w:val="clear" w:pos="567"/>
              </w:tabs>
              <w:spacing w:before="0" w:line="240" w:lineRule="auto"/>
              <w:ind w:firstLineChars="100" w:firstLine="160"/>
              <w:rPr>
                <w:rFonts w:eastAsia="Times New Roman" w:cs="Open Sans Light"/>
                <w:sz w:val="16"/>
                <w:szCs w:val="16"/>
                <w:lang w:val="en-AU" w:eastAsia="en-AU"/>
              </w:rPr>
            </w:pPr>
            <w:r w:rsidRPr="00CF5A21">
              <w:rPr>
                <w:rFonts w:eastAsia="Times New Roman" w:cs="Open Sans Light"/>
                <w:sz w:val="16"/>
                <w:szCs w:val="16"/>
                <w:lang w:val="en-AU" w:eastAsia="en-AU"/>
              </w:rPr>
              <w:t>Pool (c)</w:t>
            </w:r>
          </w:p>
        </w:tc>
        <w:tc>
          <w:tcPr>
            <w:tcW w:w="720" w:type="dxa"/>
            <w:tcBorders>
              <w:top w:val="nil"/>
              <w:left w:val="nil"/>
              <w:bottom w:val="single" w:sz="4" w:space="0" w:color="ADD6EA"/>
              <w:right w:val="nil"/>
            </w:tcBorders>
            <w:shd w:val="clear" w:color="auto" w:fill="auto"/>
            <w:vAlign w:val="center"/>
            <w:hideMark/>
          </w:tcPr>
          <w:p w14:paraId="2CE095F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612</w:t>
            </w:r>
          </w:p>
        </w:tc>
        <w:tc>
          <w:tcPr>
            <w:tcW w:w="720" w:type="dxa"/>
            <w:tcBorders>
              <w:top w:val="nil"/>
              <w:left w:val="nil"/>
              <w:bottom w:val="single" w:sz="4" w:space="0" w:color="ADD6EA"/>
              <w:right w:val="nil"/>
            </w:tcBorders>
            <w:shd w:val="clear" w:color="auto" w:fill="auto"/>
            <w:vAlign w:val="center"/>
            <w:hideMark/>
          </w:tcPr>
          <w:p w14:paraId="3EE55E73"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569</w:t>
            </w:r>
          </w:p>
        </w:tc>
        <w:tc>
          <w:tcPr>
            <w:tcW w:w="720" w:type="dxa"/>
            <w:tcBorders>
              <w:top w:val="nil"/>
              <w:left w:val="nil"/>
              <w:bottom w:val="single" w:sz="4" w:space="0" w:color="ADD6EA"/>
              <w:right w:val="nil"/>
            </w:tcBorders>
            <w:shd w:val="clear" w:color="auto" w:fill="auto"/>
            <w:vAlign w:val="center"/>
            <w:hideMark/>
          </w:tcPr>
          <w:p w14:paraId="00653896"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467</w:t>
            </w:r>
          </w:p>
        </w:tc>
        <w:tc>
          <w:tcPr>
            <w:tcW w:w="720" w:type="dxa"/>
            <w:tcBorders>
              <w:top w:val="nil"/>
              <w:left w:val="nil"/>
              <w:bottom w:val="single" w:sz="4" w:space="0" w:color="ADD6EA"/>
              <w:right w:val="nil"/>
            </w:tcBorders>
            <w:shd w:val="clear" w:color="auto" w:fill="auto"/>
            <w:vAlign w:val="center"/>
            <w:hideMark/>
          </w:tcPr>
          <w:p w14:paraId="46388358"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116</w:t>
            </w:r>
          </w:p>
        </w:tc>
        <w:tc>
          <w:tcPr>
            <w:tcW w:w="720" w:type="dxa"/>
            <w:tcBorders>
              <w:top w:val="nil"/>
              <w:left w:val="nil"/>
              <w:bottom w:val="single" w:sz="4" w:space="0" w:color="ADD6EA"/>
              <w:right w:val="nil"/>
            </w:tcBorders>
            <w:shd w:val="clear" w:color="auto" w:fill="auto"/>
            <w:vAlign w:val="center"/>
            <w:hideMark/>
          </w:tcPr>
          <w:p w14:paraId="0113B14C"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220</w:t>
            </w:r>
          </w:p>
        </w:tc>
        <w:tc>
          <w:tcPr>
            <w:tcW w:w="720" w:type="dxa"/>
            <w:tcBorders>
              <w:top w:val="nil"/>
              <w:left w:val="nil"/>
              <w:bottom w:val="single" w:sz="4" w:space="0" w:color="ADD6EA"/>
              <w:right w:val="nil"/>
            </w:tcBorders>
            <w:shd w:val="clear" w:color="auto" w:fill="auto"/>
            <w:vAlign w:val="center"/>
            <w:hideMark/>
          </w:tcPr>
          <w:p w14:paraId="6B8568CE"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81</w:t>
            </w:r>
          </w:p>
        </w:tc>
        <w:tc>
          <w:tcPr>
            <w:tcW w:w="720" w:type="dxa"/>
            <w:tcBorders>
              <w:top w:val="nil"/>
              <w:left w:val="nil"/>
              <w:bottom w:val="single" w:sz="4" w:space="0" w:color="ADD6EA"/>
              <w:right w:val="nil"/>
            </w:tcBorders>
            <w:shd w:val="clear" w:color="auto" w:fill="auto"/>
            <w:vAlign w:val="center"/>
            <w:hideMark/>
          </w:tcPr>
          <w:p w14:paraId="7812898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46</w:t>
            </w:r>
          </w:p>
        </w:tc>
        <w:tc>
          <w:tcPr>
            <w:tcW w:w="720" w:type="dxa"/>
            <w:tcBorders>
              <w:top w:val="nil"/>
              <w:left w:val="nil"/>
              <w:bottom w:val="single" w:sz="4" w:space="0" w:color="ADD6EA"/>
              <w:right w:val="nil"/>
            </w:tcBorders>
            <w:shd w:val="clear" w:color="auto" w:fill="auto"/>
            <w:vAlign w:val="center"/>
            <w:hideMark/>
          </w:tcPr>
          <w:p w14:paraId="7A327ADF"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89</w:t>
            </w:r>
          </w:p>
        </w:tc>
        <w:tc>
          <w:tcPr>
            <w:tcW w:w="720" w:type="dxa"/>
            <w:tcBorders>
              <w:top w:val="nil"/>
              <w:left w:val="nil"/>
              <w:bottom w:val="single" w:sz="4" w:space="0" w:color="ADD6EA"/>
              <w:right w:val="nil"/>
            </w:tcBorders>
            <w:shd w:val="clear" w:color="auto" w:fill="auto"/>
            <w:vAlign w:val="center"/>
            <w:hideMark/>
          </w:tcPr>
          <w:p w14:paraId="7DA0A8D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2,200</w:t>
            </w:r>
          </w:p>
        </w:tc>
      </w:tr>
      <w:tr w:rsidR="00CF5A21" w:rsidRPr="00CF5A21" w14:paraId="1343BFA3"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38F615BE" w14:textId="77777777" w:rsidR="00CF5A21" w:rsidRPr="00CF5A21" w:rsidRDefault="00CF5A21" w:rsidP="00CF5A21">
            <w:pPr>
              <w:keepNext/>
              <w:keepLines/>
              <w:tabs>
                <w:tab w:val="clear" w:pos="567"/>
              </w:tabs>
              <w:spacing w:before="0" w:line="240" w:lineRule="auto"/>
              <w:ind w:firstLineChars="100" w:firstLine="160"/>
              <w:rPr>
                <w:rFonts w:eastAsia="Times New Roman" w:cs="Open Sans Light"/>
                <w:sz w:val="16"/>
                <w:szCs w:val="16"/>
                <w:lang w:val="en-AU" w:eastAsia="en-AU"/>
              </w:rPr>
            </w:pPr>
            <w:r w:rsidRPr="00CF5A21">
              <w:rPr>
                <w:rFonts w:eastAsia="Times New Roman" w:cs="Open Sans Light"/>
                <w:sz w:val="16"/>
                <w:szCs w:val="16"/>
                <w:lang w:val="en-AU" w:eastAsia="en-AU"/>
              </w:rPr>
              <w:t>Fiscal capacities (d)</w:t>
            </w:r>
          </w:p>
        </w:tc>
        <w:tc>
          <w:tcPr>
            <w:tcW w:w="720" w:type="dxa"/>
            <w:tcBorders>
              <w:top w:val="nil"/>
              <w:left w:val="nil"/>
              <w:bottom w:val="single" w:sz="4" w:space="0" w:color="ADD6EA"/>
              <w:right w:val="nil"/>
            </w:tcBorders>
            <w:shd w:val="clear" w:color="auto" w:fill="auto"/>
            <w:vAlign w:val="center"/>
            <w:hideMark/>
          </w:tcPr>
          <w:p w14:paraId="53ACF848"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1,031</w:t>
            </w:r>
          </w:p>
        </w:tc>
        <w:tc>
          <w:tcPr>
            <w:tcW w:w="720" w:type="dxa"/>
            <w:tcBorders>
              <w:top w:val="nil"/>
              <w:left w:val="nil"/>
              <w:bottom w:val="single" w:sz="4" w:space="0" w:color="ADD6EA"/>
              <w:right w:val="nil"/>
            </w:tcBorders>
            <w:shd w:val="clear" w:color="auto" w:fill="auto"/>
            <w:vAlign w:val="center"/>
            <w:hideMark/>
          </w:tcPr>
          <w:p w14:paraId="2DBDCF54"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-410</w:t>
            </w:r>
          </w:p>
        </w:tc>
        <w:tc>
          <w:tcPr>
            <w:tcW w:w="720" w:type="dxa"/>
            <w:tcBorders>
              <w:top w:val="nil"/>
              <w:left w:val="nil"/>
              <w:bottom w:val="single" w:sz="4" w:space="0" w:color="ADD6EA"/>
              <w:right w:val="nil"/>
            </w:tcBorders>
            <w:shd w:val="clear" w:color="auto" w:fill="auto"/>
            <w:vAlign w:val="center"/>
            <w:hideMark/>
          </w:tcPr>
          <w:p w14:paraId="65C795F1"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-67</w:t>
            </w:r>
          </w:p>
        </w:tc>
        <w:tc>
          <w:tcPr>
            <w:tcW w:w="720" w:type="dxa"/>
            <w:tcBorders>
              <w:top w:val="nil"/>
              <w:left w:val="nil"/>
              <w:bottom w:val="single" w:sz="4" w:space="0" w:color="ADD6EA"/>
              <w:right w:val="nil"/>
            </w:tcBorders>
            <w:shd w:val="clear" w:color="auto" w:fill="auto"/>
            <w:vAlign w:val="center"/>
            <w:hideMark/>
          </w:tcPr>
          <w:p w14:paraId="34D022E1"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-475</w:t>
            </w:r>
          </w:p>
        </w:tc>
        <w:tc>
          <w:tcPr>
            <w:tcW w:w="720" w:type="dxa"/>
            <w:tcBorders>
              <w:top w:val="nil"/>
              <w:left w:val="nil"/>
              <w:bottom w:val="single" w:sz="4" w:space="0" w:color="ADD6EA"/>
              <w:right w:val="nil"/>
            </w:tcBorders>
            <w:shd w:val="clear" w:color="auto" w:fill="auto"/>
            <w:vAlign w:val="center"/>
            <w:hideMark/>
          </w:tcPr>
          <w:p w14:paraId="2FD6F3E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-499</w:t>
            </w:r>
          </w:p>
        </w:tc>
        <w:tc>
          <w:tcPr>
            <w:tcW w:w="720" w:type="dxa"/>
            <w:tcBorders>
              <w:top w:val="nil"/>
              <w:left w:val="nil"/>
              <w:bottom w:val="single" w:sz="4" w:space="0" w:color="ADD6EA"/>
              <w:right w:val="nil"/>
            </w:tcBorders>
            <w:shd w:val="clear" w:color="auto" w:fill="auto"/>
            <w:vAlign w:val="center"/>
            <w:hideMark/>
          </w:tcPr>
          <w:p w14:paraId="64577015"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200</w:t>
            </w:r>
          </w:p>
        </w:tc>
        <w:tc>
          <w:tcPr>
            <w:tcW w:w="720" w:type="dxa"/>
            <w:tcBorders>
              <w:top w:val="nil"/>
              <w:left w:val="nil"/>
              <w:bottom w:val="single" w:sz="4" w:space="0" w:color="ADD6EA"/>
              <w:right w:val="nil"/>
            </w:tcBorders>
            <w:shd w:val="clear" w:color="auto" w:fill="auto"/>
            <w:vAlign w:val="center"/>
            <w:hideMark/>
          </w:tcPr>
          <w:p w14:paraId="0973B1F2"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-99</w:t>
            </w:r>
          </w:p>
        </w:tc>
        <w:tc>
          <w:tcPr>
            <w:tcW w:w="720" w:type="dxa"/>
            <w:tcBorders>
              <w:top w:val="nil"/>
              <w:left w:val="nil"/>
              <w:bottom w:val="single" w:sz="4" w:space="0" w:color="ADD6EA"/>
              <w:right w:val="nil"/>
            </w:tcBorders>
            <w:shd w:val="clear" w:color="auto" w:fill="auto"/>
            <w:vAlign w:val="center"/>
            <w:hideMark/>
          </w:tcPr>
          <w:p w14:paraId="367E3C00"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320</w:t>
            </w:r>
          </w:p>
        </w:tc>
        <w:tc>
          <w:tcPr>
            <w:tcW w:w="720" w:type="dxa"/>
            <w:tcBorders>
              <w:top w:val="nil"/>
              <w:left w:val="nil"/>
              <w:bottom w:val="single" w:sz="4" w:space="0" w:color="ADD6EA"/>
              <w:right w:val="nil"/>
            </w:tcBorders>
            <w:shd w:val="clear" w:color="auto" w:fill="auto"/>
            <w:vAlign w:val="center"/>
            <w:hideMark/>
          </w:tcPr>
          <w:p w14:paraId="23D0907D" w14:textId="77777777" w:rsidR="00CF5A21" w:rsidRPr="00CF5A21" w:rsidRDefault="00CF5A21" w:rsidP="00CF5A21">
            <w:pPr>
              <w:keepNext/>
              <w:keepLines/>
              <w:tabs>
                <w:tab w:val="clear" w:pos="567"/>
              </w:tabs>
              <w:spacing w:before="0" w:line="240" w:lineRule="auto"/>
              <w:jc w:val="right"/>
              <w:rPr>
                <w:rFonts w:eastAsia="Times New Roman" w:cs="Open Sans Light"/>
                <w:sz w:val="16"/>
                <w:szCs w:val="16"/>
                <w:lang w:val="en-AU" w:eastAsia="en-AU"/>
              </w:rPr>
            </w:pPr>
            <w:r w:rsidRPr="00CF5A21">
              <w:rPr>
                <w:rFonts w:eastAsia="Times New Roman" w:cs="Open Sans Light"/>
                <w:sz w:val="16"/>
                <w:szCs w:val="16"/>
                <w:lang w:val="en-AU" w:eastAsia="en-AU"/>
              </w:rPr>
              <w:t>0</w:t>
            </w:r>
          </w:p>
        </w:tc>
      </w:tr>
      <w:tr w:rsidR="00CF5A21" w:rsidRPr="00CF5A21" w14:paraId="669877BD"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291B9AD8" w14:textId="77777777" w:rsidR="00CF5A21" w:rsidRPr="00CF5A21" w:rsidRDefault="00CF5A21" w:rsidP="00CF5A21">
            <w:pPr>
              <w:keepNext/>
              <w:keepLines/>
              <w:tabs>
                <w:tab w:val="clear" w:pos="567"/>
              </w:tabs>
              <w:spacing w:before="0" w:line="240" w:lineRule="auto"/>
              <w:ind w:firstLineChars="200" w:firstLine="320"/>
              <w:rPr>
                <w:rFonts w:eastAsia="Times New Roman" w:cs="Open Sans Light"/>
                <w:i/>
                <w:iCs/>
                <w:sz w:val="16"/>
                <w:szCs w:val="16"/>
                <w:lang w:val="en-AU" w:eastAsia="en-AU"/>
              </w:rPr>
            </w:pPr>
            <w:r w:rsidRPr="00CF5A21">
              <w:rPr>
                <w:rFonts w:eastAsia="Times New Roman" w:cs="Open Sans Light"/>
                <w:i/>
                <w:iCs/>
                <w:sz w:val="16"/>
                <w:szCs w:val="16"/>
                <w:lang w:val="en-AU" w:eastAsia="en-AU"/>
              </w:rPr>
              <w:t>Method changes</w:t>
            </w:r>
          </w:p>
        </w:tc>
        <w:tc>
          <w:tcPr>
            <w:tcW w:w="720" w:type="dxa"/>
            <w:tcBorders>
              <w:top w:val="nil"/>
              <w:left w:val="nil"/>
              <w:bottom w:val="single" w:sz="4" w:space="0" w:color="ADD6EA"/>
              <w:right w:val="nil"/>
            </w:tcBorders>
            <w:shd w:val="clear" w:color="auto" w:fill="auto"/>
            <w:vAlign w:val="center"/>
            <w:hideMark/>
          </w:tcPr>
          <w:p w14:paraId="23102703"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711</w:t>
            </w:r>
          </w:p>
        </w:tc>
        <w:tc>
          <w:tcPr>
            <w:tcW w:w="720" w:type="dxa"/>
            <w:tcBorders>
              <w:top w:val="nil"/>
              <w:left w:val="nil"/>
              <w:bottom w:val="single" w:sz="4" w:space="0" w:color="ADD6EA"/>
              <w:right w:val="nil"/>
            </w:tcBorders>
            <w:shd w:val="clear" w:color="auto" w:fill="auto"/>
            <w:vAlign w:val="center"/>
            <w:hideMark/>
          </w:tcPr>
          <w:p w14:paraId="3DB57010"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-802</w:t>
            </w:r>
          </w:p>
        </w:tc>
        <w:tc>
          <w:tcPr>
            <w:tcW w:w="720" w:type="dxa"/>
            <w:tcBorders>
              <w:top w:val="nil"/>
              <w:left w:val="nil"/>
              <w:bottom w:val="single" w:sz="4" w:space="0" w:color="ADD6EA"/>
              <w:right w:val="nil"/>
            </w:tcBorders>
            <w:shd w:val="clear" w:color="auto" w:fill="auto"/>
            <w:vAlign w:val="center"/>
            <w:hideMark/>
          </w:tcPr>
          <w:p w14:paraId="7498E4B6"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139</w:t>
            </w:r>
          </w:p>
        </w:tc>
        <w:tc>
          <w:tcPr>
            <w:tcW w:w="720" w:type="dxa"/>
            <w:tcBorders>
              <w:top w:val="nil"/>
              <w:left w:val="nil"/>
              <w:bottom w:val="single" w:sz="4" w:space="0" w:color="ADD6EA"/>
              <w:right w:val="nil"/>
            </w:tcBorders>
            <w:shd w:val="clear" w:color="auto" w:fill="auto"/>
            <w:vAlign w:val="center"/>
            <w:hideMark/>
          </w:tcPr>
          <w:p w14:paraId="288AFE39"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-114</w:t>
            </w:r>
          </w:p>
        </w:tc>
        <w:tc>
          <w:tcPr>
            <w:tcW w:w="720" w:type="dxa"/>
            <w:tcBorders>
              <w:top w:val="nil"/>
              <w:left w:val="nil"/>
              <w:bottom w:val="single" w:sz="4" w:space="0" w:color="ADD6EA"/>
              <w:right w:val="nil"/>
            </w:tcBorders>
            <w:shd w:val="clear" w:color="auto" w:fill="auto"/>
            <w:vAlign w:val="center"/>
            <w:hideMark/>
          </w:tcPr>
          <w:p w14:paraId="77479DF4"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-274</w:t>
            </w:r>
          </w:p>
        </w:tc>
        <w:tc>
          <w:tcPr>
            <w:tcW w:w="720" w:type="dxa"/>
            <w:tcBorders>
              <w:top w:val="nil"/>
              <w:left w:val="nil"/>
              <w:bottom w:val="single" w:sz="4" w:space="0" w:color="ADD6EA"/>
              <w:right w:val="nil"/>
            </w:tcBorders>
            <w:shd w:val="clear" w:color="auto" w:fill="auto"/>
            <w:vAlign w:val="center"/>
            <w:hideMark/>
          </w:tcPr>
          <w:p w14:paraId="1183A443"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141</w:t>
            </w:r>
          </w:p>
        </w:tc>
        <w:tc>
          <w:tcPr>
            <w:tcW w:w="720" w:type="dxa"/>
            <w:tcBorders>
              <w:top w:val="nil"/>
              <w:left w:val="nil"/>
              <w:bottom w:val="single" w:sz="4" w:space="0" w:color="ADD6EA"/>
              <w:right w:val="nil"/>
            </w:tcBorders>
            <w:shd w:val="clear" w:color="auto" w:fill="auto"/>
            <w:vAlign w:val="center"/>
            <w:hideMark/>
          </w:tcPr>
          <w:p w14:paraId="02415351"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-74</w:t>
            </w:r>
          </w:p>
        </w:tc>
        <w:tc>
          <w:tcPr>
            <w:tcW w:w="720" w:type="dxa"/>
            <w:tcBorders>
              <w:top w:val="nil"/>
              <w:left w:val="nil"/>
              <w:bottom w:val="single" w:sz="4" w:space="0" w:color="ADD6EA"/>
              <w:right w:val="nil"/>
            </w:tcBorders>
            <w:shd w:val="clear" w:color="auto" w:fill="auto"/>
            <w:vAlign w:val="center"/>
            <w:hideMark/>
          </w:tcPr>
          <w:p w14:paraId="1F260E03"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272</w:t>
            </w:r>
          </w:p>
        </w:tc>
        <w:tc>
          <w:tcPr>
            <w:tcW w:w="720" w:type="dxa"/>
            <w:tcBorders>
              <w:top w:val="nil"/>
              <w:left w:val="nil"/>
              <w:bottom w:val="single" w:sz="4" w:space="0" w:color="ADD6EA"/>
              <w:right w:val="nil"/>
            </w:tcBorders>
            <w:shd w:val="clear" w:color="auto" w:fill="auto"/>
            <w:vAlign w:val="center"/>
            <w:hideMark/>
          </w:tcPr>
          <w:p w14:paraId="11F45CCA"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0</w:t>
            </w:r>
          </w:p>
        </w:tc>
      </w:tr>
      <w:tr w:rsidR="00CF5A21" w:rsidRPr="00CF5A21" w14:paraId="253FEAC9"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02367D02" w14:textId="77777777" w:rsidR="00CF5A21" w:rsidRPr="00CF5A21" w:rsidRDefault="00CF5A21" w:rsidP="00CF5A21">
            <w:pPr>
              <w:keepNext/>
              <w:keepLines/>
              <w:tabs>
                <w:tab w:val="clear" w:pos="567"/>
              </w:tabs>
              <w:spacing w:before="0" w:line="240" w:lineRule="auto"/>
              <w:ind w:firstLineChars="200" w:firstLine="320"/>
              <w:rPr>
                <w:rFonts w:eastAsia="Times New Roman" w:cs="Open Sans Light"/>
                <w:i/>
                <w:iCs/>
                <w:sz w:val="16"/>
                <w:szCs w:val="16"/>
                <w:lang w:val="en-AU" w:eastAsia="en-AU"/>
              </w:rPr>
            </w:pPr>
            <w:r w:rsidRPr="00CF5A21">
              <w:rPr>
                <w:rFonts w:eastAsia="Times New Roman" w:cs="Open Sans Light"/>
                <w:i/>
                <w:iCs/>
                <w:sz w:val="16"/>
                <w:szCs w:val="16"/>
                <w:lang w:val="en-AU" w:eastAsia="en-AU"/>
              </w:rPr>
              <w:t>Data revisions</w:t>
            </w:r>
          </w:p>
        </w:tc>
        <w:tc>
          <w:tcPr>
            <w:tcW w:w="720" w:type="dxa"/>
            <w:tcBorders>
              <w:top w:val="nil"/>
              <w:left w:val="nil"/>
              <w:bottom w:val="single" w:sz="4" w:space="0" w:color="ADD6EA"/>
              <w:right w:val="nil"/>
            </w:tcBorders>
            <w:shd w:val="clear" w:color="auto" w:fill="auto"/>
            <w:vAlign w:val="center"/>
            <w:hideMark/>
          </w:tcPr>
          <w:p w14:paraId="7F66660D"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-275</w:t>
            </w:r>
          </w:p>
        </w:tc>
        <w:tc>
          <w:tcPr>
            <w:tcW w:w="720" w:type="dxa"/>
            <w:tcBorders>
              <w:top w:val="nil"/>
              <w:left w:val="nil"/>
              <w:bottom w:val="single" w:sz="4" w:space="0" w:color="ADD6EA"/>
              <w:right w:val="nil"/>
            </w:tcBorders>
            <w:shd w:val="clear" w:color="auto" w:fill="auto"/>
            <w:vAlign w:val="center"/>
            <w:hideMark/>
          </w:tcPr>
          <w:p w14:paraId="16660700"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113</w:t>
            </w:r>
          </w:p>
        </w:tc>
        <w:tc>
          <w:tcPr>
            <w:tcW w:w="720" w:type="dxa"/>
            <w:tcBorders>
              <w:top w:val="nil"/>
              <w:left w:val="nil"/>
              <w:bottom w:val="single" w:sz="4" w:space="0" w:color="ADD6EA"/>
              <w:right w:val="nil"/>
            </w:tcBorders>
            <w:shd w:val="clear" w:color="auto" w:fill="auto"/>
            <w:vAlign w:val="center"/>
            <w:hideMark/>
          </w:tcPr>
          <w:p w14:paraId="6327425F"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271</w:t>
            </w:r>
          </w:p>
        </w:tc>
        <w:tc>
          <w:tcPr>
            <w:tcW w:w="720" w:type="dxa"/>
            <w:tcBorders>
              <w:top w:val="nil"/>
              <w:left w:val="nil"/>
              <w:bottom w:val="single" w:sz="4" w:space="0" w:color="ADD6EA"/>
              <w:right w:val="nil"/>
            </w:tcBorders>
            <w:shd w:val="clear" w:color="auto" w:fill="auto"/>
            <w:vAlign w:val="center"/>
            <w:hideMark/>
          </w:tcPr>
          <w:p w14:paraId="742A1944"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-31</w:t>
            </w:r>
          </w:p>
        </w:tc>
        <w:tc>
          <w:tcPr>
            <w:tcW w:w="720" w:type="dxa"/>
            <w:tcBorders>
              <w:top w:val="nil"/>
              <w:left w:val="nil"/>
              <w:bottom w:val="single" w:sz="4" w:space="0" w:color="ADD6EA"/>
              <w:right w:val="nil"/>
            </w:tcBorders>
            <w:shd w:val="clear" w:color="auto" w:fill="auto"/>
            <w:vAlign w:val="center"/>
            <w:hideMark/>
          </w:tcPr>
          <w:p w14:paraId="0E182EFB"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-53</w:t>
            </w:r>
          </w:p>
        </w:tc>
        <w:tc>
          <w:tcPr>
            <w:tcW w:w="720" w:type="dxa"/>
            <w:tcBorders>
              <w:top w:val="nil"/>
              <w:left w:val="nil"/>
              <w:bottom w:val="single" w:sz="4" w:space="0" w:color="ADD6EA"/>
              <w:right w:val="nil"/>
            </w:tcBorders>
            <w:shd w:val="clear" w:color="auto" w:fill="auto"/>
            <w:vAlign w:val="center"/>
            <w:hideMark/>
          </w:tcPr>
          <w:p w14:paraId="50CF0E9A"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14</w:t>
            </w:r>
          </w:p>
        </w:tc>
        <w:tc>
          <w:tcPr>
            <w:tcW w:w="720" w:type="dxa"/>
            <w:tcBorders>
              <w:top w:val="nil"/>
              <w:left w:val="nil"/>
              <w:bottom w:val="single" w:sz="4" w:space="0" w:color="ADD6EA"/>
              <w:right w:val="nil"/>
            </w:tcBorders>
            <w:shd w:val="clear" w:color="auto" w:fill="auto"/>
            <w:vAlign w:val="center"/>
            <w:hideMark/>
          </w:tcPr>
          <w:p w14:paraId="3270055C"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-19</w:t>
            </w:r>
          </w:p>
        </w:tc>
        <w:tc>
          <w:tcPr>
            <w:tcW w:w="720" w:type="dxa"/>
            <w:tcBorders>
              <w:top w:val="nil"/>
              <w:left w:val="nil"/>
              <w:bottom w:val="single" w:sz="4" w:space="0" w:color="ADD6EA"/>
              <w:right w:val="nil"/>
            </w:tcBorders>
            <w:shd w:val="clear" w:color="auto" w:fill="auto"/>
            <w:vAlign w:val="center"/>
            <w:hideMark/>
          </w:tcPr>
          <w:p w14:paraId="0E8A64FB"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-18</w:t>
            </w:r>
          </w:p>
        </w:tc>
        <w:tc>
          <w:tcPr>
            <w:tcW w:w="720" w:type="dxa"/>
            <w:tcBorders>
              <w:top w:val="nil"/>
              <w:left w:val="nil"/>
              <w:bottom w:val="single" w:sz="4" w:space="0" w:color="ADD6EA"/>
              <w:right w:val="nil"/>
            </w:tcBorders>
            <w:shd w:val="clear" w:color="auto" w:fill="auto"/>
            <w:vAlign w:val="center"/>
            <w:hideMark/>
          </w:tcPr>
          <w:p w14:paraId="6E509A64"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0</w:t>
            </w:r>
          </w:p>
        </w:tc>
      </w:tr>
      <w:tr w:rsidR="00CF5A21" w:rsidRPr="00CF5A21" w14:paraId="31B8A85D" w14:textId="77777777" w:rsidTr="00901FBC">
        <w:trPr>
          <w:trHeight w:val="315"/>
        </w:trPr>
        <w:tc>
          <w:tcPr>
            <w:tcW w:w="2460" w:type="dxa"/>
            <w:tcBorders>
              <w:top w:val="nil"/>
              <w:left w:val="nil"/>
              <w:bottom w:val="single" w:sz="4" w:space="0" w:color="ADD6EA"/>
              <w:right w:val="nil"/>
            </w:tcBorders>
            <w:shd w:val="clear" w:color="auto" w:fill="auto"/>
            <w:vAlign w:val="center"/>
            <w:hideMark/>
          </w:tcPr>
          <w:p w14:paraId="201EEF9F" w14:textId="77777777" w:rsidR="00CF5A21" w:rsidRPr="00CF5A21" w:rsidRDefault="00CF5A21" w:rsidP="00CF5A21">
            <w:pPr>
              <w:keepNext/>
              <w:keepLines/>
              <w:tabs>
                <w:tab w:val="clear" w:pos="567"/>
              </w:tabs>
              <w:spacing w:before="0" w:line="240" w:lineRule="auto"/>
              <w:ind w:firstLineChars="200" w:firstLine="320"/>
              <w:rPr>
                <w:rFonts w:eastAsia="Times New Roman" w:cs="Open Sans Light"/>
                <w:i/>
                <w:iCs/>
                <w:sz w:val="16"/>
                <w:szCs w:val="16"/>
                <w:lang w:val="en-AU" w:eastAsia="en-AU"/>
              </w:rPr>
            </w:pPr>
            <w:r w:rsidRPr="00CF5A21">
              <w:rPr>
                <w:rFonts w:eastAsia="Times New Roman" w:cs="Open Sans Light"/>
                <w:i/>
                <w:iCs/>
                <w:sz w:val="16"/>
                <w:szCs w:val="16"/>
                <w:lang w:val="en-AU" w:eastAsia="en-AU"/>
              </w:rPr>
              <w:t>State circumstances</w:t>
            </w:r>
          </w:p>
        </w:tc>
        <w:tc>
          <w:tcPr>
            <w:tcW w:w="720" w:type="dxa"/>
            <w:tcBorders>
              <w:top w:val="nil"/>
              <w:left w:val="nil"/>
              <w:bottom w:val="single" w:sz="4" w:space="0" w:color="ADD6EA"/>
              <w:right w:val="nil"/>
            </w:tcBorders>
            <w:shd w:val="clear" w:color="auto" w:fill="auto"/>
            <w:vAlign w:val="center"/>
            <w:hideMark/>
          </w:tcPr>
          <w:p w14:paraId="5DDB6EFE"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595</w:t>
            </w:r>
          </w:p>
        </w:tc>
        <w:tc>
          <w:tcPr>
            <w:tcW w:w="720" w:type="dxa"/>
            <w:tcBorders>
              <w:top w:val="nil"/>
              <w:left w:val="nil"/>
              <w:bottom w:val="single" w:sz="4" w:space="0" w:color="ADD6EA"/>
              <w:right w:val="nil"/>
            </w:tcBorders>
            <w:shd w:val="clear" w:color="auto" w:fill="auto"/>
            <w:vAlign w:val="center"/>
            <w:hideMark/>
          </w:tcPr>
          <w:p w14:paraId="463DE402"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279</w:t>
            </w:r>
          </w:p>
        </w:tc>
        <w:tc>
          <w:tcPr>
            <w:tcW w:w="720" w:type="dxa"/>
            <w:tcBorders>
              <w:top w:val="nil"/>
              <w:left w:val="nil"/>
              <w:bottom w:val="single" w:sz="4" w:space="0" w:color="ADD6EA"/>
              <w:right w:val="nil"/>
            </w:tcBorders>
            <w:shd w:val="clear" w:color="auto" w:fill="auto"/>
            <w:vAlign w:val="center"/>
            <w:hideMark/>
          </w:tcPr>
          <w:p w14:paraId="4F61037B"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-477</w:t>
            </w:r>
          </w:p>
        </w:tc>
        <w:tc>
          <w:tcPr>
            <w:tcW w:w="720" w:type="dxa"/>
            <w:tcBorders>
              <w:top w:val="nil"/>
              <w:left w:val="nil"/>
              <w:bottom w:val="single" w:sz="4" w:space="0" w:color="ADD6EA"/>
              <w:right w:val="nil"/>
            </w:tcBorders>
            <w:shd w:val="clear" w:color="auto" w:fill="auto"/>
            <w:vAlign w:val="center"/>
            <w:hideMark/>
          </w:tcPr>
          <w:p w14:paraId="57CF6EF5"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-330</w:t>
            </w:r>
          </w:p>
        </w:tc>
        <w:tc>
          <w:tcPr>
            <w:tcW w:w="720" w:type="dxa"/>
            <w:tcBorders>
              <w:top w:val="nil"/>
              <w:left w:val="nil"/>
              <w:bottom w:val="single" w:sz="4" w:space="0" w:color="ADD6EA"/>
              <w:right w:val="nil"/>
            </w:tcBorders>
            <w:shd w:val="clear" w:color="auto" w:fill="auto"/>
            <w:vAlign w:val="center"/>
            <w:hideMark/>
          </w:tcPr>
          <w:p w14:paraId="4BE08EB6"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-172</w:t>
            </w:r>
          </w:p>
        </w:tc>
        <w:tc>
          <w:tcPr>
            <w:tcW w:w="720" w:type="dxa"/>
            <w:tcBorders>
              <w:top w:val="nil"/>
              <w:left w:val="nil"/>
              <w:bottom w:val="single" w:sz="4" w:space="0" w:color="ADD6EA"/>
              <w:right w:val="nil"/>
            </w:tcBorders>
            <w:shd w:val="clear" w:color="auto" w:fill="auto"/>
            <w:vAlign w:val="center"/>
            <w:hideMark/>
          </w:tcPr>
          <w:p w14:paraId="00CFB091"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45</w:t>
            </w:r>
          </w:p>
        </w:tc>
        <w:tc>
          <w:tcPr>
            <w:tcW w:w="720" w:type="dxa"/>
            <w:tcBorders>
              <w:top w:val="nil"/>
              <w:left w:val="nil"/>
              <w:bottom w:val="single" w:sz="4" w:space="0" w:color="ADD6EA"/>
              <w:right w:val="nil"/>
            </w:tcBorders>
            <w:shd w:val="clear" w:color="auto" w:fill="auto"/>
            <w:vAlign w:val="center"/>
            <w:hideMark/>
          </w:tcPr>
          <w:p w14:paraId="3AB552FD"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-6</w:t>
            </w:r>
          </w:p>
        </w:tc>
        <w:tc>
          <w:tcPr>
            <w:tcW w:w="720" w:type="dxa"/>
            <w:tcBorders>
              <w:top w:val="nil"/>
              <w:left w:val="nil"/>
              <w:bottom w:val="single" w:sz="4" w:space="0" w:color="ADD6EA"/>
              <w:right w:val="nil"/>
            </w:tcBorders>
            <w:shd w:val="clear" w:color="auto" w:fill="auto"/>
            <w:vAlign w:val="center"/>
            <w:hideMark/>
          </w:tcPr>
          <w:p w14:paraId="593D831C"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66</w:t>
            </w:r>
          </w:p>
        </w:tc>
        <w:tc>
          <w:tcPr>
            <w:tcW w:w="720" w:type="dxa"/>
            <w:tcBorders>
              <w:top w:val="nil"/>
              <w:left w:val="nil"/>
              <w:bottom w:val="single" w:sz="4" w:space="0" w:color="ADD6EA"/>
              <w:right w:val="nil"/>
            </w:tcBorders>
            <w:shd w:val="clear" w:color="auto" w:fill="auto"/>
            <w:vAlign w:val="center"/>
            <w:hideMark/>
          </w:tcPr>
          <w:p w14:paraId="27DBAE40" w14:textId="77777777" w:rsidR="00CF5A21" w:rsidRPr="00CF5A21" w:rsidRDefault="00CF5A21" w:rsidP="00CF5A21">
            <w:pPr>
              <w:keepNext/>
              <w:keepLines/>
              <w:tabs>
                <w:tab w:val="clear" w:pos="567"/>
              </w:tabs>
              <w:spacing w:before="0" w:line="240" w:lineRule="auto"/>
              <w:jc w:val="right"/>
              <w:rPr>
                <w:rFonts w:eastAsia="Times New Roman" w:cs="Open Sans Light"/>
                <w:i/>
                <w:iCs/>
                <w:sz w:val="16"/>
                <w:szCs w:val="16"/>
                <w:lang w:val="en-AU" w:eastAsia="en-AU"/>
              </w:rPr>
            </w:pPr>
            <w:r w:rsidRPr="00CF5A21">
              <w:rPr>
                <w:rFonts w:eastAsia="Times New Roman" w:cs="Open Sans Light"/>
                <w:i/>
                <w:iCs/>
                <w:sz w:val="16"/>
                <w:szCs w:val="16"/>
                <w:lang w:val="en-AU" w:eastAsia="en-AU"/>
              </w:rPr>
              <w:t>0</w:t>
            </w:r>
          </w:p>
        </w:tc>
      </w:tr>
      <w:tr w:rsidR="00CF5A21" w:rsidRPr="00CF5A21" w14:paraId="5BD7C4F0" w14:textId="77777777" w:rsidTr="00901FBC">
        <w:trPr>
          <w:trHeight w:val="315"/>
        </w:trPr>
        <w:tc>
          <w:tcPr>
            <w:tcW w:w="2460" w:type="dxa"/>
            <w:tcBorders>
              <w:top w:val="nil"/>
              <w:left w:val="nil"/>
              <w:bottom w:val="single" w:sz="4" w:space="0" w:color="ADD6EA"/>
              <w:right w:val="nil"/>
            </w:tcBorders>
            <w:shd w:val="clear" w:color="000000" w:fill="D6E7F0"/>
            <w:vAlign w:val="center"/>
            <w:hideMark/>
          </w:tcPr>
          <w:p w14:paraId="141FCCD5" w14:textId="77777777" w:rsidR="00CF5A21" w:rsidRPr="00CF5A21" w:rsidRDefault="00CF5A21" w:rsidP="00CF5A21">
            <w:pPr>
              <w:keepNext/>
              <w:keepLines/>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Change ($m)</w:t>
            </w:r>
          </w:p>
        </w:tc>
        <w:tc>
          <w:tcPr>
            <w:tcW w:w="720" w:type="dxa"/>
            <w:tcBorders>
              <w:top w:val="nil"/>
              <w:left w:val="nil"/>
              <w:bottom w:val="single" w:sz="4" w:space="0" w:color="ADD6EA"/>
              <w:right w:val="nil"/>
            </w:tcBorders>
            <w:shd w:val="clear" w:color="000000" w:fill="D6E7F0"/>
            <w:vAlign w:val="center"/>
            <w:hideMark/>
          </w:tcPr>
          <w:p w14:paraId="2301C113"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1,640</w:t>
            </w:r>
          </w:p>
        </w:tc>
        <w:tc>
          <w:tcPr>
            <w:tcW w:w="720" w:type="dxa"/>
            <w:tcBorders>
              <w:top w:val="nil"/>
              <w:left w:val="nil"/>
              <w:bottom w:val="single" w:sz="4" w:space="0" w:color="ADD6EA"/>
              <w:right w:val="nil"/>
            </w:tcBorders>
            <w:shd w:val="clear" w:color="000000" w:fill="D6E7F0"/>
            <w:vAlign w:val="center"/>
            <w:hideMark/>
          </w:tcPr>
          <w:p w14:paraId="1558CA80"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269</w:t>
            </w:r>
          </w:p>
        </w:tc>
        <w:tc>
          <w:tcPr>
            <w:tcW w:w="720" w:type="dxa"/>
            <w:tcBorders>
              <w:top w:val="nil"/>
              <w:left w:val="nil"/>
              <w:bottom w:val="single" w:sz="4" w:space="0" w:color="ADD6EA"/>
              <w:right w:val="nil"/>
            </w:tcBorders>
            <w:shd w:val="clear" w:color="000000" w:fill="D6E7F0"/>
            <w:vAlign w:val="center"/>
            <w:hideMark/>
          </w:tcPr>
          <w:p w14:paraId="0A5D46C0"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418</w:t>
            </w:r>
          </w:p>
        </w:tc>
        <w:tc>
          <w:tcPr>
            <w:tcW w:w="720" w:type="dxa"/>
            <w:tcBorders>
              <w:top w:val="nil"/>
              <w:left w:val="nil"/>
              <w:bottom w:val="single" w:sz="4" w:space="0" w:color="ADD6EA"/>
              <w:right w:val="nil"/>
            </w:tcBorders>
            <w:shd w:val="clear" w:color="000000" w:fill="D6E7F0"/>
            <w:vAlign w:val="center"/>
            <w:hideMark/>
          </w:tcPr>
          <w:p w14:paraId="376FFAB5"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-385</w:t>
            </w:r>
          </w:p>
        </w:tc>
        <w:tc>
          <w:tcPr>
            <w:tcW w:w="720" w:type="dxa"/>
            <w:tcBorders>
              <w:top w:val="nil"/>
              <w:left w:val="nil"/>
              <w:bottom w:val="single" w:sz="4" w:space="0" w:color="ADD6EA"/>
              <w:right w:val="nil"/>
            </w:tcBorders>
            <w:shd w:val="clear" w:color="000000" w:fill="D6E7F0"/>
            <w:vAlign w:val="center"/>
            <w:hideMark/>
          </w:tcPr>
          <w:p w14:paraId="5DF1CC1E"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-332</w:t>
            </w:r>
          </w:p>
        </w:tc>
        <w:tc>
          <w:tcPr>
            <w:tcW w:w="720" w:type="dxa"/>
            <w:tcBorders>
              <w:top w:val="nil"/>
              <w:left w:val="nil"/>
              <w:bottom w:val="single" w:sz="4" w:space="0" w:color="ADD6EA"/>
              <w:right w:val="nil"/>
            </w:tcBorders>
            <w:shd w:val="clear" w:color="000000" w:fill="D6E7F0"/>
            <w:vAlign w:val="center"/>
            <w:hideMark/>
          </w:tcPr>
          <w:p w14:paraId="203076FD"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271</w:t>
            </w:r>
          </w:p>
        </w:tc>
        <w:tc>
          <w:tcPr>
            <w:tcW w:w="720" w:type="dxa"/>
            <w:tcBorders>
              <w:top w:val="nil"/>
              <w:left w:val="nil"/>
              <w:bottom w:val="single" w:sz="4" w:space="0" w:color="ADD6EA"/>
              <w:right w:val="nil"/>
            </w:tcBorders>
            <w:shd w:val="clear" w:color="000000" w:fill="D6E7F0"/>
            <w:vAlign w:val="center"/>
            <w:hideMark/>
          </w:tcPr>
          <w:p w14:paraId="7E518473"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-49</w:t>
            </w:r>
          </w:p>
        </w:tc>
        <w:tc>
          <w:tcPr>
            <w:tcW w:w="720" w:type="dxa"/>
            <w:tcBorders>
              <w:top w:val="nil"/>
              <w:left w:val="nil"/>
              <w:bottom w:val="single" w:sz="4" w:space="0" w:color="ADD6EA"/>
              <w:right w:val="nil"/>
            </w:tcBorders>
            <w:shd w:val="clear" w:color="000000" w:fill="D6E7F0"/>
            <w:vAlign w:val="center"/>
            <w:hideMark/>
          </w:tcPr>
          <w:p w14:paraId="185326FE"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368</w:t>
            </w:r>
          </w:p>
        </w:tc>
        <w:tc>
          <w:tcPr>
            <w:tcW w:w="720" w:type="dxa"/>
            <w:tcBorders>
              <w:top w:val="nil"/>
              <w:left w:val="nil"/>
              <w:bottom w:val="single" w:sz="4" w:space="0" w:color="ADD6EA"/>
              <w:right w:val="nil"/>
            </w:tcBorders>
            <w:shd w:val="clear" w:color="000000" w:fill="D6E7F0"/>
            <w:vAlign w:val="center"/>
            <w:hideMark/>
          </w:tcPr>
          <w:p w14:paraId="490B9173"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2,200</w:t>
            </w:r>
          </w:p>
        </w:tc>
      </w:tr>
      <w:tr w:rsidR="00CF5A21" w:rsidRPr="00CF5A21" w14:paraId="4A4415DC" w14:textId="77777777" w:rsidTr="00901FBC">
        <w:trPr>
          <w:trHeight w:val="315"/>
        </w:trPr>
        <w:tc>
          <w:tcPr>
            <w:tcW w:w="2460" w:type="dxa"/>
            <w:tcBorders>
              <w:top w:val="nil"/>
              <w:left w:val="nil"/>
              <w:bottom w:val="single" w:sz="4" w:space="0" w:color="ADD6EA"/>
              <w:right w:val="nil"/>
            </w:tcBorders>
            <w:shd w:val="clear" w:color="000000" w:fill="D6E7F0"/>
            <w:vAlign w:val="center"/>
            <w:hideMark/>
          </w:tcPr>
          <w:p w14:paraId="7FAB150F" w14:textId="77777777" w:rsidR="00CF5A21" w:rsidRPr="00CF5A21" w:rsidRDefault="00CF5A21" w:rsidP="00CF5A21">
            <w:pPr>
              <w:keepNext/>
              <w:keepLines/>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Change ($pc)</w:t>
            </w:r>
          </w:p>
        </w:tc>
        <w:tc>
          <w:tcPr>
            <w:tcW w:w="720" w:type="dxa"/>
            <w:tcBorders>
              <w:top w:val="nil"/>
              <w:left w:val="nil"/>
              <w:bottom w:val="single" w:sz="4" w:space="0" w:color="ADD6EA"/>
              <w:right w:val="nil"/>
            </w:tcBorders>
            <w:shd w:val="clear" w:color="000000" w:fill="D6E7F0"/>
            <w:vAlign w:val="center"/>
            <w:hideMark/>
          </w:tcPr>
          <w:p w14:paraId="6153D38A"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198</w:t>
            </w:r>
          </w:p>
        </w:tc>
        <w:tc>
          <w:tcPr>
            <w:tcW w:w="720" w:type="dxa"/>
            <w:tcBorders>
              <w:top w:val="nil"/>
              <w:left w:val="nil"/>
              <w:bottom w:val="single" w:sz="4" w:space="0" w:color="ADD6EA"/>
              <w:right w:val="nil"/>
            </w:tcBorders>
            <w:shd w:val="clear" w:color="000000" w:fill="D6E7F0"/>
            <w:vAlign w:val="center"/>
            <w:hideMark/>
          </w:tcPr>
          <w:p w14:paraId="67E72EF8"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39</w:t>
            </w:r>
          </w:p>
        </w:tc>
        <w:tc>
          <w:tcPr>
            <w:tcW w:w="720" w:type="dxa"/>
            <w:tcBorders>
              <w:top w:val="nil"/>
              <w:left w:val="nil"/>
              <w:bottom w:val="single" w:sz="4" w:space="0" w:color="ADD6EA"/>
              <w:right w:val="nil"/>
            </w:tcBorders>
            <w:shd w:val="clear" w:color="000000" w:fill="D6E7F0"/>
            <w:vAlign w:val="center"/>
            <w:hideMark/>
          </w:tcPr>
          <w:p w14:paraId="2B01D821"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80</w:t>
            </w:r>
          </w:p>
        </w:tc>
        <w:tc>
          <w:tcPr>
            <w:tcW w:w="720" w:type="dxa"/>
            <w:tcBorders>
              <w:top w:val="nil"/>
              <w:left w:val="nil"/>
              <w:bottom w:val="single" w:sz="4" w:space="0" w:color="ADD6EA"/>
              <w:right w:val="nil"/>
            </w:tcBorders>
            <w:shd w:val="clear" w:color="000000" w:fill="D6E7F0"/>
            <w:vAlign w:val="center"/>
            <w:hideMark/>
          </w:tcPr>
          <w:p w14:paraId="00CD4362"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-145</w:t>
            </w:r>
          </w:p>
        </w:tc>
        <w:tc>
          <w:tcPr>
            <w:tcW w:w="720" w:type="dxa"/>
            <w:tcBorders>
              <w:top w:val="nil"/>
              <w:left w:val="nil"/>
              <w:bottom w:val="single" w:sz="4" w:space="0" w:color="ADD6EA"/>
              <w:right w:val="nil"/>
            </w:tcBorders>
            <w:shd w:val="clear" w:color="000000" w:fill="D6E7F0"/>
            <w:vAlign w:val="center"/>
            <w:hideMark/>
          </w:tcPr>
          <w:p w14:paraId="5D9EAE76"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-188</w:t>
            </w:r>
          </w:p>
        </w:tc>
        <w:tc>
          <w:tcPr>
            <w:tcW w:w="720" w:type="dxa"/>
            <w:tcBorders>
              <w:top w:val="nil"/>
              <w:left w:val="nil"/>
              <w:bottom w:val="single" w:sz="4" w:space="0" w:color="ADD6EA"/>
              <w:right w:val="nil"/>
            </w:tcBorders>
            <w:shd w:val="clear" w:color="000000" w:fill="D6E7F0"/>
            <w:vAlign w:val="center"/>
            <w:hideMark/>
          </w:tcPr>
          <w:p w14:paraId="2B97D6FC"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497</w:t>
            </w:r>
          </w:p>
        </w:tc>
        <w:tc>
          <w:tcPr>
            <w:tcW w:w="720" w:type="dxa"/>
            <w:tcBorders>
              <w:top w:val="nil"/>
              <w:left w:val="nil"/>
              <w:bottom w:val="single" w:sz="4" w:space="0" w:color="ADD6EA"/>
              <w:right w:val="nil"/>
            </w:tcBorders>
            <w:shd w:val="clear" w:color="000000" w:fill="D6E7F0"/>
            <w:vAlign w:val="center"/>
            <w:hideMark/>
          </w:tcPr>
          <w:p w14:paraId="7B1F58FC"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-110</w:t>
            </w:r>
          </w:p>
        </w:tc>
        <w:tc>
          <w:tcPr>
            <w:tcW w:w="720" w:type="dxa"/>
            <w:tcBorders>
              <w:top w:val="nil"/>
              <w:left w:val="nil"/>
              <w:bottom w:val="single" w:sz="4" w:space="0" w:color="ADD6EA"/>
              <w:right w:val="nil"/>
            </w:tcBorders>
            <w:shd w:val="clear" w:color="000000" w:fill="D6E7F0"/>
            <w:vAlign w:val="center"/>
            <w:hideMark/>
          </w:tcPr>
          <w:p w14:paraId="7CA5BAC6"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1,495</w:t>
            </w:r>
          </w:p>
        </w:tc>
        <w:tc>
          <w:tcPr>
            <w:tcW w:w="720" w:type="dxa"/>
            <w:tcBorders>
              <w:top w:val="nil"/>
              <w:left w:val="nil"/>
              <w:bottom w:val="single" w:sz="4" w:space="0" w:color="ADD6EA"/>
              <w:right w:val="nil"/>
            </w:tcBorders>
            <w:shd w:val="clear" w:color="000000" w:fill="D6E7F0"/>
            <w:vAlign w:val="center"/>
            <w:hideMark/>
          </w:tcPr>
          <w:p w14:paraId="7CFB2840" w14:textId="77777777" w:rsidR="00CF5A21" w:rsidRPr="00CF5A21" w:rsidRDefault="00CF5A21" w:rsidP="00CF5A21">
            <w:pPr>
              <w:keepNext/>
              <w:keepLines/>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F5A21">
              <w:rPr>
                <w:rFonts w:ascii="Open Sans SemiBold" w:eastAsia="Times New Roman" w:hAnsi="Open Sans SemiBold" w:cs="Open Sans SemiBold"/>
                <w:color w:val="000000"/>
                <w:sz w:val="16"/>
                <w:szCs w:val="16"/>
                <w:lang w:val="en-AU" w:eastAsia="en-AU"/>
              </w:rPr>
              <w:t>85</w:t>
            </w:r>
          </w:p>
        </w:tc>
      </w:tr>
    </w:tbl>
    <w:p w14:paraId="6D63D0CE" w14:textId="180EF561" w:rsidR="00873DF3" w:rsidRDefault="00935F92" w:rsidP="00E30831">
      <w:pPr>
        <w:pStyle w:val="CGCTablenote"/>
        <w:keepNext/>
        <w:keepLines/>
      </w:pPr>
      <w:r w:rsidRPr="00935F92">
        <w:t>(a</w:t>
      </w:r>
      <w:r>
        <w:t xml:space="preserve">) </w:t>
      </w:r>
      <w:r>
        <w:tab/>
      </w:r>
      <w:r w:rsidR="00025758" w:rsidRPr="00025758">
        <w:t>Obtained by applying 20</w:t>
      </w:r>
      <w:r w:rsidR="00025758">
        <w:t xml:space="preserve">20 Review </w:t>
      </w:r>
      <w:r w:rsidR="00025758" w:rsidRPr="00025758">
        <w:t>relativities to estimated State populations as at December</w:t>
      </w:r>
      <w:r w:rsidR="00025758">
        <w:t> </w:t>
      </w:r>
      <w:r w:rsidR="00025758" w:rsidRPr="00025758">
        <w:t>20</w:t>
      </w:r>
      <w:r w:rsidR="00025758">
        <w:t>20</w:t>
      </w:r>
      <w:r w:rsidR="00025758" w:rsidRPr="00025758">
        <w:t xml:space="preserve"> and estimated GST revenue for 20</w:t>
      </w:r>
      <w:r w:rsidR="00025758">
        <w:t>20</w:t>
      </w:r>
      <w:r w:rsidR="00025758">
        <w:noBreakHyphen/>
      </w:r>
      <w:r w:rsidR="00025758" w:rsidRPr="00025758">
        <w:t>2</w:t>
      </w:r>
      <w:r w:rsidR="00025758">
        <w:t>1</w:t>
      </w:r>
      <w:r w:rsidR="00025758" w:rsidRPr="00025758">
        <w:t>.</w:t>
      </w:r>
    </w:p>
    <w:p w14:paraId="5969B405" w14:textId="5F023C8C" w:rsidR="00AF6F56" w:rsidRDefault="00935F92" w:rsidP="00E30831">
      <w:pPr>
        <w:pStyle w:val="CGCTablenote"/>
        <w:keepNext/>
        <w:keepLines/>
      </w:pPr>
      <w:r>
        <w:t xml:space="preserve">(b) </w:t>
      </w:r>
      <w:r>
        <w:tab/>
      </w:r>
      <w:r w:rsidR="000C7AA1">
        <w:t>Effects</w:t>
      </w:r>
      <w:r w:rsidR="00FB5AC2">
        <w:t xml:space="preserve"> </w:t>
      </w:r>
      <w:r w:rsidR="00FB5AC2" w:rsidRPr="00FB5AC2">
        <w:t>on the distribution of 201</w:t>
      </w:r>
      <w:r w:rsidR="009121DE">
        <w:t>9</w:t>
      </w:r>
      <w:r w:rsidR="009121DE">
        <w:noBreakHyphen/>
        <w:t>20</w:t>
      </w:r>
      <w:r w:rsidR="00FB5AC2" w:rsidRPr="00FB5AC2">
        <w:t xml:space="preserve"> GST revenue of using estimated State populations as at December</w:t>
      </w:r>
      <w:r w:rsidR="000F1EC7">
        <w:t> </w:t>
      </w:r>
      <w:r w:rsidR="00FB5AC2" w:rsidRPr="00FB5AC2">
        <w:t>20</w:t>
      </w:r>
      <w:r w:rsidR="009121DE">
        <w:t>20</w:t>
      </w:r>
      <w:r w:rsidR="00FB5AC2" w:rsidRPr="00FB5AC2">
        <w:t xml:space="preserve"> instead of December</w:t>
      </w:r>
      <w:r w:rsidR="000F1EC7">
        <w:t> </w:t>
      </w:r>
      <w:r w:rsidR="00FB5AC2" w:rsidRPr="00FB5AC2">
        <w:t>201</w:t>
      </w:r>
      <w:r w:rsidR="009121DE">
        <w:t>9</w:t>
      </w:r>
      <w:r w:rsidR="00FB5AC2" w:rsidRPr="00FB5AC2">
        <w:t>, with 201</w:t>
      </w:r>
      <w:r w:rsidR="009121DE">
        <w:t>9</w:t>
      </w:r>
      <w:r w:rsidR="00BD5070">
        <w:t> </w:t>
      </w:r>
      <w:r w:rsidR="00FB5AC2" w:rsidRPr="00FB5AC2">
        <w:t>Update relativities.</w:t>
      </w:r>
    </w:p>
    <w:p w14:paraId="66EDE4CF" w14:textId="2E8F5C9C" w:rsidR="00E93156" w:rsidRDefault="00935F92" w:rsidP="00E30831">
      <w:pPr>
        <w:pStyle w:val="CGCTablenote"/>
        <w:keepNext/>
        <w:keepLines/>
        <w:ind w:left="113" w:firstLine="0"/>
      </w:pPr>
      <w:r>
        <w:t>(c)</w:t>
      </w:r>
      <w:r>
        <w:tab/>
      </w:r>
      <w:r w:rsidR="00FC05ED">
        <w:t>Effects</w:t>
      </w:r>
      <w:r w:rsidR="00E93156">
        <w:t xml:space="preserve"> of applying the 201</w:t>
      </w:r>
      <w:r w:rsidR="00BD5070">
        <w:t>9 </w:t>
      </w:r>
      <w:r w:rsidR="00E93156">
        <w:t>Update relativities to the estimated growth in GST revenue for 2020</w:t>
      </w:r>
      <w:r w:rsidR="00BD5070">
        <w:noBreakHyphen/>
        <w:t>21</w:t>
      </w:r>
      <w:r w:rsidR="00E93156">
        <w:t xml:space="preserve">. </w:t>
      </w:r>
    </w:p>
    <w:p w14:paraId="79F04D45" w14:textId="4CE096B3" w:rsidR="000C7AA1" w:rsidRDefault="00164414" w:rsidP="00E30831">
      <w:pPr>
        <w:pStyle w:val="CGCTablenote"/>
        <w:keepNext/>
        <w:keepLines/>
        <w:ind w:left="113" w:firstLine="0"/>
      </w:pPr>
      <w:r>
        <w:t>(d)</w:t>
      </w:r>
      <w:r>
        <w:tab/>
      </w:r>
      <w:r w:rsidR="00E93156">
        <w:t>Effects on the distribution of the 20</w:t>
      </w:r>
      <w:r w:rsidR="00B54D7B">
        <w:t>20</w:t>
      </w:r>
      <w:r w:rsidR="00B54D7B">
        <w:noBreakHyphen/>
      </w:r>
      <w:r w:rsidR="00E93156">
        <w:t>2</w:t>
      </w:r>
      <w:r w:rsidR="00B54D7B">
        <w:t>1</w:t>
      </w:r>
      <w:r w:rsidR="00E93156">
        <w:t xml:space="preserve"> GST revenue of using the 20</w:t>
      </w:r>
      <w:r w:rsidR="00B54D7B">
        <w:t>20 </w:t>
      </w:r>
      <w:r w:rsidR="004B5A02">
        <w:t>Review</w:t>
      </w:r>
      <w:r w:rsidR="00E93156">
        <w:t xml:space="preserve"> relativities instead of 201</w:t>
      </w:r>
      <w:r w:rsidR="00B54D7B">
        <w:t>9 </w:t>
      </w:r>
      <w:r w:rsidR="00E93156">
        <w:t>Update relativities.</w:t>
      </w:r>
    </w:p>
    <w:p w14:paraId="04C6D32C" w14:textId="469D0437" w:rsidR="00D3376C" w:rsidRDefault="00AA502C" w:rsidP="00E30831">
      <w:pPr>
        <w:pStyle w:val="CGCTablenote"/>
        <w:keepNext/>
        <w:keepLines/>
        <w:ind w:left="668" w:hanging="555"/>
      </w:pPr>
      <w:r>
        <w:t>Source:</w:t>
      </w:r>
      <w:r w:rsidR="00F10A59">
        <w:tab/>
      </w:r>
      <w:r w:rsidR="00F10A59">
        <w:tab/>
        <w:t>2019</w:t>
      </w:r>
      <w:r w:rsidR="00871E0C">
        <w:noBreakHyphen/>
      </w:r>
      <w:r w:rsidR="00F10A59">
        <w:t xml:space="preserve">20 GST </w:t>
      </w:r>
      <w:r w:rsidR="00D95CA7" w:rsidRPr="00D95CA7">
        <w:t>entitlement and 2020</w:t>
      </w:r>
      <w:r w:rsidR="00871E0C">
        <w:noBreakHyphen/>
        <w:t>21</w:t>
      </w:r>
      <w:r w:rsidR="00D95CA7" w:rsidRPr="00D95CA7">
        <w:t xml:space="preserve"> GST revenue are taken from the </w:t>
      </w:r>
      <w:r w:rsidR="00D95CA7" w:rsidRPr="00FF0D42">
        <w:rPr>
          <w:i/>
          <w:iCs/>
        </w:rPr>
        <w:t>Australian Government Budget</w:t>
      </w:r>
      <w:r w:rsidR="00D95CA7" w:rsidRPr="00D95CA7">
        <w:t xml:space="preserve">, </w:t>
      </w:r>
      <w:r w:rsidR="00D95CA7" w:rsidRPr="00FF0D42">
        <w:rPr>
          <w:i/>
          <w:iCs/>
        </w:rPr>
        <w:t>Mid</w:t>
      </w:r>
      <w:r w:rsidR="00FF0D42">
        <w:rPr>
          <w:i/>
          <w:iCs/>
        </w:rPr>
        <w:noBreakHyphen/>
      </w:r>
      <w:r w:rsidR="00D95CA7" w:rsidRPr="00FF0D42">
        <w:rPr>
          <w:i/>
          <w:iCs/>
        </w:rPr>
        <w:t xml:space="preserve">Year Economic and Fiscal Outlook </w:t>
      </w:r>
      <w:r w:rsidR="006D0626">
        <w:rPr>
          <w:i/>
          <w:iCs/>
        </w:rPr>
        <w:t xml:space="preserve">(MYEFO) </w:t>
      </w:r>
      <w:r w:rsidR="00D95CA7" w:rsidRPr="00FF0D42">
        <w:rPr>
          <w:i/>
          <w:iCs/>
        </w:rPr>
        <w:t>201</w:t>
      </w:r>
      <w:r w:rsidR="00FF0D42">
        <w:rPr>
          <w:i/>
          <w:iCs/>
        </w:rPr>
        <w:t>9</w:t>
      </w:r>
      <w:r w:rsidR="00FF0D42">
        <w:rPr>
          <w:i/>
          <w:iCs/>
        </w:rPr>
        <w:noBreakHyphen/>
        <w:t>20</w:t>
      </w:r>
      <w:r w:rsidR="00D95CA7" w:rsidRPr="00D95CA7">
        <w:t>. December 201</w:t>
      </w:r>
      <w:r w:rsidR="0030525F">
        <w:t>9</w:t>
      </w:r>
      <w:r w:rsidR="00D95CA7" w:rsidRPr="00D95CA7">
        <w:t xml:space="preserve"> and 20</w:t>
      </w:r>
      <w:r w:rsidR="0030525F">
        <w:t>20</w:t>
      </w:r>
      <w:r w:rsidR="00D95CA7" w:rsidRPr="00D95CA7">
        <w:t xml:space="preserve"> population estimates were provided by the Commonwealth Treasury.</w:t>
      </w:r>
    </w:p>
    <w:p w14:paraId="5A9FE246" w14:textId="77777777" w:rsidR="009F7EDE" w:rsidRDefault="009F7EDE" w:rsidP="009F7EDE">
      <w:pPr>
        <w:pStyle w:val="CGCParaNumber"/>
      </w:pPr>
      <w:r>
        <w:t>The two distributions differ for the following reasons.</w:t>
      </w:r>
    </w:p>
    <w:p w14:paraId="42B88679" w14:textId="77777777" w:rsidR="009F7EDE" w:rsidRDefault="009F7EDE" w:rsidP="009F7EDE">
      <w:pPr>
        <w:pStyle w:val="CGCBullet1"/>
      </w:pPr>
      <w:r>
        <w:t>State populations have changed — the illustrative 2020</w:t>
      </w:r>
      <w:r>
        <w:noBreakHyphen/>
        <w:t>21 distribution is based on estimated State populations as at December 2020, whereas the 2019</w:t>
      </w:r>
      <w:r>
        <w:noBreakHyphen/>
        <w:t>20 distribution is based on populations for a year earlier. State shares of the total population differ slightly between these two dates and affect the total GST allocation for each State.</w:t>
      </w:r>
    </w:p>
    <w:p w14:paraId="3C0BB124" w14:textId="77777777" w:rsidR="00404959" w:rsidRDefault="00404959" w:rsidP="009F7EDE">
      <w:pPr>
        <w:pStyle w:val="CGCBullet1"/>
      </w:pPr>
      <w:r>
        <w:t>The size of the GST pool available for distribution has changed. Any growth in the pool is distributed among States using their relativity-weighted population shares.</w:t>
      </w:r>
    </w:p>
    <w:p w14:paraId="27977C1C" w14:textId="54BC30B1" w:rsidR="00404959" w:rsidRDefault="00404959" w:rsidP="009F7EDE">
      <w:pPr>
        <w:pStyle w:val="CGCBullet1"/>
      </w:pPr>
      <w:r>
        <w:t>The relativities used to distribute the GST have changed, reflecting changes in the assessed fiscal capacities of the States.</w:t>
      </w:r>
      <w:r w:rsidR="00D60A4C">
        <w:t xml:space="preserve"> The illustrative 2020</w:t>
      </w:r>
      <w:r w:rsidR="00D60A4C">
        <w:noBreakHyphen/>
        <w:t>21 distribution is based on the relativities recommended in this report whereas the 2019</w:t>
      </w:r>
      <w:r w:rsidR="00D60A4C">
        <w:noBreakHyphen/>
        <w:t xml:space="preserve">20 distribution is based on the </w:t>
      </w:r>
      <w:r w:rsidR="00F015DC">
        <w:t>2019</w:t>
      </w:r>
      <w:r w:rsidR="00C73CA9">
        <w:t> </w:t>
      </w:r>
      <w:r w:rsidR="00F015DC">
        <w:t xml:space="preserve">Update </w:t>
      </w:r>
      <w:r w:rsidR="00D60A4C">
        <w:t>relativities</w:t>
      </w:r>
      <w:r w:rsidR="007C351A">
        <w:t>,</w:t>
      </w:r>
      <w:r w:rsidR="00D60A4C">
        <w:t xml:space="preserve"> </w:t>
      </w:r>
      <w:r w:rsidR="007C351A">
        <w:t xml:space="preserve">which were </w:t>
      </w:r>
      <w:r w:rsidR="00D60A4C">
        <w:t xml:space="preserve">subsequently determined by the Treasurer on </w:t>
      </w:r>
      <w:r w:rsidR="00632A1E">
        <w:t>14 March </w:t>
      </w:r>
      <w:r w:rsidR="00D60A4C">
        <w:t>2019.</w:t>
      </w:r>
    </w:p>
    <w:p w14:paraId="203D748F" w14:textId="2D6D7C3C" w:rsidR="00D11B7A" w:rsidRPr="00BA34A0" w:rsidRDefault="00D11B7A" w:rsidP="00D11B7A">
      <w:pPr>
        <w:pStyle w:val="CGCParaNumber"/>
        <w:sectPr w:rsidR="00D11B7A" w:rsidRPr="00BA34A0" w:rsidSect="00BB05E9">
          <w:footerReference w:type="default" r:id="rId33"/>
          <w:footerReference w:type="first" r:id="rId34"/>
          <w:pgSz w:w="11907" w:h="16840" w:code="9"/>
          <w:pgMar w:top="1418" w:right="1474" w:bottom="1134" w:left="1474" w:header="720" w:footer="567" w:gutter="0"/>
          <w:pgNumType w:start="1"/>
          <w:cols w:space="720"/>
          <w:titlePg/>
          <w:docGrid w:linePitch="360"/>
        </w:sectPr>
      </w:pPr>
      <w:r>
        <w:t xml:space="preserve">The Commission’s work affects only the </w:t>
      </w:r>
      <w:r w:rsidR="00FA073F">
        <w:t>last factor —</w:t>
      </w:r>
      <w:r>
        <w:t xml:space="preserve"> changes </w:t>
      </w:r>
      <w:r w:rsidR="00E42897">
        <w:t xml:space="preserve">resulting </w:t>
      </w:r>
      <w:r>
        <w:t>from its assessment of State fiscal capacities.</w:t>
      </w:r>
      <w:r w:rsidR="4BA12AE3">
        <w:t xml:space="preserve"> </w:t>
      </w:r>
      <w:r w:rsidR="00164805">
        <w:t>The largest changes are due to changes in methods, closely followed by changes in circumstances</w:t>
      </w:r>
      <w:r w:rsidR="001513F5">
        <w:t>.</w:t>
      </w:r>
      <w:r w:rsidR="4BA12AE3">
        <w:t xml:space="preserve"> </w:t>
      </w:r>
      <w:r w:rsidR="5AD04B93">
        <w:t xml:space="preserve">It is </w:t>
      </w:r>
      <w:r w:rsidR="13EB5FF3">
        <w:t xml:space="preserve">usual </w:t>
      </w:r>
      <w:r w:rsidR="0F2D91D3">
        <w:t xml:space="preserve">in </w:t>
      </w:r>
      <w:r w:rsidR="7734DE64">
        <w:t xml:space="preserve">methodology </w:t>
      </w:r>
      <w:r w:rsidR="4E0E78A0">
        <w:t>review</w:t>
      </w:r>
      <w:r w:rsidR="00D44A42">
        <w:t>s</w:t>
      </w:r>
      <w:r w:rsidR="694D7E29">
        <w:t xml:space="preserve"> for</w:t>
      </w:r>
      <w:r w:rsidR="4E0E78A0">
        <w:t xml:space="preserve"> changes </w:t>
      </w:r>
      <w:r w:rsidR="0688737C">
        <w:t xml:space="preserve">to </w:t>
      </w:r>
      <w:r w:rsidR="553E74C1">
        <w:t xml:space="preserve">fiscal capacities, and hence </w:t>
      </w:r>
      <w:r w:rsidR="51629865">
        <w:t xml:space="preserve">relativities, to </w:t>
      </w:r>
      <w:r w:rsidR="0EC80FDF">
        <w:t xml:space="preserve">be greater than </w:t>
      </w:r>
      <w:r w:rsidR="00D44A42">
        <w:t>in</w:t>
      </w:r>
      <w:r w:rsidR="0135106A">
        <w:t xml:space="preserve"> update</w:t>
      </w:r>
      <w:r w:rsidR="00570867">
        <w:t>s</w:t>
      </w:r>
      <w:r w:rsidR="00EB5F4D">
        <w:t>, since</w:t>
      </w:r>
      <w:r w:rsidR="4EBCFFC5">
        <w:t xml:space="preserve"> </w:t>
      </w:r>
      <w:r w:rsidR="5220EF03">
        <w:t>any</w:t>
      </w:r>
      <w:r w:rsidR="408F0193">
        <w:t xml:space="preserve"> </w:t>
      </w:r>
      <w:r w:rsidR="28376370">
        <w:t xml:space="preserve">new </w:t>
      </w:r>
      <w:r w:rsidR="07911600">
        <w:t xml:space="preserve">methods are applied to </w:t>
      </w:r>
      <w:r w:rsidR="00AC0BDC">
        <w:t>all</w:t>
      </w:r>
      <w:r w:rsidR="2AE3ED1B">
        <w:t xml:space="preserve"> three assessment years</w:t>
      </w:r>
      <w:r w:rsidR="39CAA4F3">
        <w:t xml:space="preserve">, without </w:t>
      </w:r>
      <w:r w:rsidR="06F6C8A7">
        <w:t xml:space="preserve">phasing. </w:t>
      </w:r>
      <w:r w:rsidR="3885E3CF">
        <w:t>Past reviews, for example</w:t>
      </w:r>
      <w:r w:rsidR="2D048F10">
        <w:t xml:space="preserve"> the 2015</w:t>
      </w:r>
      <w:r w:rsidR="00B727E6">
        <w:t> </w:t>
      </w:r>
      <w:r w:rsidR="2D048F10">
        <w:t>Review</w:t>
      </w:r>
      <w:r w:rsidR="16B93DAE">
        <w:t xml:space="preserve">, have resulted in </w:t>
      </w:r>
      <w:r w:rsidR="003156EB">
        <w:t>a range of</w:t>
      </w:r>
      <w:r w:rsidR="00C067F7">
        <w:t xml:space="preserve"> </w:t>
      </w:r>
      <w:r w:rsidR="007365E0">
        <w:t xml:space="preserve">recommended </w:t>
      </w:r>
      <w:r w:rsidR="73720D07">
        <w:t xml:space="preserve">movements </w:t>
      </w:r>
      <w:r w:rsidR="00B6439C">
        <w:t xml:space="preserve">for individual States </w:t>
      </w:r>
      <w:r w:rsidR="0092223B">
        <w:t xml:space="preserve">broadly </w:t>
      </w:r>
      <w:r w:rsidR="73720D07">
        <w:t>comparable</w:t>
      </w:r>
      <w:r w:rsidR="70B086BD">
        <w:t xml:space="preserve"> to</w:t>
      </w:r>
      <w:r w:rsidR="48543695">
        <w:t xml:space="preserve"> this review. </w:t>
      </w:r>
      <w:r w:rsidR="211071FA">
        <w:t>The Commission</w:t>
      </w:r>
      <w:r w:rsidR="48543695">
        <w:t xml:space="preserve"> has not addressed the scale of adjustments in past </w:t>
      </w:r>
      <w:r w:rsidR="00792FD9">
        <w:t xml:space="preserve">reviews or updates since the </w:t>
      </w:r>
      <w:r w:rsidR="00D93C74">
        <w:t xml:space="preserve">current arrangements began in 1989 </w:t>
      </w:r>
      <w:r w:rsidR="48543695">
        <w:t xml:space="preserve">and is not </w:t>
      </w:r>
      <w:r w:rsidR="103BF117">
        <w:t>doing so in this review.</w:t>
      </w:r>
    </w:p>
    <w:p w14:paraId="70AD536F" w14:textId="1EE54031" w:rsidR="001D6D17" w:rsidRDefault="001D6D17" w:rsidP="006D087D">
      <w:pPr>
        <w:pStyle w:val="Heading2"/>
      </w:pPr>
      <w:bookmarkStart w:id="14" w:name="_Toc33600542"/>
      <w:r>
        <w:lastRenderedPageBreak/>
        <w:t>2</w:t>
      </w:r>
      <w:r w:rsidR="00EE4B5E">
        <w:tab/>
      </w:r>
      <w:r>
        <w:t>Changes since the 2019 Update</w:t>
      </w:r>
      <w:bookmarkEnd w:id="14"/>
    </w:p>
    <w:p w14:paraId="4466C016" w14:textId="77777777" w:rsidR="003126B8" w:rsidRDefault="003126B8" w:rsidP="003126B8">
      <w:pPr>
        <w:pStyle w:val="Heading3"/>
      </w:pPr>
      <w:bookmarkStart w:id="15" w:name="_Toc33600543"/>
      <w:r>
        <w:t>Why State fiscal capacities have changed</w:t>
      </w:r>
      <w:bookmarkEnd w:id="15"/>
    </w:p>
    <w:p w14:paraId="74BD26CE" w14:textId="4EB24AC7" w:rsidR="00633FB1" w:rsidRDefault="00652F99" w:rsidP="007F1C3B">
      <w:pPr>
        <w:pStyle w:val="CGCParaNumber"/>
        <w:numPr>
          <w:ilvl w:val="0"/>
          <w:numId w:val="29"/>
        </w:numPr>
        <w:ind w:left="567" w:hanging="567"/>
      </w:pPr>
      <w:r>
        <w:t>The total change in State</w:t>
      </w:r>
      <w:r w:rsidR="00F3183C">
        <w:t xml:space="preserve"> </w:t>
      </w:r>
      <w:r>
        <w:t xml:space="preserve">fiscal capacities can be attributed to changes in the Commission's assessments of each State's revenue raising </w:t>
      </w:r>
      <w:r w:rsidR="00A87E2A">
        <w:t xml:space="preserve">(and net borrowing) </w:t>
      </w:r>
      <w:r>
        <w:t xml:space="preserve">capacity and its </w:t>
      </w:r>
      <w:r w:rsidR="00B840F9">
        <w:t xml:space="preserve">expenditure </w:t>
      </w:r>
      <w:r>
        <w:t xml:space="preserve">requirement to provide </w:t>
      </w:r>
      <w:r w:rsidR="00F5495B">
        <w:t xml:space="preserve">the average level of </w:t>
      </w:r>
      <w:r>
        <w:t>services and infrastructure</w:t>
      </w:r>
      <w:r w:rsidR="00CB7C91">
        <w:t xml:space="preserve">, as well as to </w:t>
      </w:r>
      <w:r>
        <w:t xml:space="preserve">changes in Commonwealth payments for specific purposes. </w:t>
      </w:r>
      <w:r w:rsidR="00DA788B">
        <w:fldChar w:fldCharType="begin"/>
      </w:r>
      <w:r w:rsidR="00DA788B">
        <w:instrText xml:space="preserve"> REF _Ref32933409 \h </w:instrText>
      </w:r>
      <w:r w:rsidR="00DA788B">
        <w:fldChar w:fldCharType="separate"/>
      </w:r>
      <w:r w:rsidR="003D49C2">
        <w:t>Table 2</w:t>
      </w:r>
      <w:r w:rsidR="003D49C2">
        <w:noBreakHyphen/>
      </w:r>
      <w:r w:rsidR="003D49C2">
        <w:rPr>
          <w:noProof/>
        </w:rPr>
        <w:t>1</w:t>
      </w:r>
      <w:r w:rsidR="00DA788B">
        <w:fldChar w:fldCharType="end"/>
      </w:r>
      <w:r w:rsidR="00FA3FEA">
        <w:t xml:space="preserve"> shows that</w:t>
      </w:r>
      <w:r w:rsidR="006A45FA">
        <w:t xml:space="preserve"> </w:t>
      </w:r>
      <w:r w:rsidR="002C61B5">
        <w:t>changes in States’ estimated expense requirements</w:t>
      </w:r>
      <w:r w:rsidR="00D828D8">
        <w:t xml:space="preserve"> </w:t>
      </w:r>
      <w:r w:rsidR="0037694E">
        <w:t>ha</w:t>
      </w:r>
      <w:r w:rsidR="005A2A57">
        <w:t>ve</w:t>
      </w:r>
      <w:r w:rsidR="005255EC">
        <w:t xml:space="preserve"> </w:t>
      </w:r>
      <w:r w:rsidR="0037694E">
        <w:t xml:space="preserve">been </w:t>
      </w:r>
      <w:r w:rsidR="005255EC">
        <w:t xml:space="preserve">the largest </w:t>
      </w:r>
      <w:r w:rsidR="00D828D8">
        <w:t xml:space="preserve">change in </w:t>
      </w:r>
      <w:r w:rsidR="006A45FA">
        <w:t>this review</w:t>
      </w:r>
      <w:r w:rsidR="009208F2" w:rsidRPr="00325E52">
        <w:t>.</w:t>
      </w:r>
    </w:p>
    <w:p w14:paraId="25653485" w14:textId="0BF41BFD" w:rsidR="00CF1620" w:rsidRDefault="00CF1620" w:rsidP="00CF1620">
      <w:pPr>
        <w:pStyle w:val="CGCTableHeading"/>
      </w:pPr>
      <w:bookmarkStart w:id="16" w:name="_Ref30485511"/>
      <w:bookmarkStart w:id="17" w:name="_Ref32933409"/>
      <w:r>
        <w:t xml:space="preserve">Table </w:t>
      </w:r>
      <w:r w:rsidR="007D70A7">
        <w:t>2</w:t>
      </w:r>
      <w:r w:rsidR="007D70A7">
        <w:noBreakHyphen/>
      </w:r>
      <w:bookmarkEnd w:id="16"/>
      <w:r w:rsidR="00302C3B">
        <w:fldChar w:fldCharType="begin"/>
      </w:r>
      <w:r w:rsidR="00302C3B">
        <w:instrText xml:space="preserve"> SEQ Table \* ARABIC \r 1 </w:instrText>
      </w:r>
      <w:r w:rsidR="00302C3B">
        <w:fldChar w:fldCharType="separate"/>
      </w:r>
      <w:r w:rsidR="003D49C2">
        <w:rPr>
          <w:noProof/>
        </w:rPr>
        <w:t>1</w:t>
      </w:r>
      <w:r w:rsidR="00302C3B">
        <w:fldChar w:fldCharType="end"/>
      </w:r>
      <w:bookmarkEnd w:id="17"/>
      <w:r>
        <w:tab/>
      </w:r>
      <w:r w:rsidR="00AF4572">
        <w:t>C</w:t>
      </w:r>
      <w:r>
        <w:t xml:space="preserve">omposition of </w:t>
      </w:r>
      <w:r w:rsidR="00AF4572">
        <w:t xml:space="preserve">illustrative </w:t>
      </w:r>
      <w:r>
        <w:t xml:space="preserve">changes in </w:t>
      </w:r>
      <w:r w:rsidR="00AF4572">
        <w:t>GST distribution, 2019-20 to 2020-21</w:t>
      </w:r>
    </w:p>
    <w:tbl>
      <w:tblPr>
        <w:tblW w:w="8902" w:type="dxa"/>
        <w:tblCellMar>
          <w:left w:w="0" w:type="dxa"/>
          <w:right w:w="28" w:type="dxa"/>
        </w:tblCellMar>
        <w:tblLook w:val="04A0" w:firstRow="1" w:lastRow="0" w:firstColumn="1" w:lastColumn="0" w:noHBand="0" w:noVBand="1"/>
      </w:tblPr>
      <w:tblGrid>
        <w:gridCol w:w="2374"/>
        <w:gridCol w:w="603"/>
        <w:gridCol w:w="709"/>
        <w:gridCol w:w="643"/>
        <w:gridCol w:w="759"/>
        <w:gridCol w:w="759"/>
        <w:gridCol w:w="759"/>
        <w:gridCol w:w="761"/>
        <w:gridCol w:w="759"/>
        <w:gridCol w:w="776"/>
      </w:tblGrid>
      <w:tr w:rsidR="002A22B2" w:rsidRPr="002A22B2" w14:paraId="06D3CE9B" w14:textId="77777777" w:rsidTr="00334954">
        <w:trPr>
          <w:trHeight w:val="375"/>
        </w:trPr>
        <w:tc>
          <w:tcPr>
            <w:tcW w:w="2374" w:type="dxa"/>
            <w:tcBorders>
              <w:top w:val="single" w:sz="4" w:space="0" w:color="ADD6EA"/>
              <w:left w:val="nil"/>
              <w:bottom w:val="single" w:sz="4" w:space="0" w:color="ADD6EA"/>
              <w:right w:val="nil"/>
            </w:tcBorders>
            <w:shd w:val="clear" w:color="000000" w:fill="006991"/>
            <w:vAlign w:val="center"/>
            <w:hideMark/>
          </w:tcPr>
          <w:p w14:paraId="4E4605BC"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 </w:t>
            </w:r>
          </w:p>
        </w:tc>
        <w:tc>
          <w:tcPr>
            <w:tcW w:w="603" w:type="dxa"/>
            <w:tcBorders>
              <w:top w:val="single" w:sz="4" w:space="0" w:color="ADD6EA"/>
              <w:left w:val="nil"/>
              <w:bottom w:val="single" w:sz="4" w:space="0" w:color="ADD6EA"/>
              <w:right w:val="nil"/>
            </w:tcBorders>
            <w:shd w:val="clear" w:color="000000" w:fill="006991"/>
            <w:vAlign w:val="center"/>
            <w:hideMark/>
          </w:tcPr>
          <w:p w14:paraId="6F56E54B"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NSW</w:t>
            </w:r>
          </w:p>
        </w:tc>
        <w:tc>
          <w:tcPr>
            <w:tcW w:w="709" w:type="dxa"/>
            <w:tcBorders>
              <w:top w:val="single" w:sz="4" w:space="0" w:color="ADD6EA"/>
              <w:left w:val="nil"/>
              <w:bottom w:val="single" w:sz="4" w:space="0" w:color="ADD6EA"/>
              <w:right w:val="nil"/>
            </w:tcBorders>
            <w:shd w:val="clear" w:color="000000" w:fill="006991"/>
            <w:vAlign w:val="center"/>
            <w:hideMark/>
          </w:tcPr>
          <w:p w14:paraId="73A772F1"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Vic</w:t>
            </w:r>
          </w:p>
        </w:tc>
        <w:tc>
          <w:tcPr>
            <w:tcW w:w="643" w:type="dxa"/>
            <w:tcBorders>
              <w:top w:val="single" w:sz="4" w:space="0" w:color="ADD6EA"/>
              <w:left w:val="nil"/>
              <w:bottom w:val="single" w:sz="4" w:space="0" w:color="ADD6EA"/>
              <w:right w:val="nil"/>
            </w:tcBorders>
            <w:shd w:val="clear" w:color="000000" w:fill="006991"/>
            <w:vAlign w:val="center"/>
            <w:hideMark/>
          </w:tcPr>
          <w:p w14:paraId="79F17BC3"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Qld</w:t>
            </w:r>
          </w:p>
        </w:tc>
        <w:tc>
          <w:tcPr>
            <w:tcW w:w="759" w:type="dxa"/>
            <w:tcBorders>
              <w:top w:val="single" w:sz="4" w:space="0" w:color="ADD6EA"/>
              <w:left w:val="nil"/>
              <w:bottom w:val="single" w:sz="4" w:space="0" w:color="ADD6EA"/>
              <w:right w:val="nil"/>
            </w:tcBorders>
            <w:shd w:val="clear" w:color="000000" w:fill="006991"/>
            <w:vAlign w:val="center"/>
            <w:hideMark/>
          </w:tcPr>
          <w:p w14:paraId="4025DD8D"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WA</w:t>
            </w:r>
          </w:p>
        </w:tc>
        <w:tc>
          <w:tcPr>
            <w:tcW w:w="759" w:type="dxa"/>
            <w:tcBorders>
              <w:top w:val="single" w:sz="4" w:space="0" w:color="ADD6EA"/>
              <w:left w:val="nil"/>
              <w:bottom w:val="single" w:sz="4" w:space="0" w:color="ADD6EA"/>
              <w:right w:val="nil"/>
            </w:tcBorders>
            <w:shd w:val="clear" w:color="000000" w:fill="006991"/>
            <w:vAlign w:val="center"/>
            <w:hideMark/>
          </w:tcPr>
          <w:p w14:paraId="07B151DA"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SA</w:t>
            </w:r>
          </w:p>
        </w:tc>
        <w:tc>
          <w:tcPr>
            <w:tcW w:w="759" w:type="dxa"/>
            <w:tcBorders>
              <w:top w:val="single" w:sz="4" w:space="0" w:color="ADD6EA"/>
              <w:left w:val="nil"/>
              <w:bottom w:val="single" w:sz="4" w:space="0" w:color="ADD6EA"/>
              <w:right w:val="nil"/>
            </w:tcBorders>
            <w:shd w:val="clear" w:color="000000" w:fill="006991"/>
            <w:vAlign w:val="center"/>
            <w:hideMark/>
          </w:tcPr>
          <w:p w14:paraId="389DD3B0"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Tas</w:t>
            </w:r>
          </w:p>
        </w:tc>
        <w:tc>
          <w:tcPr>
            <w:tcW w:w="761" w:type="dxa"/>
            <w:tcBorders>
              <w:top w:val="single" w:sz="4" w:space="0" w:color="ADD6EA"/>
              <w:left w:val="nil"/>
              <w:bottom w:val="single" w:sz="4" w:space="0" w:color="ADD6EA"/>
              <w:right w:val="nil"/>
            </w:tcBorders>
            <w:shd w:val="clear" w:color="000000" w:fill="006991"/>
            <w:vAlign w:val="center"/>
            <w:hideMark/>
          </w:tcPr>
          <w:p w14:paraId="19CEE952"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ACT</w:t>
            </w:r>
          </w:p>
        </w:tc>
        <w:tc>
          <w:tcPr>
            <w:tcW w:w="759" w:type="dxa"/>
            <w:tcBorders>
              <w:top w:val="single" w:sz="4" w:space="0" w:color="ADD6EA"/>
              <w:left w:val="nil"/>
              <w:bottom w:val="single" w:sz="4" w:space="0" w:color="ADD6EA"/>
              <w:right w:val="nil"/>
            </w:tcBorders>
            <w:shd w:val="clear" w:color="000000" w:fill="006991"/>
            <w:vAlign w:val="center"/>
            <w:hideMark/>
          </w:tcPr>
          <w:p w14:paraId="31D9B539"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NT</w:t>
            </w:r>
          </w:p>
        </w:tc>
        <w:tc>
          <w:tcPr>
            <w:tcW w:w="776" w:type="dxa"/>
            <w:tcBorders>
              <w:top w:val="single" w:sz="4" w:space="0" w:color="ADD6EA"/>
              <w:left w:val="nil"/>
              <w:bottom w:val="single" w:sz="4" w:space="0" w:color="ADD6EA"/>
              <w:right w:val="nil"/>
            </w:tcBorders>
            <w:shd w:val="clear" w:color="000000" w:fill="006991"/>
            <w:vAlign w:val="center"/>
            <w:hideMark/>
          </w:tcPr>
          <w:p w14:paraId="080A1BA9" w14:textId="77777777" w:rsidR="002A22B2" w:rsidRPr="002A22B2" w:rsidRDefault="002A22B2" w:rsidP="002A22B2">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A22B2">
              <w:rPr>
                <w:rFonts w:ascii="Open Sans SemiBold" w:eastAsia="Times New Roman" w:hAnsi="Open Sans SemiBold" w:cs="Open Sans SemiBold"/>
                <w:color w:val="FFFFFF"/>
                <w:sz w:val="16"/>
                <w:szCs w:val="16"/>
                <w:lang w:val="en-AU" w:eastAsia="en-AU"/>
              </w:rPr>
              <w:t>Redist</w:t>
            </w:r>
          </w:p>
        </w:tc>
      </w:tr>
      <w:tr w:rsidR="002A22B2" w:rsidRPr="002A22B2" w14:paraId="15440D06" w14:textId="77777777" w:rsidTr="00334954">
        <w:trPr>
          <w:trHeight w:val="258"/>
        </w:trPr>
        <w:tc>
          <w:tcPr>
            <w:tcW w:w="2374" w:type="dxa"/>
            <w:tcBorders>
              <w:top w:val="nil"/>
              <w:left w:val="nil"/>
              <w:bottom w:val="single" w:sz="4" w:space="0" w:color="ADD6EA"/>
              <w:right w:val="nil"/>
            </w:tcBorders>
            <w:shd w:val="clear" w:color="000000" w:fill="B6D5E4"/>
            <w:vAlign w:val="bottom"/>
            <w:hideMark/>
          </w:tcPr>
          <w:p w14:paraId="06A9CA3B"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 </w:t>
            </w:r>
          </w:p>
        </w:tc>
        <w:tc>
          <w:tcPr>
            <w:tcW w:w="603" w:type="dxa"/>
            <w:tcBorders>
              <w:top w:val="nil"/>
              <w:left w:val="nil"/>
              <w:bottom w:val="single" w:sz="4" w:space="0" w:color="ADD6EA"/>
              <w:right w:val="nil"/>
            </w:tcBorders>
            <w:shd w:val="clear" w:color="000000" w:fill="B6D5E4"/>
            <w:vAlign w:val="center"/>
            <w:hideMark/>
          </w:tcPr>
          <w:p w14:paraId="3ABFFC92"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09" w:type="dxa"/>
            <w:tcBorders>
              <w:top w:val="nil"/>
              <w:left w:val="nil"/>
              <w:bottom w:val="single" w:sz="4" w:space="0" w:color="ADD6EA"/>
              <w:right w:val="nil"/>
            </w:tcBorders>
            <w:shd w:val="clear" w:color="000000" w:fill="B6D5E4"/>
            <w:vAlign w:val="center"/>
            <w:hideMark/>
          </w:tcPr>
          <w:p w14:paraId="72493D49"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643" w:type="dxa"/>
            <w:tcBorders>
              <w:top w:val="nil"/>
              <w:left w:val="nil"/>
              <w:bottom w:val="single" w:sz="4" w:space="0" w:color="ADD6EA"/>
              <w:right w:val="nil"/>
            </w:tcBorders>
            <w:shd w:val="clear" w:color="000000" w:fill="B6D5E4"/>
            <w:vAlign w:val="center"/>
            <w:hideMark/>
          </w:tcPr>
          <w:p w14:paraId="7EC107F6"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59" w:type="dxa"/>
            <w:tcBorders>
              <w:top w:val="nil"/>
              <w:left w:val="nil"/>
              <w:bottom w:val="single" w:sz="4" w:space="0" w:color="ADD6EA"/>
              <w:right w:val="nil"/>
            </w:tcBorders>
            <w:shd w:val="clear" w:color="000000" w:fill="B6D5E4"/>
            <w:vAlign w:val="center"/>
            <w:hideMark/>
          </w:tcPr>
          <w:p w14:paraId="4E5B5EAE"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59" w:type="dxa"/>
            <w:tcBorders>
              <w:top w:val="nil"/>
              <w:left w:val="nil"/>
              <w:bottom w:val="single" w:sz="4" w:space="0" w:color="ADD6EA"/>
              <w:right w:val="nil"/>
            </w:tcBorders>
            <w:shd w:val="clear" w:color="000000" w:fill="B6D5E4"/>
            <w:vAlign w:val="center"/>
            <w:hideMark/>
          </w:tcPr>
          <w:p w14:paraId="224C0BDC"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59" w:type="dxa"/>
            <w:tcBorders>
              <w:top w:val="nil"/>
              <w:left w:val="nil"/>
              <w:bottom w:val="single" w:sz="4" w:space="0" w:color="ADD6EA"/>
              <w:right w:val="nil"/>
            </w:tcBorders>
            <w:shd w:val="clear" w:color="000000" w:fill="B6D5E4"/>
            <w:vAlign w:val="center"/>
            <w:hideMark/>
          </w:tcPr>
          <w:p w14:paraId="5A6FB7CF"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61" w:type="dxa"/>
            <w:tcBorders>
              <w:top w:val="nil"/>
              <w:left w:val="nil"/>
              <w:bottom w:val="single" w:sz="4" w:space="0" w:color="ADD6EA"/>
              <w:right w:val="nil"/>
            </w:tcBorders>
            <w:shd w:val="clear" w:color="000000" w:fill="B6D5E4"/>
            <w:vAlign w:val="center"/>
            <w:hideMark/>
          </w:tcPr>
          <w:p w14:paraId="0AEB6595"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59" w:type="dxa"/>
            <w:tcBorders>
              <w:top w:val="nil"/>
              <w:left w:val="nil"/>
              <w:bottom w:val="single" w:sz="4" w:space="0" w:color="ADD6EA"/>
              <w:right w:val="nil"/>
            </w:tcBorders>
            <w:shd w:val="clear" w:color="000000" w:fill="B6D5E4"/>
            <w:vAlign w:val="center"/>
            <w:hideMark/>
          </w:tcPr>
          <w:p w14:paraId="03A4AF64"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c>
          <w:tcPr>
            <w:tcW w:w="776" w:type="dxa"/>
            <w:tcBorders>
              <w:top w:val="nil"/>
              <w:left w:val="nil"/>
              <w:bottom w:val="single" w:sz="4" w:space="0" w:color="ADD6EA"/>
              <w:right w:val="nil"/>
            </w:tcBorders>
            <w:shd w:val="clear" w:color="000000" w:fill="B6D5E4"/>
            <w:vAlign w:val="center"/>
            <w:hideMark/>
          </w:tcPr>
          <w:p w14:paraId="5FE953E3"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$m</w:t>
            </w:r>
          </w:p>
        </w:tc>
      </w:tr>
      <w:tr w:rsidR="002A22B2" w:rsidRPr="002A22B2" w14:paraId="7153B38B" w14:textId="77777777" w:rsidTr="00334954">
        <w:trPr>
          <w:trHeight w:val="315"/>
        </w:trPr>
        <w:tc>
          <w:tcPr>
            <w:tcW w:w="2374" w:type="dxa"/>
            <w:tcBorders>
              <w:top w:val="nil"/>
              <w:left w:val="nil"/>
              <w:bottom w:val="single" w:sz="4" w:space="0" w:color="ADD6EA"/>
              <w:right w:val="nil"/>
            </w:tcBorders>
            <w:shd w:val="clear" w:color="auto" w:fill="auto"/>
            <w:vAlign w:val="bottom"/>
            <w:hideMark/>
          </w:tcPr>
          <w:p w14:paraId="6EB465AF"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Expense requirement</w:t>
            </w:r>
          </w:p>
        </w:tc>
        <w:tc>
          <w:tcPr>
            <w:tcW w:w="603" w:type="dxa"/>
            <w:tcBorders>
              <w:top w:val="nil"/>
              <w:left w:val="nil"/>
              <w:bottom w:val="single" w:sz="4" w:space="0" w:color="ADD6EA"/>
              <w:right w:val="nil"/>
            </w:tcBorders>
            <w:shd w:val="clear" w:color="auto" w:fill="auto"/>
            <w:vAlign w:val="bottom"/>
            <w:hideMark/>
          </w:tcPr>
          <w:p w14:paraId="19ADE7DB"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817</w:t>
            </w:r>
          </w:p>
        </w:tc>
        <w:tc>
          <w:tcPr>
            <w:tcW w:w="709" w:type="dxa"/>
            <w:tcBorders>
              <w:top w:val="nil"/>
              <w:left w:val="nil"/>
              <w:bottom w:val="single" w:sz="4" w:space="0" w:color="ADD6EA"/>
              <w:right w:val="nil"/>
            </w:tcBorders>
            <w:shd w:val="clear" w:color="auto" w:fill="auto"/>
            <w:vAlign w:val="bottom"/>
            <w:hideMark/>
          </w:tcPr>
          <w:p w14:paraId="3FA48B02"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-567</w:t>
            </w:r>
          </w:p>
        </w:tc>
        <w:tc>
          <w:tcPr>
            <w:tcW w:w="643" w:type="dxa"/>
            <w:tcBorders>
              <w:top w:val="nil"/>
              <w:left w:val="nil"/>
              <w:bottom w:val="single" w:sz="4" w:space="0" w:color="ADD6EA"/>
              <w:right w:val="nil"/>
            </w:tcBorders>
            <w:shd w:val="clear" w:color="auto" w:fill="auto"/>
            <w:vAlign w:val="bottom"/>
            <w:hideMark/>
          </w:tcPr>
          <w:p w14:paraId="2675AC63"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-6</w:t>
            </w:r>
          </w:p>
        </w:tc>
        <w:tc>
          <w:tcPr>
            <w:tcW w:w="759" w:type="dxa"/>
            <w:tcBorders>
              <w:top w:val="nil"/>
              <w:left w:val="nil"/>
              <w:bottom w:val="single" w:sz="4" w:space="0" w:color="ADD6EA"/>
              <w:right w:val="nil"/>
            </w:tcBorders>
            <w:shd w:val="clear" w:color="auto" w:fill="auto"/>
            <w:vAlign w:val="bottom"/>
            <w:hideMark/>
          </w:tcPr>
          <w:p w14:paraId="0B631195"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-208</w:t>
            </w:r>
          </w:p>
        </w:tc>
        <w:tc>
          <w:tcPr>
            <w:tcW w:w="759" w:type="dxa"/>
            <w:tcBorders>
              <w:top w:val="nil"/>
              <w:left w:val="nil"/>
              <w:bottom w:val="single" w:sz="4" w:space="0" w:color="ADD6EA"/>
              <w:right w:val="nil"/>
            </w:tcBorders>
            <w:shd w:val="clear" w:color="auto" w:fill="auto"/>
            <w:vAlign w:val="bottom"/>
            <w:hideMark/>
          </w:tcPr>
          <w:p w14:paraId="72A63CC5"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-259</w:t>
            </w:r>
          </w:p>
        </w:tc>
        <w:tc>
          <w:tcPr>
            <w:tcW w:w="759" w:type="dxa"/>
            <w:tcBorders>
              <w:top w:val="nil"/>
              <w:left w:val="nil"/>
              <w:bottom w:val="single" w:sz="4" w:space="0" w:color="ADD6EA"/>
              <w:right w:val="nil"/>
            </w:tcBorders>
            <w:shd w:val="clear" w:color="auto" w:fill="auto"/>
            <w:vAlign w:val="bottom"/>
            <w:hideMark/>
          </w:tcPr>
          <w:p w14:paraId="6E7641E2"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167</w:t>
            </w:r>
          </w:p>
        </w:tc>
        <w:tc>
          <w:tcPr>
            <w:tcW w:w="761" w:type="dxa"/>
            <w:tcBorders>
              <w:top w:val="nil"/>
              <w:left w:val="nil"/>
              <w:bottom w:val="single" w:sz="4" w:space="0" w:color="ADD6EA"/>
              <w:right w:val="nil"/>
            </w:tcBorders>
            <w:shd w:val="clear" w:color="auto" w:fill="auto"/>
            <w:vAlign w:val="bottom"/>
            <w:hideMark/>
          </w:tcPr>
          <w:p w14:paraId="49CA5FBB"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-94</w:t>
            </w:r>
          </w:p>
        </w:tc>
        <w:tc>
          <w:tcPr>
            <w:tcW w:w="759" w:type="dxa"/>
            <w:tcBorders>
              <w:top w:val="nil"/>
              <w:left w:val="nil"/>
              <w:bottom w:val="single" w:sz="4" w:space="0" w:color="ADD6EA"/>
              <w:right w:val="nil"/>
            </w:tcBorders>
            <w:shd w:val="clear" w:color="auto" w:fill="auto"/>
            <w:vAlign w:val="bottom"/>
            <w:hideMark/>
          </w:tcPr>
          <w:p w14:paraId="73C760AC"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152</w:t>
            </w:r>
          </w:p>
        </w:tc>
        <w:tc>
          <w:tcPr>
            <w:tcW w:w="776" w:type="dxa"/>
            <w:tcBorders>
              <w:top w:val="nil"/>
              <w:left w:val="nil"/>
              <w:bottom w:val="single" w:sz="4" w:space="0" w:color="ADD6EA"/>
              <w:right w:val="nil"/>
            </w:tcBorders>
            <w:shd w:val="clear" w:color="auto" w:fill="auto"/>
            <w:vAlign w:val="bottom"/>
            <w:hideMark/>
          </w:tcPr>
          <w:p w14:paraId="42D49B39"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1,136</w:t>
            </w:r>
          </w:p>
        </w:tc>
      </w:tr>
      <w:tr w:rsidR="002A22B2" w:rsidRPr="002A22B2" w14:paraId="3DD2C3B1" w14:textId="77777777" w:rsidTr="00334954">
        <w:trPr>
          <w:trHeight w:val="315"/>
        </w:trPr>
        <w:tc>
          <w:tcPr>
            <w:tcW w:w="2374" w:type="dxa"/>
            <w:tcBorders>
              <w:top w:val="nil"/>
              <w:left w:val="nil"/>
              <w:bottom w:val="single" w:sz="4" w:space="0" w:color="ADD6EA"/>
              <w:right w:val="nil"/>
            </w:tcBorders>
            <w:shd w:val="clear" w:color="auto" w:fill="auto"/>
            <w:vAlign w:val="bottom"/>
            <w:hideMark/>
          </w:tcPr>
          <w:p w14:paraId="331BD388"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Investment requirement</w:t>
            </w:r>
          </w:p>
        </w:tc>
        <w:tc>
          <w:tcPr>
            <w:tcW w:w="603" w:type="dxa"/>
            <w:tcBorders>
              <w:top w:val="nil"/>
              <w:left w:val="nil"/>
              <w:bottom w:val="single" w:sz="4" w:space="0" w:color="ADD6EA"/>
              <w:right w:val="nil"/>
            </w:tcBorders>
            <w:shd w:val="clear" w:color="auto" w:fill="auto"/>
            <w:vAlign w:val="bottom"/>
            <w:hideMark/>
          </w:tcPr>
          <w:p w14:paraId="4D8EE1F2"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-44</w:t>
            </w:r>
          </w:p>
        </w:tc>
        <w:tc>
          <w:tcPr>
            <w:tcW w:w="709" w:type="dxa"/>
            <w:tcBorders>
              <w:top w:val="nil"/>
              <w:left w:val="nil"/>
              <w:bottom w:val="single" w:sz="4" w:space="0" w:color="ADD6EA"/>
              <w:right w:val="nil"/>
            </w:tcBorders>
            <w:shd w:val="clear" w:color="auto" w:fill="auto"/>
            <w:vAlign w:val="bottom"/>
            <w:hideMark/>
          </w:tcPr>
          <w:p w14:paraId="7D7EDD13"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-443</w:t>
            </w:r>
          </w:p>
        </w:tc>
        <w:tc>
          <w:tcPr>
            <w:tcW w:w="643" w:type="dxa"/>
            <w:tcBorders>
              <w:top w:val="nil"/>
              <w:left w:val="nil"/>
              <w:bottom w:val="single" w:sz="4" w:space="0" w:color="ADD6EA"/>
              <w:right w:val="nil"/>
            </w:tcBorders>
            <w:shd w:val="clear" w:color="auto" w:fill="auto"/>
            <w:vAlign w:val="bottom"/>
            <w:hideMark/>
          </w:tcPr>
          <w:p w14:paraId="06F40BC8"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362</w:t>
            </w:r>
          </w:p>
        </w:tc>
        <w:tc>
          <w:tcPr>
            <w:tcW w:w="759" w:type="dxa"/>
            <w:tcBorders>
              <w:top w:val="nil"/>
              <w:left w:val="nil"/>
              <w:bottom w:val="single" w:sz="4" w:space="0" w:color="ADD6EA"/>
              <w:right w:val="nil"/>
            </w:tcBorders>
            <w:shd w:val="clear" w:color="auto" w:fill="auto"/>
            <w:vAlign w:val="bottom"/>
            <w:hideMark/>
          </w:tcPr>
          <w:p w14:paraId="5B749E18"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56</w:t>
            </w:r>
          </w:p>
        </w:tc>
        <w:tc>
          <w:tcPr>
            <w:tcW w:w="759" w:type="dxa"/>
            <w:tcBorders>
              <w:top w:val="nil"/>
              <w:left w:val="nil"/>
              <w:bottom w:val="single" w:sz="4" w:space="0" w:color="ADD6EA"/>
              <w:right w:val="nil"/>
            </w:tcBorders>
            <w:shd w:val="clear" w:color="auto" w:fill="auto"/>
            <w:vAlign w:val="bottom"/>
            <w:hideMark/>
          </w:tcPr>
          <w:p w14:paraId="23E1DF87"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-75</w:t>
            </w:r>
          </w:p>
        </w:tc>
        <w:tc>
          <w:tcPr>
            <w:tcW w:w="759" w:type="dxa"/>
            <w:tcBorders>
              <w:top w:val="nil"/>
              <w:left w:val="nil"/>
              <w:bottom w:val="single" w:sz="4" w:space="0" w:color="ADD6EA"/>
              <w:right w:val="nil"/>
            </w:tcBorders>
            <w:shd w:val="clear" w:color="auto" w:fill="auto"/>
            <w:vAlign w:val="bottom"/>
            <w:hideMark/>
          </w:tcPr>
          <w:p w14:paraId="2B490B98"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9</w:t>
            </w:r>
          </w:p>
        </w:tc>
        <w:tc>
          <w:tcPr>
            <w:tcW w:w="761" w:type="dxa"/>
            <w:tcBorders>
              <w:top w:val="nil"/>
              <w:left w:val="nil"/>
              <w:bottom w:val="single" w:sz="4" w:space="0" w:color="ADD6EA"/>
              <w:right w:val="nil"/>
            </w:tcBorders>
            <w:shd w:val="clear" w:color="auto" w:fill="auto"/>
            <w:vAlign w:val="bottom"/>
            <w:hideMark/>
          </w:tcPr>
          <w:p w14:paraId="2C4E9FFC"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-44</w:t>
            </w:r>
          </w:p>
        </w:tc>
        <w:tc>
          <w:tcPr>
            <w:tcW w:w="759" w:type="dxa"/>
            <w:tcBorders>
              <w:top w:val="nil"/>
              <w:left w:val="nil"/>
              <w:bottom w:val="single" w:sz="4" w:space="0" w:color="ADD6EA"/>
              <w:right w:val="nil"/>
            </w:tcBorders>
            <w:shd w:val="clear" w:color="auto" w:fill="auto"/>
            <w:vAlign w:val="bottom"/>
            <w:hideMark/>
          </w:tcPr>
          <w:p w14:paraId="5F5C5140"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178</w:t>
            </w:r>
          </w:p>
        </w:tc>
        <w:tc>
          <w:tcPr>
            <w:tcW w:w="776" w:type="dxa"/>
            <w:tcBorders>
              <w:top w:val="nil"/>
              <w:left w:val="nil"/>
              <w:bottom w:val="single" w:sz="4" w:space="0" w:color="ADD6EA"/>
              <w:right w:val="nil"/>
            </w:tcBorders>
            <w:shd w:val="clear" w:color="auto" w:fill="auto"/>
            <w:vAlign w:val="bottom"/>
            <w:hideMark/>
          </w:tcPr>
          <w:p w14:paraId="73A5E1C2"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606</w:t>
            </w:r>
          </w:p>
        </w:tc>
      </w:tr>
      <w:tr w:rsidR="002A22B2" w:rsidRPr="002A22B2" w14:paraId="053AD4D3" w14:textId="77777777" w:rsidTr="00334954">
        <w:trPr>
          <w:trHeight w:val="315"/>
        </w:trPr>
        <w:tc>
          <w:tcPr>
            <w:tcW w:w="2374" w:type="dxa"/>
            <w:tcBorders>
              <w:top w:val="nil"/>
              <w:left w:val="nil"/>
              <w:bottom w:val="single" w:sz="4" w:space="0" w:color="ADD6EA"/>
              <w:right w:val="nil"/>
            </w:tcBorders>
            <w:shd w:val="clear" w:color="auto" w:fill="auto"/>
            <w:vAlign w:val="bottom"/>
            <w:hideMark/>
          </w:tcPr>
          <w:p w14:paraId="59AA2CA6"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Net borrowing</w:t>
            </w:r>
          </w:p>
        </w:tc>
        <w:tc>
          <w:tcPr>
            <w:tcW w:w="603" w:type="dxa"/>
            <w:tcBorders>
              <w:top w:val="nil"/>
              <w:left w:val="nil"/>
              <w:bottom w:val="single" w:sz="4" w:space="0" w:color="ADD6EA"/>
              <w:right w:val="nil"/>
            </w:tcBorders>
            <w:shd w:val="clear" w:color="auto" w:fill="auto"/>
            <w:vAlign w:val="bottom"/>
            <w:hideMark/>
          </w:tcPr>
          <w:p w14:paraId="707FC3DA"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15</w:t>
            </w:r>
          </w:p>
        </w:tc>
        <w:tc>
          <w:tcPr>
            <w:tcW w:w="709" w:type="dxa"/>
            <w:tcBorders>
              <w:top w:val="nil"/>
              <w:left w:val="nil"/>
              <w:bottom w:val="single" w:sz="4" w:space="0" w:color="ADD6EA"/>
              <w:right w:val="nil"/>
            </w:tcBorders>
            <w:shd w:val="clear" w:color="auto" w:fill="auto"/>
            <w:vAlign w:val="bottom"/>
            <w:hideMark/>
          </w:tcPr>
          <w:p w14:paraId="70898372"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w:t>
            </w:r>
          </w:p>
        </w:tc>
        <w:tc>
          <w:tcPr>
            <w:tcW w:w="643" w:type="dxa"/>
            <w:tcBorders>
              <w:top w:val="nil"/>
              <w:left w:val="nil"/>
              <w:bottom w:val="single" w:sz="4" w:space="0" w:color="ADD6EA"/>
              <w:right w:val="nil"/>
            </w:tcBorders>
            <w:shd w:val="clear" w:color="auto" w:fill="auto"/>
            <w:vAlign w:val="bottom"/>
            <w:hideMark/>
          </w:tcPr>
          <w:p w14:paraId="668492FD"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-35</w:t>
            </w:r>
          </w:p>
        </w:tc>
        <w:tc>
          <w:tcPr>
            <w:tcW w:w="759" w:type="dxa"/>
            <w:tcBorders>
              <w:top w:val="nil"/>
              <w:left w:val="nil"/>
              <w:bottom w:val="single" w:sz="4" w:space="0" w:color="ADD6EA"/>
              <w:right w:val="nil"/>
            </w:tcBorders>
            <w:shd w:val="clear" w:color="auto" w:fill="auto"/>
            <w:vAlign w:val="bottom"/>
            <w:hideMark/>
          </w:tcPr>
          <w:p w14:paraId="0707E761"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11</w:t>
            </w:r>
          </w:p>
        </w:tc>
        <w:tc>
          <w:tcPr>
            <w:tcW w:w="759" w:type="dxa"/>
            <w:tcBorders>
              <w:top w:val="nil"/>
              <w:left w:val="nil"/>
              <w:bottom w:val="single" w:sz="4" w:space="0" w:color="ADD6EA"/>
              <w:right w:val="nil"/>
            </w:tcBorders>
            <w:shd w:val="clear" w:color="auto" w:fill="auto"/>
            <w:vAlign w:val="bottom"/>
            <w:hideMark/>
          </w:tcPr>
          <w:p w14:paraId="55442431"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8</w:t>
            </w:r>
          </w:p>
        </w:tc>
        <w:tc>
          <w:tcPr>
            <w:tcW w:w="759" w:type="dxa"/>
            <w:tcBorders>
              <w:top w:val="nil"/>
              <w:left w:val="nil"/>
              <w:bottom w:val="single" w:sz="4" w:space="0" w:color="ADD6EA"/>
              <w:right w:val="nil"/>
            </w:tcBorders>
            <w:shd w:val="clear" w:color="auto" w:fill="auto"/>
            <w:vAlign w:val="bottom"/>
            <w:hideMark/>
          </w:tcPr>
          <w:p w14:paraId="322D4F3B"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-6</w:t>
            </w:r>
          </w:p>
        </w:tc>
        <w:tc>
          <w:tcPr>
            <w:tcW w:w="761" w:type="dxa"/>
            <w:tcBorders>
              <w:top w:val="nil"/>
              <w:left w:val="nil"/>
              <w:bottom w:val="single" w:sz="4" w:space="0" w:color="ADD6EA"/>
              <w:right w:val="nil"/>
            </w:tcBorders>
            <w:shd w:val="clear" w:color="auto" w:fill="auto"/>
            <w:vAlign w:val="bottom"/>
            <w:hideMark/>
          </w:tcPr>
          <w:p w14:paraId="0F4565B3"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0</w:t>
            </w:r>
          </w:p>
        </w:tc>
        <w:tc>
          <w:tcPr>
            <w:tcW w:w="759" w:type="dxa"/>
            <w:tcBorders>
              <w:top w:val="nil"/>
              <w:left w:val="nil"/>
              <w:bottom w:val="single" w:sz="4" w:space="0" w:color="ADD6EA"/>
              <w:right w:val="nil"/>
            </w:tcBorders>
            <w:shd w:val="clear" w:color="auto" w:fill="auto"/>
            <w:vAlign w:val="bottom"/>
            <w:hideMark/>
          </w:tcPr>
          <w:p w14:paraId="745B40A4"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7</w:t>
            </w:r>
          </w:p>
        </w:tc>
        <w:tc>
          <w:tcPr>
            <w:tcW w:w="776" w:type="dxa"/>
            <w:tcBorders>
              <w:top w:val="nil"/>
              <w:left w:val="nil"/>
              <w:bottom w:val="single" w:sz="4" w:space="0" w:color="ADD6EA"/>
              <w:right w:val="nil"/>
            </w:tcBorders>
            <w:shd w:val="clear" w:color="auto" w:fill="auto"/>
            <w:vAlign w:val="bottom"/>
            <w:hideMark/>
          </w:tcPr>
          <w:p w14:paraId="6BCBD1C1"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41</w:t>
            </w:r>
          </w:p>
        </w:tc>
      </w:tr>
      <w:tr w:rsidR="002A22B2" w:rsidRPr="002A22B2" w14:paraId="6BCC25D3" w14:textId="77777777" w:rsidTr="00334954">
        <w:trPr>
          <w:trHeight w:val="315"/>
        </w:trPr>
        <w:tc>
          <w:tcPr>
            <w:tcW w:w="2374" w:type="dxa"/>
            <w:tcBorders>
              <w:top w:val="nil"/>
              <w:left w:val="nil"/>
              <w:bottom w:val="single" w:sz="4" w:space="0" w:color="ADD6EA"/>
              <w:right w:val="nil"/>
            </w:tcBorders>
            <w:shd w:val="clear" w:color="auto" w:fill="auto"/>
            <w:vAlign w:val="bottom"/>
            <w:hideMark/>
          </w:tcPr>
          <w:p w14:paraId="3D0351EF"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Revenue raising capacity</w:t>
            </w:r>
          </w:p>
        </w:tc>
        <w:tc>
          <w:tcPr>
            <w:tcW w:w="603" w:type="dxa"/>
            <w:tcBorders>
              <w:top w:val="nil"/>
              <w:left w:val="nil"/>
              <w:bottom w:val="single" w:sz="4" w:space="0" w:color="ADD6EA"/>
              <w:right w:val="nil"/>
            </w:tcBorders>
            <w:shd w:val="clear" w:color="auto" w:fill="auto"/>
            <w:vAlign w:val="bottom"/>
            <w:hideMark/>
          </w:tcPr>
          <w:p w14:paraId="436B08E7"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120</w:t>
            </w:r>
          </w:p>
        </w:tc>
        <w:tc>
          <w:tcPr>
            <w:tcW w:w="709" w:type="dxa"/>
            <w:tcBorders>
              <w:top w:val="nil"/>
              <w:left w:val="nil"/>
              <w:bottom w:val="single" w:sz="4" w:space="0" w:color="ADD6EA"/>
              <w:right w:val="nil"/>
            </w:tcBorders>
            <w:shd w:val="clear" w:color="auto" w:fill="auto"/>
            <w:vAlign w:val="bottom"/>
            <w:hideMark/>
          </w:tcPr>
          <w:p w14:paraId="7C415FE7"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385</w:t>
            </w:r>
          </w:p>
        </w:tc>
        <w:tc>
          <w:tcPr>
            <w:tcW w:w="643" w:type="dxa"/>
            <w:tcBorders>
              <w:top w:val="nil"/>
              <w:left w:val="nil"/>
              <w:bottom w:val="single" w:sz="4" w:space="0" w:color="ADD6EA"/>
              <w:right w:val="nil"/>
            </w:tcBorders>
            <w:shd w:val="clear" w:color="auto" w:fill="auto"/>
            <w:vAlign w:val="bottom"/>
            <w:hideMark/>
          </w:tcPr>
          <w:p w14:paraId="730926E3"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-212</w:t>
            </w:r>
          </w:p>
        </w:tc>
        <w:tc>
          <w:tcPr>
            <w:tcW w:w="759" w:type="dxa"/>
            <w:tcBorders>
              <w:top w:val="nil"/>
              <w:left w:val="nil"/>
              <w:bottom w:val="single" w:sz="4" w:space="0" w:color="ADD6EA"/>
              <w:right w:val="nil"/>
            </w:tcBorders>
            <w:shd w:val="clear" w:color="auto" w:fill="auto"/>
            <w:vAlign w:val="bottom"/>
            <w:hideMark/>
          </w:tcPr>
          <w:p w14:paraId="4125C9FA"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-324</w:t>
            </w:r>
          </w:p>
        </w:tc>
        <w:tc>
          <w:tcPr>
            <w:tcW w:w="759" w:type="dxa"/>
            <w:tcBorders>
              <w:top w:val="nil"/>
              <w:left w:val="nil"/>
              <w:bottom w:val="single" w:sz="4" w:space="0" w:color="ADD6EA"/>
              <w:right w:val="nil"/>
            </w:tcBorders>
            <w:shd w:val="clear" w:color="auto" w:fill="auto"/>
            <w:vAlign w:val="bottom"/>
            <w:hideMark/>
          </w:tcPr>
          <w:p w14:paraId="61C24ADE"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w:t>
            </w:r>
          </w:p>
        </w:tc>
        <w:tc>
          <w:tcPr>
            <w:tcW w:w="759" w:type="dxa"/>
            <w:tcBorders>
              <w:top w:val="nil"/>
              <w:left w:val="nil"/>
              <w:bottom w:val="single" w:sz="4" w:space="0" w:color="ADD6EA"/>
              <w:right w:val="nil"/>
            </w:tcBorders>
            <w:shd w:val="clear" w:color="auto" w:fill="auto"/>
            <w:vAlign w:val="bottom"/>
            <w:hideMark/>
          </w:tcPr>
          <w:p w14:paraId="75BF18B0"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33</w:t>
            </w:r>
          </w:p>
        </w:tc>
        <w:tc>
          <w:tcPr>
            <w:tcW w:w="761" w:type="dxa"/>
            <w:tcBorders>
              <w:top w:val="nil"/>
              <w:left w:val="nil"/>
              <w:bottom w:val="single" w:sz="4" w:space="0" w:color="ADD6EA"/>
              <w:right w:val="nil"/>
            </w:tcBorders>
            <w:shd w:val="clear" w:color="auto" w:fill="auto"/>
            <w:vAlign w:val="bottom"/>
            <w:hideMark/>
          </w:tcPr>
          <w:p w14:paraId="3F23034F"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46</w:t>
            </w:r>
          </w:p>
        </w:tc>
        <w:tc>
          <w:tcPr>
            <w:tcW w:w="759" w:type="dxa"/>
            <w:tcBorders>
              <w:top w:val="nil"/>
              <w:left w:val="nil"/>
              <w:bottom w:val="single" w:sz="4" w:space="0" w:color="ADD6EA"/>
              <w:right w:val="nil"/>
            </w:tcBorders>
            <w:shd w:val="clear" w:color="auto" w:fill="auto"/>
            <w:vAlign w:val="bottom"/>
            <w:hideMark/>
          </w:tcPr>
          <w:p w14:paraId="3D42D2C7"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-44</w:t>
            </w:r>
          </w:p>
        </w:tc>
        <w:tc>
          <w:tcPr>
            <w:tcW w:w="776" w:type="dxa"/>
            <w:tcBorders>
              <w:top w:val="nil"/>
              <w:left w:val="nil"/>
              <w:bottom w:val="single" w:sz="4" w:space="0" w:color="ADD6EA"/>
              <w:right w:val="nil"/>
            </w:tcBorders>
            <w:shd w:val="clear" w:color="auto" w:fill="auto"/>
            <w:vAlign w:val="bottom"/>
            <w:hideMark/>
          </w:tcPr>
          <w:p w14:paraId="479CF768"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583</w:t>
            </w:r>
          </w:p>
        </w:tc>
      </w:tr>
      <w:tr w:rsidR="002A22B2" w:rsidRPr="002A22B2" w14:paraId="055E1DFB" w14:textId="77777777" w:rsidTr="00334954">
        <w:trPr>
          <w:trHeight w:val="315"/>
        </w:trPr>
        <w:tc>
          <w:tcPr>
            <w:tcW w:w="2374" w:type="dxa"/>
            <w:tcBorders>
              <w:top w:val="nil"/>
              <w:left w:val="nil"/>
              <w:bottom w:val="single" w:sz="4" w:space="0" w:color="ADD6EA"/>
              <w:right w:val="nil"/>
            </w:tcBorders>
            <w:shd w:val="clear" w:color="auto" w:fill="auto"/>
            <w:vAlign w:val="bottom"/>
            <w:hideMark/>
          </w:tcPr>
          <w:p w14:paraId="11D3EFB7" w14:textId="77777777" w:rsidR="002A22B2" w:rsidRPr="002A22B2" w:rsidRDefault="002A22B2" w:rsidP="002A22B2">
            <w:pPr>
              <w:tabs>
                <w:tab w:val="clear" w:pos="567"/>
              </w:tabs>
              <w:spacing w:before="0" w:line="240" w:lineRule="auto"/>
              <w:rPr>
                <w:rFonts w:eastAsia="Times New Roman" w:cs="Open Sans Light"/>
                <w:sz w:val="16"/>
                <w:szCs w:val="16"/>
                <w:lang w:val="en-AU" w:eastAsia="en-AU"/>
              </w:rPr>
            </w:pPr>
            <w:r w:rsidRPr="002A22B2">
              <w:rPr>
                <w:rFonts w:eastAsia="Times New Roman" w:cs="Open Sans Light"/>
                <w:sz w:val="16"/>
                <w:szCs w:val="16"/>
                <w:lang w:val="en-AU" w:eastAsia="en-AU"/>
              </w:rPr>
              <w:t>Commonwealth payments</w:t>
            </w:r>
          </w:p>
        </w:tc>
        <w:tc>
          <w:tcPr>
            <w:tcW w:w="603" w:type="dxa"/>
            <w:tcBorders>
              <w:top w:val="nil"/>
              <w:left w:val="nil"/>
              <w:bottom w:val="single" w:sz="4" w:space="0" w:color="ADD6EA"/>
              <w:right w:val="nil"/>
            </w:tcBorders>
            <w:shd w:val="clear" w:color="auto" w:fill="auto"/>
            <w:vAlign w:val="bottom"/>
            <w:hideMark/>
          </w:tcPr>
          <w:p w14:paraId="0A9FEDDD"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123</w:t>
            </w:r>
          </w:p>
        </w:tc>
        <w:tc>
          <w:tcPr>
            <w:tcW w:w="709" w:type="dxa"/>
            <w:tcBorders>
              <w:top w:val="nil"/>
              <w:left w:val="nil"/>
              <w:bottom w:val="single" w:sz="4" w:space="0" w:color="ADD6EA"/>
              <w:right w:val="nil"/>
            </w:tcBorders>
            <w:shd w:val="clear" w:color="auto" w:fill="auto"/>
            <w:vAlign w:val="bottom"/>
            <w:hideMark/>
          </w:tcPr>
          <w:p w14:paraId="3474FB79"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216</w:t>
            </w:r>
          </w:p>
        </w:tc>
        <w:tc>
          <w:tcPr>
            <w:tcW w:w="643" w:type="dxa"/>
            <w:tcBorders>
              <w:top w:val="nil"/>
              <w:left w:val="nil"/>
              <w:bottom w:val="single" w:sz="4" w:space="0" w:color="ADD6EA"/>
              <w:right w:val="nil"/>
            </w:tcBorders>
            <w:shd w:val="clear" w:color="auto" w:fill="auto"/>
            <w:vAlign w:val="bottom"/>
            <w:hideMark/>
          </w:tcPr>
          <w:p w14:paraId="06E00FAD"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-176</w:t>
            </w:r>
          </w:p>
        </w:tc>
        <w:tc>
          <w:tcPr>
            <w:tcW w:w="759" w:type="dxa"/>
            <w:tcBorders>
              <w:top w:val="nil"/>
              <w:left w:val="nil"/>
              <w:bottom w:val="single" w:sz="4" w:space="0" w:color="ADD6EA"/>
              <w:right w:val="nil"/>
            </w:tcBorders>
            <w:shd w:val="clear" w:color="auto" w:fill="auto"/>
            <w:vAlign w:val="bottom"/>
            <w:hideMark/>
          </w:tcPr>
          <w:p w14:paraId="5CC61499"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-10</w:t>
            </w:r>
          </w:p>
        </w:tc>
        <w:tc>
          <w:tcPr>
            <w:tcW w:w="759" w:type="dxa"/>
            <w:tcBorders>
              <w:top w:val="nil"/>
              <w:left w:val="nil"/>
              <w:bottom w:val="single" w:sz="4" w:space="0" w:color="ADD6EA"/>
              <w:right w:val="nil"/>
            </w:tcBorders>
            <w:shd w:val="clear" w:color="auto" w:fill="auto"/>
            <w:vAlign w:val="bottom"/>
            <w:hideMark/>
          </w:tcPr>
          <w:p w14:paraId="361106A0"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-170</w:t>
            </w:r>
          </w:p>
        </w:tc>
        <w:tc>
          <w:tcPr>
            <w:tcW w:w="759" w:type="dxa"/>
            <w:tcBorders>
              <w:top w:val="nil"/>
              <w:left w:val="nil"/>
              <w:bottom w:val="single" w:sz="4" w:space="0" w:color="ADD6EA"/>
              <w:right w:val="nil"/>
            </w:tcBorders>
            <w:shd w:val="clear" w:color="auto" w:fill="auto"/>
            <w:vAlign w:val="bottom"/>
            <w:hideMark/>
          </w:tcPr>
          <w:p w14:paraId="4638082F"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w:t>
            </w:r>
          </w:p>
        </w:tc>
        <w:tc>
          <w:tcPr>
            <w:tcW w:w="761" w:type="dxa"/>
            <w:tcBorders>
              <w:top w:val="nil"/>
              <w:left w:val="nil"/>
              <w:bottom w:val="single" w:sz="4" w:space="0" w:color="ADD6EA"/>
              <w:right w:val="nil"/>
            </w:tcBorders>
            <w:shd w:val="clear" w:color="auto" w:fill="auto"/>
            <w:vAlign w:val="bottom"/>
            <w:hideMark/>
          </w:tcPr>
          <w:p w14:paraId="6E9EC7AA"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-8</w:t>
            </w:r>
          </w:p>
        </w:tc>
        <w:tc>
          <w:tcPr>
            <w:tcW w:w="759" w:type="dxa"/>
            <w:tcBorders>
              <w:top w:val="nil"/>
              <w:left w:val="nil"/>
              <w:bottom w:val="single" w:sz="4" w:space="0" w:color="ADD6EA"/>
              <w:right w:val="nil"/>
            </w:tcBorders>
            <w:shd w:val="clear" w:color="auto" w:fill="auto"/>
            <w:vAlign w:val="bottom"/>
            <w:hideMark/>
          </w:tcPr>
          <w:p w14:paraId="5C5EC7BB"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27</w:t>
            </w:r>
          </w:p>
        </w:tc>
        <w:tc>
          <w:tcPr>
            <w:tcW w:w="776" w:type="dxa"/>
            <w:tcBorders>
              <w:top w:val="nil"/>
              <w:left w:val="nil"/>
              <w:bottom w:val="single" w:sz="4" w:space="0" w:color="ADD6EA"/>
              <w:right w:val="nil"/>
            </w:tcBorders>
            <w:shd w:val="clear" w:color="auto" w:fill="auto"/>
            <w:vAlign w:val="bottom"/>
            <w:hideMark/>
          </w:tcPr>
          <w:p w14:paraId="3B213E41" w14:textId="77777777" w:rsidR="002A22B2" w:rsidRPr="002A22B2" w:rsidRDefault="002A22B2" w:rsidP="002A22B2">
            <w:pPr>
              <w:tabs>
                <w:tab w:val="clear" w:pos="567"/>
              </w:tabs>
              <w:spacing w:before="0" w:line="240" w:lineRule="auto"/>
              <w:jc w:val="right"/>
              <w:rPr>
                <w:rFonts w:eastAsia="Times New Roman" w:cs="Open Sans Light"/>
                <w:sz w:val="16"/>
                <w:szCs w:val="16"/>
                <w:lang w:val="en-AU" w:eastAsia="en-AU"/>
              </w:rPr>
            </w:pPr>
            <w:r w:rsidRPr="002A22B2">
              <w:rPr>
                <w:rFonts w:eastAsia="Times New Roman" w:cs="Open Sans Light"/>
                <w:sz w:val="16"/>
                <w:szCs w:val="16"/>
                <w:lang w:val="en-AU" w:eastAsia="en-AU"/>
              </w:rPr>
              <w:t>367</w:t>
            </w:r>
          </w:p>
        </w:tc>
      </w:tr>
      <w:tr w:rsidR="002A22B2" w:rsidRPr="002A22B2" w14:paraId="1D246A57" w14:textId="77777777" w:rsidTr="00334954">
        <w:trPr>
          <w:trHeight w:val="315"/>
        </w:trPr>
        <w:tc>
          <w:tcPr>
            <w:tcW w:w="2374" w:type="dxa"/>
            <w:tcBorders>
              <w:top w:val="nil"/>
              <w:left w:val="nil"/>
              <w:bottom w:val="single" w:sz="4" w:space="0" w:color="ADD6EA"/>
              <w:right w:val="nil"/>
            </w:tcBorders>
            <w:shd w:val="clear" w:color="000000" w:fill="D6E7F0"/>
            <w:vAlign w:val="bottom"/>
            <w:hideMark/>
          </w:tcPr>
          <w:p w14:paraId="06B0DBE9" w14:textId="7936801F" w:rsidR="002A22B2" w:rsidRPr="00EC30ED" w:rsidRDefault="00334954" w:rsidP="002A22B2">
            <w:pPr>
              <w:tabs>
                <w:tab w:val="clear" w:pos="567"/>
              </w:tabs>
              <w:spacing w:before="0" w:line="240" w:lineRule="auto"/>
              <w:rPr>
                <w:rFonts w:ascii="Open Sans SemiBold" w:eastAsia="Times New Roman" w:hAnsi="Open Sans SemiBold" w:cs="Open Sans SemiBold"/>
                <w:sz w:val="16"/>
                <w:szCs w:val="16"/>
                <w:lang w:val="en-AU" w:eastAsia="en-AU"/>
              </w:rPr>
            </w:pPr>
            <w:r w:rsidRPr="00015468">
              <w:rPr>
                <w:rFonts w:ascii="Open Sans SemiBold" w:eastAsia="Times New Roman" w:hAnsi="Open Sans SemiBold" w:cs="Open Sans SemiBold"/>
                <w:sz w:val="16"/>
                <w:szCs w:val="16"/>
                <w:lang w:eastAsia="en-AU"/>
              </w:rPr>
              <w:t>Total fiscal capacity</w:t>
            </w:r>
            <w:r>
              <w:rPr>
                <w:rFonts w:ascii="Open Sans SemiBold" w:eastAsia="Times New Roman" w:hAnsi="Open Sans SemiBold" w:cs="Open Sans SemiBold"/>
                <w:sz w:val="16"/>
                <w:szCs w:val="16"/>
                <w:lang w:eastAsia="en-AU"/>
              </w:rPr>
              <w:t xml:space="preserve"> changes</w:t>
            </w:r>
          </w:p>
        </w:tc>
        <w:tc>
          <w:tcPr>
            <w:tcW w:w="603" w:type="dxa"/>
            <w:tcBorders>
              <w:top w:val="nil"/>
              <w:left w:val="nil"/>
              <w:bottom w:val="single" w:sz="4" w:space="0" w:color="ADD6EA"/>
              <w:right w:val="nil"/>
            </w:tcBorders>
            <w:shd w:val="clear" w:color="000000" w:fill="D6E7F0"/>
            <w:vAlign w:val="bottom"/>
            <w:hideMark/>
          </w:tcPr>
          <w:p w14:paraId="49F13630"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1,031</w:t>
            </w:r>
          </w:p>
        </w:tc>
        <w:tc>
          <w:tcPr>
            <w:tcW w:w="709" w:type="dxa"/>
            <w:tcBorders>
              <w:top w:val="nil"/>
              <w:left w:val="nil"/>
              <w:bottom w:val="single" w:sz="4" w:space="0" w:color="ADD6EA"/>
              <w:right w:val="nil"/>
            </w:tcBorders>
            <w:shd w:val="clear" w:color="000000" w:fill="D6E7F0"/>
            <w:vAlign w:val="bottom"/>
            <w:hideMark/>
          </w:tcPr>
          <w:p w14:paraId="45B8A049"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-410</w:t>
            </w:r>
          </w:p>
        </w:tc>
        <w:tc>
          <w:tcPr>
            <w:tcW w:w="643" w:type="dxa"/>
            <w:tcBorders>
              <w:top w:val="nil"/>
              <w:left w:val="nil"/>
              <w:bottom w:val="single" w:sz="4" w:space="0" w:color="ADD6EA"/>
              <w:right w:val="nil"/>
            </w:tcBorders>
            <w:shd w:val="clear" w:color="000000" w:fill="D6E7F0"/>
            <w:vAlign w:val="bottom"/>
            <w:hideMark/>
          </w:tcPr>
          <w:p w14:paraId="56E9E9FC"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-67</w:t>
            </w:r>
          </w:p>
        </w:tc>
        <w:tc>
          <w:tcPr>
            <w:tcW w:w="759" w:type="dxa"/>
            <w:tcBorders>
              <w:top w:val="nil"/>
              <w:left w:val="nil"/>
              <w:bottom w:val="single" w:sz="4" w:space="0" w:color="ADD6EA"/>
              <w:right w:val="nil"/>
            </w:tcBorders>
            <w:shd w:val="clear" w:color="000000" w:fill="D6E7F0"/>
            <w:vAlign w:val="bottom"/>
            <w:hideMark/>
          </w:tcPr>
          <w:p w14:paraId="66C23DBD"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-475</w:t>
            </w:r>
          </w:p>
        </w:tc>
        <w:tc>
          <w:tcPr>
            <w:tcW w:w="759" w:type="dxa"/>
            <w:tcBorders>
              <w:top w:val="nil"/>
              <w:left w:val="nil"/>
              <w:bottom w:val="single" w:sz="4" w:space="0" w:color="ADD6EA"/>
              <w:right w:val="nil"/>
            </w:tcBorders>
            <w:shd w:val="clear" w:color="000000" w:fill="D6E7F0"/>
            <w:vAlign w:val="bottom"/>
            <w:hideMark/>
          </w:tcPr>
          <w:p w14:paraId="44C769A8"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-499</w:t>
            </w:r>
          </w:p>
        </w:tc>
        <w:tc>
          <w:tcPr>
            <w:tcW w:w="759" w:type="dxa"/>
            <w:tcBorders>
              <w:top w:val="nil"/>
              <w:left w:val="nil"/>
              <w:bottom w:val="single" w:sz="4" w:space="0" w:color="ADD6EA"/>
              <w:right w:val="nil"/>
            </w:tcBorders>
            <w:shd w:val="clear" w:color="000000" w:fill="D6E7F0"/>
            <w:vAlign w:val="bottom"/>
            <w:hideMark/>
          </w:tcPr>
          <w:p w14:paraId="312D1E62"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200</w:t>
            </w:r>
          </w:p>
        </w:tc>
        <w:tc>
          <w:tcPr>
            <w:tcW w:w="761" w:type="dxa"/>
            <w:tcBorders>
              <w:top w:val="nil"/>
              <w:left w:val="nil"/>
              <w:bottom w:val="single" w:sz="4" w:space="0" w:color="ADD6EA"/>
              <w:right w:val="nil"/>
            </w:tcBorders>
            <w:shd w:val="clear" w:color="000000" w:fill="D6E7F0"/>
            <w:vAlign w:val="bottom"/>
            <w:hideMark/>
          </w:tcPr>
          <w:p w14:paraId="2AF372F7"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-99</w:t>
            </w:r>
          </w:p>
        </w:tc>
        <w:tc>
          <w:tcPr>
            <w:tcW w:w="759" w:type="dxa"/>
            <w:tcBorders>
              <w:top w:val="nil"/>
              <w:left w:val="nil"/>
              <w:bottom w:val="single" w:sz="4" w:space="0" w:color="ADD6EA"/>
              <w:right w:val="nil"/>
            </w:tcBorders>
            <w:shd w:val="clear" w:color="000000" w:fill="D6E7F0"/>
            <w:vAlign w:val="bottom"/>
            <w:hideMark/>
          </w:tcPr>
          <w:p w14:paraId="588E2DA5"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320</w:t>
            </w:r>
          </w:p>
        </w:tc>
        <w:tc>
          <w:tcPr>
            <w:tcW w:w="776" w:type="dxa"/>
            <w:tcBorders>
              <w:top w:val="nil"/>
              <w:left w:val="nil"/>
              <w:bottom w:val="single" w:sz="4" w:space="0" w:color="ADD6EA"/>
              <w:right w:val="nil"/>
            </w:tcBorders>
            <w:shd w:val="clear" w:color="000000" w:fill="D6E7F0"/>
            <w:vAlign w:val="bottom"/>
            <w:hideMark/>
          </w:tcPr>
          <w:p w14:paraId="6179EA75" w14:textId="77777777" w:rsidR="002A22B2" w:rsidRPr="00EC30ED" w:rsidRDefault="002A22B2" w:rsidP="002A22B2">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EC30ED">
              <w:rPr>
                <w:rFonts w:ascii="Open Sans SemiBold" w:eastAsia="Times New Roman" w:hAnsi="Open Sans SemiBold" w:cs="Open Sans SemiBold"/>
                <w:sz w:val="16"/>
                <w:szCs w:val="16"/>
                <w:lang w:val="en-AU" w:eastAsia="en-AU"/>
              </w:rPr>
              <w:t>1,551</w:t>
            </w:r>
          </w:p>
        </w:tc>
      </w:tr>
    </w:tbl>
    <w:p w14:paraId="281A7B14" w14:textId="0B7F86C3" w:rsidR="005705C4" w:rsidRDefault="005705C4" w:rsidP="00D936F1">
      <w:pPr>
        <w:pStyle w:val="CGCTablenote"/>
      </w:pPr>
      <w:r>
        <w:t>Note</w:t>
      </w:r>
      <w:r w:rsidR="000F0386">
        <w:t>s</w:t>
      </w:r>
      <w:r>
        <w:t>:</w:t>
      </w:r>
      <w:r>
        <w:tab/>
        <w:t>The total change shown here from 2019</w:t>
      </w:r>
      <w:r>
        <w:noBreakHyphen/>
        <w:t>20 to 2020</w:t>
      </w:r>
      <w:r>
        <w:noBreakHyphen/>
        <w:t>21</w:t>
      </w:r>
      <w:r w:rsidR="00AD14B7">
        <w:t xml:space="preserve"> is equivalent to the change caused by new fiscal capacities shown in </w:t>
      </w:r>
      <w:r w:rsidR="00AD14B7">
        <w:fldChar w:fldCharType="begin"/>
      </w:r>
      <w:r w:rsidR="00AD14B7">
        <w:instrText xml:space="preserve"> REF _Ref27749901 \h </w:instrText>
      </w:r>
      <w:r w:rsidR="00AD14B7">
        <w:fldChar w:fldCharType="separate"/>
      </w:r>
      <w:r w:rsidR="003D49C2">
        <w:t>Table 1</w:t>
      </w:r>
      <w:r w:rsidR="003D49C2">
        <w:noBreakHyphen/>
      </w:r>
      <w:r w:rsidR="003D49C2">
        <w:rPr>
          <w:noProof/>
        </w:rPr>
        <w:t>2</w:t>
      </w:r>
      <w:r w:rsidR="00AD14B7">
        <w:fldChar w:fldCharType="end"/>
      </w:r>
      <w:r w:rsidR="00AD14B7">
        <w:t>.</w:t>
      </w:r>
    </w:p>
    <w:p w14:paraId="58E9AB04" w14:textId="17F6B975" w:rsidR="006E05BF" w:rsidRPr="006E05BF" w:rsidRDefault="00525A9A" w:rsidP="00525A9A">
      <w:pPr>
        <w:pStyle w:val="CGCTablenote"/>
        <w:ind w:left="113" w:firstLine="0"/>
      </w:pPr>
      <w:r>
        <w:tab/>
      </w:r>
      <w:r w:rsidR="006E05BF">
        <w:t>The redistribution</w:t>
      </w:r>
      <w:r w:rsidR="00C441B1">
        <w:t xml:space="preserve"> is calculated as the sum of all the positive numbers in the row.</w:t>
      </w:r>
    </w:p>
    <w:p w14:paraId="2FD676A0" w14:textId="61F22CC9" w:rsidR="00CF1620" w:rsidRDefault="00CF1620" w:rsidP="000B5048">
      <w:pPr>
        <w:pStyle w:val="CGCTablenote"/>
      </w:pPr>
      <w:r>
        <w:t>Source:</w:t>
      </w:r>
      <w:r>
        <w:tab/>
      </w:r>
      <w:r w:rsidR="005705C4">
        <w:t>Commission calculation.</w:t>
      </w:r>
    </w:p>
    <w:p w14:paraId="33F0DCFA" w14:textId="6FA3021E" w:rsidR="003E18D1" w:rsidRPr="00F5058B" w:rsidRDefault="003E18D1" w:rsidP="003E18D1">
      <w:pPr>
        <w:pStyle w:val="CGCParaNumber"/>
      </w:pPr>
      <w:r>
        <w:t xml:space="preserve">Detailed tables on the changes resulting from each of the Commission’s assessments can be found in the supporting information for this review, which is available on the </w:t>
      </w:r>
      <w:hyperlink r:id="rId35" w:history="1">
        <w:r>
          <w:rPr>
            <w:rStyle w:val="Hyperlink"/>
          </w:rPr>
          <w:t>Commission's website</w:t>
        </w:r>
      </w:hyperlink>
      <w:r>
        <w:t xml:space="preserve"> (https://www.cgc.gov.au).</w:t>
      </w:r>
    </w:p>
    <w:p w14:paraId="525E0EEF" w14:textId="52641803" w:rsidR="007A486D" w:rsidRDefault="007A486D" w:rsidP="007A486D">
      <w:pPr>
        <w:pStyle w:val="CGCParaNumber"/>
      </w:pPr>
      <w:r>
        <w:t>Changes in States’ assessed fiscal capacities occur for the following reasons.</w:t>
      </w:r>
    </w:p>
    <w:p w14:paraId="64F9FA83" w14:textId="71F34B26" w:rsidR="00B910EC" w:rsidRDefault="003A6F5D" w:rsidP="00B910EC">
      <w:pPr>
        <w:pStyle w:val="CGCBullet1"/>
      </w:pPr>
      <w:r>
        <w:t>Some of t</w:t>
      </w:r>
      <w:r w:rsidR="00245627" w:rsidRPr="00245627">
        <w:t xml:space="preserve">he methods used </w:t>
      </w:r>
      <w:r w:rsidR="00F877C7">
        <w:t xml:space="preserve">by the Commission to determine State fiscal capacities </w:t>
      </w:r>
      <w:r w:rsidR="000C1767">
        <w:t>in this review differ from those used in the 2019 Update.</w:t>
      </w:r>
    </w:p>
    <w:p w14:paraId="3A6AF177" w14:textId="43B11F93" w:rsidR="004C4225" w:rsidRDefault="00C57D93" w:rsidP="004C4225">
      <w:pPr>
        <w:pStyle w:val="CGCBullet1"/>
      </w:pPr>
      <w:r>
        <w:t>Some d</w:t>
      </w:r>
      <w:r w:rsidR="004C4225">
        <w:t xml:space="preserve">ata used in the assessments in the 2019 Update </w:t>
      </w:r>
      <w:r>
        <w:t xml:space="preserve">have </w:t>
      </w:r>
      <w:r w:rsidR="004C4225">
        <w:t>be</w:t>
      </w:r>
      <w:r>
        <w:t>en</w:t>
      </w:r>
      <w:r w:rsidR="004C4225">
        <w:t xml:space="preserve"> revised. Revisions occur because new data become available.</w:t>
      </w:r>
      <w:r w:rsidR="00F312E7">
        <w:rPr>
          <w:rStyle w:val="FootnoteReference"/>
        </w:rPr>
        <w:footnoteReference w:id="3"/>
      </w:r>
    </w:p>
    <w:p w14:paraId="7D6FD03F" w14:textId="370EB3B1" w:rsidR="007A486D" w:rsidRDefault="007705B0" w:rsidP="007A486D">
      <w:pPr>
        <w:pStyle w:val="CGCBullet1"/>
      </w:pPr>
      <w:r>
        <w:t>State</w:t>
      </w:r>
      <w:r w:rsidR="00B301F7">
        <w:t>s’</w:t>
      </w:r>
      <w:r w:rsidR="007A486D">
        <w:t xml:space="preserve"> economic and demographic circumstances </w:t>
      </w:r>
      <w:r w:rsidR="00EA2027">
        <w:t>change</w:t>
      </w:r>
      <w:r w:rsidR="007A486D">
        <w:t>. The 2020 Review relativities are based on an average of data for 2016</w:t>
      </w:r>
      <w:r w:rsidR="007A486D">
        <w:noBreakHyphen/>
        <w:t>17 to 2018</w:t>
      </w:r>
      <w:r w:rsidR="007A486D">
        <w:noBreakHyphen/>
        <w:t>19, whereas the 2019 Update relativities were based on data for 2015</w:t>
      </w:r>
      <w:r w:rsidR="007A486D">
        <w:noBreakHyphen/>
        <w:t>16 to 2017</w:t>
      </w:r>
      <w:r w:rsidR="007A486D">
        <w:noBreakHyphen/>
        <w:t>18. Differences between the year brought into the three year average (2018</w:t>
      </w:r>
      <w:r w:rsidR="007A486D">
        <w:noBreakHyphen/>
        <w:t xml:space="preserve">19 for this </w:t>
      </w:r>
      <w:r w:rsidR="00277044">
        <w:t>inquiry</w:t>
      </w:r>
      <w:r w:rsidR="007A486D">
        <w:t>) and the year removed (2015</w:t>
      </w:r>
      <w:r w:rsidR="001B3632">
        <w:noBreakHyphen/>
      </w:r>
      <w:r w:rsidR="007A486D">
        <w:t>16) change the relativities. However, the three year averaging process means changes in circumstances have a gradual effect.</w:t>
      </w:r>
    </w:p>
    <w:p w14:paraId="67FE8CDD" w14:textId="4D882591" w:rsidR="00E519CF" w:rsidRDefault="002454B3" w:rsidP="00E519CF">
      <w:pPr>
        <w:pStyle w:val="CGCParaNumber"/>
      </w:pPr>
      <w:r>
        <w:fldChar w:fldCharType="begin"/>
      </w:r>
      <w:r>
        <w:instrText xml:space="preserve"> REF _Ref30429109 \h </w:instrText>
      </w:r>
      <w:r>
        <w:fldChar w:fldCharType="separate"/>
      </w:r>
      <w:r w:rsidR="003D49C2">
        <w:t>Table 2</w:t>
      </w:r>
      <w:r w:rsidR="003D49C2">
        <w:noBreakHyphen/>
      </w:r>
      <w:r w:rsidR="003D49C2">
        <w:rPr>
          <w:noProof/>
        </w:rPr>
        <w:t>2</w:t>
      </w:r>
      <w:r>
        <w:fldChar w:fldCharType="end"/>
      </w:r>
      <w:r w:rsidR="00E519CF">
        <w:t xml:space="preserve"> </w:t>
      </w:r>
      <w:r w:rsidR="00145553">
        <w:t xml:space="preserve">shows that </w:t>
      </w:r>
      <w:r w:rsidR="00AC0D32" w:rsidRPr="00D52834">
        <w:t>method changes</w:t>
      </w:r>
      <w:r w:rsidR="00A67D17" w:rsidRPr="00D52834">
        <w:t xml:space="preserve"> have </w:t>
      </w:r>
      <w:r w:rsidR="003253FD" w:rsidRPr="00D52834">
        <w:t xml:space="preserve">had </w:t>
      </w:r>
      <w:r w:rsidR="00A67D17" w:rsidRPr="00D52834">
        <w:t xml:space="preserve">the largest </w:t>
      </w:r>
      <w:r w:rsidR="003253FD" w:rsidRPr="00D52834">
        <w:t xml:space="preserve">effect on </w:t>
      </w:r>
      <w:r w:rsidR="006B340E" w:rsidRPr="00D52834">
        <w:t>the change in assessed fiscal capacities</w:t>
      </w:r>
      <w:r w:rsidR="00885653">
        <w:t>, closely followed</w:t>
      </w:r>
      <w:r w:rsidR="00CF62CA">
        <w:t xml:space="preserve"> </w:t>
      </w:r>
      <w:r w:rsidR="00A5465E">
        <w:t xml:space="preserve">by changes </w:t>
      </w:r>
      <w:r w:rsidR="00C35B19">
        <w:t>in circumstances</w:t>
      </w:r>
      <w:r w:rsidR="006B340E" w:rsidRPr="00D52834">
        <w:t xml:space="preserve">. </w:t>
      </w:r>
      <w:r w:rsidR="00A67D17" w:rsidRPr="00D52834">
        <w:t>D</w:t>
      </w:r>
      <w:r w:rsidR="00145553" w:rsidRPr="00D52834">
        <w:t xml:space="preserve">ata revisions </w:t>
      </w:r>
      <w:r w:rsidR="001D72D9">
        <w:t xml:space="preserve">have </w:t>
      </w:r>
      <w:r w:rsidR="008E7780">
        <w:t xml:space="preserve">had the </w:t>
      </w:r>
      <w:r w:rsidR="00A702F9">
        <w:lastRenderedPageBreak/>
        <w:t>least effect.</w:t>
      </w:r>
      <w:r w:rsidR="00145553">
        <w:t xml:space="preserve"> </w:t>
      </w:r>
      <w:r w:rsidR="00AC0D32">
        <w:t>The main method changes, data revisions and changes in circumstances are discussed below.</w:t>
      </w:r>
    </w:p>
    <w:p w14:paraId="3019C8AD" w14:textId="25736792" w:rsidR="00392036" w:rsidRDefault="00CC3B66" w:rsidP="00CC3B66">
      <w:pPr>
        <w:pStyle w:val="CGCTableHeading"/>
      </w:pPr>
      <w:bookmarkStart w:id="18" w:name="_Ref30429109"/>
      <w:bookmarkStart w:id="19" w:name="_Hlk33450462"/>
      <w:r>
        <w:t xml:space="preserve">Table </w:t>
      </w:r>
      <w:r w:rsidR="007D70A7">
        <w:t>2</w:t>
      </w:r>
      <w:r w:rsidR="007D70A7">
        <w:noBreakHyphen/>
      </w:r>
      <w:r>
        <w:fldChar w:fldCharType="begin"/>
      </w:r>
      <w:r>
        <w:instrText>SEQ Table \* ARABIC</w:instrText>
      </w:r>
      <w:r>
        <w:fldChar w:fldCharType="separate"/>
      </w:r>
      <w:r w:rsidR="003D49C2">
        <w:rPr>
          <w:noProof/>
        </w:rPr>
        <w:t>2</w:t>
      </w:r>
      <w:r>
        <w:fldChar w:fldCharType="end"/>
      </w:r>
      <w:bookmarkEnd w:id="18"/>
      <w:r>
        <w:tab/>
        <w:t xml:space="preserve">Change in </w:t>
      </w:r>
      <w:r w:rsidR="003133AF">
        <w:t xml:space="preserve">the illustrative </w:t>
      </w:r>
      <w:r>
        <w:t>GST distribution by source of change, 2</w:t>
      </w:r>
      <w:r w:rsidR="00392036">
        <w:t>0</w:t>
      </w:r>
      <w:r w:rsidR="00C165C1">
        <w:t>20</w:t>
      </w:r>
      <w:r w:rsidR="00C165C1">
        <w:noBreakHyphen/>
      </w:r>
      <w:r w:rsidR="00392036">
        <w:t>21</w:t>
      </w:r>
    </w:p>
    <w:tbl>
      <w:tblPr>
        <w:tblW w:w="8902" w:type="dxa"/>
        <w:tblCellMar>
          <w:left w:w="0" w:type="dxa"/>
          <w:right w:w="28" w:type="dxa"/>
        </w:tblCellMar>
        <w:tblLook w:val="04A0" w:firstRow="1" w:lastRow="0" w:firstColumn="1" w:lastColumn="0" w:noHBand="0" w:noVBand="1"/>
      </w:tblPr>
      <w:tblGrid>
        <w:gridCol w:w="2410"/>
        <w:gridCol w:w="652"/>
        <w:gridCol w:w="728"/>
        <w:gridCol w:w="728"/>
        <w:gridCol w:w="728"/>
        <w:gridCol w:w="728"/>
        <w:gridCol w:w="728"/>
        <w:gridCol w:w="730"/>
        <w:gridCol w:w="728"/>
        <w:gridCol w:w="742"/>
      </w:tblGrid>
      <w:tr w:rsidR="00245505" w:rsidRPr="00245505" w14:paraId="0D0EADF4" w14:textId="77777777" w:rsidTr="00015468">
        <w:trPr>
          <w:trHeight w:val="375"/>
        </w:trPr>
        <w:tc>
          <w:tcPr>
            <w:tcW w:w="2410" w:type="dxa"/>
            <w:tcBorders>
              <w:top w:val="single" w:sz="4" w:space="0" w:color="ADD6EA"/>
              <w:left w:val="nil"/>
              <w:bottom w:val="single" w:sz="4" w:space="0" w:color="ADD6EA"/>
              <w:right w:val="nil"/>
            </w:tcBorders>
            <w:shd w:val="clear" w:color="000000" w:fill="006991"/>
            <w:vAlign w:val="center"/>
            <w:hideMark/>
          </w:tcPr>
          <w:p w14:paraId="2993B6F6"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 </w:t>
            </w:r>
          </w:p>
        </w:tc>
        <w:tc>
          <w:tcPr>
            <w:tcW w:w="652" w:type="dxa"/>
            <w:tcBorders>
              <w:top w:val="single" w:sz="4" w:space="0" w:color="ADD6EA"/>
              <w:left w:val="nil"/>
              <w:bottom w:val="single" w:sz="4" w:space="0" w:color="ADD6EA"/>
              <w:right w:val="nil"/>
            </w:tcBorders>
            <w:shd w:val="clear" w:color="000000" w:fill="006991"/>
            <w:vAlign w:val="center"/>
            <w:hideMark/>
          </w:tcPr>
          <w:p w14:paraId="22DECADE"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NSW</w:t>
            </w:r>
          </w:p>
        </w:tc>
        <w:tc>
          <w:tcPr>
            <w:tcW w:w="728" w:type="dxa"/>
            <w:tcBorders>
              <w:top w:val="single" w:sz="4" w:space="0" w:color="ADD6EA"/>
              <w:left w:val="nil"/>
              <w:bottom w:val="single" w:sz="4" w:space="0" w:color="ADD6EA"/>
              <w:right w:val="nil"/>
            </w:tcBorders>
            <w:shd w:val="clear" w:color="000000" w:fill="006991"/>
            <w:vAlign w:val="center"/>
            <w:hideMark/>
          </w:tcPr>
          <w:p w14:paraId="581975C6"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Vic</w:t>
            </w:r>
          </w:p>
        </w:tc>
        <w:tc>
          <w:tcPr>
            <w:tcW w:w="728" w:type="dxa"/>
            <w:tcBorders>
              <w:top w:val="single" w:sz="4" w:space="0" w:color="ADD6EA"/>
              <w:left w:val="nil"/>
              <w:bottom w:val="single" w:sz="4" w:space="0" w:color="ADD6EA"/>
              <w:right w:val="nil"/>
            </w:tcBorders>
            <w:shd w:val="clear" w:color="000000" w:fill="006991"/>
            <w:vAlign w:val="center"/>
            <w:hideMark/>
          </w:tcPr>
          <w:p w14:paraId="63C7FF93"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Qld</w:t>
            </w:r>
          </w:p>
        </w:tc>
        <w:tc>
          <w:tcPr>
            <w:tcW w:w="728" w:type="dxa"/>
            <w:tcBorders>
              <w:top w:val="single" w:sz="4" w:space="0" w:color="ADD6EA"/>
              <w:left w:val="nil"/>
              <w:bottom w:val="single" w:sz="4" w:space="0" w:color="ADD6EA"/>
              <w:right w:val="nil"/>
            </w:tcBorders>
            <w:shd w:val="clear" w:color="000000" w:fill="006991"/>
            <w:vAlign w:val="center"/>
            <w:hideMark/>
          </w:tcPr>
          <w:p w14:paraId="0AA491A8"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WA</w:t>
            </w:r>
          </w:p>
        </w:tc>
        <w:tc>
          <w:tcPr>
            <w:tcW w:w="728" w:type="dxa"/>
            <w:tcBorders>
              <w:top w:val="single" w:sz="4" w:space="0" w:color="ADD6EA"/>
              <w:left w:val="nil"/>
              <w:bottom w:val="single" w:sz="4" w:space="0" w:color="ADD6EA"/>
              <w:right w:val="nil"/>
            </w:tcBorders>
            <w:shd w:val="clear" w:color="000000" w:fill="006991"/>
            <w:vAlign w:val="center"/>
            <w:hideMark/>
          </w:tcPr>
          <w:p w14:paraId="6674990B"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SA</w:t>
            </w:r>
          </w:p>
        </w:tc>
        <w:tc>
          <w:tcPr>
            <w:tcW w:w="728" w:type="dxa"/>
            <w:tcBorders>
              <w:top w:val="single" w:sz="4" w:space="0" w:color="ADD6EA"/>
              <w:left w:val="nil"/>
              <w:bottom w:val="single" w:sz="4" w:space="0" w:color="ADD6EA"/>
              <w:right w:val="nil"/>
            </w:tcBorders>
            <w:shd w:val="clear" w:color="000000" w:fill="006991"/>
            <w:vAlign w:val="center"/>
            <w:hideMark/>
          </w:tcPr>
          <w:p w14:paraId="222031FC"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Tas</w:t>
            </w:r>
          </w:p>
        </w:tc>
        <w:tc>
          <w:tcPr>
            <w:tcW w:w="730" w:type="dxa"/>
            <w:tcBorders>
              <w:top w:val="single" w:sz="4" w:space="0" w:color="ADD6EA"/>
              <w:left w:val="nil"/>
              <w:bottom w:val="single" w:sz="4" w:space="0" w:color="ADD6EA"/>
              <w:right w:val="nil"/>
            </w:tcBorders>
            <w:shd w:val="clear" w:color="000000" w:fill="006991"/>
            <w:vAlign w:val="center"/>
            <w:hideMark/>
          </w:tcPr>
          <w:p w14:paraId="482A551B"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ACT</w:t>
            </w:r>
          </w:p>
        </w:tc>
        <w:tc>
          <w:tcPr>
            <w:tcW w:w="728" w:type="dxa"/>
            <w:tcBorders>
              <w:top w:val="single" w:sz="4" w:space="0" w:color="ADD6EA"/>
              <w:left w:val="nil"/>
              <w:bottom w:val="single" w:sz="4" w:space="0" w:color="ADD6EA"/>
              <w:right w:val="nil"/>
            </w:tcBorders>
            <w:shd w:val="clear" w:color="000000" w:fill="006991"/>
            <w:vAlign w:val="center"/>
            <w:hideMark/>
          </w:tcPr>
          <w:p w14:paraId="1B0FCE5E"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NT</w:t>
            </w:r>
          </w:p>
        </w:tc>
        <w:tc>
          <w:tcPr>
            <w:tcW w:w="742" w:type="dxa"/>
            <w:tcBorders>
              <w:top w:val="single" w:sz="4" w:space="0" w:color="ADD6EA"/>
              <w:left w:val="nil"/>
              <w:bottom w:val="single" w:sz="4" w:space="0" w:color="ADD6EA"/>
              <w:right w:val="nil"/>
            </w:tcBorders>
            <w:shd w:val="clear" w:color="000000" w:fill="006991"/>
            <w:vAlign w:val="center"/>
            <w:hideMark/>
          </w:tcPr>
          <w:p w14:paraId="486CB2A8"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45505">
              <w:rPr>
                <w:rFonts w:ascii="Open Sans SemiBold" w:eastAsia="Times New Roman" w:hAnsi="Open Sans SemiBold" w:cs="Open Sans SemiBold"/>
                <w:color w:val="FFFFFF"/>
                <w:sz w:val="16"/>
                <w:szCs w:val="16"/>
                <w:lang w:val="en-AU" w:eastAsia="en-AU"/>
              </w:rPr>
              <w:t>Redist</w:t>
            </w:r>
          </w:p>
        </w:tc>
      </w:tr>
      <w:tr w:rsidR="00245505" w:rsidRPr="00245505" w14:paraId="09098A23" w14:textId="77777777" w:rsidTr="00015468">
        <w:trPr>
          <w:trHeight w:val="258"/>
        </w:trPr>
        <w:tc>
          <w:tcPr>
            <w:tcW w:w="2410" w:type="dxa"/>
            <w:tcBorders>
              <w:top w:val="nil"/>
              <w:left w:val="nil"/>
              <w:bottom w:val="single" w:sz="4" w:space="0" w:color="ADD6EA"/>
              <w:right w:val="nil"/>
            </w:tcBorders>
            <w:shd w:val="clear" w:color="000000" w:fill="B6D5E4"/>
            <w:vAlign w:val="bottom"/>
            <w:hideMark/>
          </w:tcPr>
          <w:p w14:paraId="073411BB" w14:textId="77777777" w:rsidR="00245505" w:rsidRPr="00245505" w:rsidRDefault="00245505" w:rsidP="00245505">
            <w:pPr>
              <w:tabs>
                <w:tab w:val="clear" w:pos="567"/>
              </w:tabs>
              <w:spacing w:before="0" w:line="240" w:lineRule="auto"/>
              <w:rPr>
                <w:rFonts w:eastAsia="Times New Roman" w:cs="Open Sans Light"/>
                <w:sz w:val="16"/>
                <w:szCs w:val="16"/>
                <w:lang w:val="en-AU" w:eastAsia="en-AU"/>
              </w:rPr>
            </w:pPr>
            <w:r w:rsidRPr="00245505">
              <w:rPr>
                <w:rFonts w:eastAsia="Times New Roman" w:cs="Open Sans Light"/>
                <w:sz w:val="16"/>
                <w:szCs w:val="16"/>
                <w:lang w:val="en-AU" w:eastAsia="en-AU"/>
              </w:rPr>
              <w:t> </w:t>
            </w:r>
          </w:p>
        </w:tc>
        <w:tc>
          <w:tcPr>
            <w:tcW w:w="652" w:type="dxa"/>
            <w:tcBorders>
              <w:top w:val="nil"/>
              <w:left w:val="nil"/>
              <w:bottom w:val="single" w:sz="4" w:space="0" w:color="ADD6EA"/>
              <w:right w:val="nil"/>
            </w:tcBorders>
            <w:shd w:val="clear" w:color="000000" w:fill="B6D5E4"/>
            <w:vAlign w:val="center"/>
            <w:hideMark/>
          </w:tcPr>
          <w:p w14:paraId="7398ED3A"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4CD1B00C"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235B9E71"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0CDA25FA"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27EFA1E4"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2F2278E7"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30" w:type="dxa"/>
            <w:tcBorders>
              <w:top w:val="nil"/>
              <w:left w:val="nil"/>
              <w:bottom w:val="single" w:sz="4" w:space="0" w:color="ADD6EA"/>
              <w:right w:val="nil"/>
            </w:tcBorders>
            <w:shd w:val="clear" w:color="000000" w:fill="B6D5E4"/>
            <w:vAlign w:val="center"/>
            <w:hideMark/>
          </w:tcPr>
          <w:p w14:paraId="5884FDEC"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28" w:type="dxa"/>
            <w:tcBorders>
              <w:top w:val="nil"/>
              <w:left w:val="nil"/>
              <w:bottom w:val="single" w:sz="4" w:space="0" w:color="ADD6EA"/>
              <w:right w:val="nil"/>
            </w:tcBorders>
            <w:shd w:val="clear" w:color="000000" w:fill="B6D5E4"/>
            <w:vAlign w:val="center"/>
            <w:hideMark/>
          </w:tcPr>
          <w:p w14:paraId="010E35EF"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c>
          <w:tcPr>
            <w:tcW w:w="742" w:type="dxa"/>
            <w:tcBorders>
              <w:top w:val="nil"/>
              <w:left w:val="nil"/>
              <w:bottom w:val="single" w:sz="4" w:space="0" w:color="ADD6EA"/>
              <w:right w:val="nil"/>
            </w:tcBorders>
            <w:shd w:val="clear" w:color="000000" w:fill="B6D5E4"/>
            <w:vAlign w:val="center"/>
            <w:hideMark/>
          </w:tcPr>
          <w:p w14:paraId="1937B438"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$m</w:t>
            </w:r>
          </w:p>
        </w:tc>
      </w:tr>
      <w:tr w:rsidR="00245505" w:rsidRPr="00245505" w14:paraId="735CDD36" w14:textId="77777777" w:rsidTr="00015468">
        <w:trPr>
          <w:trHeight w:val="315"/>
        </w:trPr>
        <w:tc>
          <w:tcPr>
            <w:tcW w:w="2410" w:type="dxa"/>
            <w:tcBorders>
              <w:top w:val="nil"/>
              <w:left w:val="nil"/>
              <w:bottom w:val="single" w:sz="4" w:space="0" w:color="ADD6EA"/>
              <w:right w:val="nil"/>
            </w:tcBorders>
            <w:shd w:val="clear" w:color="auto" w:fill="auto"/>
            <w:vAlign w:val="bottom"/>
            <w:hideMark/>
          </w:tcPr>
          <w:p w14:paraId="4E050BC3" w14:textId="77777777" w:rsidR="00245505" w:rsidRPr="00245505" w:rsidRDefault="00245505" w:rsidP="00245505">
            <w:pPr>
              <w:tabs>
                <w:tab w:val="clear" w:pos="567"/>
              </w:tabs>
              <w:spacing w:before="0" w:line="240" w:lineRule="auto"/>
              <w:rPr>
                <w:rFonts w:eastAsia="Times New Roman" w:cs="Open Sans Light"/>
                <w:sz w:val="16"/>
                <w:szCs w:val="16"/>
                <w:lang w:val="en-AU" w:eastAsia="en-AU"/>
              </w:rPr>
            </w:pPr>
            <w:r w:rsidRPr="00245505">
              <w:rPr>
                <w:rFonts w:eastAsia="Times New Roman" w:cs="Open Sans Light"/>
                <w:sz w:val="16"/>
                <w:szCs w:val="16"/>
                <w:lang w:val="en-AU" w:eastAsia="en-AU"/>
              </w:rPr>
              <w:t>Method changes</w:t>
            </w:r>
          </w:p>
        </w:tc>
        <w:tc>
          <w:tcPr>
            <w:tcW w:w="652" w:type="dxa"/>
            <w:tcBorders>
              <w:top w:val="nil"/>
              <w:left w:val="nil"/>
              <w:bottom w:val="single" w:sz="4" w:space="0" w:color="ADD6EA"/>
              <w:right w:val="nil"/>
            </w:tcBorders>
            <w:shd w:val="clear" w:color="auto" w:fill="auto"/>
            <w:vAlign w:val="bottom"/>
            <w:hideMark/>
          </w:tcPr>
          <w:p w14:paraId="32A10C06"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711</w:t>
            </w:r>
          </w:p>
        </w:tc>
        <w:tc>
          <w:tcPr>
            <w:tcW w:w="728" w:type="dxa"/>
            <w:tcBorders>
              <w:top w:val="nil"/>
              <w:left w:val="nil"/>
              <w:bottom w:val="single" w:sz="4" w:space="0" w:color="ADD6EA"/>
              <w:right w:val="nil"/>
            </w:tcBorders>
            <w:shd w:val="clear" w:color="auto" w:fill="auto"/>
            <w:vAlign w:val="bottom"/>
            <w:hideMark/>
          </w:tcPr>
          <w:p w14:paraId="67570B9B"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-802</w:t>
            </w:r>
          </w:p>
        </w:tc>
        <w:tc>
          <w:tcPr>
            <w:tcW w:w="728" w:type="dxa"/>
            <w:tcBorders>
              <w:top w:val="nil"/>
              <w:left w:val="nil"/>
              <w:bottom w:val="single" w:sz="4" w:space="0" w:color="ADD6EA"/>
              <w:right w:val="nil"/>
            </w:tcBorders>
            <w:shd w:val="clear" w:color="auto" w:fill="auto"/>
            <w:vAlign w:val="bottom"/>
            <w:hideMark/>
          </w:tcPr>
          <w:p w14:paraId="116539D0"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139</w:t>
            </w:r>
          </w:p>
        </w:tc>
        <w:tc>
          <w:tcPr>
            <w:tcW w:w="728" w:type="dxa"/>
            <w:tcBorders>
              <w:top w:val="nil"/>
              <w:left w:val="nil"/>
              <w:bottom w:val="single" w:sz="4" w:space="0" w:color="ADD6EA"/>
              <w:right w:val="nil"/>
            </w:tcBorders>
            <w:shd w:val="clear" w:color="auto" w:fill="auto"/>
            <w:vAlign w:val="bottom"/>
            <w:hideMark/>
          </w:tcPr>
          <w:p w14:paraId="7367A7BE"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-114</w:t>
            </w:r>
          </w:p>
        </w:tc>
        <w:tc>
          <w:tcPr>
            <w:tcW w:w="728" w:type="dxa"/>
            <w:tcBorders>
              <w:top w:val="nil"/>
              <w:left w:val="nil"/>
              <w:bottom w:val="single" w:sz="4" w:space="0" w:color="ADD6EA"/>
              <w:right w:val="nil"/>
            </w:tcBorders>
            <w:shd w:val="clear" w:color="auto" w:fill="auto"/>
            <w:vAlign w:val="bottom"/>
            <w:hideMark/>
          </w:tcPr>
          <w:p w14:paraId="6A9B134A"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-274</w:t>
            </w:r>
          </w:p>
        </w:tc>
        <w:tc>
          <w:tcPr>
            <w:tcW w:w="728" w:type="dxa"/>
            <w:tcBorders>
              <w:top w:val="nil"/>
              <w:left w:val="nil"/>
              <w:bottom w:val="single" w:sz="4" w:space="0" w:color="ADD6EA"/>
              <w:right w:val="nil"/>
            </w:tcBorders>
            <w:shd w:val="clear" w:color="auto" w:fill="auto"/>
            <w:vAlign w:val="bottom"/>
            <w:hideMark/>
          </w:tcPr>
          <w:p w14:paraId="5A3FF40B"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141</w:t>
            </w:r>
          </w:p>
        </w:tc>
        <w:tc>
          <w:tcPr>
            <w:tcW w:w="730" w:type="dxa"/>
            <w:tcBorders>
              <w:top w:val="nil"/>
              <w:left w:val="nil"/>
              <w:bottom w:val="single" w:sz="4" w:space="0" w:color="ADD6EA"/>
              <w:right w:val="nil"/>
            </w:tcBorders>
            <w:shd w:val="clear" w:color="auto" w:fill="auto"/>
            <w:vAlign w:val="bottom"/>
            <w:hideMark/>
          </w:tcPr>
          <w:p w14:paraId="628234FE"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-74</w:t>
            </w:r>
          </w:p>
        </w:tc>
        <w:tc>
          <w:tcPr>
            <w:tcW w:w="728" w:type="dxa"/>
            <w:tcBorders>
              <w:top w:val="nil"/>
              <w:left w:val="nil"/>
              <w:bottom w:val="single" w:sz="4" w:space="0" w:color="ADD6EA"/>
              <w:right w:val="nil"/>
            </w:tcBorders>
            <w:shd w:val="clear" w:color="auto" w:fill="auto"/>
            <w:vAlign w:val="bottom"/>
            <w:hideMark/>
          </w:tcPr>
          <w:p w14:paraId="3837DCCD"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272</w:t>
            </w:r>
          </w:p>
        </w:tc>
        <w:tc>
          <w:tcPr>
            <w:tcW w:w="742" w:type="dxa"/>
            <w:tcBorders>
              <w:top w:val="nil"/>
              <w:left w:val="nil"/>
              <w:bottom w:val="single" w:sz="4" w:space="0" w:color="ADD6EA"/>
              <w:right w:val="nil"/>
            </w:tcBorders>
            <w:shd w:val="clear" w:color="auto" w:fill="auto"/>
            <w:vAlign w:val="bottom"/>
            <w:hideMark/>
          </w:tcPr>
          <w:p w14:paraId="521E66DC"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1,264</w:t>
            </w:r>
          </w:p>
        </w:tc>
      </w:tr>
      <w:tr w:rsidR="00245505" w:rsidRPr="00245505" w14:paraId="34AF26C0" w14:textId="77777777" w:rsidTr="00015468">
        <w:trPr>
          <w:trHeight w:val="315"/>
        </w:trPr>
        <w:tc>
          <w:tcPr>
            <w:tcW w:w="2410" w:type="dxa"/>
            <w:tcBorders>
              <w:top w:val="nil"/>
              <w:left w:val="nil"/>
              <w:bottom w:val="single" w:sz="4" w:space="0" w:color="ADD6EA"/>
              <w:right w:val="nil"/>
            </w:tcBorders>
            <w:shd w:val="clear" w:color="auto" w:fill="auto"/>
            <w:vAlign w:val="bottom"/>
            <w:hideMark/>
          </w:tcPr>
          <w:p w14:paraId="4C9F51E9" w14:textId="77777777" w:rsidR="00245505" w:rsidRPr="00245505" w:rsidRDefault="00245505" w:rsidP="00245505">
            <w:pPr>
              <w:tabs>
                <w:tab w:val="clear" w:pos="567"/>
              </w:tabs>
              <w:spacing w:before="0" w:line="240" w:lineRule="auto"/>
              <w:rPr>
                <w:rFonts w:eastAsia="Times New Roman" w:cs="Open Sans Light"/>
                <w:sz w:val="16"/>
                <w:szCs w:val="16"/>
                <w:lang w:val="en-AU" w:eastAsia="en-AU"/>
              </w:rPr>
            </w:pPr>
            <w:r w:rsidRPr="00245505">
              <w:rPr>
                <w:rFonts w:eastAsia="Times New Roman" w:cs="Open Sans Light"/>
                <w:sz w:val="16"/>
                <w:szCs w:val="16"/>
                <w:lang w:val="en-AU" w:eastAsia="en-AU"/>
              </w:rPr>
              <w:t>Data revisions</w:t>
            </w:r>
          </w:p>
        </w:tc>
        <w:tc>
          <w:tcPr>
            <w:tcW w:w="652" w:type="dxa"/>
            <w:tcBorders>
              <w:top w:val="nil"/>
              <w:left w:val="nil"/>
              <w:bottom w:val="single" w:sz="4" w:space="0" w:color="ADD6EA"/>
              <w:right w:val="nil"/>
            </w:tcBorders>
            <w:shd w:val="clear" w:color="auto" w:fill="auto"/>
            <w:vAlign w:val="bottom"/>
            <w:hideMark/>
          </w:tcPr>
          <w:p w14:paraId="171623B3"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-275</w:t>
            </w:r>
          </w:p>
        </w:tc>
        <w:tc>
          <w:tcPr>
            <w:tcW w:w="728" w:type="dxa"/>
            <w:tcBorders>
              <w:top w:val="nil"/>
              <w:left w:val="nil"/>
              <w:bottom w:val="single" w:sz="4" w:space="0" w:color="ADD6EA"/>
              <w:right w:val="nil"/>
            </w:tcBorders>
            <w:shd w:val="clear" w:color="auto" w:fill="auto"/>
            <w:vAlign w:val="bottom"/>
            <w:hideMark/>
          </w:tcPr>
          <w:p w14:paraId="47644B84"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113</w:t>
            </w:r>
          </w:p>
        </w:tc>
        <w:tc>
          <w:tcPr>
            <w:tcW w:w="728" w:type="dxa"/>
            <w:tcBorders>
              <w:top w:val="nil"/>
              <w:left w:val="nil"/>
              <w:bottom w:val="single" w:sz="4" w:space="0" w:color="ADD6EA"/>
              <w:right w:val="nil"/>
            </w:tcBorders>
            <w:shd w:val="clear" w:color="auto" w:fill="auto"/>
            <w:vAlign w:val="bottom"/>
            <w:hideMark/>
          </w:tcPr>
          <w:p w14:paraId="6DB1D759"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271</w:t>
            </w:r>
          </w:p>
        </w:tc>
        <w:tc>
          <w:tcPr>
            <w:tcW w:w="728" w:type="dxa"/>
            <w:tcBorders>
              <w:top w:val="nil"/>
              <w:left w:val="nil"/>
              <w:bottom w:val="single" w:sz="4" w:space="0" w:color="ADD6EA"/>
              <w:right w:val="nil"/>
            </w:tcBorders>
            <w:shd w:val="clear" w:color="auto" w:fill="auto"/>
            <w:vAlign w:val="bottom"/>
            <w:hideMark/>
          </w:tcPr>
          <w:p w14:paraId="5A9F6DB6"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-31</w:t>
            </w:r>
          </w:p>
        </w:tc>
        <w:tc>
          <w:tcPr>
            <w:tcW w:w="728" w:type="dxa"/>
            <w:tcBorders>
              <w:top w:val="nil"/>
              <w:left w:val="nil"/>
              <w:bottom w:val="single" w:sz="4" w:space="0" w:color="ADD6EA"/>
              <w:right w:val="nil"/>
            </w:tcBorders>
            <w:shd w:val="clear" w:color="auto" w:fill="auto"/>
            <w:vAlign w:val="bottom"/>
            <w:hideMark/>
          </w:tcPr>
          <w:p w14:paraId="3140CD0A"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-53</w:t>
            </w:r>
          </w:p>
        </w:tc>
        <w:tc>
          <w:tcPr>
            <w:tcW w:w="728" w:type="dxa"/>
            <w:tcBorders>
              <w:top w:val="nil"/>
              <w:left w:val="nil"/>
              <w:bottom w:val="single" w:sz="4" w:space="0" w:color="ADD6EA"/>
              <w:right w:val="nil"/>
            </w:tcBorders>
            <w:shd w:val="clear" w:color="auto" w:fill="auto"/>
            <w:vAlign w:val="bottom"/>
            <w:hideMark/>
          </w:tcPr>
          <w:p w14:paraId="1E06BE05"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14</w:t>
            </w:r>
          </w:p>
        </w:tc>
        <w:tc>
          <w:tcPr>
            <w:tcW w:w="730" w:type="dxa"/>
            <w:tcBorders>
              <w:top w:val="nil"/>
              <w:left w:val="nil"/>
              <w:bottom w:val="single" w:sz="4" w:space="0" w:color="ADD6EA"/>
              <w:right w:val="nil"/>
            </w:tcBorders>
            <w:shd w:val="clear" w:color="auto" w:fill="auto"/>
            <w:vAlign w:val="bottom"/>
            <w:hideMark/>
          </w:tcPr>
          <w:p w14:paraId="03B480F0"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-19</w:t>
            </w:r>
          </w:p>
        </w:tc>
        <w:tc>
          <w:tcPr>
            <w:tcW w:w="728" w:type="dxa"/>
            <w:tcBorders>
              <w:top w:val="nil"/>
              <w:left w:val="nil"/>
              <w:bottom w:val="single" w:sz="4" w:space="0" w:color="ADD6EA"/>
              <w:right w:val="nil"/>
            </w:tcBorders>
            <w:shd w:val="clear" w:color="auto" w:fill="auto"/>
            <w:vAlign w:val="bottom"/>
            <w:hideMark/>
          </w:tcPr>
          <w:p w14:paraId="3EC336BA"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-18</w:t>
            </w:r>
          </w:p>
        </w:tc>
        <w:tc>
          <w:tcPr>
            <w:tcW w:w="742" w:type="dxa"/>
            <w:tcBorders>
              <w:top w:val="nil"/>
              <w:left w:val="nil"/>
              <w:bottom w:val="single" w:sz="4" w:space="0" w:color="ADD6EA"/>
              <w:right w:val="nil"/>
            </w:tcBorders>
            <w:shd w:val="clear" w:color="auto" w:fill="auto"/>
            <w:vAlign w:val="bottom"/>
            <w:hideMark/>
          </w:tcPr>
          <w:p w14:paraId="6217589B"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397</w:t>
            </w:r>
          </w:p>
        </w:tc>
      </w:tr>
      <w:tr w:rsidR="00245505" w:rsidRPr="00245505" w14:paraId="0B03B986" w14:textId="77777777" w:rsidTr="00015468">
        <w:trPr>
          <w:trHeight w:val="315"/>
        </w:trPr>
        <w:tc>
          <w:tcPr>
            <w:tcW w:w="2410" w:type="dxa"/>
            <w:tcBorders>
              <w:top w:val="nil"/>
              <w:left w:val="nil"/>
              <w:bottom w:val="single" w:sz="4" w:space="0" w:color="ADD6EA"/>
              <w:right w:val="nil"/>
            </w:tcBorders>
            <w:shd w:val="clear" w:color="auto" w:fill="auto"/>
            <w:vAlign w:val="bottom"/>
            <w:hideMark/>
          </w:tcPr>
          <w:p w14:paraId="3E6E5191" w14:textId="77777777" w:rsidR="00245505" w:rsidRPr="00245505" w:rsidRDefault="00245505" w:rsidP="00245505">
            <w:pPr>
              <w:tabs>
                <w:tab w:val="clear" w:pos="567"/>
              </w:tabs>
              <w:spacing w:before="0" w:line="240" w:lineRule="auto"/>
              <w:rPr>
                <w:rFonts w:eastAsia="Times New Roman" w:cs="Open Sans Light"/>
                <w:sz w:val="16"/>
                <w:szCs w:val="16"/>
                <w:lang w:val="en-AU" w:eastAsia="en-AU"/>
              </w:rPr>
            </w:pPr>
            <w:r w:rsidRPr="00245505">
              <w:rPr>
                <w:rFonts w:eastAsia="Times New Roman" w:cs="Open Sans Light"/>
                <w:sz w:val="16"/>
                <w:szCs w:val="16"/>
                <w:lang w:val="en-AU" w:eastAsia="en-AU"/>
              </w:rPr>
              <w:t>State circumstances</w:t>
            </w:r>
          </w:p>
        </w:tc>
        <w:tc>
          <w:tcPr>
            <w:tcW w:w="652" w:type="dxa"/>
            <w:tcBorders>
              <w:top w:val="nil"/>
              <w:left w:val="nil"/>
              <w:bottom w:val="single" w:sz="4" w:space="0" w:color="ADD6EA"/>
              <w:right w:val="nil"/>
            </w:tcBorders>
            <w:shd w:val="clear" w:color="auto" w:fill="auto"/>
            <w:vAlign w:val="bottom"/>
            <w:hideMark/>
          </w:tcPr>
          <w:p w14:paraId="293BFBE6"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595</w:t>
            </w:r>
          </w:p>
        </w:tc>
        <w:tc>
          <w:tcPr>
            <w:tcW w:w="728" w:type="dxa"/>
            <w:tcBorders>
              <w:top w:val="nil"/>
              <w:left w:val="nil"/>
              <w:bottom w:val="single" w:sz="4" w:space="0" w:color="ADD6EA"/>
              <w:right w:val="nil"/>
            </w:tcBorders>
            <w:shd w:val="clear" w:color="auto" w:fill="auto"/>
            <w:vAlign w:val="bottom"/>
            <w:hideMark/>
          </w:tcPr>
          <w:p w14:paraId="7D3B6052"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279</w:t>
            </w:r>
          </w:p>
        </w:tc>
        <w:tc>
          <w:tcPr>
            <w:tcW w:w="728" w:type="dxa"/>
            <w:tcBorders>
              <w:top w:val="nil"/>
              <w:left w:val="nil"/>
              <w:bottom w:val="single" w:sz="4" w:space="0" w:color="ADD6EA"/>
              <w:right w:val="nil"/>
            </w:tcBorders>
            <w:shd w:val="clear" w:color="auto" w:fill="auto"/>
            <w:vAlign w:val="bottom"/>
            <w:hideMark/>
          </w:tcPr>
          <w:p w14:paraId="69EB2BB6"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-477</w:t>
            </w:r>
          </w:p>
        </w:tc>
        <w:tc>
          <w:tcPr>
            <w:tcW w:w="728" w:type="dxa"/>
            <w:tcBorders>
              <w:top w:val="nil"/>
              <w:left w:val="nil"/>
              <w:bottom w:val="single" w:sz="4" w:space="0" w:color="ADD6EA"/>
              <w:right w:val="nil"/>
            </w:tcBorders>
            <w:shd w:val="clear" w:color="auto" w:fill="auto"/>
            <w:vAlign w:val="bottom"/>
            <w:hideMark/>
          </w:tcPr>
          <w:p w14:paraId="7DF8E41E"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-330</w:t>
            </w:r>
          </w:p>
        </w:tc>
        <w:tc>
          <w:tcPr>
            <w:tcW w:w="728" w:type="dxa"/>
            <w:tcBorders>
              <w:top w:val="nil"/>
              <w:left w:val="nil"/>
              <w:bottom w:val="single" w:sz="4" w:space="0" w:color="ADD6EA"/>
              <w:right w:val="nil"/>
            </w:tcBorders>
            <w:shd w:val="clear" w:color="auto" w:fill="auto"/>
            <w:vAlign w:val="bottom"/>
            <w:hideMark/>
          </w:tcPr>
          <w:p w14:paraId="50544E88"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-172</w:t>
            </w:r>
          </w:p>
        </w:tc>
        <w:tc>
          <w:tcPr>
            <w:tcW w:w="728" w:type="dxa"/>
            <w:tcBorders>
              <w:top w:val="nil"/>
              <w:left w:val="nil"/>
              <w:bottom w:val="single" w:sz="4" w:space="0" w:color="ADD6EA"/>
              <w:right w:val="nil"/>
            </w:tcBorders>
            <w:shd w:val="clear" w:color="auto" w:fill="auto"/>
            <w:vAlign w:val="bottom"/>
            <w:hideMark/>
          </w:tcPr>
          <w:p w14:paraId="4D558628"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45</w:t>
            </w:r>
          </w:p>
        </w:tc>
        <w:tc>
          <w:tcPr>
            <w:tcW w:w="730" w:type="dxa"/>
            <w:tcBorders>
              <w:top w:val="nil"/>
              <w:left w:val="nil"/>
              <w:bottom w:val="single" w:sz="4" w:space="0" w:color="ADD6EA"/>
              <w:right w:val="nil"/>
            </w:tcBorders>
            <w:shd w:val="clear" w:color="auto" w:fill="auto"/>
            <w:vAlign w:val="bottom"/>
            <w:hideMark/>
          </w:tcPr>
          <w:p w14:paraId="650882B2"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-6</w:t>
            </w:r>
          </w:p>
        </w:tc>
        <w:tc>
          <w:tcPr>
            <w:tcW w:w="728" w:type="dxa"/>
            <w:tcBorders>
              <w:top w:val="nil"/>
              <w:left w:val="nil"/>
              <w:bottom w:val="single" w:sz="4" w:space="0" w:color="ADD6EA"/>
              <w:right w:val="nil"/>
            </w:tcBorders>
            <w:shd w:val="clear" w:color="auto" w:fill="auto"/>
            <w:vAlign w:val="bottom"/>
            <w:hideMark/>
          </w:tcPr>
          <w:p w14:paraId="128AE286"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66</w:t>
            </w:r>
          </w:p>
        </w:tc>
        <w:tc>
          <w:tcPr>
            <w:tcW w:w="742" w:type="dxa"/>
            <w:tcBorders>
              <w:top w:val="nil"/>
              <w:left w:val="nil"/>
              <w:bottom w:val="single" w:sz="4" w:space="0" w:color="ADD6EA"/>
              <w:right w:val="nil"/>
            </w:tcBorders>
            <w:shd w:val="clear" w:color="auto" w:fill="auto"/>
            <w:vAlign w:val="bottom"/>
            <w:hideMark/>
          </w:tcPr>
          <w:p w14:paraId="7520EBD1" w14:textId="77777777" w:rsidR="00245505" w:rsidRPr="00245505" w:rsidRDefault="00245505" w:rsidP="00245505">
            <w:pPr>
              <w:tabs>
                <w:tab w:val="clear" w:pos="567"/>
              </w:tabs>
              <w:spacing w:before="0" w:line="240" w:lineRule="auto"/>
              <w:jc w:val="right"/>
              <w:rPr>
                <w:rFonts w:eastAsia="Times New Roman" w:cs="Open Sans Light"/>
                <w:sz w:val="16"/>
                <w:szCs w:val="16"/>
                <w:lang w:val="en-AU" w:eastAsia="en-AU"/>
              </w:rPr>
            </w:pPr>
            <w:r w:rsidRPr="00245505">
              <w:rPr>
                <w:rFonts w:eastAsia="Times New Roman" w:cs="Open Sans Light"/>
                <w:sz w:val="16"/>
                <w:szCs w:val="16"/>
                <w:lang w:val="en-AU" w:eastAsia="en-AU"/>
              </w:rPr>
              <w:t>985</w:t>
            </w:r>
          </w:p>
        </w:tc>
      </w:tr>
      <w:tr w:rsidR="00245505" w:rsidRPr="00245505" w14:paraId="392E9C88" w14:textId="77777777" w:rsidTr="00015468">
        <w:trPr>
          <w:trHeight w:val="315"/>
        </w:trPr>
        <w:tc>
          <w:tcPr>
            <w:tcW w:w="2410" w:type="dxa"/>
            <w:tcBorders>
              <w:top w:val="nil"/>
              <w:left w:val="nil"/>
              <w:bottom w:val="single" w:sz="4" w:space="0" w:color="ADD6EA"/>
              <w:right w:val="nil"/>
            </w:tcBorders>
            <w:shd w:val="clear" w:color="000000" w:fill="D6E7F0"/>
            <w:vAlign w:val="bottom"/>
            <w:hideMark/>
          </w:tcPr>
          <w:p w14:paraId="28F10241" w14:textId="5D541618" w:rsidR="00245505" w:rsidRPr="00245505" w:rsidRDefault="00015468" w:rsidP="00245505">
            <w:pPr>
              <w:tabs>
                <w:tab w:val="clear" w:pos="567"/>
              </w:tabs>
              <w:spacing w:before="0" w:line="240" w:lineRule="auto"/>
              <w:rPr>
                <w:rFonts w:ascii="Open Sans SemiBold" w:eastAsia="Times New Roman" w:hAnsi="Open Sans SemiBold" w:cs="Open Sans SemiBold"/>
                <w:sz w:val="16"/>
                <w:szCs w:val="16"/>
                <w:lang w:val="en-AU" w:eastAsia="en-AU"/>
              </w:rPr>
            </w:pPr>
            <w:r w:rsidRPr="00015468">
              <w:rPr>
                <w:rFonts w:ascii="Open Sans SemiBold" w:eastAsia="Times New Roman" w:hAnsi="Open Sans SemiBold" w:cs="Open Sans SemiBold"/>
                <w:sz w:val="16"/>
                <w:szCs w:val="16"/>
                <w:lang w:eastAsia="en-AU"/>
              </w:rPr>
              <w:t>Total fiscal capacity</w:t>
            </w:r>
            <w:r w:rsidR="00334954">
              <w:rPr>
                <w:rFonts w:ascii="Open Sans SemiBold" w:eastAsia="Times New Roman" w:hAnsi="Open Sans SemiBold" w:cs="Open Sans SemiBold"/>
                <w:sz w:val="16"/>
                <w:szCs w:val="16"/>
                <w:lang w:eastAsia="en-AU"/>
              </w:rPr>
              <w:t xml:space="preserve"> changes</w:t>
            </w:r>
          </w:p>
        </w:tc>
        <w:tc>
          <w:tcPr>
            <w:tcW w:w="652" w:type="dxa"/>
            <w:tcBorders>
              <w:top w:val="nil"/>
              <w:left w:val="nil"/>
              <w:bottom w:val="single" w:sz="4" w:space="0" w:color="ADD6EA"/>
              <w:right w:val="nil"/>
            </w:tcBorders>
            <w:shd w:val="clear" w:color="000000" w:fill="D6E7F0"/>
            <w:vAlign w:val="bottom"/>
            <w:hideMark/>
          </w:tcPr>
          <w:p w14:paraId="40F03069"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1,031</w:t>
            </w:r>
          </w:p>
        </w:tc>
        <w:tc>
          <w:tcPr>
            <w:tcW w:w="728" w:type="dxa"/>
            <w:tcBorders>
              <w:top w:val="nil"/>
              <w:left w:val="nil"/>
              <w:bottom w:val="single" w:sz="4" w:space="0" w:color="ADD6EA"/>
              <w:right w:val="nil"/>
            </w:tcBorders>
            <w:shd w:val="clear" w:color="000000" w:fill="D6E7F0"/>
            <w:vAlign w:val="bottom"/>
            <w:hideMark/>
          </w:tcPr>
          <w:p w14:paraId="597DF9D8"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-410</w:t>
            </w:r>
          </w:p>
        </w:tc>
        <w:tc>
          <w:tcPr>
            <w:tcW w:w="728" w:type="dxa"/>
            <w:tcBorders>
              <w:top w:val="nil"/>
              <w:left w:val="nil"/>
              <w:bottom w:val="single" w:sz="4" w:space="0" w:color="ADD6EA"/>
              <w:right w:val="nil"/>
            </w:tcBorders>
            <w:shd w:val="clear" w:color="000000" w:fill="D6E7F0"/>
            <w:vAlign w:val="bottom"/>
            <w:hideMark/>
          </w:tcPr>
          <w:p w14:paraId="50E6BB2B"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-67</w:t>
            </w:r>
          </w:p>
        </w:tc>
        <w:tc>
          <w:tcPr>
            <w:tcW w:w="728" w:type="dxa"/>
            <w:tcBorders>
              <w:top w:val="nil"/>
              <w:left w:val="nil"/>
              <w:bottom w:val="single" w:sz="4" w:space="0" w:color="ADD6EA"/>
              <w:right w:val="nil"/>
            </w:tcBorders>
            <w:shd w:val="clear" w:color="000000" w:fill="D6E7F0"/>
            <w:vAlign w:val="bottom"/>
            <w:hideMark/>
          </w:tcPr>
          <w:p w14:paraId="3EA74972"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-475</w:t>
            </w:r>
          </w:p>
        </w:tc>
        <w:tc>
          <w:tcPr>
            <w:tcW w:w="728" w:type="dxa"/>
            <w:tcBorders>
              <w:top w:val="nil"/>
              <w:left w:val="nil"/>
              <w:bottom w:val="single" w:sz="4" w:space="0" w:color="ADD6EA"/>
              <w:right w:val="nil"/>
            </w:tcBorders>
            <w:shd w:val="clear" w:color="000000" w:fill="D6E7F0"/>
            <w:vAlign w:val="bottom"/>
            <w:hideMark/>
          </w:tcPr>
          <w:p w14:paraId="32B978AD"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-499</w:t>
            </w:r>
          </w:p>
        </w:tc>
        <w:tc>
          <w:tcPr>
            <w:tcW w:w="728" w:type="dxa"/>
            <w:tcBorders>
              <w:top w:val="nil"/>
              <w:left w:val="nil"/>
              <w:bottom w:val="single" w:sz="4" w:space="0" w:color="ADD6EA"/>
              <w:right w:val="nil"/>
            </w:tcBorders>
            <w:shd w:val="clear" w:color="000000" w:fill="D6E7F0"/>
            <w:vAlign w:val="bottom"/>
            <w:hideMark/>
          </w:tcPr>
          <w:p w14:paraId="10574BA8"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200</w:t>
            </w:r>
          </w:p>
        </w:tc>
        <w:tc>
          <w:tcPr>
            <w:tcW w:w="730" w:type="dxa"/>
            <w:tcBorders>
              <w:top w:val="nil"/>
              <w:left w:val="nil"/>
              <w:bottom w:val="single" w:sz="4" w:space="0" w:color="ADD6EA"/>
              <w:right w:val="nil"/>
            </w:tcBorders>
            <w:shd w:val="clear" w:color="000000" w:fill="D6E7F0"/>
            <w:vAlign w:val="bottom"/>
            <w:hideMark/>
          </w:tcPr>
          <w:p w14:paraId="7FFE3874"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-99</w:t>
            </w:r>
          </w:p>
        </w:tc>
        <w:tc>
          <w:tcPr>
            <w:tcW w:w="728" w:type="dxa"/>
            <w:tcBorders>
              <w:top w:val="nil"/>
              <w:left w:val="nil"/>
              <w:bottom w:val="single" w:sz="4" w:space="0" w:color="ADD6EA"/>
              <w:right w:val="nil"/>
            </w:tcBorders>
            <w:shd w:val="clear" w:color="000000" w:fill="D6E7F0"/>
            <w:vAlign w:val="bottom"/>
            <w:hideMark/>
          </w:tcPr>
          <w:p w14:paraId="56C8C4D5"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320</w:t>
            </w:r>
          </w:p>
        </w:tc>
        <w:tc>
          <w:tcPr>
            <w:tcW w:w="742" w:type="dxa"/>
            <w:tcBorders>
              <w:top w:val="nil"/>
              <w:left w:val="nil"/>
              <w:bottom w:val="single" w:sz="4" w:space="0" w:color="ADD6EA"/>
              <w:right w:val="nil"/>
            </w:tcBorders>
            <w:shd w:val="clear" w:color="000000" w:fill="D6E7F0"/>
            <w:vAlign w:val="bottom"/>
            <w:hideMark/>
          </w:tcPr>
          <w:p w14:paraId="6F34019B" w14:textId="77777777" w:rsidR="00245505" w:rsidRPr="00245505" w:rsidRDefault="00245505" w:rsidP="0024550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245505">
              <w:rPr>
                <w:rFonts w:ascii="Open Sans SemiBold" w:eastAsia="Times New Roman" w:hAnsi="Open Sans SemiBold" w:cs="Open Sans SemiBold"/>
                <w:sz w:val="16"/>
                <w:szCs w:val="16"/>
                <w:lang w:val="en-AU" w:eastAsia="en-AU"/>
              </w:rPr>
              <w:t>1,551</w:t>
            </w:r>
          </w:p>
        </w:tc>
      </w:tr>
    </w:tbl>
    <w:p w14:paraId="70C81458" w14:textId="1D8BBEED" w:rsidR="00CC3B66" w:rsidRDefault="00903284" w:rsidP="00903284">
      <w:pPr>
        <w:pStyle w:val="CGCTablenote"/>
        <w:ind w:left="113" w:firstLine="0"/>
      </w:pPr>
      <w:r>
        <w:t>Note:</w:t>
      </w:r>
      <w:r>
        <w:tab/>
      </w:r>
      <w:r w:rsidR="00CC3B66">
        <w:t>The redistribution is calculated as the sum of a</w:t>
      </w:r>
      <w:r w:rsidR="009A641E">
        <w:t>l</w:t>
      </w:r>
      <w:r w:rsidR="00CC3B66">
        <w:t>l the positive numbers in the row.</w:t>
      </w:r>
      <w:r>
        <w:t xml:space="preserve"> Totals may not add due to rounding.</w:t>
      </w:r>
    </w:p>
    <w:p w14:paraId="1B78ADAB" w14:textId="62471579" w:rsidR="00CC3B66" w:rsidRPr="00CC3B66" w:rsidRDefault="00CC3B66" w:rsidP="00CC3B66">
      <w:pPr>
        <w:pStyle w:val="CGCTablenote"/>
      </w:pPr>
      <w:r>
        <w:t>Source:</w:t>
      </w:r>
      <w:r>
        <w:tab/>
        <w:t>Commission calculation.</w:t>
      </w:r>
    </w:p>
    <w:bookmarkEnd w:id="19"/>
    <w:p w14:paraId="2F2E42A5" w14:textId="423C5AA9" w:rsidR="00DC7FD3" w:rsidRDefault="00DC7FD3" w:rsidP="00A11561">
      <w:pPr>
        <w:pStyle w:val="CGCParaNumber"/>
      </w:pPr>
      <w:r>
        <w:t xml:space="preserve">The </w:t>
      </w:r>
      <w:r w:rsidR="00F37439">
        <w:t xml:space="preserve">method changes in </w:t>
      </w:r>
      <w:r w:rsidR="00F37439">
        <w:fldChar w:fldCharType="begin"/>
      </w:r>
      <w:r w:rsidR="00F37439">
        <w:instrText xml:space="preserve"> REF _Ref30429109 \h </w:instrText>
      </w:r>
      <w:r w:rsidR="00F37439">
        <w:fldChar w:fldCharType="separate"/>
      </w:r>
      <w:r w:rsidR="003D49C2">
        <w:t>Table 2</w:t>
      </w:r>
      <w:r w:rsidR="003D49C2">
        <w:noBreakHyphen/>
      </w:r>
      <w:r w:rsidR="003D49C2">
        <w:rPr>
          <w:noProof/>
        </w:rPr>
        <w:t>2</w:t>
      </w:r>
      <w:r w:rsidR="00F37439">
        <w:fldChar w:fldCharType="end"/>
      </w:r>
      <w:r w:rsidR="00F37439">
        <w:t xml:space="preserve"> </w:t>
      </w:r>
      <w:r w:rsidR="00DD09CC">
        <w:t xml:space="preserve">(and subsequent tables) </w:t>
      </w:r>
      <w:r w:rsidR="00F37439">
        <w:t xml:space="preserve">include </w:t>
      </w:r>
      <w:r w:rsidR="00F17B65">
        <w:t>the effects of revising average expenses and revenue between the 2019 Update and 2020 Review.</w:t>
      </w:r>
      <w:r w:rsidR="00A43C69">
        <w:rPr>
          <w:rStyle w:val="FootnoteReference"/>
        </w:rPr>
        <w:footnoteReference w:id="4"/>
      </w:r>
      <w:r w:rsidR="00F17B65">
        <w:t xml:space="preserve"> </w:t>
      </w:r>
    </w:p>
    <w:p w14:paraId="58ED15DF" w14:textId="3C73526F" w:rsidR="003126B8" w:rsidRPr="003126B8" w:rsidRDefault="003126B8" w:rsidP="003126B8">
      <w:pPr>
        <w:pStyle w:val="Heading3"/>
      </w:pPr>
      <w:bookmarkStart w:id="20" w:name="_Toc33600544"/>
      <w:r w:rsidRPr="003126B8">
        <w:t>Method changes</w:t>
      </w:r>
      <w:bookmarkEnd w:id="20"/>
    </w:p>
    <w:p w14:paraId="549ECFD5" w14:textId="0CEACFAF" w:rsidR="009A14D0" w:rsidRPr="00254787" w:rsidRDefault="00624752" w:rsidP="00EC252A">
      <w:pPr>
        <w:pStyle w:val="CGCParaNumber"/>
      </w:pPr>
      <w:bookmarkStart w:id="21" w:name="_Ref30685734"/>
      <w:r>
        <w:t>The</w:t>
      </w:r>
      <w:r w:rsidR="00254787">
        <w:t xml:space="preserve"> </w:t>
      </w:r>
      <w:r>
        <w:t xml:space="preserve">terms of reference for the </w:t>
      </w:r>
      <w:r w:rsidR="007F073B">
        <w:t xml:space="preserve">2020 Review asked the Commission to review </w:t>
      </w:r>
      <w:r w:rsidR="00B670D4">
        <w:t xml:space="preserve">the methods it uses to calculate the relativities. </w:t>
      </w:r>
      <w:r w:rsidR="00CA5D18">
        <w:t xml:space="preserve">Method changes in this review changed the redistribution by </w:t>
      </w:r>
      <w:r w:rsidR="00CA5D18" w:rsidRPr="00425682">
        <w:t>$</w:t>
      </w:r>
      <w:r w:rsidR="00B04601" w:rsidRPr="00425682">
        <w:t>1,</w:t>
      </w:r>
      <w:r w:rsidR="00B62525" w:rsidRPr="00425682">
        <w:t>2</w:t>
      </w:r>
      <w:r w:rsidR="00EF0C32">
        <w:t>6</w:t>
      </w:r>
      <w:r w:rsidR="003C3A01">
        <w:t>4</w:t>
      </w:r>
      <w:r w:rsidR="00B04601" w:rsidRPr="004137EF">
        <w:t> </w:t>
      </w:r>
      <w:r w:rsidR="00CA5D18" w:rsidRPr="004137EF">
        <w:t>million</w:t>
      </w:r>
      <w:r w:rsidR="00CA5D18">
        <w:t xml:space="preserve">. The method changes </w:t>
      </w:r>
      <w:r w:rsidR="008279E4">
        <w:t xml:space="preserve">that have had the largest </w:t>
      </w:r>
      <w:r w:rsidR="001C09FB">
        <w:t xml:space="preserve">redistributive </w:t>
      </w:r>
      <w:r w:rsidR="008279E4">
        <w:t>effect</w:t>
      </w:r>
      <w:r w:rsidR="001C09FB">
        <w:t>s</w:t>
      </w:r>
      <w:r w:rsidR="008279E4">
        <w:t xml:space="preserve"> </w:t>
      </w:r>
      <w:r w:rsidR="00CA5D18">
        <w:t xml:space="preserve">are shown in </w:t>
      </w:r>
      <w:r w:rsidR="002B5D73">
        <w:fldChar w:fldCharType="begin"/>
      </w:r>
      <w:r w:rsidR="002B5D73">
        <w:instrText xml:space="preserve"> REF _Ref30523129 \h </w:instrText>
      </w:r>
      <w:r w:rsidR="002B5D73">
        <w:fldChar w:fldCharType="separate"/>
      </w:r>
      <w:r w:rsidR="003D49C2">
        <w:t>Table 2</w:t>
      </w:r>
      <w:r w:rsidR="003D49C2">
        <w:noBreakHyphen/>
      </w:r>
      <w:r w:rsidR="003D49C2">
        <w:rPr>
          <w:noProof/>
        </w:rPr>
        <w:t>3</w:t>
      </w:r>
      <w:r w:rsidR="002B5D73">
        <w:fldChar w:fldCharType="end"/>
      </w:r>
      <w:r w:rsidR="001C3FF4">
        <w:t xml:space="preserve"> and </w:t>
      </w:r>
      <w:r w:rsidR="00A7011F">
        <w:t xml:space="preserve">are </w:t>
      </w:r>
      <w:r w:rsidR="00246973">
        <w:t>described below</w:t>
      </w:r>
      <w:r w:rsidR="001C3FF4">
        <w:t>.</w:t>
      </w:r>
      <w:r w:rsidR="00BD7417" w:rsidRPr="00291F29">
        <w:rPr>
          <w:rStyle w:val="FootnoteReference"/>
        </w:rPr>
        <w:footnoteReference w:id="5"/>
      </w:r>
      <w:r w:rsidR="00BD7417" w:rsidRPr="00291F29">
        <w:t xml:space="preserve"> </w:t>
      </w:r>
      <w:r w:rsidR="00524E09" w:rsidRPr="002F6ED9">
        <w:t xml:space="preserve">Further details on the changes and the reasons for them can be found in the relevant chapters </w:t>
      </w:r>
      <w:r w:rsidR="00B56827">
        <w:t>of</w:t>
      </w:r>
      <w:r w:rsidR="00524E09" w:rsidRPr="002F6ED9">
        <w:t xml:space="preserve"> Volume</w:t>
      </w:r>
      <w:r w:rsidR="00B63381">
        <w:t> </w:t>
      </w:r>
      <w:r w:rsidR="00524E09" w:rsidRPr="002F6ED9">
        <w:t>2</w:t>
      </w:r>
      <w:r w:rsidR="00524E09" w:rsidRPr="00254787">
        <w:t>.</w:t>
      </w:r>
      <w:bookmarkEnd w:id="21"/>
    </w:p>
    <w:p w14:paraId="7FEDDA7F" w14:textId="5479EDD8" w:rsidR="00335744" w:rsidRDefault="00335744" w:rsidP="00335744">
      <w:pPr>
        <w:pStyle w:val="CGCTableHeading"/>
      </w:pPr>
      <w:bookmarkStart w:id="22" w:name="_Ref30523129"/>
      <w:r>
        <w:t xml:space="preserve">Table </w:t>
      </w:r>
      <w:r w:rsidR="007D70A7">
        <w:t>2</w:t>
      </w:r>
      <w:r w:rsidR="007D70A7">
        <w:noBreakHyphen/>
      </w:r>
      <w:r>
        <w:fldChar w:fldCharType="begin"/>
      </w:r>
      <w:r>
        <w:instrText>SEQ Table \* ARABIC</w:instrText>
      </w:r>
      <w:r>
        <w:fldChar w:fldCharType="separate"/>
      </w:r>
      <w:r w:rsidR="003D49C2">
        <w:rPr>
          <w:noProof/>
        </w:rPr>
        <w:t>3</w:t>
      </w:r>
      <w:r>
        <w:fldChar w:fldCharType="end"/>
      </w:r>
      <w:bookmarkEnd w:id="22"/>
      <w:r>
        <w:tab/>
      </w:r>
      <w:r w:rsidR="0014582D">
        <w:t>Effects of m</w:t>
      </w:r>
      <w:r>
        <w:t>ajor changes in methods</w:t>
      </w:r>
      <w:r w:rsidR="00D64CCC">
        <w:t xml:space="preserve"> on the illustrative GST distribution</w:t>
      </w:r>
      <w:r w:rsidR="00A37057">
        <w:t>, 202</w:t>
      </w:r>
      <w:r w:rsidR="00C4363B">
        <w:t>0</w:t>
      </w:r>
      <w:r w:rsidR="00A37057">
        <w:noBreakHyphen/>
        <w:t>21</w:t>
      </w:r>
    </w:p>
    <w:tbl>
      <w:tblPr>
        <w:tblW w:w="8940" w:type="dxa"/>
        <w:tblCellMar>
          <w:left w:w="0" w:type="dxa"/>
          <w:right w:w="28" w:type="dxa"/>
        </w:tblCellMar>
        <w:tblLook w:val="04A0" w:firstRow="1" w:lastRow="0" w:firstColumn="1" w:lastColumn="0" w:noHBand="0" w:noVBand="1"/>
      </w:tblPr>
      <w:tblGrid>
        <w:gridCol w:w="2460"/>
        <w:gridCol w:w="720"/>
        <w:gridCol w:w="720"/>
        <w:gridCol w:w="720"/>
        <w:gridCol w:w="720"/>
        <w:gridCol w:w="720"/>
        <w:gridCol w:w="720"/>
        <w:gridCol w:w="720"/>
        <w:gridCol w:w="720"/>
        <w:gridCol w:w="720"/>
      </w:tblGrid>
      <w:tr w:rsidR="00520485" w:rsidRPr="00520485" w14:paraId="4CB206B2" w14:textId="77777777" w:rsidTr="00664FDC">
        <w:trPr>
          <w:trHeight w:val="375"/>
        </w:trPr>
        <w:tc>
          <w:tcPr>
            <w:tcW w:w="2460" w:type="dxa"/>
            <w:tcBorders>
              <w:top w:val="single" w:sz="4" w:space="0" w:color="ADD6EA"/>
              <w:left w:val="nil"/>
              <w:bottom w:val="single" w:sz="4" w:space="0" w:color="ADD6EA"/>
              <w:right w:val="nil"/>
            </w:tcBorders>
            <w:shd w:val="clear" w:color="000000" w:fill="006991"/>
            <w:vAlign w:val="center"/>
            <w:hideMark/>
          </w:tcPr>
          <w:p w14:paraId="749DFE07"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 </w:t>
            </w:r>
          </w:p>
        </w:tc>
        <w:tc>
          <w:tcPr>
            <w:tcW w:w="720" w:type="dxa"/>
            <w:tcBorders>
              <w:top w:val="single" w:sz="4" w:space="0" w:color="ADD6EA"/>
              <w:left w:val="nil"/>
              <w:bottom w:val="single" w:sz="4" w:space="0" w:color="ADD6EA"/>
              <w:right w:val="nil"/>
            </w:tcBorders>
            <w:shd w:val="clear" w:color="000000" w:fill="006991"/>
            <w:vAlign w:val="center"/>
            <w:hideMark/>
          </w:tcPr>
          <w:p w14:paraId="6C27487A"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3A146CED"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3CA39CA2"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Qld</w:t>
            </w:r>
          </w:p>
        </w:tc>
        <w:tc>
          <w:tcPr>
            <w:tcW w:w="720" w:type="dxa"/>
            <w:tcBorders>
              <w:top w:val="single" w:sz="4" w:space="0" w:color="ADD6EA"/>
              <w:left w:val="nil"/>
              <w:bottom w:val="single" w:sz="4" w:space="0" w:color="ADD6EA"/>
              <w:right w:val="nil"/>
            </w:tcBorders>
            <w:shd w:val="clear" w:color="000000" w:fill="006991"/>
            <w:vAlign w:val="center"/>
            <w:hideMark/>
          </w:tcPr>
          <w:p w14:paraId="6BBCD934"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WA</w:t>
            </w:r>
          </w:p>
        </w:tc>
        <w:tc>
          <w:tcPr>
            <w:tcW w:w="720" w:type="dxa"/>
            <w:tcBorders>
              <w:top w:val="single" w:sz="4" w:space="0" w:color="ADD6EA"/>
              <w:left w:val="nil"/>
              <w:bottom w:val="single" w:sz="4" w:space="0" w:color="ADD6EA"/>
              <w:right w:val="nil"/>
            </w:tcBorders>
            <w:shd w:val="clear" w:color="000000" w:fill="006991"/>
            <w:vAlign w:val="center"/>
            <w:hideMark/>
          </w:tcPr>
          <w:p w14:paraId="46E57E60"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SA</w:t>
            </w:r>
          </w:p>
        </w:tc>
        <w:tc>
          <w:tcPr>
            <w:tcW w:w="720" w:type="dxa"/>
            <w:tcBorders>
              <w:top w:val="single" w:sz="4" w:space="0" w:color="ADD6EA"/>
              <w:left w:val="nil"/>
              <w:bottom w:val="single" w:sz="4" w:space="0" w:color="ADD6EA"/>
              <w:right w:val="nil"/>
            </w:tcBorders>
            <w:shd w:val="clear" w:color="000000" w:fill="006991"/>
            <w:vAlign w:val="center"/>
            <w:hideMark/>
          </w:tcPr>
          <w:p w14:paraId="6D2E04A9"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1975B4CB"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ACT</w:t>
            </w:r>
          </w:p>
        </w:tc>
        <w:tc>
          <w:tcPr>
            <w:tcW w:w="720" w:type="dxa"/>
            <w:tcBorders>
              <w:top w:val="single" w:sz="4" w:space="0" w:color="ADD6EA"/>
              <w:left w:val="nil"/>
              <w:bottom w:val="single" w:sz="4" w:space="0" w:color="ADD6EA"/>
              <w:right w:val="nil"/>
            </w:tcBorders>
            <w:shd w:val="clear" w:color="000000" w:fill="006991"/>
            <w:vAlign w:val="center"/>
            <w:hideMark/>
          </w:tcPr>
          <w:p w14:paraId="53A58AB7"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10C76673"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20485">
              <w:rPr>
                <w:rFonts w:ascii="Open Sans SemiBold" w:eastAsia="Times New Roman" w:hAnsi="Open Sans SemiBold" w:cs="Open Sans SemiBold"/>
                <w:color w:val="FFFFFF"/>
                <w:sz w:val="16"/>
                <w:szCs w:val="16"/>
                <w:lang w:val="en-AU" w:eastAsia="en-AU"/>
              </w:rPr>
              <w:t>Redist</w:t>
            </w:r>
          </w:p>
        </w:tc>
      </w:tr>
      <w:tr w:rsidR="00520485" w:rsidRPr="00520485" w14:paraId="04579662" w14:textId="77777777" w:rsidTr="00664FDC">
        <w:trPr>
          <w:trHeight w:val="259"/>
        </w:trPr>
        <w:tc>
          <w:tcPr>
            <w:tcW w:w="2460" w:type="dxa"/>
            <w:tcBorders>
              <w:top w:val="nil"/>
              <w:left w:val="nil"/>
              <w:bottom w:val="single" w:sz="4" w:space="0" w:color="ADD6EA"/>
              <w:right w:val="nil"/>
            </w:tcBorders>
            <w:shd w:val="clear" w:color="000000" w:fill="B6D5E4"/>
            <w:vAlign w:val="bottom"/>
            <w:hideMark/>
          </w:tcPr>
          <w:p w14:paraId="64B7A7FD"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000000" w:fill="B6D5E4"/>
            <w:vAlign w:val="center"/>
            <w:hideMark/>
          </w:tcPr>
          <w:p w14:paraId="74B48021"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4BA46F6B"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7E533867"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59A7D422"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1681FAFD"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13867F33"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29CA7F5A"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58845F88"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c>
          <w:tcPr>
            <w:tcW w:w="720" w:type="dxa"/>
            <w:tcBorders>
              <w:top w:val="nil"/>
              <w:left w:val="nil"/>
              <w:bottom w:val="single" w:sz="4" w:space="0" w:color="ADD6EA"/>
              <w:right w:val="nil"/>
            </w:tcBorders>
            <w:shd w:val="clear" w:color="000000" w:fill="B6D5E4"/>
            <w:vAlign w:val="center"/>
            <w:hideMark/>
          </w:tcPr>
          <w:p w14:paraId="6951DB51"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$m</w:t>
            </w:r>
          </w:p>
        </w:tc>
      </w:tr>
      <w:tr w:rsidR="00520485" w:rsidRPr="00520485" w14:paraId="5F69CDCC"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2F30ECEB"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Transport</w:t>
            </w:r>
          </w:p>
        </w:tc>
        <w:tc>
          <w:tcPr>
            <w:tcW w:w="720" w:type="dxa"/>
            <w:tcBorders>
              <w:top w:val="nil"/>
              <w:left w:val="nil"/>
              <w:bottom w:val="single" w:sz="4" w:space="0" w:color="ADD6EA"/>
              <w:right w:val="nil"/>
            </w:tcBorders>
            <w:shd w:val="clear" w:color="auto" w:fill="auto"/>
            <w:vAlign w:val="bottom"/>
            <w:hideMark/>
          </w:tcPr>
          <w:p w14:paraId="02FDB982"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896</w:t>
            </w:r>
          </w:p>
        </w:tc>
        <w:tc>
          <w:tcPr>
            <w:tcW w:w="720" w:type="dxa"/>
            <w:tcBorders>
              <w:top w:val="nil"/>
              <w:left w:val="nil"/>
              <w:bottom w:val="single" w:sz="4" w:space="0" w:color="ADD6EA"/>
              <w:right w:val="nil"/>
            </w:tcBorders>
            <w:shd w:val="clear" w:color="auto" w:fill="auto"/>
            <w:vAlign w:val="bottom"/>
            <w:hideMark/>
          </w:tcPr>
          <w:p w14:paraId="5AC2644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-261</w:t>
            </w:r>
          </w:p>
        </w:tc>
        <w:tc>
          <w:tcPr>
            <w:tcW w:w="720" w:type="dxa"/>
            <w:tcBorders>
              <w:top w:val="nil"/>
              <w:left w:val="nil"/>
              <w:bottom w:val="single" w:sz="4" w:space="0" w:color="ADD6EA"/>
              <w:right w:val="nil"/>
            </w:tcBorders>
            <w:shd w:val="clear" w:color="auto" w:fill="auto"/>
            <w:vAlign w:val="bottom"/>
            <w:hideMark/>
          </w:tcPr>
          <w:p w14:paraId="6E8EC107"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-340</w:t>
            </w:r>
          </w:p>
        </w:tc>
        <w:tc>
          <w:tcPr>
            <w:tcW w:w="720" w:type="dxa"/>
            <w:tcBorders>
              <w:top w:val="nil"/>
              <w:left w:val="nil"/>
              <w:bottom w:val="single" w:sz="4" w:space="0" w:color="ADD6EA"/>
              <w:right w:val="nil"/>
            </w:tcBorders>
            <w:shd w:val="clear" w:color="auto" w:fill="auto"/>
            <w:vAlign w:val="bottom"/>
            <w:hideMark/>
          </w:tcPr>
          <w:p w14:paraId="75901F54"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-230</w:t>
            </w:r>
          </w:p>
        </w:tc>
        <w:tc>
          <w:tcPr>
            <w:tcW w:w="720" w:type="dxa"/>
            <w:tcBorders>
              <w:top w:val="nil"/>
              <w:left w:val="nil"/>
              <w:bottom w:val="single" w:sz="4" w:space="0" w:color="ADD6EA"/>
              <w:right w:val="nil"/>
            </w:tcBorders>
            <w:shd w:val="clear" w:color="auto" w:fill="auto"/>
            <w:vAlign w:val="bottom"/>
            <w:hideMark/>
          </w:tcPr>
          <w:p w14:paraId="350EC809"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-103</w:t>
            </w:r>
          </w:p>
        </w:tc>
        <w:tc>
          <w:tcPr>
            <w:tcW w:w="720" w:type="dxa"/>
            <w:tcBorders>
              <w:top w:val="nil"/>
              <w:left w:val="nil"/>
              <w:bottom w:val="single" w:sz="4" w:space="0" w:color="ADD6EA"/>
              <w:right w:val="nil"/>
            </w:tcBorders>
            <w:shd w:val="clear" w:color="auto" w:fill="auto"/>
            <w:vAlign w:val="bottom"/>
            <w:hideMark/>
          </w:tcPr>
          <w:p w14:paraId="131CD81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9</w:t>
            </w:r>
          </w:p>
        </w:tc>
        <w:tc>
          <w:tcPr>
            <w:tcW w:w="720" w:type="dxa"/>
            <w:tcBorders>
              <w:top w:val="nil"/>
              <w:left w:val="nil"/>
              <w:bottom w:val="single" w:sz="4" w:space="0" w:color="ADD6EA"/>
              <w:right w:val="nil"/>
            </w:tcBorders>
            <w:shd w:val="clear" w:color="auto" w:fill="auto"/>
            <w:vAlign w:val="bottom"/>
            <w:hideMark/>
          </w:tcPr>
          <w:p w14:paraId="549B9804"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11</w:t>
            </w:r>
          </w:p>
        </w:tc>
        <w:tc>
          <w:tcPr>
            <w:tcW w:w="720" w:type="dxa"/>
            <w:tcBorders>
              <w:top w:val="nil"/>
              <w:left w:val="nil"/>
              <w:bottom w:val="single" w:sz="4" w:space="0" w:color="ADD6EA"/>
              <w:right w:val="nil"/>
            </w:tcBorders>
            <w:shd w:val="clear" w:color="auto" w:fill="auto"/>
            <w:vAlign w:val="bottom"/>
            <w:hideMark/>
          </w:tcPr>
          <w:p w14:paraId="7023B63B"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18</w:t>
            </w:r>
          </w:p>
        </w:tc>
        <w:tc>
          <w:tcPr>
            <w:tcW w:w="720" w:type="dxa"/>
            <w:tcBorders>
              <w:top w:val="nil"/>
              <w:left w:val="nil"/>
              <w:bottom w:val="single" w:sz="4" w:space="0" w:color="ADD6EA"/>
              <w:right w:val="nil"/>
            </w:tcBorders>
            <w:shd w:val="clear" w:color="auto" w:fill="auto"/>
            <w:vAlign w:val="bottom"/>
            <w:hideMark/>
          </w:tcPr>
          <w:p w14:paraId="2512DB0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933</w:t>
            </w:r>
          </w:p>
        </w:tc>
      </w:tr>
      <w:tr w:rsidR="00520485" w:rsidRPr="00520485" w14:paraId="6325576D"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7908E9AA"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Investment</w:t>
            </w:r>
          </w:p>
        </w:tc>
        <w:tc>
          <w:tcPr>
            <w:tcW w:w="720" w:type="dxa"/>
            <w:tcBorders>
              <w:top w:val="nil"/>
              <w:left w:val="nil"/>
              <w:bottom w:val="single" w:sz="4" w:space="0" w:color="ADD6EA"/>
              <w:right w:val="nil"/>
            </w:tcBorders>
            <w:shd w:val="clear" w:color="auto" w:fill="auto"/>
            <w:vAlign w:val="bottom"/>
            <w:hideMark/>
          </w:tcPr>
          <w:p w14:paraId="65F927C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73</w:t>
            </w:r>
          </w:p>
        </w:tc>
        <w:tc>
          <w:tcPr>
            <w:tcW w:w="720" w:type="dxa"/>
            <w:tcBorders>
              <w:top w:val="nil"/>
              <w:left w:val="nil"/>
              <w:bottom w:val="single" w:sz="4" w:space="0" w:color="ADD6EA"/>
              <w:right w:val="nil"/>
            </w:tcBorders>
            <w:shd w:val="clear" w:color="auto" w:fill="auto"/>
            <w:vAlign w:val="bottom"/>
            <w:hideMark/>
          </w:tcPr>
          <w:p w14:paraId="2278C5DB"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-485</w:t>
            </w:r>
          </w:p>
        </w:tc>
        <w:tc>
          <w:tcPr>
            <w:tcW w:w="720" w:type="dxa"/>
            <w:tcBorders>
              <w:top w:val="nil"/>
              <w:left w:val="nil"/>
              <w:bottom w:val="single" w:sz="4" w:space="0" w:color="ADD6EA"/>
              <w:right w:val="nil"/>
            </w:tcBorders>
            <w:shd w:val="clear" w:color="auto" w:fill="auto"/>
            <w:vAlign w:val="bottom"/>
            <w:hideMark/>
          </w:tcPr>
          <w:p w14:paraId="0E4B28FF"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287</w:t>
            </w:r>
          </w:p>
        </w:tc>
        <w:tc>
          <w:tcPr>
            <w:tcW w:w="720" w:type="dxa"/>
            <w:tcBorders>
              <w:top w:val="nil"/>
              <w:left w:val="nil"/>
              <w:bottom w:val="single" w:sz="4" w:space="0" w:color="ADD6EA"/>
              <w:right w:val="nil"/>
            </w:tcBorders>
            <w:shd w:val="clear" w:color="auto" w:fill="auto"/>
            <w:vAlign w:val="bottom"/>
            <w:hideMark/>
          </w:tcPr>
          <w:p w14:paraId="74706838"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54</w:t>
            </w:r>
          </w:p>
        </w:tc>
        <w:tc>
          <w:tcPr>
            <w:tcW w:w="720" w:type="dxa"/>
            <w:tcBorders>
              <w:top w:val="nil"/>
              <w:left w:val="nil"/>
              <w:bottom w:val="single" w:sz="4" w:space="0" w:color="ADD6EA"/>
              <w:right w:val="nil"/>
            </w:tcBorders>
            <w:shd w:val="clear" w:color="auto" w:fill="auto"/>
            <w:vAlign w:val="bottom"/>
            <w:hideMark/>
          </w:tcPr>
          <w:p w14:paraId="175B2548"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-70</w:t>
            </w:r>
          </w:p>
        </w:tc>
        <w:tc>
          <w:tcPr>
            <w:tcW w:w="720" w:type="dxa"/>
            <w:tcBorders>
              <w:top w:val="nil"/>
              <w:left w:val="nil"/>
              <w:bottom w:val="single" w:sz="4" w:space="0" w:color="ADD6EA"/>
              <w:right w:val="nil"/>
            </w:tcBorders>
            <w:shd w:val="clear" w:color="auto" w:fill="auto"/>
            <w:vAlign w:val="bottom"/>
            <w:hideMark/>
          </w:tcPr>
          <w:p w14:paraId="1EB1F53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-6</w:t>
            </w:r>
          </w:p>
        </w:tc>
        <w:tc>
          <w:tcPr>
            <w:tcW w:w="720" w:type="dxa"/>
            <w:tcBorders>
              <w:top w:val="nil"/>
              <w:left w:val="nil"/>
              <w:bottom w:val="single" w:sz="4" w:space="0" w:color="ADD6EA"/>
              <w:right w:val="nil"/>
            </w:tcBorders>
            <w:shd w:val="clear" w:color="auto" w:fill="auto"/>
            <w:vAlign w:val="bottom"/>
            <w:hideMark/>
          </w:tcPr>
          <w:p w14:paraId="2C198325"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-30</w:t>
            </w:r>
          </w:p>
        </w:tc>
        <w:tc>
          <w:tcPr>
            <w:tcW w:w="720" w:type="dxa"/>
            <w:tcBorders>
              <w:top w:val="nil"/>
              <w:left w:val="nil"/>
              <w:bottom w:val="single" w:sz="4" w:space="0" w:color="ADD6EA"/>
              <w:right w:val="nil"/>
            </w:tcBorders>
            <w:shd w:val="clear" w:color="auto" w:fill="auto"/>
            <w:vAlign w:val="bottom"/>
            <w:hideMark/>
          </w:tcPr>
          <w:p w14:paraId="69C8EA72"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176</w:t>
            </w:r>
          </w:p>
        </w:tc>
        <w:tc>
          <w:tcPr>
            <w:tcW w:w="720" w:type="dxa"/>
            <w:tcBorders>
              <w:top w:val="nil"/>
              <w:left w:val="nil"/>
              <w:bottom w:val="single" w:sz="4" w:space="0" w:color="ADD6EA"/>
              <w:right w:val="nil"/>
            </w:tcBorders>
            <w:shd w:val="clear" w:color="auto" w:fill="auto"/>
            <w:vAlign w:val="bottom"/>
            <w:hideMark/>
          </w:tcPr>
          <w:p w14:paraId="5BD7069B"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591</w:t>
            </w:r>
          </w:p>
        </w:tc>
      </w:tr>
      <w:tr w:rsidR="00520485" w:rsidRPr="00520485" w14:paraId="727DE250"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2A97D8C0"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Stamp duty on conveyances</w:t>
            </w:r>
          </w:p>
        </w:tc>
        <w:tc>
          <w:tcPr>
            <w:tcW w:w="720" w:type="dxa"/>
            <w:tcBorders>
              <w:top w:val="nil"/>
              <w:left w:val="nil"/>
              <w:bottom w:val="single" w:sz="4" w:space="0" w:color="ADD6EA"/>
              <w:right w:val="nil"/>
            </w:tcBorders>
            <w:shd w:val="clear" w:color="auto" w:fill="auto"/>
            <w:vAlign w:val="bottom"/>
            <w:hideMark/>
          </w:tcPr>
          <w:p w14:paraId="1E6303A9"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-232</w:t>
            </w:r>
          </w:p>
        </w:tc>
        <w:tc>
          <w:tcPr>
            <w:tcW w:w="720" w:type="dxa"/>
            <w:tcBorders>
              <w:top w:val="nil"/>
              <w:left w:val="nil"/>
              <w:bottom w:val="single" w:sz="4" w:space="0" w:color="ADD6EA"/>
              <w:right w:val="nil"/>
            </w:tcBorders>
            <w:shd w:val="clear" w:color="auto" w:fill="auto"/>
            <w:vAlign w:val="bottom"/>
            <w:hideMark/>
          </w:tcPr>
          <w:p w14:paraId="57902FE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95</w:t>
            </w:r>
          </w:p>
        </w:tc>
        <w:tc>
          <w:tcPr>
            <w:tcW w:w="720" w:type="dxa"/>
            <w:tcBorders>
              <w:top w:val="nil"/>
              <w:left w:val="nil"/>
              <w:bottom w:val="single" w:sz="4" w:space="0" w:color="ADD6EA"/>
              <w:right w:val="nil"/>
            </w:tcBorders>
            <w:shd w:val="clear" w:color="auto" w:fill="auto"/>
            <w:vAlign w:val="bottom"/>
            <w:hideMark/>
          </w:tcPr>
          <w:p w14:paraId="518B8684"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165</w:t>
            </w:r>
          </w:p>
        </w:tc>
        <w:tc>
          <w:tcPr>
            <w:tcW w:w="720" w:type="dxa"/>
            <w:tcBorders>
              <w:top w:val="nil"/>
              <w:left w:val="nil"/>
              <w:bottom w:val="single" w:sz="4" w:space="0" w:color="ADD6EA"/>
              <w:right w:val="nil"/>
            </w:tcBorders>
            <w:shd w:val="clear" w:color="auto" w:fill="auto"/>
            <w:vAlign w:val="bottom"/>
            <w:hideMark/>
          </w:tcPr>
          <w:p w14:paraId="70B4539C"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33</w:t>
            </w:r>
          </w:p>
        </w:tc>
        <w:tc>
          <w:tcPr>
            <w:tcW w:w="720" w:type="dxa"/>
            <w:tcBorders>
              <w:top w:val="nil"/>
              <w:left w:val="nil"/>
              <w:bottom w:val="single" w:sz="4" w:space="0" w:color="ADD6EA"/>
              <w:right w:val="nil"/>
            </w:tcBorders>
            <w:shd w:val="clear" w:color="auto" w:fill="auto"/>
            <w:vAlign w:val="bottom"/>
            <w:hideMark/>
          </w:tcPr>
          <w:p w14:paraId="50F889D2"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-41</w:t>
            </w:r>
          </w:p>
        </w:tc>
        <w:tc>
          <w:tcPr>
            <w:tcW w:w="720" w:type="dxa"/>
            <w:tcBorders>
              <w:top w:val="nil"/>
              <w:left w:val="nil"/>
              <w:bottom w:val="single" w:sz="4" w:space="0" w:color="ADD6EA"/>
              <w:right w:val="nil"/>
            </w:tcBorders>
            <w:shd w:val="clear" w:color="auto" w:fill="auto"/>
            <w:vAlign w:val="bottom"/>
            <w:hideMark/>
          </w:tcPr>
          <w:p w14:paraId="69CC2AC2"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w:t>
            </w:r>
          </w:p>
        </w:tc>
        <w:tc>
          <w:tcPr>
            <w:tcW w:w="720" w:type="dxa"/>
            <w:tcBorders>
              <w:top w:val="nil"/>
              <w:left w:val="nil"/>
              <w:bottom w:val="single" w:sz="4" w:space="0" w:color="ADD6EA"/>
              <w:right w:val="nil"/>
            </w:tcBorders>
            <w:shd w:val="clear" w:color="auto" w:fill="auto"/>
            <w:vAlign w:val="bottom"/>
            <w:hideMark/>
          </w:tcPr>
          <w:p w14:paraId="58913CC7"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-12</w:t>
            </w:r>
          </w:p>
        </w:tc>
        <w:tc>
          <w:tcPr>
            <w:tcW w:w="720" w:type="dxa"/>
            <w:tcBorders>
              <w:top w:val="nil"/>
              <w:left w:val="nil"/>
              <w:bottom w:val="single" w:sz="4" w:space="0" w:color="ADD6EA"/>
              <w:right w:val="nil"/>
            </w:tcBorders>
            <w:shd w:val="clear" w:color="auto" w:fill="auto"/>
            <w:vAlign w:val="bottom"/>
            <w:hideMark/>
          </w:tcPr>
          <w:p w14:paraId="56D57223"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-5</w:t>
            </w:r>
          </w:p>
        </w:tc>
        <w:tc>
          <w:tcPr>
            <w:tcW w:w="720" w:type="dxa"/>
            <w:tcBorders>
              <w:top w:val="nil"/>
              <w:left w:val="nil"/>
              <w:bottom w:val="single" w:sz="4" w:space="0" w:color="ADD6EA"/>
              <w:right w:val="nil"/>
            </w:tcBorders>
            <w:shd w:val="clear" w:color="auto" w:fill="auto"/>
            <w:vAlign w:val="bottom"/>
            <w:hideMark/>
          </w:tcPr>
          <w:p w14:paraId="55888C5E"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292</w:t>
            </w:r>
          </w:p>
        </w:tc>
      </w:tr>
      <w:tr w:rsidR="00520485" w:rsidRPr="00520485" w14:paraId="37C458A1"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6260140B"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Services to communities</w:t>
            </w:r>
          </w:p>
        </w:tc>
        <w:tc>
          <w:tcPr>
            <w:tcW w:w="720" w:type="dxa"/>
            <w:tcBorders>
              <w:top w:val="nil"/>
              <w:left w:val="nil"/>
              <w:bottom w:val="single" w:sz="4" w:space="0" w:color="ADD6EA"/>
              <w:right w:val="nil"/>
            </w:tcBorders>
            <w:shd w:val="clear" w:color="auto" w:fill="auto"/>
            <w:vAlign w:val="bottom"/>
            <w:hideMark/>
          </w:tcPr>
          <w:p w14:paraId="1AEDC2F0"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128</w:t>
            </w:r>
          </w:p>
        </w:tc>
        <w:tc>
          <w:tcPr>
            <w:tcW w:w="720" w:type="dxa"/>
            <w:tcBorders>
              <w:top w:val="nil"/>
              <w:left w:val="nil"/>
              <w:bottom w:val="single" w:sz="4" w:space="0" w:color="ADD6EA"/>
              <w:right w:val="nil"/>
            </w:tcBorders>
            <w:shd w:val="clear" w:color="auto" w:fill="auto"/>
            <w:vAlign w:val="bottom"/>
            <w:hideMark/>
          </w:tcPr>
          <w:p w14:paraId="2E5C3BF8"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117</w:t>
            </w:r>
          </w:p>
        </w:tc>
        <w:tc>
          <w:tcPr>
            <w:tcW w:w="720" w:type="dxa"/>
            <w:tcBorders>
              <w:top w:val="nil"/>
              <w:left w:val="nil"/>
              <w:bottom w:val="single" w:sz="4" w:space="0" w:color="ADD6EA"/>
              <w:right w:val="nil"/>
            </w:tcBorders>
            <w:shd w:val="clear" w:color="auto" w:fill="auto"/>
            <w:vAlign w:val="bottom"/>
            <w:hideMark/>
          </w:tcPr>
          <w:p w14:paraId="23755736"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-45</w:t>
            </w:r>
          </w:p>
        </w:tc>
        <w:tc>
          <w:tcPr>
            <w:tcW w:w="720" w:type="dxa"/>
            <w:tcBorders>
              <w:top w:val="nil"/>
              <w:left w:val="nil"/>
              <w:bottom w:val="single" w:sz="4" w:space="0" w:color="ADD6EA"/>
              <w:right w:val="nil"/>
            </w:tcBorders>
            <w:shd w:val="clear" w:color="auto" w:fill="auto"/>
            <w:vAlign w:val="bottom"/>
            <w:hideMark/>
          </w:tcPr>
          <w:p w14:paraId="679F7C58"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-23</w:t>
            </w:r>
          </w:p>
        </w:tc>
        <w:tc>
          <w:tcPr>
            <w:tcW w:w="720" w:type="dxa"/>
            <w:tcBorders>
              <w:top w:val="nil"/>
              <w:left w:val="nil"/>
              <w:bottom w:val="single" w:sz="4" w:space="0" w:color="ADD6EA"/>
              <w:right w:val="nil"/>
            </w:tcBorders>
            <w:shd w:val="clear" w:color="auto" w:fill="auto"/>
            <w:vAlign w:val="bottom"/>
            <w:hideMark/>
          </w:tcPr>
          <w:p w14:paraId="6C7231F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-23</w:t>
            </w:r>
          </w:p>
        </w:tc>
        <w:tc>
          <w:tcPr>
            <w:tcW w:w="720" w:type="dxa"/>
            <w:tcBorders>
              <w:top w:val="nil"/>
              <w:left w:val="nil"/>
              <w:bottom w:val="single" w:sz="4" w:space="0" w:color="ADD6EA"/>
              <w:right w:val="nil"/>
            </w:tcBorders>
            <w:shd w:val="clear" w:color="auto" w:fill="auto"/>
            <w:vAlign w:val="bottom"/>
            <w:hideMark/>
          </w:tcPr>
          <w:p w14:paraId="73F4473E"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-11</w:t>
            </w:r>
          </w:p>
        </w:tc>
        <w:tc>
          <w:tcPr>
            <w:tcW w:w="720" w:type="dxa"/>
            <w:tcBorders>
              <w:top w:val="nil"/>
              <w:left w:val="nil"/>
              <w:bottom w:val="single" w:sz="4" w:space="0" w:color="ADD6EA"/>
              <w:right w:val="nil"/>
            </w:tcBorders>
            <w:shd w:val="clear" w:color="auto" w:fill="auto"/>
            <w:vAlign w:val="bottom"/>
            <w:hideMark/>
          </w:tcPr>
          <w:p w14:paraId="7D5E0670"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8</w:t>
            </w:r>
          </w:p>
        </w:tc>
        <w:tc>
          <w:tcPr>
            <w:tcW w:w="720" w:type="dxa"/>
            <w:tcBorders>
              <w:top w:val="nil"/>
              <w:left w:val="nil"/>
              <w:bottom w:val="single" w:sz="4" w:space="0" w:color="ADD6EA"/>
              <w:right w:val="nil"/>
            </w:tcBorders>
            <w:shd w:val="clear" w:color="auto" w:fill="auto"/>
            <w:vAlign w:val="bottom"/>
            <w:hideMark/>
          </w:tcPr>
          <w:p w14:paraId="1B29ECB4"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-150</w:t>
            </w:r>
          </w:p>
        </w:tc>
        <w:tc>
          <w:tcPr>
            <w:tcW w:w="720" w:type="dxa"/>
            <w:tcBorders>
              <w:top w:val="nil"/>
              <w:left w:val="nil"/>
              <w:bottom w:val="single" w:sz="4" w:space="0" w:color="ADD6EA"/>
              <w:right w:val="nil"/>
            </w:tcBorders>
            <w:shd w:val="clear" w:color="auto" w:fill="auto"/>
            <w:vAlign w:val="bottom"/>
            <w:hideMark/>
          </w:tcPr>
          <w:p w14:paraId="326A6C2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252</w:t>
            </w:r>
          </w:p>
        </w:tc>
      </w:tr>
      <w:tr w:rsidR="00520485" w:rsidRPr="00520485" w14:paraId="61FA01E9"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0288FC5F"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Administrative Scale</w:t>
            </w:r>
          </w:p>
        </w:tc>
        <w:tc>
          <w:tcPr>
            <w:tcW w:w="720" w:type="dxa"/>
            <w:tcBorders>
              <w:top w:val="nil"/>
              <w:left w:val="nil"/>
              <w:bottom w:val="single" w:sz="4" w:space="0" w:color="ADD6EA"/>
              <w:right w:val="nil"/>
            </w:tcBorders>
            <w:shd w:val="clear" w:color="auto" w:fill="auto"/>
            <w:vAlign w:val="bottom"/>
            <w:hideMark/>
          </w:tcPr>
          <w:p w14:paraId="5C4680DB"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-109</w:t>
            </w:r>
          </w:p>
        </w:tc>
        <w:tc>
          <w:tcPr>
            <w:tcW w:w="720" w:type="dxa"/>
            <w:tcBorders>
              <w:top w:val="nil"/>
              <w:left w:val="nil"/>
              <w:bottom w:val="single" w:sz="4" w:space="0" w:color="ADD6EA"/>
              <w:right w:val="nil"/>
            </w:tcBorders>
            <w:shd w:val="clear" w:color="auto" w:fill="auto"/>
            <w:vAlign w:val="bottom"/>
            <w:hideMark/>
          </w:tcPr>
          <w:p w14:paraId="17CA422E"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-74</w:t>
            </w:r>
          </w:p>
        </w:tc>
        <w:tc>
          <w:tcPr>
            <w:tcW w:w="720" w:type="dxa"/>
            <w:tcBorders>
              <w:top w:val="nil"/>
              <w:left w:val="nil"/>
              <w:bottom w:val="single" w:sz="4" w:space="0" w:color="ADD6EA"/>
              <w:right w:val="nil"/>
            </w:tcBorders>
            <w:shd w:val="clear" w:color="auto" w:fill="auto"/>
            <w:vAlign w:val="bottom"/>
            <w:hideMark/>
          </w:tcPr>
          <w:p w14:paraId="4559A96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-41</w:t>
            </w:r>
          </w:p>
        </w:tc>
        <w:tc>
          <w:tcPr>
            <w:tcW w:w="720" w:type="dxa"/>
            <w:tcBorders>
              <w:top w:val="nil"/>
              <w:left w:val="nil"/>
              <w:bottom w:val="single" w:sz="4" w:space="0" w:color="ADD6EA"/>
              <w:right w:val="nil"/>
            </w:tcBorders>
            <w:shd w:val="clear" w:color="auto" w:fill="auto"/>
            <w:vAlign w:val="bottom"/>
            <w:hideMark/>
          </w:tcPr>
          <w:p w14:paraId="1BC52505"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12</w:t>
            </w:r>
          </w:p>
        </w:tc>
        <w:tc>
          <w:tcPr>
            <w:tcW w:w="720" w:type="dxa"/>
            <w:tcBorders>
              <w:top w:val="nil"/>
              <w:left w:val="nil"/>
              <w:bottom w:val="single" w:sz="4" w:space="0" w:color="ADD6EA"/>
              <w:right w:val="nil"/>
            </w:tcBorders>
            <w:shd w:val="clear" w:color="auto" w:fill="auto"/>
            <w:vAlign w:val="bottom"/>
            <w:hideMark/>
          </w:tcPr>
          <w:p w14:paraId="7529FEA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32</w:t>
            </w:r>
          </w:p>
        </w:tc>
        <w:tc>
          <w:tcPr>
            <w:tcW w:w="720" w:type="dxa"/>
            <w:tcBorders>
              <w:top w:val="nil"/>
              <w:left w:val="nil"/>
              <w:bottom w:val="single" w:sz="4" w:space="0" w:color="ADD6EA"/>
              <w:right w:val="nil"/>
            </w:tcBorders>
            <w:shd w:val="clear" w:color="auto" w:fill="auto"/>
            <w:vAlign w:val="bottom"/>
            <w:hideMark/>
          </w:tcPr>
          <w:p w14:paraId="671BB565"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60</w:t>
            </w:r>
          </w:p>
        </w:tc>
        <w:tc>
          <w:tcPr>
            <w:tcW w:w="720" w:type="dxa"/>
            <w:tcBorders>
              <w:top w:val="nil"/>
              <w:left w:val="nil"/>
              <w:bottom w:val="single" w:sz="4" w:space="0" w:color="ADD6EA"/>
              <w:right w:val="nil"/>
            </w:tcBorders>
            <w:shd w:val="clear" w:color="auto" w:fill="auto"/>
            <w:vAlign w:val="bottom"/>
            <w:hideMark/>
          </w:tcPr>
          <w:p w14:paraId="2D0AC46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64</w:t>
            </w:r>
          </w:p>
        </w:tc>
        <w:tc>
          <w:tcPr>
            <w:tcW w:w="720" w:type="dxa"/>
            <w:tcBorders>
              <w:top w:val="nil"/>
              <w:left w:val="nil"/>
              <w:bottom w:val="single" w:sz="4" w:space="0" w:color="ADD6EA"/>
              <w:right w:val="nil"/>
            </w:tcBorders>
            <w:shd w:val="clear" w:color="auto" w:fill="auto"/>
            <w:vAlign w:val="bottom"/>
            <w:hideMark/>
          </w:tcPr>
          <w:p w14:paraId="111E502F"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56</w:t>
            </w:r>
          </w:p>
        </w:tc>
        <w:tc>
          <w:tcPr>
            <w:tcW w:w="720" w:type="dxa"/>
            <w:tcBorders>
              <w:top w:val="nil"/>
              <w:left w:val="nil"/>
              <w:bottom w:val="single" w:sz="4" w:space="0" w:color="ADD6EA"/>
              <w:right w:val="nil"/>
            </w:tcBorders>
            <w:shd w:val="clear" w:color="auto" w:fill="auto"/>
            <w:vAlign w:val="bottom"/>
            <w:hideMark/>
          </w:tcPr>
          <w:p w14:paraId="52F6D298"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224</w:t>
            </w:r>
          </w:p>
        </w:tc>
      </w:tr>
      <w:tr w:rsidR="00520485" w:rsidRPr="00520485" w14:paraId="7075C674" w14:textId="77777777" w:rsidTr="00664FDC">
        <w:trPr>
          <w:trHeight w:val="315"/>
        </w:trPr>
        <w:tc>
          <w:tcPr>
            <w:tcW w:w="2460" w:type="dxa"/>
            <w:tcBorders>
              <w:top w:val="nil"/>
              <w:left w:val="nil"/>
              <w:bottom w:val="single" w:sz="4" w:space="0" w:color="ADD6EA"/>
              <w:right w:val="nil"/>
            </w:tcBorders>
            <w:shd w:val="clear" w:color="auto" w:fill="auto"/>
            <w:vAlign w:val="bottom"/>
            <w:hideMark/>
          </w:tcPr>
          <w:p w14:paraId="4F2828AD" w14:textId="77777777" w:rsidR="00520485" w:rsidRPr="00520485" w:rsidRDefault="00520485" w:rsidP="00520485">
            <w:pPr>
              <w:tabs>
                <w:tab w:val="clear" w:pos="567"/>
              </w:tabs>
              <w:spacing w:before="0" w:line="240" w:lineRule="auto"/>
              <w:rPr>
                <w:rFonts w:eastAsia="Times New Roman" w:cs="Open Sans Light"/>
                <w:sz w:val="16"/>
                <w:szCs w:val="16"/>
                <w:lang w:val="en-AU" w:eastAsia="en-AU"/>
              </w:rPr>
            </w:pPr>
            <w:r w:rsidRPr="00520485">
              <w:rPr>
                <w:rFonts w:eastAsia="Times New Roman" w:cs="Open Sans Light"/>
                <w:sz w:val="16"/>
                <w:szCs w:val="16"/>
                <w:lang w:val="en-AU" w:eastAsia="en-AU"/>
              </w:rPr>
              <w:t>Other method changes</w:t>
            </w:r>
          </w:p>
        </w:tc>
        <w:tc>
          <w:tcPr>
            <w:tcW w:w="720" w:type="dxa"/>
            <w:tcBorders>
              <w:top w:val="nil"/>
              <w:left w:val="nil"/>
              <w:bottom w:val="single" w:sz="4" w:space="0" w:color="ADD6EA"/>
              <w:right w:val="nil"/>
            </w:tcBorders>
            <w:shd w:val="clear" w:color="auto" w:fill="auto"/>
            <w:vAlign w:val="bottom"/>
            <w:hideMark/>
          </w:tcPr>
          <w:p w14:paraId="52AD574D"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-45</w:t>
            </w:r>
          </w:p>
        </w:tc>
        <w:tc>
          <w:tcPr>
            <w:tcW w:w="720" w:type="dxa"/>
            <w:tcBorders>
              <w:top w:val="nil"/>
              <w:left w:val="nil"/>
              <w:bottom w:val="single" w:sz="4" w:space="0" w:color="ADD6EA"/>
              <w:right w:val="nil"/>
            </w:tcBorders>
            <w:shd w:val="clear" w:color="auto" w:fill="auto"/>
            <w:vAlign w:val="bottom"/>
            <w:hideMark/>
          </w:tcPr>
          <w:p w14:paraId="5EFB18BC"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-193</w:t>
            </w:r>
          </w:p>
        </w:tc>
        <w:tc>
          <w:tcPr>
            <w:tcW w:w="720" w:type="dxa"/>
            <w:tcBorders>
              <w:top w:val="nil"/>
              <w:left w:val="nil"/>
              <w:bottom w:val="single" w:sz="4" w:space="0" w:color="ADD6EA"/>
              <w:right w:val="nil"/>
            </w:tcBorders>
            <w:shd w:val="clear" w:color="auto" w:fill="auto"/>
            <w:vAlign w:val="bottom"/>
            <w:hideMark/>
          </w:tcPr>
          <w:p w14:paraId="61F0D67C"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114</w:t>
            </w:r>
          </w:p>
        </w:tc>
        <w:tc>
          <w:tcPr>
            <w:tcW w:w="720" w:type="dxa"/>
            <w:tcBorders>
              <w:top w:val="nil"/>
              <w:left w:val="nil"/>
              <w:bottom w:val="single" w:sz="4" w:space="0" w:color="ADD6EA"/>
              <w:right w:val="nil"/>
            </w:tcBorders>
            <w:shd w:val="clear" w:color="auto" w:fill="auto"/>
            <w:vAlign w:val="bottom"/>
            <w:hideMark/>
          </w:tcPr>
          <w:p w14:paraId="6F614C5A"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40</w:t>
            </w:r>
          </w:p>
        </w:tc>
        <w:tc>
          <w:tcPr>
            <w:tcW w:w="720" w:type="dxa"/>
            <w:tcBorders>
              <w:top w:val="nil"/>
              <w:left w:val="nil"/>
              <w:bottom w:val="single" w:sz="4" w:space="0" w:color="ADD6EA"/>
              <w:right w:val="nil"/>
            </w:tcBorders>
            <w:shd w:val="clear" w:color="auto" w:fill="auto"/>
            <w:vAlign w:val="bottom"/>
            <w:hideMark/>
          </w:tcPr>
          <w:p w14:paraId="02BB1BD3"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-68</w:t>
            </w:r>
          </w:p>
        </w:tc>
        <w:tc>
          <w:tcPr>
            <w:tcW w:w="720" w:type="dxa"/>
            <w:tcBorders>
              <w:top w:val="nil"/>
              <w:left w:val="nil"/>
              <w:bottom w:val="single" w:sz="4" w:space="0" w:color="ADD6EA"/>
              <w:right w:val="nil"/>
            </w:tcBorders>
            <w:shd w:val="clear" w:color="auto" w:fill="auto"/>
            <w:vAlign w:val="bottom"/>
            <w:hideMark/>
          </w:tcPr>
          <w:p w14:paraId="5F271C55"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90</w:t>
            </w:r>
          </w:p>
        </w:tc>
        <w:tc>
          <w:tcPr>
            <w:tcW w:w="720" w:type="dxa"/>
            <w:tcBorders>
              <w:top w:val="nil"/>
              <w:left w:val="nil"/>
              <w:bottom w:val="single" w:sz="4" w:space="0" w:color="ADD6EA"/>
              <w:right w:val="nil"/>
            </w:tcBorders>
            <w:shd w:val="clear" w:color="auto" w:fill="auto"/>
            <w:vAlign w:val="bottom"/>
            <w:hideMark/>
          </w:tcPr>
          <w:p w14:paraId="7A76C8F0"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-115</w:t>
            </w:r>
          </w:p>
        </w:tc>
        <w:tc>
          <w:tcPr>
            <w:tcW w:w="720" w:type="dxa"/>
            <w:tcBorders>
              <w:top w:val="nil"/>
              <w:left w:val="nil"/>
              <w:bottom w:val="single" w:sz="4" w:space="0" w:color="ADD6EA"/>
              <w:right w:val="nil"/>
            </w:tcBorders>
            <w:shd w:val="clear" w:color="auto" w:fill="auto"/>
            <w:vAlign w:val="bottom"/>
            <w:hideMark/>
          </w:tcPr>
          <w:p w14:paraId="3A078AC9"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178</w:t>
            </w:r>
          </w:p>
        </w:tc>
        <w:tc>
          <w:tcPr>
            <w:tcW w:w="720" w:type="dxa"/>
            <w:tcBorders>
              <w:top w:val="nil"/>
              <w:left w:val="nil"/>
              <w:bottom w:val="single" w:sz="4" w:space="0" w:color="ADD6EA"/>
              <w:right w:val="nil"/>
            </w:tcBorders>
            <w:shd w:val="clear" w:color="auto" w:fill="auto"/>
            <w:vAlign w:val="bottom"/>
            <w:hideMark/>
          </w:tcPr>
          <w:p w14:paraId="4E641490" w14:textId="77777777" w:rsidR="00520485" w:rsidRPr="00520485" w:rsidRDefault="00520485" w:rsidP="00520485">
            <w:pPr>
              <w:tabs>
                <w:tab w:val="clear" w:pos="567"/>
              </w:tabs>
              <w:spacing w:before="0" w:line="240" w:lineRule="auto"/>
              <w:jc w:val="right"/>
              <w:rPr>
                <w:rFonts w:eastAsia="Times New Roman" w:cs="Open Sans Light"/>
                <w:sz w:val="16"/>
                <w:szCs w:val="16"/>
                <w:lang w:val="en-AU" w:eastAsia="en-AU"/>
              </w:rPr>
            </w:pPr>
            <w:r w:rsidRPr="00520485">
              <w:rPr>
                <w:rFonts w:eastAsia="Times New Roman" w:cs="Open Sans Light"/>
                <w:sz w:val="16"/>
                <w:szCs w:val="16"/>
                <w:lang w:val="en-AU" w:eastAsia="en-AU"/>
              </w:rPr>
              <w:t>421</w:t>
            </w:r>
          </w:p>
        </w:tc>
      </w:tr>
      <w:tr w:rsidR="00520485" w:rsidRPr="00520485" w14:paraId="43B4E750" w14:textId="77777777" w:rsidTr="00664FDC">
        <w:trPr>
          <w:trHeight w:val="315"/>
        </w:trPr>
        <w:tc>
          <w:tcPr>
            <w:tcW w:w="2460" w:type="dxa"/>
            <w:tcBorders>
              <w:top w:val="nil"/>
              <w:left w:val="nil"/>
              <w:bottom w:val="single" w:sz="4" w:space="0" w:color="ADD6EA"/>
              <w:right w:val="nil"/>
            </w:tcBorders>
            <w:shd w:val="clear" w:color="000000" w:fill="D6E7F0"/>
            <w:vAlign w:val="bottom"/>
            <w:hideMark/>
          </w:tcPr>
          <w:p w14:paraId="714B50CA" w14:textId="77777777" w:rsidR="00520485" w:rsidRPr="00520485" w:rsidRDefault="00520485" w:rsidP="00520485">
            <w:pPr>
              <w:tabs>
                <w:tab w:val="clear" w:pos="567"/>
              </w:tabs>
              <w:spacing w:before="0" w:line="240" w:lineRule="auto"/>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Total method changes</w:t>
            </w:r>
          </w:p>
        </w:tc>
        <w:tc>
          <w:tcPr>
            <w:tcW w:w="720" w:type="dxa"/>
            <w:tcBorders>
              <w:top w:val="nil"/>
              <w:left w:val="nil"/>
              <w:bottom w:val="single" w:sz="4" w:space="0" w:color="ADD6EA"/>
              <w:right w:val="nil"/>
            </w:tcBorders>
            <w:shd w:val="clear" w:color="000000" w:fill="D6E7F0"/>
            <w:vAlign w:val="bottom"/>
            <w:hideMark/>
          </w:tcPr>
          <w:p w14:paraId="716750F0"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711</w:t>
            </w:r>
          </w:p>
        </w:tc>
        <w:tc>
          <w:tcPr>
            <w:tcW w:w="720" w:type="dxa"/>
            <w:tcBorders>
              <w:top w:val="nil"/>
              <w:left w:val="nil"/>
              <w:bottom w:val="single" w:sz="4" w:space="0" w:color="ADD6EA"/>
              <w:right w:val="nil"/>
            </w:tcBorders>
            <w:shd w:val="clear" w:color="000000" w:fill="D6E7F0"/>
            <w:vAlign w:val="bottom"/>
            <w:hideMark/>
          </w:tcPr>
          <w:p w14:paraId="2398F542"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-802</w:t>
            </w:r>
          </w:p>
        </w:tc>
        <w:tc>
          <w:tcPr>
            <w:tcW w:w="720" w:type="dxa"/>
            <w:tcBorders>
              <w:top w:val="nil"/>
              <w:left w:val="nil"/>
              <w:bottom w:val="single" w:sz="4" w:space="0" w:color="ADD6EA"/>
              <w:right w:val="nil"/>
            </w:tcBorders>
            <w:shd w:val="clear" w:color="000000" w:fill="D6E7F0"/>
            <w:vAlign w:val="bottom"/>
            <w:hideMark/>
          </w:tcPr>
          <w:p w14:paraId="3E05B85F"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139</w:t>
            </w:r>
          </w:p>
        </w:tc>
        <w:tc>
          <w:tcPr>
            <w:tcW w:w="720" w:type="dxa"/>
            <w:tcBorders>
              <w:top w:val="nil"/>
              <w:left w:val="nil"/>
              <w:bottom w:val="single" w:sz="4" w:space="0" w:color="ADD6EA"/>
              <w:right w:val="nil"/>
            </w:tcBorders>
            <w:shd w:val="clear" w:color="000000" w:fill="D6E7F0"/>
            <w:vAlign w:val="bottom"/>
            <w:hideMark/>
          </w:tcPr>
          <w:p w14:paraId="7C7EF4B7"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-114</w:t>
            </w:r>
          </w:p>
        </w:tc>
        <w:tc>
          <w:tcPr>
            <w:tcW w:w="720" w:type="dxa"/>
            <w:tcBorders>
              <w:top w:val="nil"/>
              <w:left w:val="nil"/>
              <w:bottom w:val="single" w:sz="4" w:space="0" w:color="ADD6EA"/>
              <w:right w:val="nil"/>
            </w:tcBorders>
            <w:shd w:val="clear" w:color="000000" w:fill="D6E7F0"/>
            <w:vAlign w:val="bottom"/>
            <w:hideMark/>
          </w:tcPr>
          <w:p w14:paraId="2D7F1960"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-274</w:t>
            </w:r>
          </w:p>
        </w:tc>
        <w:tc>
          <w:tcPr>
            <w:tcW w:w="720" w:type="dxa"/>
            <w:tcBorders>
              <w:top w:val="nil"/>
              <w:left w:val="nil"/>
              <w:bottom w:val="single" w:sz="4" w:space="0" w:color="ADD6EA"/>
              <w:right w:val="nil"/>
            </w:tcBorders>
            <w:shd w:val="clear" w:color="000000" w:fill="D6E7F0"/>
            <w:vAlign w:val="bottom"/>
            <w:hideMark/>
          </w:tcPr>
          <w:p w14:paraId="7FFD4C51"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141</w:t>
            </w:r>
          </w:p>
        </w:tc>
        <w:tc>
          <w:tcPr>
            <w:tcW w:w="720" w:type="dxa"/>
            <w:tcBorders>
              <w:top w:val="nil"/>
              <w:left w:val="nil"/>
              <w:bottom w:val="single" w:sz="4" w:space="0" w:color="ADD6EA"/>
              <w:right w:val="nil"/>
            </w:tcBorders>
            <w:shd w:val="clear" w:color="000000" w:fill="D6E7F0"/>
            <w:vAlign w:val="bottom"/>
            <w:hideMark/>
          </w:tcPr>
          <w:p w14:paraId="3365B477"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-74</w:t>
            </w:r>
          </w:p>
        </w:tc>
        <w:tc>
          <w:tcPr>
            <w:tcW w:w="720" w:type="dxa"/>
            <w:tcBorders>
              <w:top w:val="nil"/>
              <w:left w:val="nil"/>
              <w:bottom w:val="single" w:sz="4" w:space="0" w:color="ADD6EA"/>
              <w:right w:val="nil"/>
            </w:tcBorders>
            <w:shd w:val="clear" w:color="000000" w:fill="D6E7F0"/>
            <w:vAlign w:val="bottom"/>
            <w:hideMark/>
          </w:tcPr>
          <w:p w14:paraId="5FC90894"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272</w:t>
            </w:r>
          </w:p>
        </w:tc>
        <w:tc>
          <w:tcPr>
            <w:tcW w:w="720" w:type="dxa"/>
            <w:tcBorders>
              <w:top w:val="nil"/>
              <w:left w:val="nil"/>
              <w:bottom w:val="single" w:sz="4" w:space="0" w:color="ADD6EA"/>
              <w:right w:val="nil"/>
            </w:tcBorders>
            <w:shd w:val="clear" w:color="000000" w:fill="D6E7F0"/>
            <w:vAlign w:val="bottom"/>
            <w:hideMark/>
          </w:tcPr>
          <w:p w14:paraId="3E5AFD51" w14:textId="77777777" w:rsidR="00520485" w:rsidRPr="00520485" w:rsidRDefault="00520485" w:rsidP="00520485">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520485">
              <w:rPr>
                <w:rFonts w:ascii="Open Sans SemiBold" w:eastAsia="Times New Roman" w:hAnsi="Open Sans SemiBold" w:cs="Open Sans SemiBold"/>
                <w:sz w:val="16"/>
                <w:szCs w:val="16"/>
                <w:lang w:val="en-AU" w:eastAsia="en-AU"/>
              </w:rPr>
              <w:t>1,264</w:t>
            </w:r>
          </w:p>
        </w:tc>
      </w:tr>
    </w:tbl>
    <w:p w14:paraId="2A240E82" w14:textId="3F966220" w:rsidR="00460072" w:rsidRDefault="00460072" w:rsidP="00280391">
      <w:pPr>
        <w:pStyle w:val="CGCTablenote"/>
      </w:pPr>
      <w:r>
        <w:t>Note:</w:t>
      </w:r>
      <w:r>
        <w:tab/>
      </w:r>
      <w:r w:rsidRPr="00460072">
        <w:t>The redistribution is calculated as the sum of the positive (or negative) items in the row. Totals may not add due to rounding.</w:t>
      </w:r>
    </w:p>
    <w:p w14:paraId="67DA3462" w14:textId="5C0FBC0A" w:rsidR="00280391" w:rsidRPr="00D34D98" w:rsidRDefault="00A37057" w:rsidP="00280391">
      <w:pPr>
        <w:pStyle w:val="CGCTablenote"/>
      </w:pPr>
      <w:r>
        <w:t>Source:</w:t>
      </w:r>
      <w:r>
        <w:tab/>
      </w:r>
      <w:r w:rsidR="00280391">
        <w:t>Commission calculation.</w:t>
      </w:r>
    </w:p>
    <w:p w14:paraId="1A6D0253" w14:textId="47BEFD9C" w:rsidR="003126B8" w:rsidRDefault="00D51954" w:rsidP="00D51954">
      <w:pPr>
        <w:pStyle w:val="Heading5"/>
      </w:pPr>
      <w:r>
        <w:t>Transport</w:t>
      </w:r>
    </w:p>
    <w:p w14:paraId="60053774" w14:textId="029CE450" w:rsidR="00453CE4" w:rsidRDefault="00453CE4" w:rsidP="002D1963">
      <w:pPr>
        <w:pStyle w:val="CGCParaNumber"/>
      </w:pPr>
      <w:r>
        <w:t xml:space="preserve">The Commission has developed </w:t>
      </w:r>
      <w:r w:rsidR="00EC4B2B">
        <w:t xml:space="preserve">a </w:t>
      </w:r>
      <w:r>
        <w:t>new urban transport assessment, based on an econometric model</w:t>
      </w:r>
      <w:r w:rsidR="005E6870">
        <w:t>,</w:t>
      </w:r>
      <w:r>
        <w:t xml:space="preserve"> with the help of transport consultants. The model captures the effects of </w:t>
      </w:r>
      <w:r w:rsidR="006924EC">
        <w:t>population density</w:t>
      </w:r>
      <w:r w:rsidR="005B7093">
        <w:t>, passenger numbers</w:t>
      </w:r>
      <w:r>
        <w:t xml:space="preserve"> and </w:t>
      </w:r>
      <w:r w:rsidR="00C33885">
        <w:t xml:space="preserve">other </w:t>
      </w:r>
      <w:r>
        <w:t xml:space="preserve">urban </w:t>
      </w:r>
      <w:r w:rsidRPr="00E2687A">
        <w:t>centre</w:t>
      </w:r>
      <w:r>
        <w:t xml:space="preserve"> characteristics on the cost of providing urban </w:t>
      </w:r>
      <w:r w:rsidR="003A0F40">
        <w:t xml:space="preserve">public </w:t>
      </w:r>
      <w:r>
        <w:t xml:space="preserve">transport. The model </w:t>
      </w:r>
      <w:r w:rsidRPr="000776A7">
        <w:rPr>
          <w:lang w:val="en-AU"/>
        </w:rPr>
        <w:t>recognise</w:t>
      </w:r>
      <w:r w:rsidR="0090332B" w:rsidRPr="000776A7">
        <w:rPr>
          <w:lang w:val="en-AU"/>
        </w:rPr>
        <w:t>s</w:t>
      </w:r>
      <w:r>
        <w:t xml:space="preserve"> that larger</w:t>
      </w:r>
      <w:r w:rsidR="00461038">
        <w:t>, more densely populated</w:t>
      </w:r>
      <w:r>
        <w:t xml:space="preserve"> cities need to spend </w:t>
      </w:r>
      <w:r w:rsidR="00460606">
        <w:t xml:space="preserve">more </w:t>
      </w:r>
      <w:r>
        <w:t>per capita to deliver public urban transport services</w:t>
      </w:r>
      <w:r w:rsidR="00E071AA">
        <w:t xml:space="preserve"> because </w:t>
      </w:r>
      <w:r>
        <w:lastRenderedPageBreak/>
        <w:t>greater proportions of commuters use public transport and transport systems are more complex, such as rail networks.</w:t>
      </w:r>
    </w:p>
    <w:p w14:paraId="237216EE" w14:textId="24364B61" w:rsidR="00453CE4" w:rsidRDefault="00453CE4" w:rsidP="00453CE4">
      <w:pPr>
        <w:pStyle w:val="CGCParaNumber"/>
      </w:pPr>
      <w:r>
        <w:t>In addition, the Commission has assessed non</w:t>
      </w:r>
      <w:r w:rsidR="007F33C1">
        <w:t>-</w:t>
      </w:r>
      <w:r>
        <w:t>urban transport expenses EPC, except for adjustments for regional and wage costs. The Commission investigated policy neutral indicators but has been unable to find a</w:t>
      </w:r>
      <w:r w:rsidR="007F0150">
        <w:t>n</w:t>
      </w:r>
      <w:r>
        <w:t xml:space="preserve"> appropriate broad indicator</w:t>
      </w:r>
      <w:r w:rsidR="007F0150">
        <w:t>.</w:t>
      </w:r>
      <w:r>
        <w:t xml:space="preserve"> </w:t>
      </w:r>
    </w:p>
    <w:p w14:paraId="6269EC3D" w14:textId="6BDD7687" w:rsidR="00E05AFD" w:rsidRDefault="00453CE4" w:rsidP="00453CE4">
      <w:pPr>
        <w:pStyle w:val="CGCParaNumber"/>
      </w:pPr>
      <w:r>
        <w:t xml:space="preserve">The </w:t>
      </w:r>
      <w:r w:rsidR="33D502E5">
        <w:t xml:space="preserve">method </w:t>
      </w:r>
      <w:r w:rsidR="167EDF63">
        <w:t>changes</w:t>
      </w:r>
      <w:r w:rsidR="33D502E5">
        <w:t xml:space="preserve"> in the</w:t>
      </w:r>
      <w:r>
        <w:t xml:space="preserve"> urban </w:t>
      </w:r>
      <w:r w:rsidR="0AF5DDE0">
        <w:t xml:space="preserve">and </w:t>
      </w:r>
      <w:r w:rsidR="5C5F92AD">
        <w:t>non-urban transport</w:t>
      </w:r>
      <w:r>
        <w:t xml:space="preserve"> </w:t>
      </w:r>
      <w:r w:rsidR="25490781">
        <w:t>assessments</w:t>
      </w:r>
      <w:r>
        <w:t xml:space="preserve"> </w:t>
      </w:r>
      <w:r w:rsidR="43F6E3AB">
        <w:t>redistribute</w:t>
      </w:r>
      <w:r w:rsidR="00997F91">
        <w:t>d</w:t>
      </w:r>
      <w:r>
        <w:t xml:space="preserve"> $</w:t>
      </w:r>
      <w:r w:rsidR="695348DA" w:rsidRPr="0045371A">
        <w:t>93</w:t>
      </w:r>
      <w:r w:rsidR="003C3A01">
        <w:t>3</w:t>
      </w:r>
      <w:r w:rsidR="00D9505D">
        <w:t> </w:t>
      </w:r>
      <w:r w:rsidR="695348DA">
        <w:t>million</w:t>
      </w:r>
      <w:r w:rsidR="004421ED">
        <w:t>, mainly</w:t>
      </w:r>
      <w:r>
        <w:t xml:space="preserve"> to New</w:t>
      </w:r>
      <w:r w:rsidR="00410A96">
        <w:t> </w:t>
      </w:r>
      <w:r>
        <w:t>South</w:t>
      </w:r>
      <w:r w:rsidR="00410A96">
        <w:t> </w:t>
      </w:r>
      <w:r>
        <w:t xml:space="preserve">Wales, and away from </w:t>
      </w:r>
      <w:r w:rsidR="00E212B4">
        <w:t>Victoria, Queensland, Western</w:t>
      </w:r>
      <w:r w:rsidR="00137F15">
        <w:t> </w:t>
      </w:r>
      <w:r w:rsidR="00E212B4">
        <w:t>Australia and South</w:t>
      </w:r>
      <w:r w:rsidR="00410A96">
        <w:t> </w:t>
      </w:r>
      <w:r w:rsidR="00E212B4">
        <w:t>Australia</w:t>
      </w:r>
      <w:r>
        <w:t>.</w:t>
      </w:r>
    </w:p>
    <w:p w14:paraId="1E89410D" w14:textId="6916FB69" w:rsidR="005010B0" w:rsidRDefault="005010B0" w:rsidP="00946C6C">
      <w:pPr>
        <w:pStyle w:val="Heading5"/>
      </w:pPr>
      <w:r>
        <w:t>Investment</w:t>
      </w:r>
    </w:p>
    <w:p w14:paraId="7C3CE5D9" w14:textId="33E08E37" w:rsidR="00307C8B" w:rsidRDefault="00307C8B" w:rsidP="00307C8B">
      <w:pPr>
        <w:pStyle w:val="CGCParaNumber"/>
      </w:pPr>
      <w:r>
        <w:t xml:space="preserve">In this review, the Commission has made several changes to </w:t>
      </w:r>
      <w:r w:rsidR="00B727D4">
        <w:t>the</w:t>
      </w:r>
      <w:r>
        <w:t xml:space="preserve"> Investment assessment. The changes have had varying effects on States. For some States, changes in investment for one service area were offset by changes to other areas. The main method and data changes</w:t>
      </w:r>
      <w:r w:rsidR="00935BA6">
        <w:t>, detailed in Table</w:t>
      </w:r>
      <w:r w:rsidR="002E262F">
        <w:t xml:space="preserve"> </w:t>
      </w:r>
      <w:r w:rsidR="0073615D">
        <w:t>2</w:t>
      </w:r>
      <w:r w:rsidR="004C015B">
        <w:t>4</w:t>
      </w:r>
      <w:r w:rsidR="0073615D">
        <w:noBreakHyphen/>
        <w:t>13 of Volume 2</w:t>
      </w:r>
      <w:r w:rsidR="00136532">
        <w:t>,</w:t>
      </w:r>
      <w:r>
        <w:t xml:space="preserve"> </w:t>
      </w:r>
      <w:r w:rsidR="00EB4CF6">
        <w:t>are described below.</w:t>
      </w:r>
    </w:p>
    <w:p w14:paraId="5B9BBCEC" w14:textId="7CD86BB2" w:rsidR="00ED167E" w:rsidRDefault="00EB4CF6" w:rsidP="0036195A">
      <w:pPr>
        <w:pStyle w:val="CGCBullet1"/>
        <w:keepNext/>
      </w:pPr>
      <w:r>
        <w:t>C</w:t>
      </w:r>
      <w:r w:rsidR="00ED167E">
        <w:t>hanges to the investment assessment</w:t>
      </w:r>
      <w:r w:rsidR="00DA3109">
        <w:t xml:space="preserve"> method</w:t>
      </w:r>
      <w:r w:rsidR="002C5DA2">
        <w:t>, such as</w:t>
      </w:r>
      <w:r w:rsidR="00ED167E">
        <w:t xml:space="preserve"> adopting a gross assessment and removing averaging</w:t>
      </w:r>
      <w:r w:rsidR="00CB12C3">
        <w:t>,</w:t>
      </w:r>
      <w:r w:rsidR="00ED167E">
        <w:t xml:space="preserve"> reduced the investment needs of New</w:t>
      </w:r>
      <w:r w:rsidR="009C3D86">
        <w:t> </w:t>
      </w:r>
      <w:r w:rsidR="00ED167E">
        <w:t>South</w:t>
      </w:r>
      <w:r w:rsidR="009C3D86">
        <w:t> </w:t>
      </w:r>
      <w:r w:rsidR="00ED167E">
        <w:t>Wales (</w:t>
      </w:r>
      <w:r w:rsidR="0036195A">
        <w:noBreakHyphen/>
      </w:r>
      <w:r w:rsidR="00ED167E">
        <w:t>$116 million) and Victoria (-$89 million)</w:t>
      </w:r>
      <w:r w:rsidR="00E52E14">
        <w:t>.</w:t>
      </w:r>
    </w:p>
    <w:p w14:paraId="17AC4F3A" w14:textId="15A88427" w:rsidR="00307C8B" w:rsidRDefault="00EB4CF6" w:rsidP="00307C8B">
      <w:pPr>
        <w:pStyle w:val="CGCBullet1"/>
      </w:pPr>
      <w:r>
        <w:t>C</w:t>
      </w:r>
      <w:r w:rsidR="00E121A4">
        <w:t xml:space="preserve">hanges to </w:t>
      </w:r>
      <w:r w:rsidR="00C32295">
        <w:t>the level of</w:t>
      </w:r>
      <w:r w:rsidR="00E121A4">
        <w:t xml:space="preserve"> </w:t>
      </w:r>
      <w:r w:rsidR="005E2B59">
        <w:t>investment expenditure arising from new data sources,</w:t>
      </w:r>
      <w:r w:rsidR="00557859">
        <w:t xml:space="preserve"> which particularly affected </w:t>
      </w:r>
      <w:r w:rsidR="003E5A9A">
        <w:t>urban transport</w:t>
      </w:r>
      <w:r w:rsidR="008A0D3E">
        <w:t xml:space="preserve"> and to a lesser extent health and housing</w:t>
      </w:r>
      <w:r w:rsidR="003E5A9A">
        <w:t xml:space="preserve">, </w:t>
      </w:r>
      <w:r w:rsidR="000D4446">
        <w:t>reduce</w:t>
      </w:r>
      <w:r w:rsidR="00021F9C">
        <w:t>d</w:t>
      </w:r>
      <w:r w:rsidR="000D4446">
        <w:t xml:space="preserve"> the investment needs of New</w:t>
      </w:r>
      <w:r w:rsidR="0008107D">
        <w:t> </w:t>
      </w:r>
      <w:r w:rsidR="000D4446">
        <w:t>South Wales</w:t>
      </w:r>
      <w:r w:rsidR="008A0D3E">
        <w:t xml:space="preserve"> </w:t>
      </w:r>
      <w:r w:rsidR="000D4446">
        <w:t>(-</w:t>
      </w:r>
      <w:r w:rsidR="00086018">
        <w:t>$115 million) and Victoria (</w:t>
      </w:r>
      <w:r w:rsidR="0008107D">
        <w:t>-$145 million)</w:t>
      </w:r>
      <w:r w:rsidR="00E52E14">
        <w:t>.</w:t>
      </w:r>
    </w:p>
    <w:p w14:paraId="03586D3F" w14:textId="7FC06EA1" w:rsidR="00D246C6" w:rsidRDefault="00EB4CF6" w:rsidP="00A245E4">
      <w:pPr>
        <w:pStyle w:val="CGCBullet1"/>
      </w:pPr>
      <w:r>
        <w:t>C</w:t>
      </w:r>
      <w:r w:rsidR="00D246C6">
        <w:t>hanges to methods in the expense assessments have resulted in significant changes to user populations and other factors used to assess infrastructure requirements, with the largest effects arising from the new urban transport assessment, changes to the measurement of rural road length and capital costs, and the introduction of an assessment of bridges and tunnels</w:t>
      </w:r>
      <w:r w:rsidR="00A245E4">
        <w:t>.</w:t>
      </w:r>
    </w:p>
    <w:p w14:paraId="2C5FE43A" w14:textId="7522F483" w:rsidR="001A7426" w:rsidRDefault="00307C8B" w:rsidP="0096002E">
      <w:pPr>
        <w:pStyle w:val="CGCBullet2"/>
      </w:pPr>
      <w:r>
        <w:t>Changes to the urban transport investment method were significant for New South Wales (</w:t>
      </w:r>
      <w:r w:rsidR="00397826">
        <w:t xml:space="preserve">a redistribution of </w:t>
      </w:r>
      <w:r>
        <w:t>$3</w:t>
      </w:r>
      <w:r w:rsidR="00D95A8D">
        <w:t>8</w:t>
      </w:r>
      <w:r w:rsidR="00B6116B">
        <w:t>9</w:t>
      </w:r>
      <w:r>
        <w:t> million</w:t>
      </w:r>
      <w:r w:rsidR="285766AA">
        <w:t>),</w:t>
      </w:r>
      <w:r>
        <w:t xml:space="preserve"> Victoria ($1</w:t>
      </w:r>
      <w:r w:rsidR="004A5CA3">
        <w:t>0</w:t>
      </w:r>
      <w:r w:rsidR="00D95A8D">
        <w:t>8</w:t>
      </w:r>
      <w:r>
        <w:t xml:space="preserve"> million), </w:t>
      </w:r>
      <w:r w:rsidR="00E3769F">
        <w:t>Queensland (-$</w:t>
      </w:r>
      <w:r w:rsidR="00560253">
        <w:t>1</w:t>
      </w:r>
      <w:r w:rsidR="00D95A8D">
        <w:t>94</w:t>
      </w:r>
      <w:r w:rsidR="00560253">
        <w:t xml:space="preserve"> million), </w:t>
      </w:r>
      <w:r>
        <w:t>Western Australia</w:t>
      </w:r>
      <w:r w:rsidR="00BE69E4">
        <w:t xml:space="preserve"> </w:t>
      </w:r>
      <w:r>
        <w:t>(-$</w:t>
      </w:r>
      <w:r w:rsidR="004A5CA3">
        <w:t>17</w:t>
      </w:r>
      <w:r w:rsidR="00D95A8D">
        <w:t>1</w:t>
      </w:r>
      <w:r>
        <w:t> million) and South Australia (</w:t>
      </w:r>
      <w:r w:rsidR="00D7461C">
        <w:t>-</w:t>
      </w:r>
      <w:r>
        <w:t>$</w:t>
      </w:r>
      <w:r w:rsidR="004A5CA3">
        <w:t>81</w:t>
      </w:r>
      <w:r>
        <w:t xml:space="preserve"> million). </w:t>
      </w:r>
    </w:p>
    <w:p w14:paraId="438A56A7" w14:textId="4168E630" w:rsidR="00E64CD0" w:rsidRDefault="00B354D1" w:rsidP="0096002E">
      <w:pPr>
        <w:pStyle w:val="CGCBullet2"/>
      </w:pPr>
      <w:r>
        <w:t>C</w:t>
      </w:r>
      <w:r w:rsidR="00307C8B">
        <w:t xml:space="preserve">hanges to the rural roads assessment </w:t>
      </w:r>
      <w:r w:rsidR="0037682F">
        <w:t xml:space="preserve">were </w:t>
      </w:r>
      <w:r w:rsidR="0039069D">
        <w:t>also significant</w:t>
      </w:r>
      <w:r w:rsidR="004E3DA1">
        <w:t xml:space="preserve">, </w:t>
      </w:r>
      <w:r w:rsidR="00E72B59">
        <w:t xml:space="preserve">and for most States </w:t>
      </w:r>
      <w:r w:rsidR="009C541B">
        <w:t xml:space="preserve">the effects of </w:t>
      </w:r>
      <w:r w:rsidR="00E72B59">
        <w:t xml:space="preserve">these changes </w:t>
      </w:r>
      <w:r w:rsidR="00942829">
        <w:t xml:space="preserve">offset </w:t>
      </w:r>
      <w:r w:rsidR="00FE1533">
        <w:t xml:space="preserve">the urban transport </w:t>
      </w:r>
      <w:r>
        <w:t xml:space="preserve">method </w:t>
      </w:r>
      <w:r w:rsidR="00A6093B">
        <w:t>changes</w:t>
      </w:r>
      <w:r w:rsidR="008F1168">
        <w:t xml:space="preserve">, particularly </w:t>
      </w:r>
      <w:r>
        <w:t>for</w:t>
      </w:r>
      <w:r w:rsidR="008F1168">
        <w:t xml:space="preserve"> </w:t>
      </w:r>
      <w:r w:rsidR="00720B0D">
        <w:t>Victoria (-</w:t>
      </w:r>
      <w:r w:rsidR="00FD5C7C">
        <w:t>$281 million)</w:t>
      </w:r>
      <w:r w:rsidR="00E64142">
        <w:t xml:space="preserve">, </w:t>
      </w:r>
      <w:r w:rsidR="008F1168">
        <w:t>Queenslan</w:t>
      </w:r>
      <w:r w:rsidR="00720B0D">
        <w:t>d</w:t>
      </w:r>
      <w:r w:rsidR="00FD5C7C">
        <w:t xml:space="preserve"> (</w:t>
      </w:r>
      <w:r w:rsidR="005C4227">
        <w:t>$251</w:t>
      </w:r>
      <w:r w:rsidR="003A61EA">
        <w:t> million)</w:t>
      </w:r>
      <w:r w:rsidR="00E64142">
        <w:t xml:space="preserve"> and the Northern</w:t>
      </w:r>
      <w:r w:rsidR="00D819FF">
        <w:t> </w:t>
      </w:r>
      <w:r w:rsidR="00E64142">
        <w:t>Territory</w:t>
      </w:r>
      <w:r w:rsidR="006F49BB">
        <w:t xml:space="preserve"> (</w:t>
      </w:r>
      <w:r w:rsidR="00F86CDE">
        <w:t>$70</w:t>
      </w:r>
      <w:r w:rsidR="003E34D5">
        <w:t> </w:t>
      </w:r>
      <w:r w:rsidR="00F86CDE">
        <w:t>million)</w:t>
      </w:r>
      <w:r w:rsidR="00720B0D">
        <w:t>.</w:t>
      </w:r>
      <w:r w:rsidR="00E64CD0">
        <w:t xml:space="preserve"> </w:t>
      </w:r>
      <w:r w:rsidR="008F4869">
        <w:t>However, for South</w:t>
      </w:r>
      <w:r w:rsidR="00D819FF">
        <w:t> </w:t>
      </w:r>
      <w:r w:rsidR="008F4869">
        <w:t>Australia</w:t>
      </w:r>
      <w:r w:rsidR="00345D51">
        <w:t>,</w:t>
      </w:r>
      <w:r w:rsidR="008F4869">
        <w:t xml:space="preserve"> </w:t>
      </w:r>
      <w:r w:rsidR="00BD4493">
        <w:t xml:space="preserve">changes to the rural roads assessment </w:t>
      </w:r>
      <w:r w:rsidR="00345D51">
        <w:t>(</w:t>
      </w:r>
      <w:r w:rsidR="00356276">
        <w:noBreakHyphen/>
      </w:r>
      <w:r w:rsidR="00345D51">
        <w:t>$</w:t>
      </w:r>
      <w:r w:rsidR="00267A7D">
        <w:t>28 million) reinforced the</w:t>
      </w:r>
      <w:r w:rsidR="00234A40">
        <w:t xml:space="preserve"> effects of the urban transport method change.</w:t>
      </w:r>
    </w:p>
    <w:p w14:paraId="252A1A10" w14:textId="70538545" w:rsidR="00442D1F" w:rsidRDefault="0044557C" w:rsidP="0096002E">
      <w:pPr>
        <w:pStyle w:val="CGCBullet2"/>
      </w:pPr>
      <w:r>
        <w:t xml:space="preserve">Investment needs </w:t>
      </w:r>
      <w:r w:rsidR="002D7D00">
        <w:t xml:space="preserve">for </w:t>
      </w:r>
      <w:r>
        <w:t>the ACT were reduced by $20 million due to m</w:t>
      </w:r>
      <w:r w:rsidR="00307C8B">
        <w:t xml:space="preserve">ethod changes across </w:t>
      </w:r>
      <w:r w:rsidR="003040A7">
        <w:t>several</w:t>
      </w:r>
      <w:r w:rsidR="00307C8B">
        <w:t xml:space="preserve"> expense assessments</w:t>
      </w:r>
      <w:r w:rsidR="00F45A53">
        <w:t xml:space="preserve"> including Health, Justice, </w:t>
      </w:r>
      <w:r w:rsidR="005F2234">
        <w:t>r</w:t>
      </w:r>
      <w:r w:rsidR="00F45A53">
        <w:t xml:space="preserve">ural roads and </w:t>
      </w:r>
      <w:r w:rsidR="005F2234">
        <w:t>u</w:t>
      </w:r>
      <w:r w:rsidR="00F45A53">
        <w:t>rban transport</w:t>
      </w:r>
      <w:r w:rsidR="00D64F23">
        <w:t>.</w:t>
      </w:r>
    </w:p>
    <w:p w14:paraId="01D1BE92" w14:textId="2C48980E" w:rsidR="00EF589C" w:rsidRPr="00EF589C" w:rsidRDefault="00134CBB" w:rsidP="0082719C">
      <w:pPr>
        <w:pStyle w:val="CGCParaNumber"/>
      </w:pPr>
      <w:r>
        <w:t>Overall,</w:t>
      </w:r>
      <w:r w:rsidR="008C2B48">
        <w:t xml:space="preserve"> compared with the previous distribution,</w:t>
      </w:r>
      <w:r>
        <w:t xml:space="preserve"> the </w:t>
      </w:r>
      <w:r w:rsidR="00605ADA">
        <w:t xml:space="preserve">method </w:t>
      </w:r>
      <w:r w:rsidR="00D63F91">
        <w:t xml:space="preserve">changes </w:t>
      </w:r>
      <w:r w:rsidR="00605ADA">
        <w:t xml:space="preserve">have redistributed </w:t>
      </w:r>
      <w:r w:rsidR="00A91BC7">
        <w:t>$591 million</w:t>
      </w:r>
      <w:r w:rsidR="002317A5">
        <w:t xml:space="preserve"> away from</w:t>
      </w:r>
      <w:r w:rsidR="007429E7">
        <w:t xml:space="preserve"> Victoria, South</w:t>
      </w:r>
      <w:r w:rsidR="006E3AA6">
        <w:t> </w:t>
      </w:r>
      <w:r w:rsidR="007429E7">
        <w:t>Australia</w:t>
      </w:r>
      <w:r w:rsidR="006E3AA6">
        <w:t>, Tasmania and the ACT to the other States.</w:t>
      </w:r>
    </w:p>
    <w:p w14:paraId="50375BB2" w14:textId="77777777" w:rsidR="00F53F6B" w:rsidRDefault="00F53F6B" w:rsidP="00F53F6B">
      <w:pPr>
        <w:pStyle w:val="Heading5"/>
      </w:pPr>
      <w:r>
        <w:t>Stamp duty on conveyances</w:t>
      </w:r>
    </w:p>
    <w:p w14:paraId="76C59640" w14:textId="4864E1A8" w:rsidR="00F53F6B" w:rsidRDefault="00F53F6B" w:rsidP="00F53F6B">
      <w:pPr>
        <w:pStyle w:val="CGCParaNumber"/>
      </w:pPr>
      <w:r>
        <w:t>As a consequence of changes in the activity taxed by States, the Commission has changed the scope of the revenue that is differentially assessed. It decided to assess EPC duty on non-real property transactions, as it is imposed by only three States (Queensland, Western Australia and the Northern Territory)</w:t>
      </w:r>
      <w:r w:rsidR="00763EFC">
        <w:t xml:space="preserve"> </w:t>
      </w:r>
      <w:r w:rsidR="002D7F7C">
        <w:t xml:space="preserve">making it difficult to reliably estimate </w:t>
      </w:r>
      <w:r w:rsidR="00B46503">
        <w:t>a tax base for th</w:t>
      </w:r>
      <w:r w:rsidR="00136D98">
        <w:t>os</w:t>
      </w:r>
      <w:r w:rsidR="00B46503">
        <w:t xml:space="preserve">e States </w:t>
      </w:r>
      <w:r w:rsidR="00B46503">
        <w:lastRenderedPageBreak/>
        <w:t>not imposing this duty</w:t>
      </w:r>
      <w:r>
        <w:t>.</w:t>
      </w:r>
      <w:r>
        <w:rPr>
          <w:rStyle w:val="FootnoteReference"/>
        </w:rPr>
        <w:footnoteReference w:id="6"/>
      </w:r>
      <w:r>
        <w:t xml:space="preserve"> Previously, that revenue had been differentially assessed. The Commission has decided to differentially assess duty on land rich transactions by listed companies</w:t>
      </w:r>
      <w:r w:rsidR="006768B7">
        <w:rPr>
          <w:rStyle w:val="FootnoteReference"/>
        </w:rPr>
        <w:footnoteReference w:id="7"/>
      </w:r>
      <w:r>
        <w:t>, since seven States now impose this duty. Previously, that revenue was assessed EPC. The Commission has also removed two data adjustments. A change to the basis on which Victoria provides its transaction data mean</w:t>
      </w:r>
      <w:r w:rsidR="00B01E23">
        <w:t>s</w:t>
      </w:r>
      <w:r>
        <w:t xml:space="preserve"> that an adjustment for its </w:t>
      </w:r>
      <w:r w:rsidDel="000D70B7">
        <w:t>off</w:t>
      </w:r>
      <w:r>
        <w:t>-</w:t>
      </w:r>
      <w:r w:rsidDel="000D70B7">
        <w:t>the</w:t>
      </w:r>
      <w:r>
        <w:t>-plan</w:t>
      </w:r>
      <w:r w:rsidDel="000D70B7">
        <w:t xml:space="preserve"> </w:t>
      </w:r>
      <w:r>
        <w:t xml:space="preserve">concession is no longer required, while an increasing alignment of tax policy across States means that downward adjustments to Queensland, Western Australia and South Australia in recognition of the treatment of unit trusts are also no longer required. The change to an EPC assessment of duty on non-real property transactions has </w:t>
      </w:r>
      <w:r w:rsidR="00F417E2">
        <w:t xml:space="preserve">caused </w:t>
      </w:r>
      <w:r>
        <w:t>the biggest change.</w:t>
      </w:r>
    </w:p>
    <w:p w14:paraId="0EC254AE" w14:textId="1522063F" w:rsidR="00F53F6B" w:rsidRDefault="00F53F6B" w:rsidP="000C47FF">
      <w:pPr>
        <w:pStyle w:val="CGCParaNumber"/>
      </w:pPr>
      <w:r>
        <w:t>New South Wales, Victoria and Queensland are most affected by these changes. Together, the changes redistribute $</w:t>
      </w:r>
      <w:r w:rsidRPr="00DC5B71">
        <w:t>292</w:t>
      </w:r>
      <w:r>
        <w:t> million away from New South Wales, South Australia, Tasmania, the ACT and the Northern Territory to the other States.</w:t>
      </w:r>
    </w:p>
    <w:p w14:paraId="04FF48C0" w14:textId="66DB8676" w:rsidR="00EF589C" w:rsidRDefault="00EF589C" w:rsidP="00EF589C">
      <w:pPr>
        <w:pStyle w:val="Heading5"/>
      </w:pPr>
      <w:r>
        <w:t>Services to communities</w:t>
      </w:r>
    </w:p>
    <w:p w14:paraId="4D126904" w14:textId="5D685E84" w:rsidR="00FF2839" w:rsidRDefault="00FF2839" w:rsidP="00FF2839">
      <w:pPr>
        <w:pStyle w:val="CGCParaNumber"/>
      </w:pPr>
      <w:bookmarkStart w:id="23" w:name="_Hlk31722598"/>
      <w:r>
        <w:t>The assessment of Services to communities has changed mostly because of improved data for electricity and water subsidies and Indigenous community development expenses. These changes redistribute</w:t>
      </w:r>
      <w:r w:rsidR="002A688A">
        <w:t>d</w:t>
      </w:r>
      <w:r>
        <w:t xml:space="preserve"> $252 million away from Queensland, Western Australia, South</w:t>
      </w:r>
      <w:r w:rsidR="00BA1F0E">
        <w:t> </w:t>
      </w:r>
      <w:r>
        <w:t>Australia, Tasmania and the Northern Territory, to New South Wales, Victoria and the ACT.</w:t>
      </w:r>
    </w:p>
    <w:p w14:paraId="5653AAA6" w14:textId="77777777" w:rsidR="00BD0763" w:rsidRDefault="00FF2839" w:rsidP="0012596C">
      <w:pPr>
        <w:pStyle w:val="CGCParaNumber"/>
      </w:pPr>
      <w:r>
        <w:t>Electricity and water subsidies are now</w:t>
      </w:r>
      <w:r w:rsidR="0012596C">
        <w:t xml:space="preserve"> separately assessed, as the disabilities affecting these subsidies are different. </w:t>
      </w:r>
      <w:r w:rsidR="0052333E">
        <w:t>Previously, the assessment</w:t>
      </w:r>
      <w:r w:rsidR="0060441C">
        <w:t xml:space="preserve"> of </w:t>
      </w:r>
      <w:r w:rsidR="0052333E">
        <w:t xml:space="preserve">these </w:t>
      </w:r>
      <w:r w:rsidR="0060441C">
        <w:t>expenses</w:t>
      </w:r>
      <w:r w:rsidR="0052333E">
        <w:t xml:space="preserve"> used the population in remote and very remote communities </w:t>
      </w:r>
      <w:r w:rsidR="005C43F2">
        <w:t>sized</w:t>
      </w:r>
      <w:r w:rsidR="0052333E">
        <w:t xml:space="preserve"> between 50 and 1,000 people</w:t>
      </w:r>
      <w:r w:rsidR="002C0292">
        <w:t xml:space="preserve"> to assess State needs</w:t>
      </w:r>
      <w:r w:rsidR="0052333E">
        <w:t>.</w:t>
      </w:r>
    </w:p>
    <w:p w14:paraId="62C6873B" w14:textId="77777777" w:rsidR="0012596C" w:rsidRDefault="0012596C" w:rsidP="004C0D03">
      <w:pPr>
        <w:pStyle w:val="CGCBullet1"/>
      </w:pPr>
      <w:r>
        <w:t xml:space="preserve">Electricity subsidies for remote communities are </w:t>
      </w:r>
      <w:r w:rsidR="002C0292">
        <w:t xml:space="preserve">now </w:t>
      </w:r>
      <w:r>
        <w:t xml:space="preserve">assessed using the population in remote and very remote communities. The definition of remote communities includes </w:t>
      </w:r>
      <w:r w:rsidR="00A45A05">
        <w:t xml:space="preserve">all </w:t>
      </w:r>
      <w:r>
        <w:t>communities of more than 50 people.</w:t>
      </w:r>
    </w:p>
    <w:p w14:paraId="753ED5F8" w14:textId="77777777" w:rsidR="00874605" w:rsidRPr="00874605" w:rsidRDefault="0012596C">
      <w:pPr>
        <w:pStyle w:val="CGCBullet1"/>
        <w:rPr>
          <w:szCs w:val="20"/>
        </w:rPr>
      </w:pPr>
      <w:r>
        <w:t xml:space="preserve">Water subsidies for small communities are </w:t>
      </w:r>
      <w:r w:rsidR="00612870">
        <w:t xml:space="preserve">now </w:t>
      </w:r>
      <w:r>
        <w:t>assessed using the population in small communities outside major cities</w:t>
      </w:r>
      <w:r w:rsidR="001E28E3">
        <w:t>,</w:t>
      </w:r>
      <w:r w:rsidR="0096362C">
        <w:t xml:space="preserve"> and the </w:t>
      </w:r>
      <w:r>
        <w:t xml:space="preserve">definition of small communities has been broadened </w:t>
      </w:r>
      <w:r w:rsidR="00FF2839">
        <w:t>to include communities of more than 50 but less than 3,000 people.</w:t>
      </w:r>
    </w:p>
    <w:p w14:paraId="06A38EBF" w14:textId="101AEB0F" w:rsidR="00FF2839" w:rsidRPr="00580564" w:rsidRDefault="00945B88" w:rsidP="00FF2839">
      <w:pPr>
        <w:pStyle w:val="CGCParaNumber"/>
        <w:rPr>
          <w:szCs w:val="20"/>
        </w:rPr>
      </w:pPr>
      <w:r w:rsidRPr="00945B88">
        <w:rPr>
          <w:lang w:val="en-AU"/>
        </w:rPr>
        <w:t>Assessed electricity subsidies for remote communities and water subsidies for small communities both have wage costs applied. The effects of regional costs, which have been derived using service specific State data, are also recognised</w:t>
      </w:r>
      <w:r w:rsidR="00FF2839">
        <w:t>. The split between electricity subsidies for remote communities and other electricity subsidies, and the split between water subsidies for small communities and other water subsidies, have been updated based on State data. The expense data will be updated on an annual basis.</w:t>
      </w:r>
    </w:p>
    <w:p w14:paraId="4BA7EE68" w14:textId="5F0D87E7" w:rsidR="00FF2839" w:rsidRDefault="00FF2839" w:rsidP="00FF2839">
      <w:pPr>
        <w:pStyle w:val="CGCParaNumber"/>
        <w:rPr>
          <w:szCs w:val="20"/>
        </w:rPr>
      </w:pPr>
      <w:r>
        <w:t xml:space="preserve">The broadening of the definitions of communities receiving electricity subsidies and water subsidies was the main source of change. Broadening the definitions captures more communities in more States. Previously, service populations were </w:t>
      </w:r>
      <w:r w:rsidR="00B00D28">
        <w:t xml:space="preserve">more </w:t>
      </w:r>
      <w:r>
        <w:t>concentrated in Queensland, Western Australia, South Australia, Tasmania and the Northern Territory.</w:t>
      </w:r>
    </w:p>
    <w:p w14:paraId="0471EE64" w14:textId="080E33AC" w:rsidR="00FF2839" w:rsidRDefault="00FF2839" w:rsidP="00FF2839">
      <w:pPr>
        <w:pStyle w:val="CGCParaNumber"/>
      </w:pPr>
      <w:r>
        <w:t xml:space="preserve">Indigenous community development expenses are sourced from State data and include general revenue assistance grants to Indigenous local governments. Despite including </w:t>
      </w:r>
      <w:r w:rsidR="00C3033D">
        <w:t xml:space="preserve">these </w:t>
      </w:r>
      <w:r>
        <w:t xml:space="preserve">grants, average spending </w:t>
      </w:r>
      <w:r w:rsidR="008A49F5">
        <w:t xml:space="preserve">on </w:t>
      </w:r>
      <w:r>
        <w:t>Indigenous community development fell by one third</w:t>
      </w:r>
      <w:r w:rsidR="004457F9">
        <w:t>.</w:t>
      </w:r>
      <w:r w:rsidR="004B727D">
        <w:t xml:space="preserve"> </w:t>
      </w:r>
      <w:r w:rsidR="004457F9">
        <w:t xml:space="preserve">This </w:t>
      </w:r>
      <w:r>
        <w:lastRenderedPageBreak/>
        <w:t>reduc</w:t>
      </w:r>
      <w:r w:rsidR="004457F9">
        <w:t>ed</w:t>
      </w:r>
      <w:r>
        <w:t xml:space="preserve"> the GST distribution </w:t>
      </w:r>
      <w:r w:rsidR="00C34E10">
        <w:t xml:space="preserve">to </w:t>
      </w:r>
      <w:r>
        <w:t>States with a relatively large proportion of their Indigenous population in discrete Indigenous communities, particularly the Northern Territory.</w:t>
      </w:r>
    </w:p>
    <w:bookmarkEnd w:id="23"/>
    <w:p w14:paraId="74E2F304" w14:textId="185C81C1" w:rsidR="00946C6C" w:rsidRDefault="00946C6C" w:rsidP="00946C6C">
      <w:pPr>
        <w:pStyle w:val="Heading5"/>
      </w:pPr>
      <w:r>
        <w:t>Administrative scale</w:t>
      </w:r>
    </w:p>
    <w:p w14:paraId="1DC64F2D" w14:textId="03B0DE40" w:rsidR="007531AF" w:rsidRDefault="007531AF" w:rsidP="007531AF">
      <w:pPr>
        <w:pStyle w:val="CGCParaNumber"/>
      </w:pPr>
      <w:r>
        <w:t>In this review, the Commission undertook a comprehensive review of its</w:t>
      </w:r>
      <w:r w:rsidR="00F079AD">
        <w:t xml:space="preserve"> assessment of the minimum costs faced by States in preparing to deliver services, referred to as</w:t>
      </w:r>
      <w:r>
        <w:t xml:space="preserve"> administrative scale.</w:t>
      </w:r>
    </w:p>
    <w:p w14:paraId="5BD8311C" w14:textId="1B02010D" w:rsidR="007531AF" w:rsidRDefault="007531AF" w:rsidP="007531AF">
      <w:pPr>
        <w:pStyle w:val="CGCParaNumber"/>
      </w:pPr>
      <w:r>
        <w:t xml:space="preserve">The Commission has increased the administrative scale amounts across all categories. This reflects increasing levels of collaboration between the Commonwealth and State governments in </w:t>
      </w:r>
      <w:r w:rsidR="007B4858">
        <w:t>several</w:t>
      </w:r>
      <w:r>
        <w:t xml:space="preserve"> spheres, greater legislative and reporting requirements, and changes in the nature and use of information and communications technology.</w:t>
      </w:r>
    </w:p>
    <w:p w14:paraId="0FE0EF1E" w14:textId="035090A1" w:rsidR="007531AF" w:rsidRDefault="007531AF" w:rsidP="007531AF">
      <w:pPr>
        <w:pStyle w:val="CGCParaNumber"/>
      </w:pPr>
      <w:r>
        <w:t xml:space="preserve">The </w:t>
      </w:r>
      <w:r w:rsidR="579F8E47">
        <w:t>changes</w:t>
      </w:r>
      <w:r w:rsidR="456326D4">
        <w:t xml:space="preserve"> to the </w:t>
      </w:r>
      <w:r w:rsidR="34D3AC34">
        <w:t>administrative</w:t>
      </w:r>
      <w:r>
        <w:t xml:space="preserve"> scale </w:t>
      </w:r>
      <w:r w:rsidR="4FB3DA36">
        <w:t>amounts redistribute</w:t>
      </w:r>
      <w:r w:rsidR="0029256E">
        <w:t>d</w:t>
      </w:r>
      <w:r w:rsidR="4FB3DA36">
        <w:t xml:space="preserve"> $</w:t>
      </w:r>
      <w:r w:rsidR="7C66B3BE" w:rsidRPr="00DC5B71">
        <w:t>22</w:t>
      </w:r>
      <w:r w:rsidR="004F4556" w:rsidRPr="00DC5B71">
        <w:t>4</w:t>
      </w:r>
      <w:r w:rsidR="006F24E4">
        <w:t> </w:t>
      </w:r>
      <w:r w:rsidR="62C9F8A9">
        <w:t>million</w:t>
      </w:r>
      <w:r>
        <w:t xml:space="preserve"> to the five </w:t>
      </w:r>
      <w:r w:rsidR="00993D60">
        <w:t xml:space="preserve">least populous </w:t>
      </w:r>
      <w:r>
        <w:t xml:space="preserve">States and away from the </w:t>
      </w:r>
      <w:r w:rsidR="00D53DEF">
        <w:t xml:space="preserve">more populous </w:t>
      </w:r>
      <w:r>
        <w:t>States.</w:t>
      </w:r>
    </w:p>
    <w:p w14:paraId="69622DD3" w14:textId="6BD94D65" w:rsidR="000D6693" w:rsidRDefault="00DE42C0" w:rsidP="00DE42C0">
      <w:pPr>
        <w:pStyle w:val="Heading5"/>
      </w:pPr>
      <w:r>
        <w:t>Other method changes</w:t>
      </w:r>
    </w:p>
    <w:p w14:paraId="2F76F71D" w14:textId="53F512BB" w:rsidR="00DE42C0" w:rsidRPr="00DE42C0" w:rsidRDefault="00C12371" w:rsidP="00DE42C0">
      <w:pPr>
        <w:pStyle w:val="CGCParaNumber"/>
      </w:pPr>
      <w:r>
        <w:t xml:space="preserve">These </w:t>
      </w:r>
      <w:r w:rsidR="0001425F">
        <w:t xml:space="preserve">redistributions </w:t>
      </w:r>
      <w:r w:rsidR="007E2D91">
        <w:t>reflect</w:t>
      </w:r>
      <w:r w:rsidR="0001425F">
        <w:t xml:space="preserve"> </w:t>
      </w:r>
      <w:r w:rsidR="0077762A">
        <w:t>a range of changes</w:t>
      </w:r>
      <w:r w:rsidR="00261DB5">
        <w:t xml:space="preserve"> (each of which </w:t>
      </w:r>
      <w:r w:rsidR="00263E30">
        <w:t>individually has a relatively small impact)</w:t>
      </w:r>
      <w:r w:rsidR="0077762A">
        <w:t xml:space="preserve"> ac</w:t>
      </w:r>
      <w:r w:rsidR="00E02D15">
        <w:t>r</w:t>
      </w:r>
      <w:r w:rsidR="0077762A">
        <w:t>oss other assessment categor</w:t>
      </w:r>
      <w:r w:rsidR="00E02D15">
        <w:t>ies</w:t>
      </w:r>
      <w:r w:rsidR="00E7168F">
        <w:t>.</w:t>
      </w:r>
      <w:r w:rsidR="00835DCE">
        <w:t xml:space="preserve"> </w:t>
      </w:r>
      <w:r w:rsidR="009766E4">
        <w:t xml:space="preserve">The effects for specific categories are described in the </w:t>
      </w:r>
      <w:r w:rsidR="00AF2F4A">
        <w:t xml:space="preserve">relevant chapters of Volume 2. </w:t>
      </w:r>
      <w:r w:rsidR="006B6738">
        <w:t>C</w:t>
      </w:r>
      <w:r w:rsidR="00AE33AD">
        <w:t xml:space="preserve">ollectively </w:t>
      </w:r>
      <w:r w:rsidR="006B6738">
        <w:t xml:space="preserve">these other method changes have </w:t>
      </w:r>
      <w:r w:rsidR="00A160A9">
        <w:t>redistr</w:t>
      </w:r>
      <w:r w:rsidR="00962FAF">
        <w:t>ibuted $421</w:t>
      </w:r>
      <w:r w:rsidR="000A1E17">
        <w:t> </w:t>
      </w:r>
      <w:r w:rsidR="00962FAF">
        <w:t>million</w:t>
      </w:r>
      <w:r w:rsidR="00E31BFB">
        <w:t xml:space="preserve">, largely from </w:t>
      </w:r>
      <w:r w:rsidR="00B34E4E">
        <w:t xml:space="preserve">Victoria and the ACT to </w:t>
      </w:r>
      <w:r w:rsidR="00E6072E">
        <w:t>Queensland and the Northern Territory</w:t>
      </w:r>
      <w:r w:rsidR="00962FAF">
        <w:t>.</w:t>
      </w:r>
    </w:p>
    <w:p w14:paraId="62FEFCB9" w14:textId="77777777" w:rsidR="003126B8" w:rsidRDefault="003126B8" w:rsidP="003126B8">
      <w:pPr>
        <w:pStyle w:val="Heading3"/>
      </w:pPr>
      <w:bookmarkStart w:id="24" w:name="_Toc33600545"/>
      <w:r>
        <w:t>Data revisions</w:t>
      </w:r>
      <w:bookmarkEnd w:id="24"/>
    </w:p>
    <w:p w14:paraId="2158ACB5" w14:textId="21E777E6" w:rsidR="006B429C" w:rsidRDefault="006B429C" w:rsidP="006B429C">
      <w:pPr>
        <w:pStyle w:val="CGCParaNumber"/>
      </w:pPr>
      <w:r w:rsidRPr="006B429C">
        <w:t xml:space="preserve">Data revisions for the three </w:t>
      </w:r>
      <w:r w:rsidR="00CE5D89">
        <w:t>asses</w:t>
      </w:r>
      <w:r w:rsidR="00384716">
        <w:t xml:space="preserve">sment </w:t>
      </w:r>
      <w:r w:rsidRPr="006B429C">
        <w:t>years of the 201</w:t>
      </w:r>
      <w:r>
        <w:t>9 </w:t>
      </w:r>
      <w:r w:rsidRPr="006B429C">
        <w:t xml:space="preserve">Update changed the redistribution by </w:t>
      </w:r>
      <w:r w:rsidRPr="00380AC8">
        <w:t>$</w:t>
      </w:r>
      <w:r w:rsidR="005368F0">
        <w:t>39</w:t>
      </w:r>
      <w:r w:rsidR="003C3A01">
        <w:t>7</w:t>
      </w:r>
      <w:r w:rsidR="00287F61">
        <w:t> </w:t>
      </w:r>
      <w:r w:rsidRPr="006B429C">
        <w:t xml:space="preserve">million in this </w:t>
      </w:r>
      <w:r>
        <w:t>review</w:t>
      </w:r>
      <w:r w:rsidRPr="006B429C">
        <w:t>. The largest revision</w:t>
      </w:r>
      <w:r w:rsidR="00520E56">
        <w:t>s</w:t>
      </w:r>
      <w:r w:rsidRPr="006B429C">
        <w:t xml:space="preserve"> are shown in </w:t>
      </w:r>
      <w:r w:rsidR="001B2C54">
        <w:fldChar w:fldCharType="begin"/>
      </w:r>
      <w:r w:rsidR="001B2C54">
        <w:instrText xml:space="preserve"> REF _Ref30523737 \h </w:instrText>
      </w:r>
      <w:r w:rsidR="001B2C54">
        <w:fldChar w:fldCharType="separate"/>
      </w:r>
      <w:r w:rsidR="003D49C2">
        <w:t>Table 2</w:t>
      </w:r>
      <w:r w:rsidR="003D49C2">
        <w:noBreakHyphen/>
      </w:r>
      <w:r w:rsidR="003D49C2">
        <w:rPr>
          <w:noProof/>
        </w:rPr>
        <w:t>4</w:t>
      </w:r>
      <w:r w:rsidR="001B2C54">
        <w:fldChar w:fldCharType="end"/>
      </w:r>
      <w:r w:rsidR="00520E56">
        <w:t xml:space="preserve"> and </w:t>
      </w:r>
      <w:r w:rsidR="002E62C1">
        <w:t>are described below</w:t>
      </w:r>
      <w:r w:rsidRPr="006B429C">
        <w:t>.</w:t>
      </w:r>
    </w:p>
    <w:p w14:paraId="64BE127E" w14:textId="1E190613" w:rsidR="006C733E" w:rsidRDefault="006C733E" w:rsidP="00C75303">
      <w:pPr>
        <w:pStyle w:val="CGCTableHeading"/>
      </w:pPr>
      <w:bookmarkStart w:id="25" w:name="_Ref30523737"/>
      <w:r>
        <w:t xml:space="preserve">Table </w:t>
      </w:r>
      <w:r w:rsidR="007D70A7">
        <w:t>2</w:t>
      </w:r>
      <w:r w:rsidR="007D70A7">
        <w:noBreakHyphen/>
      </w:r>
      <w:r>
        <w:fldChar w:fldCharType="begin"/>
      </w:r>
      <w:r>
        <w:instrText>SEQ Table \* ARABIC</w:instrText>
      </w:r>
      <w:r>
        <w:fldChar w:fldCharType="separate"/>
      </w:r>
      <w:r w:rsidR="003D49C2">
        <w:rPr>
          <w:noProof/>
        </w:rPr>
        <w:t>4</w:t>
      </w:r>
      <w:r>
        <w:fldChar w:fldCharType="end"/>
      </w:r>
      <w:bookmarkEnd w:id="25"/>
      <w:r>
        <w:tab/>
        <w:t>Major effects of data revisions, 2020</w:t>
      </w:r>
      <w:r w:rsidR="00D765BD">
        <w:noBreakHyphen/>
        <w:t>21</w:t>
      </w:r>
    </w:p>
    <w:tbl>
      <w:tblPr>
        <w:tblW w:w="8902" w:type="dxa"/>
        <w:tblCellMar>
          <w:left w:w="0" w:type="dxa"/>
          <w:right w:w="28" w:type="dxa"/>
        </w:tblCellMar>
        <w:tblLook w:val="04A0" w:firstRow="1" w:lastRow="0" w:firstColumn="1" w:lastColumn="0" w:noHBand="0" w:noVBand="1"/>
      </w:tblPr>
      <w:tblGrid>
        <w:gridCol w:w="2283"/>
        <w:gridCol w:w="739"/>
        <w:gridCol w:w="734"/>
        <w:gridCol w:w="734"/>
        <w:gridCol w:w="734"/>
        <w:gridCol w:w="732"/>
        <w:gridCol w:w="733"/>
        <w:gridCol w:w="735"/>
        <w:gridCol w:w="732"/>
        <w:gridCol w:w="746"/>
      </w:tblGrid>
      <w:tr w:rsidR="00C51EA3" w:rsidRPr="00C51EA3" w14:paraId="7C607B32" w14:textId="77777777" w:rsidTr="00664FDC">
        <w:trPr>
          <w:trHeight w:val="375"/>
        </w:trPr>
        <w:tc>
          <w:tcPr>
            <w:tcW w:w="2380" w:type="dxa"/>
            <w:tcBorders>
              <w:top w:val="single" w:sz="4" w:space="0" w:color="ADD6EA"/>
              <w:left w:val="nil"/>
              <w:bottom w:val="single" w:sz="4" w:space="0" w:color="ADD6EA"/>
              <w:right w:val="nil"/>
            </w:tcBorders>
            <w:shd w:val="clear" w:color="000000" w:fill="006991"/>
            <w:vAlign w:val="center"/>
            <w:hideMark/>
          </w:tcPr>
          <w:p w14:paraId="09EBA7C2"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308F803D"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0C3777EF"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4700C226"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0324F9BC"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3C8D512D"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147007D1"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28E88696"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7B800207"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78DAC911"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51EA3">
              <w:rPr>
                <w:rFonts w:ascii="Open Sans SemiBold" w:eastAsia="Times New Roman" w:hAnsi="Open Sans SemiBold" w:cs="Open Sans SemiBold"/>
                <w:color w:val="FFFFFF"/>
                <w:sz w:val="16"/>
                <w:szCs w:val="16"/>
                <w:lang w:val="en-AU" w:eastAsia="en-AU"/>
              </w:rPr>
              <w:t>Redist</w:t>
            </w:r>
          </w:p>
        </w:tc>
      </w:tr>
      <w:tr w:rsidR="00C51EA3" w:rsidRPr="00C51EA3" w14:paraId="417518F1" w14:textId="77777777" w:rsidTr="00664FDC">
        <w:trPr>
          <w:trHeight w:val="258"/>
        </w:trPr>
        <w:tc>
          <w:tcPr>
            <w:tcW w:w="2380" w:type="dxa"/>
            <w:tcBorders>
              <w:top w:val="nil"/>
              <w:left w:val="nil"/>
              <w:bottom w:val="single" w:sz="4" w:space="0" w:color="ADD6EA"/>
              <w:right w:val="nil"/>
            </w:tcBorders>
            <w:shd w:val="clear" w:color="000000" w:fill="B6D5E4"/>
            <w:vAlign w:val="center"/>
            <w:hideMark/>
          </w:tcPr>
          <w:p w14:paraId="1C632E45" w14:textId="77777777" w:rsidR="00C51EA3" w:rsidRPr="00C51EA3" w:rsidRDefault="00C51EA3" w:rsidP="00C51EA3">
            <w:pPr>
              <w:tabs>
                <w:tab w:val="clear" w:pos="567"/>
              </w:tabs>
              <w:spacing w:before="0" w:line="240" w:lineRule="auto"/>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 </w:t>
            </w:r>
          </w:p>
        </w:tc>
        <w:tc>
          <w:tcPr>
            <w:tcW w:w="760" w:type="dxa"/>
            <w:tcBorders>
              <w:top w:val="nil"/>
              <w:left w:val="nil"/>
              <w:bottom w:val="single" w:sz="4" w:space="0" w:color="ADD6EA"/>
              <w:right w:val="nil"/>
            </w:tcBorders>
            <w:shd w:val="clear" w:color="000000" w:fill="B6D5E4"/>
            <w:vAlign w:val="center"/>
            <w:hideMark/>
          </w:tcPr>
          <w:p w14:paraId="23F2BF58"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32A3683D"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41E2BAC3"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32239312"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19CDF747"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0D941B30"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05E3C35A"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0DCA0F0B"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1BAFC714"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$m</w:t>
            </w:r>
          </w:p>
        </w:tc>
      </w:tr>
      <w:tr w:rsidR="00C51EA3" w:rsidRPr="00C51EA3" w14:paraId="0081FAB8"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444AA4C0" w14:textId="77777777" w:rsidR="00C51EA3" w:rsidRPr="00C51EA3" w:rsidRDefault="00C51EA3" w:rsidP="00C51EA3">
            <w:pPr>
              <w:tabs>
                <w:tab w:val="clear" w:pos="567"/>
              </w:tabs>
              <w:spacing w:before="0" w:line="240" w:lineRule="auto"/>
              <w:rPr>
                <w:rFonts w:eastAsia="Times New Roman" w:cs="Open Sans Light"/>
                <w:sz w:val="16"/>
                <w:szCs w:val="16"/>
                <w:lang w:val="en-AU" w:eastAsia="en-AU"/>
              </w:rPr>
            </w:pPr>
            <w:r w:rsidRPr="00C51EA3">
              <w:rPr>
                <w:rFonts w:eastAsia="Times New Roman" w:cs="Open Sans Light"/>
                <w:sz w:val="16"/>
                <w:szCs w:val="16"/>
                <w:lang w:val="en-AU" w:eastAsia="en-AU"/>
              </w:rPr>
              <w:t>Natural disaster relief</w:t>
            </w:r>
          </w:p>
        </w:tc>
        <w:tc>
          <w:tcPr>
            <w:tcW w:w="760" w:type="dxa"/>
            <w:tcBorders>
              <w:top w:val="nil"/>
              <w:left w:val="nil"/>
              <w:bottom w:val="single" w:sz="4" w:space="0" w:color="ADD6EA"/>
              <w:right w:val="nil"/>
            </w:tcBorders>
            <w:shd w:val="clear" w:color="auto" w:fill="auto"/>
            <w:vAlign w:val="bottom"/>
            <w:hideMark/>
          </w:tcPr>
          <w:p w14:paraId="7E9F335C"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-173</w:t>
            </w:r>
          </w:p>
        </w:tc>
        <w:tc>
          <w:tcPr>
            <w:tcW w:w="760" w:type="dxa"/>
            <w:tcBorders>
              <w:top w:val="nil"/>
              <w:left w:val="nil"/>
              <w:bottom w:val="single" w:sz="4" w:space="0" w:color="ADD6EA"/>
              <w:right w:val="nil"/>
            </w:tcBorders>
            <w:shd w:val="clear" w:color="auto" w:fill="auto"/>
            <w:vAlign w:val="bottom"/>
            <w:hideMark/>
          </w:tcPr>
          <w:p w14:paraId="3C8259EA"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-207</w:t>
            </w:r>
          </w:p>
        </w:tc>
        <w:tc>
          <w:tcPr>
            <w:tcW w:w="760" w:type="dxa"/>
            <w:tcBorders>
              <w:top w:val="nil"/>
              <w:left w:val="nil"/>
              <w:bottom w:val="single" w:sz="4" w:space="0" w:color="ADD6EA"/>
              <w:right w:val="nil"/>
            </w:tcBorders>
            <w:shd w:val="clear" w:color="auto" w:fill="auto"/>
            <w:vAlign w:val="bottom"/>
            <w:hideMark/>
          </w:tcPr>
          <w:p w14:paraId="6FC04BD5"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342</w:t>
            </w:r>
          </w:p>
        </w:tc>
        <w:tc>
          <w:tcPr>
            <w:tcW w:w="760" w:type="dxa"/>
            <w:tcBorders>
              <w:top w:val="nil"/>
              <w:left w:val="nil"/>
              <w:bottom w:val="single" w:sz="4" w:space="0" w:color="ADD6EA"/>
              <w:right w:val="nil"/>
            </w:tcBorders>
            <w:shd w:val="clear" w:color="auto" w:fill="auto"/>
            <w:vAlign w:val="bottom"/>
            <w:hideMark/>
          </w:tcPr>
          <w:p w14:paraId="3F2A24D0"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103</w:t>
            </w:r>
          </w:p>
        </w:tc>
        <w:tc>
          <w:tcPr>
            <w:tcW w:w="760" w:type="dxa"/>
            <w:tcBorders>
              <w:top w:val="nil"/>
              <w:left w:val="nil"/>
              <w:bottom w:val="single" w:sz="4" w:space="0" w:color="ADD6EA"/>
              <w:right w:val="nil"/>
            </w:tcBorders>
            <w:shd w:val="clear" w:color="auto" w:fill="auto"/>
            <w:vAlign w:val="bottom"/>
            <w:hideMark/>
          </w:tcPr>
          <w:p w14:paraId="4ED311E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-68</w:t>
            </w:r>
          </w:p>
        </w:tc>
        <w:tc>
          <w:tcPr>
            <w:tcW w:w="760" w:type="dxa"/>
            <w:tcBorders>
              <w:top w:val="nil"/>
              <w:left w:val="nil"/>
              <w:bottom w:val="single" w:sz="4" w:space="0" w:color="ADD6EA"/>
              <w:right w:val="nil"/>
            </w:tcBorders>
            <w:shd w:val="clear" w:color="auto" w:fill="auto"/>
            <w:vAlign w:val="bottom"/>
            <w:hideMark/>
          </w:tcPr>
          <w:p w14:paraId="1262E307"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76AC2CAD"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-21</w:t>
            </w:r>
          </w:p>
        </w:tc>
        <w:tc>
          <w:tcPr>
            <w:tcW w:w="760" w:type="dxa"/>
            <w:tcBorders>
              <w:top w:val="nil"/>
              <w:left w:val="nil"/>
              <w:bottom w:val="single" w:sz="4" w:space="0" w:color="ADD6EA"/>
              <w:right w:val="nil"/>
            </w:tcBorders>
            <w:shd w:val="clear" w:color="auto" w:fill="auto"/>
            <w:vAlign w:val="bottom"/>
            <w:hideMark/>
          </w:tcPr>
          <w:p w14:paraId="463ADE56"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23</w:t>
            </w:r>
          </w:p>
        </w:tc>
        <w:tc>
          <w:tcPr>
            <w:tcW w:w="760" w:type="dxa"/>
            <w:tcBorders>
              <w:top w:val="nil"/>
              <w:left w:val="nil"/>
              <w:bottom w:val="single" w:sz="4" w:space="0" w:color="ADD6EA"/>
              <w:right w:val="nil"/>
            </w:tcBorders>
            <w:shd w:val="clear" w:color="auto" w:fill="auto"/>
            <w:vAlign w:val="bottom"/>
            <w:hideMark/>
          </w:tcPr>
          <w:p w14:paraId="5B705BE3"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468</w:t>
            </w:r>
          </w:p>
        </w:tc>
      </w:tr>
      <w:tr w:rsidR="00C51EA3" w:rsidRPr="00C51EA3" w14:paraId="1C6E45D9"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157C23DD" w14:textId="77777777" w:rsidR="00C51EA3" w:rsidRPr="00C51EA3" w:rsidRDefault="00C51EA3" w:rsidP="00C51EA3">
            <w:pPr>
              <w:tabs>
                <w:tab w:val="clear" w:pos="567"/>
              </w:tabs>
              <w:spacing w:before="0" w:line="240" w:lineRule="auto"/>
              <w:rPr>
                <w:rFonts w:eastAsia="Times New Roman" w:cs="Open Sans Light"/>
                <w:sz w:val="16"/>
                <w:szCs w:val="16"/>
                <w:lang w:val="en-AU" w:eastAsia="en-AU"/>
              </w:rPr>
            </w:pPr>
            <w:r w:rsidRPr="00C51EA3">
              <w:rPr>
                <w:rFonts w:eastAsia="Times New Roman" w:cs="Open Sans Light"/>
                <w:sz w:val="16"/>
                <w:szCs w:val="16"/>
                <w:lang w:val="en-AU" w:eastAsia="en-AU"/>
              </w:rPr>
              <w:t>Property sales</w:t>
            </w:r>
          </w:p>
        </w:tc>
        <w:tc>
          <w:tcPr>
            <w:tcW w:w="760" w:type="dxa"/>
            <w:tcBorders>
              <w:top w:val="nil"/>
              <w:left w:val="nil"/>
              <w:bottom w:val="single" w:sz="4" w:space="0" w:color="ADD6EA"/>
              <w:right w:val="nil"/>
            </w:tcBorders>
            <w:shd w:val="clear" w:color="auto" w:fill="auto"/>
            <w:vAlign w:val="bottom"/>
            <w:hideMark/>
          </w:tcPr>
          <w:p w14:paraId="56787F8B"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-78</w:t>
            </w:r>
          </w:p>
        </w:tc>
        <w:tc>
          <w:tcPr>
            <w:tcW w:w="760" w:type="dxa"/>
            <w:tcBorders>
              <w:top w:val="nil"/>
              <w:left w:val="nil"/>
              <w:bottom w:val="single" w:sz="4" w:space="0" w:color="ADD6EA"/>
              <w:right w:val="nil"/>
            </w:tcBorders>
            <w:shd w:val="clear" w:color="auto" w:fill="auto"/>
            <w:vAlign w:val="bottom"/>
            <w:hideMark/>
          </w:tcPr>
          <w:p w14:paraId="67C1EDEB"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205</w:t>
            </w:r>
          </w:p>
        </w:tc>
        <w:tc>
          <w:tcPr>
            <w:tcW w:w="760" w:type="dxa"/>
            <w:tcBorders>
              <w:top w:val="nil"/>
              <w:left w:val="nil"/>
              <w:bottom w:val="single" w:sz="4" w:space="0" w:color="ADD6EA"/>
              <w:right w:val="nil"/>
            </w:tcBorders>
            <w:shd w:val="clear" w:color="auto" w:fill="auto"/>
            <w:vAlign w:val="bottom"/>
            <w:hideMark/>
          </w:tcPr>
          <w:p w14:paraId="15D1409E"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17</w:t>
            </w:r>
          </w:p>
        </w:tc>
        <w:tc>
          <w:tcPr>
            <w:tcW w:w="760" w:type="dxa"/>
            <w:tcBorders>
              <w:top w:val="nil"/>
              <w:left w:val="nil"/>
              <w:bottom w:val="single" w:sz="4" w:space="0" w:color="ADD6EA"/>
              <w:right w:val="nil"/>
            </w:tcBorders>
            <w:shd w:val="clear" w:color="auto" w:fill="auto"/>
            <w:vAlign w:val="bottom"/>
            <w:hideMark/>
          </w:tcPr>
          <w:p w14:paraId="17A8A4A0"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-110</w:t>
            </w:r>
          </w:p>
        </w:tc>
        <w:tc>
          <w:tcPr>
            <w:tcW w:w="760" w:type="dxa"/>
            <w:tcBorders>
              <w:top w:val="nil"/>
              <w:left w:val="nil"/>
              <w:bottom w:val="single" w:sz="4" w:space="0" w:color="ADD6EA"/>
              <w:right w:val="nil"/>
            </w:tcBorders>
            <w:shd w:val="clear" w:color="auto" w:fill="auto"/>
            <w:vAlign w:val="bottom"/>
            <w:hideMark/>
          </w:tcPr>
          <w:p w14:paraId="3BC03C95"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-22</w:t>
            </w:r>
          </w:p>
        </w:tc>
        <w:tc>
          <w:tcPr>
            <w:tcW w:w="760" w:type="dxa"/>
            <w:tcBorders>
              <w:top w:val="nil"/>
              <w:left w:val="nil"/>
              <w:bottom w:val="single" w:sz="4" w:space="0" w:color="ADD6EA"/>
              <w:right w:val="nil"/>
            </w:tcBorders>
            <w:shd w:val="clear" w:color="auto" w:fill="auto"/>
            <w:vAlign w:val="bottom"/>
            <w:hideMark/>
          </w:tcPr>
          <w:p w14:paraId="58E0EB4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-7</w:t>
            </w:r>
          </w:p>
        </w:tc>
        <w:tc>
          <w:tcPr>
            <w:tcW w:w="760" w:type="dxa"/>
            <w:tcBorders>
              <w:top w:val="nil"/>
              <w:left w:val="nil"/>
              <w:bottom w:val="single" w:sz="4" w:space="0" w:color="ADD6EA"/>
              <w:right w:val="nil"/>
            </w:tcBorders>
            <w:shd w:val="clear" w:color="auto" w:fill="auto"/>
            <w:vAlign w:val="bottom"/>
            <w:hideMark/>
          </w:tcPr>
          <w:p w14:paraId="47AF0A1D"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2123D606"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-4</w:t>
            </w:r>
          </w:p>
        </w:tc>
        <w:tc>
          <w:tcPr>
            <w:tcW w:w="760" w:type="dxa"/>
            <w:tcBorders>
              <w:top w:val="nil"/>
              <w:left w:val="nil"/>
              <w:bottom w:val="single" w:sz="4" w:space="0" w:color="ADD6EA"/>
              <w:right w:val="nil"/>
            </w:tcBorders>
            <w:shd w:val="clear" w:color="auto" w:fill="auto"/>
            <w:vAlign w:val="bottom"/>
            <w:hideMark/>
          </w:tcPr>
          <w:p w14:paraId="76D675B3"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222</w:t>
            </w:r>
          </w:p>
        </w:tc>
      </w:tr>
      <w:tr w:rsidR="00C51EA3" w:rsidRPr="00C51EA3" w14:paraId="3122B9C4"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4D7A4603" w14:textId="77777777" w:rsidR="00C51EA3" w:rsidRPr="00C51EA3" w:rsidRDefault="00C51EA3" w:rsidP="00C51EA3">
            <w:pPr>
              <w:tabs>
                <w:tab w:val="clear" w:pos="567"/>
              </w:tabs>
              <w:spacing w:before="0" w:line="240" w:lineRule="auto"/>
              <w:rPr>
                <w:rFonts w:eastAsia="Times New Roman" w:cs="Open Sans Light"/>
                <w:sz w:val="16"/>
                <w:szCs w:val="16"/>
                <w:lang w:val="en-AU" w:eastAsia="en-AU"/>
              </w:rPr>
            </w:pPr>
            <w:r w:rsidRPr="00C51EA3">
              <w:rPr>
                <w:rFonts w:eastAsia="Times New Roman" w:cs="Open Sans Light"/>
                <w:sz w:val="16"/>
                <w:szCs w:val="16"/>
                <w:lang w:val="en-AU" w:eastAsia="en-AU"/>
              </w:rPr>
              <w:t>Taxable land values</w:t>
            </w:r>
          </w:p>
        </w:tc>
        <w:tc>
          <w:tcPr>
            <w:tcW w:w="760" w:type="dxa"/>
            <w:tcBorders>
              <w:top w:val="nil"/>
              <w:left w:val="nil"/>
              <w:bottom w:val="single" w:sz="4" w:space="0" w:color="ADD6EA"/>
              <w:right w:val="nil"/>
            </w:tcBorders>
            <w:shd w:val="clear" w:color="auto" w:fill="auto"/>
            <w:vAlign w:val="bottom"/>
            <w:hideMark/>
          </w:tcPr>
          <w:p w14:paraId="66DCB30F"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101</w:t>
            </w:r>
          </w:p>
        </w:tc>
        <w:tc>
          <w:tcPr>
            <w:tcW w:w="760" w:type="dxa"/>
            <w:tcBorders>
              <w:top w:val="nil"/>
              <w:left w:val="nil"/>
              <w:bottom w:val="single" w:sz="4" w:space="0" w:color="ADD6EA"/>
              <w:right w:val="nil"/>
            </w:tcBorders>
            <w:shd w:val="clear" w:color="auto" w:fill="auto"/>
            <w:vAlign w:val="bottom"/>
            <w:hideMark/>
          </w:tcPr>
          <w:p w14:paraId="3BCE3BB6"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-41</w:t>
            </w:r>
          </w:p>
        </w:tc>
        <w:tc>
          <w:tcPr>
            <w:tcW w:w="760" w:type="dxa"/>
            <w:tcBorders>
              <w:top w:val="nil"/>
              <w:left w:val="nil"/>
              <w:bottom w:val="single" w:sz="4" w:space="0" w:color="ADD6EA"/>
              <w:right w:val="nil"/>
            </w:tcBorders>
            <w:shd w:val="clear" w:color="auto" w:fill="auto"/>
            <w:vAlign w:val="bottom"/>
            <w:hideMark/>
          </w:tcPr>
          <w:p w14:paraId="71D5993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-20</w:t>
            </w:r>
          </w:p>
        </w:tc>
        <w:tc>
          <w:tcPr>
            <w:tcW w:w="760" w:type="dxa"/>
            <w:tcBorders>
              <w:top w:val="nil"/>
              <w:left w:val="nil"/>
              <w:bottom w:val="single" w:sz="4" w:space="0" w:color="ADD6EA"/>
              <w:right w:val="nil"/>
            </w:tcBorders>
            <w:shd w:val="clear" w:color="auto" w:fill="auto"/>
            <w:vAlign w:val="bottom"/>
            <w:hideMark/>
          </w:tcPr>
          <w:p w14:paraId="2A63ECF6"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-37</w:t>
            </w:r>
          </w:p>
        </w:tc>
        <w:tc>
          <w:tcPr>
            <w:tcW w:w="760" w:type="dxa"/>
            <w:tcBorders>
              <w:top w:val="nil"/>
              <w:left w:val="nil"/>
              <w:bottom w:val="single" w:sz="4" w:space="0" w:color="ADD6EA"/>
              <w:right w:val="nil"/>
            </w:tcBorders>
            <w:shd w:val="clear" w:color="auto" w:fill="auto"/>
            <w:vAlign w:val="bottom"/>
            <w:hideMark/>
          </w:tcPr>
          <w:p w14:paraId="56865755"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w:t>
            </w:r>
          </w:p>
        </w:tc>
        <w:tc>
          <w:tcPr>
            <w:tcW w:w="760" w:type="dxa"/>
            <w:tcBorders>
              <w:top w:val="nil"/>
              <w:left w:val="nil"/>
              <w:bottom w:val="single" w:sz="4" w:space="0" w:color="ADD6EA"/>
              <w:right w:val="nil"/>
            </w:tcBorders>
            <w:shd w:val="clear" w:color="auto" w:fill="auto"/>
            <w:vAlign w:val="bottom"/>
            <w:hideMark/>
          </w:tcPr>
          <w:p w14:paraId="7AD13A0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0</w:t>
            </w:r>
          </w:p>
        </w:tc>
        <w:tc>
          <w:tcPr>
            <w:tcW w:w="760" w:type="dxa"/>
            <w:tcBorders>
              <w:top w:val="nil"/>
              <w:left w:val="nil"/>
              <w:bottom w:val="single" w:sz="4" w:space="0" w:color="ADD6EA"/>
              <w:right w:val="nil"/>
            </w:tcBorders>
            <w:shd w:val="clear" w:color="auto" w:fill="auto"/>
            <w:vAlign w:val="bottom"/>
            <w:hideMark/>
          </w:tcPr>
          <w:p w14:paraId="47AC4329"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0</w:t>
            </w:r>
          </w:p>
        </w:tc>
        <w:tc>
          <w:tcPr>
            <w:tcW w:w="760" w:type="dxa"/>
            <w:tcBorders>
              <w:top w:val="nil"/>
              <w:left w:val="nil"/>
              <w:bottom w:val="single" w:sz="4" w:space="0" w:color="ADD6EA"/>
              <w:right w:val="nil"/>
            </w:tcBorders>
            <w:shd w:val="clear" w:color="auto" w:fill="auto"/>
            <w:vAlign w:val="bottom"/>
            <w:hideMark/>
          </w:tcPr>
          <w:p w14:paraId="3699584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0</w:t>
            </w:r>
          </w:p>
        </w:tc>
        <w:tc>
          <w:tcPr>
            <w:tcW w:w="760" w:type="dxa"/>
            <w:tcBorders>
              <w:top w:val="nil"/>
              <w:left w:val="nil"/>
              <w:bottom w:val="single" w:sz="4" w:space="0" w:color="ADD6EA"/>
              <w:right w:val="nil"/>
            </w:tcBorders>
            <w:shd w:val="clear" w:color="auto" w:fill="auto"/>
            <w:vAlign w:val="bottom"/>
            <w:hideMark/>
          </w:tcPr>
          <w:p w14:paraId="33DC9A93"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101</w:t>
            </w:r>
          </w:p>
        </w:tc>
      </w:tr>
      <w:tr w:rsidR="00C51EA3" w:rsidRPr="00C51EA3" w14:paraId="2F1A7F55"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1C3D6F2B" w14:textId="77777777" w:rsidR="00C51EA3" w:rsidRPr="00C51EA3" w:rsidRDefault="00C51EA3" w:rsidP="00C51EA3">
            <w:pPr>
              <w:tabs>
                <w:tab w:val="clear" w:pos="567"/>
              </w:tabs>
              <w:spacing w:before="0" w:line="240" w:lineRule="auto"/>
              <w:rPr>
                <w:rFonts w:eastAsia="Times New Roman" w:cs="Open Sans Light"/>
                <w:sz w:val="16"/>
                <w:szCs w:val="16"/>
                <w:lang w:val="en-AU" w:eastAsia="en-AU"/>
              </w:rPr>
            </w:pPr>
            <w:r w:rsidRPr="00C51EA3">
              <w:rPr>
                <w:rFonts w:eastAsia="Times New Roman" w:cs="Open Sans Light"/>
                <w:sz w:val="16"/>
                <w:szCs w:val="16"/>
                <w:lang w:val="en-AU" w:eastAsia="en-AU"/>
              </w:rPr>
              <w:t>Other revisions</w:t>
            </w:r>
          </w:p>
        </w:tc>
        <w:tc>
          <w:tcPr>
            <w:tcW w:w="760" w:type="dxa"/>
            <w:tcBorders>
              <w:top w:val="nil"/>
              <w:left w:val="nil"/>
              <w:bottom w:val="single" w:sz="4" w:space="0" w:color="ADD6EA"/>
              <w:right w:val="nil"/>
            </w:tcBorders>
            <w:shd w:val="clear" w:color="auto" w:fill="auto"/>
            <w:vAlign w:val="bottom"/>
            <w:hideMark/>
          </w:tcPr>
          <w:p w14:paraId="7BDE8BBA"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-125</w:t>
            </w:r>
          </w:p>
        </w:tc>
        <w:tc>
          <w:tcPr>
            <w:tcW w:w="760" w:type="dxa"/>
            <w:tcBorders>
              <w:top w:val="nil"/>
              <w:left w:val="nil"/>
              <w:bottom w:val="single" w:sz="4" w:space="0" w:color="ADD6EA"/>
              <w:right w:val="nil"/>
            </w:tcBorders>
            <w:shd w:val="clear" w:color="auto" w:fill="auto"/>
            <w:vAlign w:val="bottom"/>
            <w:hideMark/>
          </w:tcPr>
          <w:p w14:paraId="23A346DF"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155</w:t>
            </w:r>
          </w:p>
        </w:tc>
        <w:tc>
          <w:tcPr>
            <w:tcW w:w="760" w:type="dxa"/>
            <w:tcBorders>
              <w:top w:val="nil"/>
              <w:left w:val="nil"/>
              <w:bottom w:val="single" w:sz="4" w:space="0" w:color="ADD6EA"/>
              <w:right w:val="nil"/>
            </w:tcBorders>
            <w:shd w:val="clear" w:color="auto" w:fill="auto"/>
            <w:vAlign w:val="bottom"/>
            <w:hideMark/>
          </w:tcPr>
          <w:p w14:paraId="49E2ACDB"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-68</w:t>
            </w:r>
          </w:p>
        </w:tc>
        <w:tc>
          <w:tcPr>
            <w:tcW w:w="760" w:type="dxa"/>
            <w:tcBorders>
              <w:top w:val="nil"/>
              <w:left w:val="nil"/>
              <w:bottom w:val="single" w:sz="4" w:space="0" w:color="ADD6EA"/>
              <w:right w:val="nil"/>
            </w:tcBorders>
            <w:shd w:val="clear" w:color="auto" w:fill="auto"/>
            <w:vAlign w:val="bottom"/>
            <w:hideMark/>
          </w:tcPr>
          <w:p w14:paraId="180E3137"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13</w:t>
            </w:r>
          </w:p>
        </w:tc>
        <w:tc>
          <w:tcPr>
            <w:tcW w:w="760" w:type="dxa"/>
            <w:tcBorders>
              <w:top w:val="nil"/>
              <w:left w:val="nil"/>
              <w:bottom w:val="single" w:sz="4" w:space="0" w:color="ADD6EA"/>
              <w:right w:val="nil"/>
            </w:tcBorders>
            <w:shd w:val="clear" w:color="auto" w:fill="auto"/>
            <w:vAlign w:val="bottom"/>
            <w:hideMark/>
          </w:tcPr>
          <w:p w14:paraId="7382D4C8"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39</w:t>
            </w:r>
          </w:p>
        </w:tc>
        <w:tc>
          <w:tcPr>
            <w:tcW w:w="760" w:type="dxa"/>
            <w:tcBorders>
              <w:top w:val="nil"/>
              <w:left w:val="nil"/>
              <w:bottom w:val="single" w:sz="4" w:space="0" w:color="ADD6EA"/>
              <w:right w:val="nil"/>
            </w:tcBorders>
            <w:shd w:val="clear" w:color="auto" w:fill="auto"/>
            <w:vAlign w:val="bottom"/>
            <w:hideMark/>
          </w:tcPr>
          <w:p w14:paraId="7D29F9A2"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20</w:t>
            </w:r>
          </w:p>
        </w:tc>
        <w:tc>
          <w:tcPr>
            <w:tcW w:w="760" w:type="dxa"/>
            <w:tcBorders>
              <w:top w:val="nil"/>
              <w:left w:val="nil"/>
              <w:bottom w:val="single" w:sz="4" w:space="0" w:color="ADD6EA"/>
              <w:right w:val="nil"/>
            </w:tcBorders>
            <w:shd w:val="clear" w:color="auto" w:fill="auto"/>
            <w:vAlign w:val="bottom"/>
            <w:hideMark/>
          </w:tcPr>
          <w:p w14:paraId="4E5ABB27"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w:t>
            </w:r>
          </w:p>
        </w:tc>
        <w:tc>
          <w:tcPr>
            <w:tcW w:w="760" w:type="dxa"/>
            <w:tcBorders>
              <w:top w:val="nil"/>
              <w:left w:val="nil"/>
              <w:bottom w:val="single" w:sz="4" w:space="0" w:color="ADD6EA"/>
              <w:right w:val="nil"/>
            </w:tcBorders>
            <w:shd w:val="clear" w:color="auto" w:fill="auto"/>
            <w:vAlign w:val="bottom"/>
            <w:hideMark/>
          </w:tcPr>
          <w:p w14:paraId="09CAB863"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-37</w:t>
            </w:r>
          </w:p>
        </w:tc>
        <w:tc>
          <w:tcPr>
            <w:tcW w:w="760" w:type="dxa"/>
            <w:tcBorders>
              <w:top w:val="nil"/>
              <w:left w:val="nil"/>
              <w:bottom w:val="single" w:sz="4" w:space="0" w:color="ADD6EA"/>
              <w:right w:val="nil"/>
            </w:tcBorders>
            <w:shd w:val="clear" w:color="auto" w:fill="auto"/>
            <w:vAlign w:val="bottom"/>
            <w:hideMark/>
          </w:tcPr>
          <w:p w14:paraId="4110730D" w14:textId="77777777" w:rsidR="00C51EA3" w:rsidRPr="00C51EA3" w:rsidRDefault="00C51EA3" w:rsidP="00C51EA3">
            <w:pPr>
              <w:tabs>
                <w:tab w:val="clear" w:pos="567"/>
              </w:tabs>
              <w:spacing w:before="0" w:line="240" w:lineRule="auto"/>
              <w:jc w:val="right"/>
              <w:rPr>
                <w:rFonts w:eastAsia="Times New Roman" w:cs="Open Sans Light"/>
                <w:sz w:val="16"/>
                <w:szCs w:val="16"/>
                <w:lang w:val="en-AU" w:eastAsia="en-AU"/>
              </w:rPr>
            </w:pPr>
            <w:r w:rsidRPr="00C51EA3">
              <w:rPr>
                <w:rFonts w:eastAsia="Times New Roman" w:cs="Open Sans Light"/>
                <w:sz w:val="16"/>
                <w:szCs w:val="16"/>
                <w:lang w:val="en-AU" w:eastAsia="en-AU"/>
              </w:rPr>
              <w:t>230</w:t>
            </w:r>
          </w:p>
        </w:tc>
      </w:tr>
      <w:tr w:rsidR="00C51EA3" w:rsidRPr="00C51EA3" w14:paraId="1CAC2A10" w14:textId="77777777" w:rsidTr="00664FDC">
        <w:trPr>
          <w:trHeight w:val="315"/>
        </w:trPr>
        <w:tc>
          <w:tcPr>
            <w:tcW w:w="2380" w:type="dxa"/>
            <w:tcBorders>
              <w:top w:val="nil"/>
              <w:left w:val="nil"/>
              <w:bottom w:val="single" w:sz="4" w:space="0" w:color="ADD6EA"/>
              <w:right w:val="nil"/>
            </w:tcBorders>
            <w:shd w:val="clear" w:color="000000" w:fill="D6E7F0"/>
            <w:vAlign w:val="bottom"/>
            <w:hideMark/>
          </w:tcPr>
          <w:p w14:paraId="2693AFE7" w14:textId="33ABF1DE" w:rsidR="00C51EA3" w:rsidRPr="00C51EA3" w:rsidRDefault="00C51EA3" w:rsidP="00C51EA3">
            <w:pPr>
              <w:tabs>
                <w:tab w:val="clear" w:pos="567"/>
              </w:tabs>
              <w:spacing w:before="0" w:line="240" w:lineRule="auto"/>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Total</w:t>
            </w:r>
            <w:r w:rsidR="00334954">
              <w:rPr>
                <w:rFonts w:ascii="Open Sans SemiBold" w:eastAsia="Times New Roman" w:hAnsi="Open Sans SemiBold" w:cs="Open Sans SemiBold"/>
                <w:sz w:val="16"/>
                <w:szCs w:val="16"/>
                <w:lang w:val="en-AU" w:eastAsia="en-AU"/>
              </w:rPr>
              <w:t xml:space="preserve"> data revision changes</w:t>
            </w:r>
          </w:p>
        </w:tc>
        <w:tc>
          <w:tcPr>
            <w:tcW w:w="760" w:type="dxa"/>
            <w:tcBorders>
              <w:top w:val="nil"/>
              <w:left w:val="nil"/>
              <w:bottom w:val="single" w:sz="4" w:space="0" w:color="ADD6EA"/>
              <w:right w:val="nil"/>
            </w:tcBorders>
            <w:shd w:val="clear" w:color="000000" w:fill="D6E7F0"/>
            <w:vAlign w:val="bottom"/>
            <w:hideMark/>
          </w:tcPr>
          <w:p w14:paraId="0AD00A76"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-275</w:t>
            </w:r>
          </w:p>
        </w:tc>
        <w:tc>
          <w:tcPr>
            <w:tcW w:w="760" w:type="dxa"/>
            <w:tcBorders>
              <w:top w:val="nil"/>
              <w:left w:val="nil"/>
              <w:bottom w:val="single" w:sz="4" w:space="0" w:color="ADD6EA"/>
              <w:right w:val="nil"/>
            </w:tcBorders>
            <w:shd w:val="clear" w:color="000000" w:fill="D6E7F0"/>
            <w:vAlign w:val="bottom"/>
            <w:hideMark/>
          </w:tcPr>
          <w:p w14:paraId="6A2E06AA"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113</w:t>
            </w:r>
          </w:p>
        </w:tc>
        <w:tc>
          <w:tcPr>
            <w:tcW w:w="760" w:type="dxa"/>
            <w:tcBorders>
              <w:top w:val="nil"/>
              <w:left w:val="nil"/>
              <w:bottom w:val="single" w:sz="4" w:space="0" w:color="ADD6EA"/>
              <w:right w:val="nil"/>
            </w:tcBorders>
            <w:shd w:val="clear" w:color="000000" w:fill="D6E7F0"/>
            <w:vAlign w:val="bottom"/>
            <w:hideMark/>
          </w:tcPr>
          <w:p w14:paraId="02C291A3"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271</w:t>
            </w:r>
          </w:p>
        </w:tc>
        <w:tc>
          <w:tcPr>
            <w:tcW w:w="760" w:type="dxa"/>
            <w:tcBorders>
              <w:top w:val="nil"/>
              <w:left w:val="nil"/>
              <w:bottom w:val="single" w:sz="4" w:space="0" w:color="ADD6EA"/>
              <w:right w:val="nil"/>
            </w:tcBorders>
            <w:shd w:val="clear" w:color="000000" w:fill="D6E7F0"/>
            <w:vAlign w:val="bottom"/>
            <w:hideMark/>
          </w:tcPr>
          <w:p w14:paraId="7D59C093"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-31</w:t>
            </w:r>
          </w:p>
        </w:tc>
        <w:tc>
          <w:tcPr>
            <w:tcW w:w="760" w:type="dxa"/>
            <w:tcBorders>
              <w:top w:val="nil"/>
              <w:left w:val="nil"/>
              <w:bottom w:val="single" w:sz="4" w:space="0" w:color="ADD6EA"/>
              <w:right w:val="nil"/>
            </w:tcBorders>
            <w:shd w:val="clear" w:color="000000" w:fill="D6E7F0"/>
            <w:vAlign w:val="bottom"/>
            <w:hideMark/>
          </w:tcPr>
          <w:p w14:paraId="773DC79B"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-53</w:t>
            </w:r>
          </w:p>
        </w:tc>
        <w:tc>
          <w:tcPr>
            <w:tcW w:w="760" w:type="dxa"/>
            <w:tcBorders>
              <w:top w:val="nil"/>
              <w:left w:val="nil"/>
              <w:bottom w:val="single" w:sz="4" w:space="0" w:color="ADD6EA"/>
              <w:right w:val="nil"/>
            </w:tcBorders>
            <w:shd w:val="clear" w:color="000000" w:fill="D6E7F0"/>
            <w:vAlign w:val="bottom"/>
            <w:hideMark/>
          </w:tcPr>
          <w:p w14:paraId="181F6DFC"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14</w:t>
            </w:r>
          </w:p>
        </w:tc>
        <w:tc>
          <w:tcPr>
            <w:tcW w:w="760" w:type="dxa"/>
            <w:tcBorders>
              <w:top w:val="nil"/>
              <w:left w:val="nil"/>
              <w:bottom w:val="single" w:sz="4" w:space="0" w:color="ADD6EA"/>
              <w:right w:val="nil"/>
            </w:tcBorders>
            <w:shd w:val="clear" w:color="000000" w:fill="D6E7F0"/>
            <w:vAlign w:val="bottom"/>
            <w:hideMark/>
          </w:tcPr>
          <w:p w14:paraId="08CB2CF3"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-19</w:t>
            </w:r>
          </w:p>
        </w:tc>
        <w:tc>
          <w:tcPr>
            <w:tcW w:w="760" w:type="dxa"/>
            <w:tcBorders>
              <w:top w:val="nil"/>
              <w:left w:val="nil"/>
              <w:bottom w:val="single" w:sz="4" w:space="0" w:color="ADD6EA"/>
              <w:right w:val="nil"/>
            </w:tcBorders>
            <w:shd w:val="clear" w:color="000000" w:fill="D6E7F0"/>
            <w:vAlign w:val="bottom"/>
            <w:hideMark/>
          </w:tcPr>
          <w:p w14:paraId="758815EE"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-18</w:t>
            </w:r>
          </w:p>
        </w:tc>
        <w:tc>
          <w:tcPr>
            <w:tcW w:w="760" w:type="dxa"/>
            <w:tcBorders>
              <w:top w:val="nil"/>
              <w:left w:val="nil"/>
              <w:bottom w:val="single" w:sz="4" w:space="0" w:color="ADD6EA"/>
              <w:right w:val="nil"/>
            </w:tcBorders>
            <w:shd w:val="clear" w:color="000000" w:fill="D6E7F0"/>
            <w:vAlign w:val="bottom"/>
            <w:hideMark/>
          </w:tcPr>
          <w:p w14:paraId="00BE3963" w14:textId="77777777" w:rsidR="00C51EA3" w:rsidRPr="00C51EA3" w:rsidRDefault="00C51EA3" w:rsidP="00C51EA3">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51EA3">
              <w:rPr>
                <w:rFonts w:ascii="Open Sans SemiBold" w:eastAsia="Times New Roman" w:hAnsi="Open Sans SemiBold" w:cs="Open Sans SemiBold"/>
                <w:sz w:val="16"/>
                <w:szCs w:val="16"/>
                <w:lang w:val="en-AU" w:eastAsia="en-AU"/>
              </w:rPr>
              <w:t>397</w:t>
            </w:r>
          </w:p>
        </w:tc>
      </w:tr>
    </w:tbl>
    <w:p w14:paraId="0788B77A" w14:textId="436857F8" w:rsidR="006C733E" w:rsidRPr="00E3483C" w:rsidRDefault="006C733E" w:rsidP="006B2011">
      <w:pPr>
        <w:pStyle w:val="CGCTablenote"/>
        <w:keepNext/>
        <w:keepLines/>
      </w:pPr>
      <w:r>
        <w:t>Source:</w:t>
      </w:r>
      <w:r>
        <w:tab/>
        <w:t>Commission calculation</w:t>
      </w:r>
      <w:r w:rsidR="008434A8">
        <w:t>.</w:t>
      </w:r>
    </w:p>
    <w:p w14:paraId="6B32257D" w14:textId="3C4E58D1" w:rsidR="003126B8" w:rsidRDefault="009B1079" w:rsidP="00C81EFF">
      <w:pPr>
        <w:pStyle w:val="Heading5"/>
      </w:pPr>
      <w:r>
        <w:t>Natural disaster relief</w:t>
      </w:r>
    </w:p>
    <w:p w14:paraId="4377AE4A" w14:textId="530B8FF8" w:rsidR="00721D6B" w:rsidRDefault="00721D6B" w:rsidP="00721D6B">
      <w:pPr>
        <w:pStyle w:val="CGCParaNumber"/>
      </w:pPr>
      <w:r>
        <w:t xml:space="preserve">The large </w:t>
      </w:r>
      <w:r w:rsidR="00905344" w:rsidRPr="00905344">
        <w:t>revision in</w:t>
      </w:r>
      <w:r>
        <w:t xml:space="preserve"> the natural disaster relief assessment is due to new information received by the Commission relating to funding arrangements between States and local government.</w:t>
      </w:r>
    </w:p>
    <w:p w14:paraId="61663807" w14:textId="3B5B464A" w:rsidR="00721D6B" w:rsidRDefault="00721D6B" w:rsidP="00721D6B">
      <w:pPr>
        <w:pStyle w:val="CGCParaNumber"/>
      </w:pPr>
      <w:r>
        <w:t>In the 2019 Update, the Commission remove</w:t>
      </w:r>
      <w:r w:rsidR="00905344">
        <w:t>d</w:t>
      </w:r>
      <w:r>
        <w:t xml:space="preserve"> local government expenses from the assessment because the Commission became aware that</w:t>
      </w:r>
      <w:r w:rsidR="004F13A1">
        <w:t xml:space="preserve">, while States were reporting large </w:t>
      </w:r>
      <w:r>
        <w:t>local government out of pocket expenses,</w:t>
      </w:r>
      <w:r w:rsidR="006F686E">
        <w:t xml:space="preserve"> </w:t>
      </w:r>
      <w:r>
        <w:t xml:space="preserve">it was unclear that </w:t>
      </w:r>
      <w:r w:rsidR="00A00547">
        <w:t xml:space="preserve">the States </w:t>
      </w:r>
      <w:r>
        <w:t>were the ultimate funder of these expenses.</w:t>
      </w:r>
      <w:r w:rsidR="00EC69AA">
        <w:t xml:space="preserve"> In addition, an adjustment was made to correct for the previous inclusion of local government expenses in the 2015</w:t>
      </w:r>
      <w:r w:rsidR="00EC69AA">
        <w:noBreakHyphen/>
        <w:t>16 and 2016</w:t>
      </w:r>
      <w:r w:rsidR="00EC69AA">
        <w:noBreakHyphen/>
        <w:t>17 assessment years.</w:t>
      </w:r>
    </w:p>
    <w:p w14:paraId="29805B02" w14:textId="27EE6C63" w:rsidR="00721D6B" w:rsidRDefault="00721D6B" w:rsidP="00721D6B">
      <w:pPr>
        <w:pStyle w:val="CGCParaNumber"/>
      </w:pPr>
      <w:r>
        <w:lastRenderedPageBreak/>
        <w:t xml:space="preserve">Information provided during this review showed that all States support local governments to </w:t>
      </w:r>
      <w:r w:rsidR="002073C0">
        <w:t>fund</w:t>
      </w:r>
      <w:r>
        <w:t xml:space="preserve"> natural disaster recovery, although the amounts may vary</w:t>
      </w:r>
      <w:r w:rsidR="00B333BB">
        <w:t xml:space="preserve">. </w:t>
      </w:r>
      <w:r w:rsidR="00837F6D" w:rsidRPr="00837F6D">
        <w:t>The Commission decided that local government expenses for natural disaster relief should remain in the assessment, as States fund most of these expenses and they represent an unavoidable cost for States.</w:t>
      </w:r>
    </w:p>
    <w:p w14:paraId="6EDE11F0" w14:textId="16B45A9C" w:rsidR="00697C44" w:rsidRDefault="009A4A64" w:rsidP="00697C44">
      <w:pPr>
        <w:pStyle w:val="CGCParaNumber"/>
      </w:pPr>
      <w:r>
        <w:t xml:space="preserve">In this review, the </w:t>
      </w:r>
      <w:r w:rsidR="00697C44">
        <w:t>Commission has unwound fully the adjustment to the assessment in the 2019</w:t>
      </w:r>
      <w:r w:rsidR="00583C5B">
        <w:t> </w:t>
      </w:r>
      <w:r w:rsidR="00697C44">
        <w:t>Update to remove local government net expenses. This unwinding has ensured that all eligible local government expenses are included in the assessment for three inquiries. For more information, see Chapter 23 Other expenses</w:t>
      </w:r>
      <w:r w:rsidR="00FC3522">
        <w:t xml:space="preserve"> of Volume 2 of this report</w:t>
      </w:r>
      <w:r w:rsidR="00697C44">
        <w:t>.</w:t>
      </w:r>
    </w:p>
    <w:p w14:paraId="33D25358" w14:textId="092A5439" w:rsidR="00DC2267" w:rsidRPr="00F14084" w:rsidRDefault="00721D6B" w:rsidP="00721D6B">
      <w:pPr>
        <w:pStyle w:val="CGCParaNumber"/>
      </w:pPr>
      <w:r>
        <w:t>These changes have redistributed $</w:t>
      </w:r>
      <w:r w:rsidR="00697C44" w:rsidRPr="00D33ACF">
        <w:t>468</w:t>
      </w:r>
      <w:r w:rsidR="008829BD">
        <w:t> </w:t>
      </w:r>
      <w:r>
        <w:t>million to Queensland, Western</w:t>
      </w:r>
      <w:r w:rsidR="007C3FB7">
        <w:t> </w:t>
      </w:r>
      <w:r>
        <w:t>Australia</w:t>
      </w:r>
      <w:r w:rsidR="00697C44">
        <w:t>, Tasmania</w:t>
      </w:r>
      <w:r>
        <w:t xml:space="preserve"> and the Northern</w:t>
      </w:r>
      <w:r w:rsidR="007C3FB7">
        <w:t> </w:t>
      </w:r>
      <w:r>
        <w:t>Territory, and away from</w:t>
      </w:r>
      <w:r w:rsidR="009A38E0">
        <w:t xml:space="preserve"> the</w:t>
      </w:r>
      <w:r>
        <w:t xml:space="preserve"> other States.</w:t>
      </w:r>
      <w:r w:rsidR="005B1727">
        <w:t xml:space="preserve"> This </w:t>
      </w:r>
      <w:r w:rsidR="00C54421">
        <w:t xml:space="preserve">offset </w:t>
      </w:r>
      <w:r w:rsidR="006B0B27">
        <w:t>an</w:t>
      </w:r>
      <w:r w:rsidR="00C54421">
        <w:t xml:space="preserve"> adjustment in the 2019</w:t>
      </w:r>
      <w:r w:rsidR="006B0B27">
        <w:t> </w:t>
      </w:r>
      <w:r w:rsidR="00C54421">
        <w:t xml:space="preserve">Update that provided additional GST </w:t>
      </w:r>
      <w:r w:rsidR="00B6558A">
        <w:t>revenue in 2019</w:t>
      </w:r>
      <w:r w:rsidR="008829BD">
        <w:noBreakHyphen/>
      </w:r>
      <w:r w:rsidR="00B6558A">
        <w:t>20 to New</w:t>
      </w:r>
      <w:r w:rsidR="00EF1790">
        <w:t> </w:t>
      </w:r>
      <w:r w:rsidR="00B6558A">
        <w:t>South</w:t>
      </w:r>
      <w:r w:rsidR="00EF1790">
        <w:t> </w:t>
      </w:r>
      <w:r w:rsidR="00B6558A">
        <w:t xml:space="preserve">Wales, </w:t>
      </w:r>
      <w:r w:rsidR="009A60B6">
        <w:t xml:space="preserve">Victoria, </w:t>
      </w:r>
      <w:r w:rsidR="00DB4954">
        <w:t>South</w:t>
      </w:r>
      <w:r w:rsidR="00EF1790">
        <w:t> </w:t>
      </w:r>
      <w:r w:rsidR="00DB4954">
        <w:t>Australia and the ACT.</w:t>
      </w:r>
    </w:p>
    <w:p w14:paraId="759147C2" w14:textId="77777777" w:rsidR="0001392A" w:rsidRDefault="0001392A" w:rsidP="0001392A">
      <w:pPr>
        <w:pStyle w:val="Heading5"/>
      </w:pPr>
      <w:r>
        <w:t>Property sales</w:t>
      </w:r>
    </w:p>
    <w:p w14:paraId="617AE000" w14:textId="6D565C3C" w:rsidR="0001392A" w:rsidRDefault="0001392A" w:rsidP="0001392A">
      <w:pPr>
        <w:pStyle w:val="CGCParaNumber"/>
      </w:pPr>
      <w:r w:rsidRPr="000B41C2">
        <w:t xml:space="preserve">Some States revised the value of transactions </w:t>
      </w:r>
      <w:r w:rsidR="004144B3">
        <w:t xml:space="preserve">data </w:t>
      </w:r>
      <w:r w:rsidRPr="000B41C2">
        <w:t>they had previously provided. Victoria and Queensland revised their values down</w:t>
      </w:r>
      <w:r>
        <w:t>.</w:t>
      </w:r>
      <w:r w:rsidRPr="000B41C2">
        <w:t xml:space="preserve"> New</w:t>
      </w:r>
      <w:r>
        <w:t> </w:t>
      </w:r>
      <w:r w:rsidRPr="000B41C2">
        <w:t>South</w:t>
      </w:r>
      <w:r>
        <w:t> </w:t>
      </w:r>
      <w:r w:rsidRPr="000B41C2">
        <w:t xml:space="preserve">Wales revised its values down in some years and up in others. The </w:t>
      </w:r>
      <w:r w:rsidR="00BB785A">
        <w:t>collective</w:t>
      </w:r>
      <w:r w:rsidRPr="000B41C2">
        <w:t xml:space="preserve"> </w:t>
      </w:r>
      <w:r>
        <w:t>revisions</w:t>
      </w:r>
      <w:r w:rsidRPr="000B41C2">
        <w:t xml:space="preserve"> </w:t>
      </w:r>
      <w:r>
        <w:t>redistributed $</w:t>
      </w:r>
      <w:r w:rsidRPr="002F142E">
        <w:t>22</w:t>
      </w:r>
      <w:r w:rsidR="002F142E" w:rsidRPr="002F142E">
        <w:t>2</w:t>
      </w:r>
      <w:r>
        <w:t> million to Victoria and Queensland from the other States.</w:t>
      </w:r>
    </w:p>
    <w:p w14:paraId="5BF80A10" w14:textId="77777777" w:rsidR="0001392A" w:rsidRDefault="0001392A" w:rsidP="0001392A">
      <w:pPr>
        <w:pStyle w:val="Heading5"/>
      </w:pPr>
      <w:r>
        <w:t>Taxable land values</w:t>
      </w:r>
    </w:p>
    <w:p w14:paraId="55A70099" w14:textId="66E0D09F" w:rsidR="0001392A" w:rsidRPr="00FA22DC" w:rsidRDefault="0001392A" w:rsidP="0001392A">
      <w:pPr>
        <w:pStyle w:val="CGCParaNumber"/>
      </w:pPr>
      <w:r w:rsidRPr="00C8277A">
        <w:t xml:space="preserve">Some States revised the value of taxable land </w:t>
      </w:r>
      <w:r w:rsidR="000F1AE9">
        <w:t xml:space="preserve">data </w:t>
      </w:r>
      <w:r w:rsidRPr="00C8277A">
        <w:t>they had previously provided. New</w:t>
      </w:r>
      <w:r>
        <w:t> </w:t>
      </w:r>
      <w:r w:rsidRPr="00C8277A">
        <w:t>South</w:t>
      </w:r>
      <w:r>
        <w:t> </w:t>
      </w:r>
      <w:r w:rsidRPr="00C8277A">
        <w:t>Wales and Western</w:t>
      </w:r>
      <w:r>
        <w:t> </w:t>
      </w:r>
      <w:r w:rsidRPr="00C8277A">
        <w:t xml:space="preserve">Australia revised their values down. However, proportionally more of </w:t>
      </w:r>
      <w:r w:rsidR="003F40BE">
        <w:t>the</w:t>
      </w:r>
      <w:r w:rsidRPr="00C8277A">
        <w:t xml:space="preserve"> revised transactions </w:t>
      </w:r>
      <w:r w:rsidR="00794D3F">
        <w:t xml:space="preserve">in </w:t>
      </w:r>
      <w:r w:rsidRPr="00C8277A">
        <w:t>Western</w:t>
      </w:r>
      <w:r>
        <w:t> </w:t>
      </w:r>
      <w:r w:rsidRPr="00C8277A">
        <w:t xml:space="preserve">Australia occurred in higher value ranges, </w:t>
      </w:r>
      <w:r>
        <w:t>increasing</w:t>
      </w:r>
      <w:r w:rsidRPr="00C8277A">
        <w:t xml:space="preserve"> its </w:t>
      </w:r>
      <w:r>
        <w:t xml:space="preserve">relative revenue raising </w:t>
      </w:r>
      <w:r w:rsidRPr="00C8277A">
        <w:t xml:space="preserve">capacity. The </w:t>
      </w:r>
      <w:r>
        <w:t>revisions</w:t>
      </w:r>
      <w:r w:rsidRPr="00C8277A">
        <w:t xml:space="preserve"> </w:t>
      </w:r>
      <w:r>
        <w:t>redistributed $</w:t>
      </w:r>
      <w:r w:rsidRPr="002F142E">
        <w:t>1</w:t>
      </w:r>
      <w:r w:rsidR="002F142E" w:rsidRPr="002F142E">
        <w:t>0</w:t>
      </w:r>
      <w:r w:rsidRPr="002F142E">
        <w:t>1</w:t>
      </w:r>
      <w:r>
        <w:t> million to New South Wales from other States</w:t>
      </w:r>
      <w:r w:rsidRPr="00C8277A">
        <w:t>.</w:t>
      </w:r>
    </w:p>
    <w:p w14:paraId="7DD515E8" w14:textId="2BA7813C" w:rsidR="003126B8" w:rsidRDefault="003126B8" w:rsidP="003126B8">
      <w:pPr>
        <w:pStyle w:val="Heading3"/>
      </w:pPr>
      <w:bookmarkStart w:id="26" w:name="_Toc33600546"/>
      <w:r>
        <w:t xml:space="preserve">Changes in </w:t>
      </w:r>
      <w:r w:rsidR="00325762">
        <w:t xml:space="preserve">State </w:t>
      </w:r>
      <w:r>
        <w:t>circumstances</w:t>
      </w:r>
      <w:bookmarkEnd w:id="26"/>
    </w:p>
    <w:p w14:paraId="2E9B42D9" w14:textId="5452B52A" w:rsidR="00D54246" w:rsidRDefault="00D54246" w:rsidP="00D54246">
      <w:pPr>
        <w:pStyle w:val="CGCParaNumber"/>
      </w:pPr>
      <w:r w:rsidRPr="00D54246">
        <w:t>This section describes the main changes in circumstances since the 201</w:t>
      </w:r>
      <w:r w:rsidR="00593C12">
        <w:t>9 </w:t>
      </w:r>
      <w:r w:rsidRPr="00D54246">
        <w:t>Update —</w:t>
      </w:r>
      <w:r w:rsidR="00E21842">
        <w:t xml:space="preserve"> </w:t>
      </w:r>
      <w:r w:rsidRPr="00D54246">
        <w:t xml:space="preserve">that is, the changes </w:t>
      </w:r>
      <w:r w:rsidR="00FC37B7">
        <w:t>that</w:t>
      </w:r>
      <w:r w:rsidRPr="00D54246">
        <w:t xml:space="preserve"> occur when revised 201</w:t>
      </w:r>
      <w:r w:rsidR="008A18EA">
        <w:t>5</w:t>
      </w:r>
      <w:r w:rsidR="008A18EA">
        <w:noBreakHyphen/>
      </w:r>
      <w:r w:rsidRPr="00D54246">
        <w:t>1</w:t>
      </w:r>
      <w:r w:rsidR="008A18EA">
        <w:t>6</w:t>
      </w:r>
      <w:r w:rsidRPr="00D54246">
        <w:t xml:space="preserve"> data are removed and replaced with 201</w:t>
      </w:r>
      <w:r w:rsidR="008A18EA">
        <w:t>8</w:t>
      </w:r>
      <w:r w:rsidR="008A1407">
        <w:noBreakHyphen/>
      </w:r>
      <w:r w:rsidRPr="00D54246">
        <w:t>1</w:t>
      </w:r>
      <w:r w:rsidR="008A18EA">
        <w:t>9</w:t>
      </w:r>
      <w:r w:rsidRPr="00D54246">
        <w:t xml:space="preserve"> data. </w:t>
      </w:r>
      <w:r w:rsidR="00305E20">
        <w:fldChar w:fldCharType="begin"/>
      </w:r>
      <w:r w:rsidR="00305E20">
        <w:instrText xml:space="preserve"> REF _Ref30408019 \h </w:instrText>
      </w:r>
      <w:r w:rsidR="00305E20">
        <w:fldChar w:fldCharType="separate"/>
      </w:r>
      <w:r w:rsidR="003D49C2">
        <w:t>Table 2</w:t>
      </w:r>
      <w:r w:rsidR="003D49C2">
        <w:noBreakHyphen/>
      </w:r>
      <w:r w:rsidR="003D49C2">
        <w:rPr>
          <w:noProof/>
        </w:rPr>
        <w:t>5</w:t>
      </w:r>
      <w:r w:rsidR="00305E20">
        <w:fldChar w:fldCharType="end"/>
      </w:r>
      <w:r w:rsidRPr="00D54246">
        <w:t xml:space="preserve"> shows the effect of these changes across the different assessment areas. </w:t>
      </w:r>
    </w:p>
    <w:p w14:paraId="4998027E" w14:textId="35CB5958" w:rsidR="00770422" w:rsidRDefault="00770422" w:rsidP="00AF5B60">
      <w:pPr>
        <w:pStyle w:val="CGCTableHeading"/>
      </w:pPr>
      <w:bookmarkStart w:id="27" w:name="_Ref30408019"/>
      <w:r>
        <w:t xml:space="preserve">Table </w:t>
      </w:r>
      <w:r w:rsidR="007D70A7">
        <w:t>2</w:t>
      </w:r>
      <w:r w:rsidR="007D70A7">
        <w:noBreakHyphen/>
      </w:r>
      <w:r>
        <w:fldChar w:fldCharType="begin"/>
      </w:r>
      <w:r>
        <w:instrText>SEQ Table \* ARABIC</w:instrText>
      </w:r>
      <w:r>
        <w:fldChar w:fldCharType="separate"/>
      </w:r>
      <w:r w:rsidR="003D49C2">
        <w:rPr>
          <w:noProof/>
        </w:rPr>
        <w:t>5</w:t>
      </w:r>
      <w:r>
        <w:fldChar w:fldCharType="end"/>
      </w:r>
      <w:bookmarkEnd w:id="27"/>
      <w:r>
        <w:tab/>
        <w:t>Composition of changes in State circumstances since the 201</w:t>
      </w:r>
      <w:r w:rsidR="00305E20">
        <w:t>9</w:t>
      </w:r>
      <w:r>
        <w:t> Update</w:t>
      </w:r>
    </w:p>
    <w:tbl>
      <w:tblPr>
        <w:tblW w:w="8902" w:type="dxa"/>
        <w:tblCellMar>
          <w:left w:w="0" w:type="dxa"/>
          <w:right w:w="28" w:type="dxa"/>
        </w:tblCellMar>
        <w:tblLook w:val="04A0" w:firstRow="1" w:lastRow="0" w:firstColumn="1" w:lastColumn="0" w:noHBand="0" w:noVBand="1"/>
      </w:tblPr>
      <w:tblGrid>
        <w:gridCol w:w="2552"/>
        <w:gridCol w:w="567"/>
        <w:gridCol w:w="709"/>
        <w:gridCol w:w="586"/>
        <w:gridCol w:w="747"/>
        <w:gridCol w:w="747"/>
        <w:gridCol w:w="747"/>
        <w:gridCol w:w="748"/>
        <w:gridCol w:w="746"/>
        <w:gridCol w:w="753"/>
      </w:tblGrid>
      <w:tr w:rsidR="00D61C3E" w:rsidRPr="00D61C3E" w14:paraId="4EBDB187" w14:textId="77777777" w:rsidTr="00334954">
        <w:trPr>
          <w:trHeight w:val="375"/>
        </w:trPr>
        <w:tc>
          <w:tcPr>
            <w:tcW w:w="2552" w:type="dxa"/>
            <w:tcBorders>
              <w:top w:val="single" w:sz="4" w:space="0" w:color="ADD6EA"/>
              <w:left w:val="nil"/>
              <w:bottom w:val="single" w:sz="4" w:space="0" w:color="ADD6EA"/>
              <w:right w:val="nil"/>
            </w:tcBorders>
            <w:shd w:val="clear" w:color="000000" w:fill="006991"/>
            <w:vAlign w:val="center"/>
            <w:hideMark/>
          </w:tcPr>
          <w:p w14:paraId="29F9E956"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 </w:t>
            </w:r>
          </w:p>
        </w:tc>
        <w:tc>
          <w:tcPr>
            <w:tcW w:w="567" w:type="dxa"/>
            <w:tcBorders>
              <w:top w:val="single" w:sz="4" w:space="0" w:color="ADD6EA"/>
              <w:left w:val="nil"/>
              <w:bottom w:val="single" w:sz="4" w:space="0" w:color="ADD6EA"/>
              <w:right w:val="nil"/>
            </w:tcBorders>
            <w:shd w:val="clear" w:color="000000" w:fill="006991"/>
            <w:vAlign w:val="center"/>
            <w:hideMark/>
          </w:tcPr>
          <w:p w14:paraId="73794767"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NSW</w:t>
            </w:r>
          </w:p>
        </w:tc>
        <w:tc>
          <w:tcPr>
            <w:tcW w:w="709" w:type="dxa"/>
            <w:tcBorders>
              <w:top w:val="single" w:sz="4" w:space="0" w:color="ADD6EA"/>
              <w:left w:val="nil"/>
              <w:bottom w:val="single" w:sz="4" w:space="0" w:color="ADD6EA"/>
              <w:right w:val="nil"/>
            </w:tcBorders>
            <w:shd w:val="clear" w:color="000000" w:fill="006991"/>
            <w:vAlign w:val="center"/>
            <w:hideMark/>
          </w:tcPr>
          <w:p w14:paraId="0EB53F58"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Vic</w:t>
            </w:r>
          </w:p>
        </w:tc>
        <w:tc>
          <w:tcPr>
            <w:tcW w:w="586" w:type="dxa"/>
            <w:tcBorders>
              <w:top w:val="single" w:sz="4" w:space="0" w:color="ADD6EA"/>
              <w:left w:val="nil"/>
              <w:bottom w:val="single" w:sz="4" w:space="0" w:color="ADD6EA"/>
              <w:right w:val="nil"/>
            </w:tcBorders>
            <w:shd w:val="clear" w:color="000000" w:fill="006991"/>
            <w:vAlign w:val="center"/>
            <w:hideMark/>
          </w:tcPr>
          <w:p w14:paraId="5A4BCF6F"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Qld</w:t>
            </w:r>
          </w:p>
        </w:tc>
        <w:tc>
          <w:tcPr>
            <w:tcW w:w="747" w:type="dxa"/>
            <w:tcBorders>
              <w:top w:val="single" w:sz="4" w:space="0" w:color="ADD6EA"/>
              <w:left w:val="nil"/>
              <w:bottom w:val="single" w:sz="4" w:space="0" w:color="ADD6EA"/>
              <w:right w:val="nil"/>
            </w:tcBorders>
            <w:shd w:val="clear" w:color="000000" w:fill="006991"/>
            <w:vAlign w:val="center"/>
            <w:hideMark/>
          </w:tcPr>
          <w:p w14:paraId="2961C592"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WA</w:t>
            </w:r>
          </w:p>
        </w:tc>
        <w:tc>
          <w:tcPr>
            <w:tcW w:w="747" w:type="dxa"/>
            <w:tcBorders>
              <w:top w:val="single" w:sz="4" w:space="0" w:color="ADD6EA"/>
              <w:left w:val="nil"/>
              <w:bottom w:val="single" w:sz="4" w:space="0" w:color="ADD6EA"/>
              <w:right w:val="nil"/>
            </w:tcBorders>
            <w:shd w:val="clear" w:color="000000" w:fill="006991"/>
            <w:vAlign w:val="center"/>
            <w:hideMark/>
          </w:tcPr>
          <w:p w14:paraId="26E52943"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SA</w:t>
            </w:r>
          </w:p>
        </w:tc>
        <w:tc>
          <w:tcPr>
            <w:tcW w:w="747" w:type="dxa"/>
            <w:tcBorders>
              <w:top w:val="single" w:sz="4" w:space="0" w:color="ADD6EA"/>
              <w:left w:val="nil"/>
              <w:bottom w:val="single" w:sz="4" w:space="0" w:color="ADD6EA"/>
              <w:right w:val="nil"/>
            </w:tcBorders>
            <w:shd w:val="clear" w:color="000000" w:fill="006991"/>
            <w:vAlign w:val="center"/>
            <w:hideMark/>
          </w:tcPr>
          <w:p w14:paraId="406CC429"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Tas</w:t>
            </w:r>
          </w:p>
        </w:tc>
        <w:tc>
          <w:tcPr>
            <w:tcW w:w="748" w:type="dxa"/>
            <w:tcBorders>
              <w:top w:val="single" w:sz="4" w:space="0" w:color="ADD6EA"/>
              <w:left w:val="nil"/>
              <w:bottom w:val="single" w:sz="4" w:space="0" w:color="ADD6EA"/>
              <w:right w:val="nil"/>
            </w:tcBorders>
            <w:shd w:val="clear" w:color="000000" w:fill="006991"/>
            <w:vAlign w:val="center"/>
            <w:hideMark/>
          </w:tcPr>
          <w:p w14:paraId="27AE240D"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ACT</w:t>
            </w:r>
          </w:p>
        </w:tc>
        <w:tc>
          <w:tcPr>
            <w:tcW w:w="746" w:type="dxa"/>
            <w:tcBorders>
              <w:top w:val="single" w:sz="4" w:space="0" w:color="ADD6EA"/>
              <w:left w:val="nil"/>
              <w:bottom w:val="single" w:sz="4" w:space="0" w:color="ADD6EA"/>
              <w:right w:val="nil"/>
            </w:tcBorders>
            <w:shd w:val="clear" w:color="000000" w:fill="006991"/>
            <w:vAlign w:val="center"/>
            <w:hideMark/>
          </w:tcPr>
          <w:p w14:paraId="5EA9C151"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NT</w:t>
            </w:r>
          </w:p>
        </w:tc>
        <w:tc>
          <w:tcPr>
            <w:tcW w:w="753" w:type="dxa"/>
            <w:tcBorders>
              <w:top w:val="single" w:sz="4" w:space="0" w:color="ADD6EA"/>
              <w:left w:val="nil"/>
              <w:bottom w:val="single" w:sz="4" w:space="0" w:color="ADD6EA"/>
              <w:right w:val="nil"/>
            </w:tcBorders>
            <w:shd w:val="clear" w:color="000000" w:fill="006991"/>
            <w:vAlign w:val="center"/>
            <w:hideMark/>
          </w:tcPr>
          <w:p w14:paraId="316A1BEA"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61C3E">
              <w:rPr>
                <w:rFonts w:ascii="Open Sans SemiBold" w:eastAsia="Times New Roman" w:hAnsi="Open Sans SemiBold" w:cs="Open Sans SemiBold"/>
                <w:color w:val="FFFFFF"/>
                <w:sz w:val="16"/>
                <w:szCs w:val="16"/>
                <w:lang w:val="en-AU" w:eastAsia="en-AU"/>
              </w:rPr>
              <w:t>Redist</w:t>
            </w:r>
          </w:p>
        </w:tc>
      </w:tr>
      <w:tr w:rsidR="00D61C3E" w:rsidRPr="00D61C3E" w14:paraId="04E438A7" w14:textId="77777777" w:rsidTr="00334954">
        <w:trPr>
          <w:trHeight w:val="259"/>
        </w:trPr>
        <w:tc>
          <w:tcPr>
            <w:tcW w:w="2552" w:type="dxa"/>
            <w:tcBorders>
              <w:top w:val="nil"/>
              <w:left w:val="nil"/>
              <w:bottom w:val="single" w:sz="4" w:space="0" w:color="ADD6EA"/>
              <w:right w:val="nil"/>
            </w:tcBorders>
            <w:shd w:val="clear" w:color="000000" w:fill="B6D5E4"/>
            <w:vAlign w:val="center"/>
            <w:hideMark/>
          </w:tcPr>
          <w:p w14:paraId="5E5079DC" w14:textId="77777777" w:rsidR="00D61C3E" w:rsidRPr="00D61C3E" w:rsidRDefault="00D61C3E" w:rsidP="00D61C3E">
            <w:pPr>
              <w:keepNext/>
              <w:keepLines/>
              <w:tabs>
                <w:tab w:val="clear" w:pos="567"/>
              </w:tabs>
              <w:spacing w:before="0" w:line="240" w:lineRule="auto"/>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 </w:t>
            </w:r>
          </w:p>
        </w:tc>
        <w:tc>
          <w:tcPr>
            <w:tcW w:w="567" w:type="dxa"/>
            <w:tcBorders>
              <w:top w:val="nil"/>
              <w:left w:val="nil"/>
              <w:bottom w:val="single" w:sz="4" w:space="0" w:color="ADD6EA"/>
              <w:right w:val="nil"/>
            </w:tcBorders>
            <w:shd w:val="clear" w:color="000000" w:fill="B6D5E4"/>
            <w:vAlign w:val="center"/>
            <w:hideMark/>
          </w:tcPr>
          <w:p w14:paraId="505FC363"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09" w:type="dxa"/>
            <w:tcBorders>
              <w:top w:val="nil"/>
              <w:left w:val="nil"/>
              <w:bottom w:val="single" w:sz="4" w:space="0" w:color="ADD6EA"/>
              <w:right w:val="nil"/>
            </w:tcBorders>
            <w:shd w:val="clear" w:color="000000" w:fill="B6D5E4"/>
            <w:vAlign w:val="center"/>
            <w:hideMark/>
          </w:tcPr>
          <w:p w14:paraId="04D79E56"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586" w:type="dxa"/>
            <w:tcBorders>
              <w:top w:val="nil"/>
              <w:left w:val="nil"/>
              <w:bottom w:val="single" w:sz="4" w:space="0" w:color="ADD6EA"/>
              <w:right w:val="nil"/>
            </w:tcBorders>
            <w:shd w:val="clear" w:color="000000" w:fill="B6D5E4"/>
            <w:vAlign w:val="center"/>
            <w:hideMark/>
          </w:tcPr>
          <w:p w14:paraId="5EE1F5E6"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47" w:type="dxa"/>
            <w:tcBorders>
              <w:top w:val="nil"/>
              <w:left w:val="nil"/>
              <w:bottom w:val="single" w:sz="4" w:space="0" w:color="ADD6EA"/>
              <w:right w:val="nil"/>
            </w:tcBorders>
            <w:shd w:val="clear" w:color="000000" w:fill="B6D5E4"/>
            <w:vAlign w:val="center"/>
            <w:hideMark/>
          </w:tcPr>
          <w:p w14:paraId="1DA35C49"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47" w:type="dxa"/>
            <w:tcBorders>
              <w:top w:val="nil"/>
              <w:left w:val="nil"/>
              <w:bottom w:val="single" w:sz="4" w:space="0" w:color="ADD6EA"/>
              <w:right w:val="nil"/>
            </w:tcBorders>
            <w:shd w:val="clear" w:color="000000" w:fill="B6D5E4"/>
            <w:vAlign w:val="center"/>
            <w:hideMark/>
          </w:tcPr>
          <w:p w14:paraId="1F182D4B"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47" w:type="dxa"/>
            <w:tcBorders>
              <w:top w:val="nil"/>
              <w:left w:val="nil"/>
              <w:bottom w:val="single" w:sz="4" w:space="0" w:color="ADD6EA"/>
              <w:right w:val="nil"/>
            </w:tcBorders>
            <w:shd w:val="clear" w:color="000000" w:fill="B6D5E4"/>
            <w:vAlign w:val="center"/>
            <w:hideMark/>
          </w:tcPr>
          <w:p w14:paraId="7D8E68BD"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48" w:type="dxa"/>
            <w:tcBorders>
              <w:top w:val="nil"/>
              <w:left w:val="nil"/>
              <w:bottom w:val="single" w:sz="4" w:space="0" w:color="ADD6EA"/>
              <w:right w:val="nil"/>
            </w:tcBorders>
            <w:shd w:val="clear" w:color="000000" w:fill="B6D5E4"/>
            <w:vAlign w:val="center"/>
            <w:hideMark/>
          </w:tcPr>
          <w:p w14:paraId="5B551A56"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46" w:type="dxa"/>
            <w:tcBorders>
              <w:top w:val="nil"/>
              <w:left w:val="nil"/>
              <w:bottom w:val="single" w:sz="4" w:space="0" w:color="ADD6EA"/>
              <w:right w:val="nil"/>
            </w:tcBorders>
            <w:shd w:val="clear" w:color="000000" w:fill="B6D5E4"/>
            <w:vAlign w:val="center"/>
            <w:hideMark/>
          </w:tcPr>
          <w:p w14:paraId="6AE042DC"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c>
          <w:tcPr>
            <w:tcW w:w="753" w:type="dxa"/>
            <w:tcBorders>
              <w:top w:val="nil"/>
              <w:left w:val="nil"/>
              <w:bottom w:val="single" w:sz="4" w:space="0" w:color="ADD6EA"/>
              <w:right w:val="nil"/>
            </w:tcBorders>
            <w:shd w:val="clear" w:color="000000" w:fill="B6D5E4"/>
            <w:vAlign w:val="center"/>
            <w:hideMark/>
          </w:tcPr>
          <w:p w14:paraId="3871E829"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$m</w:t>
            </w:r>
          </w:p>
        </w:tc>
      </w:tr>
      <w:tr w:rsidR="00D61C3E" w:rsidRPr="00D61C3E" w14:paraId="770FF5D3" w14:textId="77777777" w:rsidTr="00334954">
        <w:trPr>
          <w:trHeight w:val="315"/>
        </w:trPr>
        <w:tc>
          <w:tcPr>
            <w:tcW w:w="2552" w:type="dxa"/>
            <w:tcBorders>
              <w:top w:val="nil"/>
              <w:left w:val="nil"/>
              <w:bottom w:val="single" w:sz="4" w:space="0" w:color="ADD6EA"/>
              <w:right w:val="nil"/>
            </w:tcBorders>
            <w:shd w:val="clear" w:color="auto" w:fill="auto"/>
            <w:vAlign w:val="bottom"/>
            <w:hideMark/>
          </w:tcPr>
          <w:p w14:paraId="425E0448" w14:textId="77777777" w:rsidR="00D61C3E" w:rsidRPr="00D61C3E" w:rsidRDefault="00D61C3E" w:rsidP="00D61C3E">
            <w:pPr>
              <w:keepNext/>
              <w:keepLines/>
              <w:tabs>
                <w:tab w:val="clear" w:pos="567"/>
              </w:tabs>
              <w:spacing w:before="0" w:line="240" w:lineRule="auto"/>
              <w:rPr>
                <w:rFonts w:eastAsia="Times New Roman" w:cs="Open Sans Light"/>
                <w:sz w:val="16"/>
                <w:szCs w:val="16"/>
                <w:lang w:val="en-AU" w:eastAsia="en-AU"/>
              </w:rPr>
            </w:pPr>
            <w:r w:rsidRPr="00D61C3E">
              <w:rPr>
                <w:rFonts w:eastAsia="Times New Roman" w:cs="Open Sans Light"/>
                <w:sz w:val="16"/>
                <w:szCs w:val="16"/>
                <w:lang w:val="en-AU" w:eastAsia="en-AU"/>
              </w:rPr>
              <w:t>Expense requirement</w:t>
            </w:r>
          </w:p>
        </w:tc>
        <w:tc>
          <w:tcPr>
            <w:tcW w:w="567" w:type="dxa"/>
            <w:tcBorders>
              <w:top w:val="nil"/>
              <w:left w:val="nil"/>
              <w:bottom w:val="single" w:sz="4" w:space="0" w:color="ADD6EA"/>
              <w:right w:val="nil"/>
            </w:tcBorders>
            <w:shd w:val="clear" w:color="auto" w:fill="auto"/>
            <w:vAlign w:val="bottom"/>
            <w:hideMark/>
          </w:tcPr>
          <w:p w14:paraId="2BD71F0A"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67</w:t>
            </w:r>
          </w:p>
        </w:tc>
        <w:tc>
          <w:tcPr>
            <w:tcW w:w="709" w:type="dxa"/>
            <w:tcBorders>
              <w:top w:val="nil"/>
              <w:left w:val="nil"/>
              <w:bottom w:val="single" w:sz="4" w:space="0" w:color="ADD6EA"/>
              <w:right w:val="nil"/>
            </w:tcBorders>
            <w:shd w:val="clear" w:color="auto" w:fill="auto"/>
            <w:vAlign w:val="bottom"/>
            <w:hideMark/>
          </w:tcPr>
          <w:p w14:paraId="76CE9726"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-36</w:t>
            </w:r>
          </w:p>
        </w:tc>
        <w:tc>
          <w:tcPr>
            <w:tcW w:w="586" w:type="dxa"/>
            <w:tcBorders>
              <w:top w:val="nil"/>
              <w:left w:val="nil"/>
              <w:bottom w:val="single" w:sz="4" w:space="0" w:color="ADD6EA"/>
              <w:right w:val="nil"/>
            </w:tcBorders>
            <w:shd w:val="clear" w:color="auto" w:fill="auto"/>
            <w:vAlign w:val="bottom"/>
            <w:hideMark/>
          </w:tcPr>
          <w:p w14:paraId="6E8988CF"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41</w:t>
            </w:r>
          </w:p>
        </w:tc>
        <w:tc>
          <w:tcPr>
            <w:tcW w:w="747" w:type="dxa"/>
            <w:tcBorders>
              <w:top w:val="nil"/>
              <w:left w:val="nil"/>
              <w:bottom w:val="single" w:sz="4" w:space="0" w:color="ADD6EA"/>
              <w:right w:val="nil"/>
            </w:tcBorders>
            <w:shd w:val="clear" w:color="auto" w:fill="auto"/>
            <w:vAlign w:val="bottom"/>
            <w:hideMark/>
          </w:tcPr>
          <w:p w14:paraId="2D525EB8"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-115</w:t>
            </w:r>
          </w:p>
        </w:tc>
        <w:tc>
          <w:tcPr>
            <w:tcW w:w="747" w:type="dxa"/>
            <w:tcBorders>
              <w:top w:val="nil"/>
              <w:left w:val="nil"/>
              <w:bottom w:val="single" w:sz="4" w:space="0" w:color="ADD6EA"/>
              <w:right w:val="nil"/>
            </w:tcBorders>
            <w:shd w:val="clear" w:color="auto" w:fill="auto"/>
            <w:vAlign w:val="bottom"/>
            <w:hideMark/>
          </w:tcPr>
          <w:p w14:paraId="4C087383"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-17</w:t>
            </w:r>
          </w:p>
        </w:tc>
        <w:tc>
          <w:tcPr>
            <w:tcW w:w="747" w:type="dxa"/>
            <w:tcBorders>
              <w:top w:val="nil"/>
              <w:left w:val="nil"/>
              <w:bottom w:val="single" w:sz="4" w:space="0" w:color="ADD6EA"/>
              <w:right w:val="nil"/>
            </w:tcBorders>
            <w:shd w:val="clear" w:color="auto" w:fill="auto"/>
            <w:vAlign w:val="bottom"/>
            <w:hideMark/>
          </w:tcPr>
          <w:p w14:paraId="7B444B0B"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32</w:t>
            </w:r>
          </w:p>
        </w:tc>
        <w:tc>
          <w:tcPr>
            <w:tcW w:w="748" w:type="dxa"/>
            <w:tcBorders>
              <w:top w:val="nil"/>
              <w:left w:val="nil"/>
              <w:bottom w:val="single" w:sz="4" w:space="0" w:color="ADD6EA"/>
              <w:right w:val="nil"/>
            </w:tcBorders>
            <w:shd w:val="clear" w:color="auto" w:fill="auto"/>
            <w:vAlign w:val="bottom"/>
            <w:hideMark/>
          </w:tcPr>
          <w:p w14:paraId="05FFD8C4"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-29</w:t>
            </w:r>
          </w:p>
        </w:tc>
        <w:tc>
          <w:tcPr>
            <w:tcW w:w="746" w:type="dxa"/>
            <w:tcBorders>
              <w:top w:val="nil"/>
              <w:left w:val="nil"/>
              <w:bottom w:val="single" w:sz="4" w:space="0" w:color="ADD6EA"/>
              <w:right w:val="nil"/>
            </w:tcBorders>
            <w:shd w:val="clear" w:color="auto" w:fill="auto"/>
            <w:vAlign w:val="bottom"/>
            <w:hideMark/>
          </w:tcPr>
          <w:p w14:paraId="432B7CBE"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57</w:t>
            </w:r>
          </w:p>
        </w:tc>
        <w:tc>
          <w:tcPr>
            <w:tcW w:w="753" w:type="dxa"/>
            <w:tcBorders>
              <w:top w:val="nil"/>
              <w:left w:val="nil"/>
              <w:bottom w:val="single" w:sz="4" w:space="0" w:color="ADD6EA"/>
              <w:right w:val="nil"/>
            </w:tcBorders>
            <w:shd w:val="clear" w:color="auto" w:fill="auto"/>
            <w:vAlign w:val="bottom"/>
            <w:hideMark/>
          </w:tcPr>
          <w:p w14:paraId="765D5EEF"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197</w:t>
            </w:r>
          </w:p>
        </w:tc>
      </w:tr>
      <w:tr w:rsidR="00D61C3E" w:rsidRPr="00D61C3E" w14:paraId="6346DB04" w14:textId="77777777" w:rsidTr="00334954">
        <w:trPr>
          <w:trHeight w:val="315"/>
        </w:trPr>
        <w:tc>
          <w:tcPr>
            <w:tcW w:w="2552" w:type="dxa"/>
            <w:tcBorders>
              <w:top w:val="nil"/>
              <w:left w:val="nil"/>
              <w:bottom w:val="single" w:sz="4" w:space="0" w:color="ADD6EA"/>
              <w:right w:val="nil"/>
            </w:tcBorders>
            <w:shd w:val="clear" w:color="auto" w:fill="auto"/>
            <w:vAlign w:val="bottom"/>
            <w:hideMark/>
          </w:tcPr>
          <w:p w14:paraId="3A569B5C" w14:textId="77777777" w:rsidR="00D61C3E" w:rsidRPr="00D61C3E" w:rsidRDefault="00D61C3E" w:rsidP="00D61C3E">
            <w:pPr>
              <w:keepNext/>
              <w:keepLines/>
              <w:tabs>
                <w:tab w:val="clear" w:pos="567"/>
              </w:tabs>
              <w:spacing w:before="0" w:line="240" w:lineRule="auto"/>
              <w:rPr>
                <w:rFonts w:eastAsia="Times New Roman" w:cs="Open Sans Light"/>
                <w:sz w:val="16"/>
                <w:szCs w:val="16"/>
                <w:lang w:val="en-AU" w:eastAsia="en-AU"/>
              </w:rPr>
            </w:pPr>
            <w:r w:rsidRPr="00D61C3E">
              <w:rPr>
                <w:rFonts w:eastAsia="Times New Roman" w:cs="Open Sans Light"/>
                <w:sz w:val="16"/>
                <w:szCs w:val="16"/>
                <w:lang w:val="en-AU" w:eastAsia="en-AU"/>
              </w:rPr>
              <w:t>Investment requirement</w:t>
            </w:r>
          </w:p>
        </w:tc>
        <w:tc>
          <w:tcPr>
            <w:tcW w:w="567" w:type="dxa"/>
            <w:tcBorders>
              <w:top w:val="nil"/>
              <w:left w:val="nil"/>
              <w:bottom w:val="single" w:sz="4" w:space="0" w:color="ADD6EA"/>
              <w:right w:val="nil"/>
            </w:tcBorders>
            <w:shd w:val="clear" w:color="auto" w:fill="auto"/>
            <w:vAlign w:val="bottom"/>
            <w:hideMark/>
          </w:tcPr>
          <w:p w14:paraId="2792EE11"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-44</w:t>
            </w:r>
          </w:p>
        </w:tc>
        <w:tc>
          <w:tcPr>
            <w:tcW w:w="709" w:type="dxa"/>
            <w:tcBorders>
              <w:top w:val="nil"/>
              <w:left w:val="nil"/>
              <w:bottom w:val="single" w:sz="4" w:space="0" w:color="ADD6EA"/>
              <w:right w:val="nil"/>
            </w:tcBorders>
            <w:shd w:val="clear" w:color="auto" w:fill="auto"/>
            <w:vAlign w:val="bottom"/>
            <w:hideMark/>
          </w:tcPr>
          <w:p w14:paraId="4AC3CD41"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-8</w:t>
            </w:r>
          </w:p>
        </w:tc>
        <w:tc>
          <w:tcPr>
            <w:tcW w:w="586" w:type="dxa"/>
            <w:tcBorders>
              <w:top w:val="nil"/>
              <w:left w:val="nil"/>
              <w:bottom w:val="single" w:sz="4" w:space="0" w:color="ADD6EA"/>
              <w:right w:val="nil"/>
            </w:tcBorders>
            <w:shd w:val="clear" w:color="auto" w:fill="auto"/>
            <w:vAlign w:val="bottom"/>
            <w:hideMark/>
          </w:tcPr>
          <w:p w14:paraId="54A6109A"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100</w:t>
            </w:r>
          </w:p>
        </w:tc>
        <w:tc>
          <w:tcPr>
            <w:tcW w:w="747" w:type="dxa"/>
            <w:tcBorders>
              <w:top w:val="nil"/>
              <w:left w:val="nil"/>
              <w:bottom w:val="single" w:sz="4" w:space="0" w:color="ADD6EA"/>
              <w:right w:val="nil"/>
            </w:tcBorders>
            <w:shd w:val="clear" w:color="auto" w:fill="auto"/>
            <w:vAlign w:val="bottom"/>
            <w:hideMark/>
          </w:tcPr>
          <w:p w14:paraId="01D7C38F"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-22</w:t>
            </w:r>
          </w:p>
        </w:tc>
        <w:tc>
          <w:tcPr>
            <w:tcW w:w="747" w:type="dxa"/>
            <w:tcBorders>
              <w:top w:val="nil"/>
              <w:left w:val="nil"/>
              <w:bottom w:val="single" w:sz="4" w:space="0" w:color="ADD6EA"/>
              <w:right w:val="nil"/>
            </w:tcBorders>
            <w:shd w:val="clear" w:color="auto" w:fill="auto"/>
            <w:vAlign w:val="bottom"/>
            <w:hideMark/>
          </w:tcPr>
          <w:p w14:paraId="4D75EFBC"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-31</w:t>
            </w:r>
          </w:p>
        </w:tc>
        <w:tc>
          <w:tcPr>
            <w:tcW w:w="747" w:type="dxa"/>
            <w:tcBorders>
              <w:top w:val="nil"/>
              <w:left w:val="nil"/>
              <w:bottom w:val="single" w:sz="4" w:space="0" w:color="ADD6EA"/>
              <w:right w:val="nil"/>
            </w:tcBorders>
            <w:shd w:val="clear" w:color="auto" w:fill="auto"/>
            <w:vAlign w:val="bottom"/>
            <w:hideMark/>
          </w:tcPr>
          <w:p w14:paraId="407ACE46"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6</w:t>
            </w:r>
          </w:p>
        </w:tc>
        <w:tc>
          <w:tcPr>
            <w:tcW w:w="748" w:type="dxa"/>
            <w:tcBorders>
              <w:top w:val="nil"/>
              <w:left w:val="nil"/>
              <w:bottom w:val="single" w:sz="4" w:space="0" w:color="ADD6EA"/>
              <w:right w:val="nil"/>
            </w:tcBorders>
            <w:shd w:val="clear" w:color="auto" w:fill="auto"/>
            <w:vAlign w:val="bottom"/>
            <w:hideMark/>
          </w:tcPr>
          <w:p w14:paraId="42482F24"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-12</w:t>
            </w:r>
          </w:p>
        </w:tc>
        <w:tc>
          <w:tcPr>
            <w:tcW w:w="746" w:type="dxa"/>
            <w:tcBorders>
              <w:top w:val="nil"/>
              <w:left w:val="nil"/>
              <w:bottom w:val="single" w:sz="4" w:space="0" w:color="ADD6EA"/>
              <w:right w:val="nil"/>
            </w:tcBorders>
            <w:shd w:val="clear" w:color="auto" w:fill="auto"/>
            <w:vAlign w:val="bottom"/>
            <w:hideMark/>
          </w:tcPr>
          <w:p w14:paraId="66455E81"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11</w:t>
            </w:r>
          </w:p>
        </w:tc>
        <w:tc>
          <w:tcPr>
            <w:tcW w:w="753" w:type="dxa"/>
            <w:tcBorders>
              <w:top w:val="nil"/>
              <w:left w:val="nil"/>
              <w:bottom w:val="single" w:sz="4" w:space="0" w:color="ADD6EA"/>
              <w:right w:val="nil"/>
            </w:tcBorders>
            <w:shd w:val="clear" w:color="auto" w:fill="auto"/>
            <w:vAlign w:val="bottom"/>
            <w:hideMark/>
          </w:tcPr>
          <w:p w14:paraId="0E476052"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117</w:t>
            </w:r>
          </w:p>
        </w:tc>
      </w:tr>
      <w:tr w:rsidR="00D61C3E" w:rsidRPr="00D61C3E" w14:paraId="434549E7" w14:textId="77777777" w:rsidTr="00334954">
        <w:trPr>
          <w:trHeight w:val="315"/>
        </w:trPr>
        <w:tc>
          <w:tcPr>
            <w:tcW w:w="2552" w:type="dxa"/>
            <w:tcBorders>
              <w:top w:val="nil"/>
              <w:left w:val="nil"/>
              <w:bottom w:val="single" w:sz="4" w:space="0" w:color="ADD6EA"/>
              <w:right w:val="nil"/>
            </w:tcBorders>
            <w:shd w:val="clear" w:color="auto" w:fill="auto"/>
            <w:vAlign w:val="bottom"/>
            <w:hideMark/>
          </w:tcPr>
          <w:p w14:paraId="304D0F42" w14:textId="77777777" w:rsidR="00D61C3E" w:rsidRPr="00D61C3E" w:rsidRDefault="00D61C3E" w:rsidP="00D61C3E">
            <w:pPr>
              <w:keepNext/>
              <w:keepLines/>
              <w:tabs>
                <w:tab w:val="clear" w:pos="567"/>
              </w:tabs>
              <w:spacing w:before="0" w:line="240" w:lineRule="auto"/>
              <w:rPr>
                <w:rFonts w:eastAsia="Times New Roman" w:cs="Open Sans Light"/>
                <w:sz w:val="16"/>
                <w:szCs w:val="16"/>
                <w:lang w:val="en-AU" w:eastAsia="en-AU"/>
              </w:rPr>
            </w:pPr>
            <w:r w:rsidRPr="00D61C3E">
              <w:rPr>
                <w:rFonts w:eastAsia="Times New Roman" w:cs="Open Sans Light"/>
                <w:sz w:val="16"/>
                <w:szCs w:val="16"/>
                <w:lang w:val="en-AU" w:eastAsia="en-AU"/>
              </w:rPr>
              <w:t>Net borrowing</w:t>
            </w:r>
          </w:p>
        </w:tc>
        <w:tc>
          <w:tcPr>
            <w:tcW w:w="567" w:type="dxa"/>
            <w:tcBorders>
              <w:top w:val="nil"/>
              <w:left w:val="nil"/>
              <w:bottom w:val="single" w:sz="4" w:space="0" w:color="ADD6EA"/>
              <w:right w:val="nil"/>
            </w:tcBorders>
            <w:shd w:val="clear" w:color="auto" w:fill="auto"/>
            <w:vAlign w:val="bottom"/>
            <w:hideMark/>
          </w:tcPr>
          <w:p w14:paraId="174F128C"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13</w:t>
            </w:r>
          </w:p>
        </w:tc>
        <w:tc>
          <w:tcPr>
            <w:tcW w:w="709" w:type="dxa"/>
            <w:tcBorders>
              <w:top w:val="nil"/>
              <w:left w:val="nil"/>
              <w:bottom w:val="single" w:sz="4" w:space="0" w:color="ADD6EA"/>
              <w:right w:val="nil"/>
            </w:tcBorders>
            <w:shd w:val="clear" w:color="auto" w:fill="auto"/>
            <w:vAlign w:val="bottom"/>
            <w:hideMark/>
          </w:tcPr>
          <w:p w14:paraId="4F8747D8"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25</w:t>
            </w:r>
          </w:p>
        </w:tc>
        <w:tc>
          <w:tcPr>
            <w:tcW w:w="586" w:type="dxa"/>
            <w:tcBorders>
              <w:top w:val="nil"/>
              <w:left w:val="nil"/>
              <w:bottom w:val="single" w:sz="4" w:space="0" w:color="ADD6EA"/>
              <w:right w:val="nil"/>
            </w:tcBorders>
            <w:shd w:val="clear" w:color="auto" w:fill="auto"/>
            <w:vAlign w:val="bottom"/>
            <w:hideMark/>
          </w:tcPr>
          <w:p w14:paraId="13DC1226"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-39</w:t>
            </w:r>
          </w:p>
        </w:tc>
        <w:tc>
          <w:tcPr>
            <w:tcW w:w="747" w:type="dxa"/>
            <w:tcBorders>
              <w:top w:val="nil"/>
              <w:left w:val="nil"/>
              <w:bottom w:val="single" w:sz="4" w:space="0" w:color="ADD6EA"/>
              <w:right w:val="nil"/>
            </w:tcBorders>
            <w:shd w:val="clear" w:color="auto" w:fill="auto"/>
            <w:vAlign w:val="bottom"/>
            <w:hideMark/>
          </w:tcPr>
          <w:p w14:paraId="7CB0E5C3"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0</w:t>
            </w:r>
          </w:p>
        </w:tc>
        <w:tc>
          <w:tcPr>
            <w:tcW w:w="747" w:type="dxa"/>
            <w:tcBorders>
              <w:top w:val="nil"/>
              <w:left w:val="nil"/>
              <w:bottom w:val="single" w:sz="4" w:space="0" w:color="ADD6EA"/>
              <w:right w:val="nil"/>
            </w:tcBorders>
            <w:shd w:val="clear" w:color="auto" w:fill="auto"/>
            <w:vAlign w:val="bottom"/>
            <w:hideMark/>
          </w:tcPr>
          <w:p w14:paraId="296B5F41"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w:t>
            </w:r>
          </w:p>
        </w:tc>
        <w:tc>
          <w:tcPr>
            <w:tcW w:w="747" w:type="dxa"/>
            <w:tcBorders>
              <w:top w:val="nil"/>
              <w:left w:val="nil"/>
              <w:bottom w:val="single" w:sz="4" w:space="0" w:color="ADD6EA"/>
              <w:right w:val="nil"/>
            </w:tcBorders>
            <w:shd w:val="clear" w:color="auto" w:fill="auto"/>
            <w:vAlign w:val="bottom"/>
            <w:hideMark/>
          </w:tcPr>
          <w:p w14:paraId="17320C5E"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-8</w:t>
            </w:r>
          </w:p>
        </w:tc>
        <w:tc>
          <w:tcPr>
            <w:tcW w:w="748" w:type="dxa"/>
            <w:tcBorders>
              <w:top w:val="nil"/>
              <w:left w:val="nil"/>
              <w:bottom w:val="single" w:sz="4" w:space="0" w:color="ADD6EA"/>
              <w:right w:val="nil"/>
            </w:tcBorders>
            <w:shd w:val="clear" w:color="auto" w:fill="auto"/>
            <w:vAlign w:val="bottom"/>
            <w:hideMark/>
          </w:tcPr>
          <w:p w14:paraId="76113E1F"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w:t>
            </w:r>
          </w:p>
        </w:tc>
        <w:tc>
          <w:tcPr>
            <w:tcW w:w="746" w:type="dxa"/>
            <w:tcBorders>
              <w:top w:val="nil"/>
              <w:left w:val="nil"/>
              <w:bottom w:val="single" w:sz="4" w:space="0" w:color="ADD6EA"/>
              <w:right w:val="nil"/>
            </w:tcBorders>
            <w:shd w:val="clear" w:color="auto" w:fill="auto"/>
            <w:vAlign w:val="bottom"/>
            <w:hideMark/>
          </w:tcPr>
          <w:p w14:paraId="0E893283"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6</w:t>
            </w:r>
          </w:p>
        </w:tc>
        <w:tc>
          <w:tcPr>
            <w:tcW w:w="753" w:type="dxa"/>
            <w:tcBorders>
              <w:top w:val="nil"/>
              <w:left w:val="nil"/>
              <w:bottom w:val="single" w:sz="4" w:space="0" w:color="ADD6EA"/>
              <w:right w:val="nil"/>
            </w:tcBorders>
            <w:shd w:val="clear" w:color="auto" w:fill="auto"/>
            <w:vAlign w:val="bottom"/>
            <w:hideMark/>
          </w:tcPr>
          <w:p w14:paraId="406379D2"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47</w:t>
            </w:r>
          </w:p>
        </w:tc>
      </w:tr>
      <w:tr w:rsidR="00D61C3E" w:rsidRPr="00D61C3E" w14:paraId="1DD62ED8" w14:textId="77777777" w:rsidTr="00334954">
        <w:trPr>
          <w:trHeight w:val="315"/>
        </w:trPr>
        <w:tc>
          <w:tcPr>
            <w:tcW w:w="2552" w:type="dxa"/>
            <w:tcBorders>
              <w:top w:val="nil"/>
              <w:left w:val="nil"/>
              <w:bottom w:val="single" w:sz="4" w:space="0" w:color="ADD6EA"/>
              <w:right w:val="nil"/>
            </w:tcBorders>
            <w:shd w:val="clear" w:color="auto" w:fill="auto"/>
            <w:vAlign w:val="bottom"/>
            <w:hideMark/>
          </w:tcPr>
          <w:p w14:paraId="5430E9E0" w14:textId="77777777" w:rsidR="00D61C3E" w:rsidRPr="00D61C3E" w:rsidRDefault="00D61C3E" w:rsidP="00D61C3E">
            <w:pPr>
              <w:keepNext/>
              <w:keepLines/>
              <w:tabs>
                <w:tab w:val="clear" w:pos="567"/>
              </w:tabs>
              <w:spacing w:before="0" w:line="240" w:lineRule="auto"/>
              <w:rPr>
                <w:rFonts w:eastAsia="Times New Roman" w:cs="Open Sans Light"/>
                <w:sz w:val="16"/>
                <w:szCs w:val="16"/>
                <w:lang w:val="en-AU" w:eastAsia="en-AU"/>
              </w:rPr>
            </w:pPr>
            <w:r w:rsidRPr="00D61C3E">
              <w:rPr>
                <w:rFonts w:eastAsia="Times New Roman" w:cs="Open Sans Light"/>
                <w:sz w:val="16"/>
                <w:szCs w:val="16"/>
                <w:lang w:val="en-AU" w:eastAsia="en-AU"/>
              </w:rPr>
              <w:t>Revenue capacity</w:t>
            </w:r>
          </w:p>
        </w:tc>
        <w:tc>
          <w:tcPr>
            <w:tcW w:w="567" w:type="dxa"/>
            <w:tcBorders>
              <w:top w:val="nil"/>
              <w:left w:val="nil"/>
              <w:bottom w:val="single" w:sz="4" w:space="0" w:color="ADD6EA"/>
              <w:right w:val="nil"/>
            </w:tcBorders>
            <w:shd w:val="clear" w:color="auto" w:fill="auto"/>
            <w:vAlign w:val="bottom"/>
            <w:hideMark/>
          </w:tcPr>
          <w:p w14:paraId="738910BC"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443</w:t>
            </w:r>
          </w:p>
        </w:tc>
        <w:tc>
          <w:tcPr>
            <w:tcW w:w="709" w:type="dxa"/>
            <w:tcBorders>
              <w:top w:val="nil"/>
              <w:left w:val="nil"/>
              <w:bottom w:val="single" w:sz="4" w:space="0" w:color="ADD6EA"/>
              <w:right w:val="nil"/>
            </w:tcBorders>
            <w:shd w:val="clear" w:color="auto" w:fill="auto"/>
            <w:vAlign w:val="bottom"/>
            <w:hideMark/>
          </w:tcPr>
          <w:p w14:paraId="6C53FEBF"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90</w:t>
            </w:r>
          </w:p>
        </w:tc>
        <w:tc>
          <w:tcPr>
            <w:tcW w:w="586" w:type="dxa"/>
            <w:tcBorders>
              <w:top w:val="nil"/>
              <w:left w:val="nil"/>
              <w:bottom w:val="single" w:sz="4" w:space="0" w:color="ADD6EA"/>
              <w:right w:val="nil"/>
            </w:tcBorders>
            <w:shd w:val="clear" w:color="auto" w:fill="auto"/>
            <w:vAlign w:val="bottom"/>
            <w:hideMark/>
          </w:tcPr>
          <w:p w14:paraId="6D60C85D"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-416</w:t>
            </w:r>
          </w:p>
        </w:tc>
        <w:tc>
          <w:tcPr>
            <w:tcW w:w="747" w:type="dxa"/>
            <w:tcBorders>
              <w:top w:val="nil"/>
              <w:left w:val="nil"/>
              <w:bottom w:val="single" w:sz="4" w:space="0" w:color="ADD6EA"/>
              <w:right w:val="nil"/>
            </w:tcBorders>
            <w:shd w:val="clear" w:color="auto" w:fill="auto"/>
            <w:vAlign w:val="bottom"/>
            <w:hideMark/>
          </w:tcPr>
          <w:p w14:paraId="34F3960A"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-180</w:t>
            </w:r>
          </w:p>
        </w:tc>
        <w:tc>
          <w:tcPr>
            <w:tcW w:w="747" w:type="dxa"/>
            <w:tcBorders>
              <w:top w:val="nil"/>
              <w:left w:val="nil"/>
              <w:bottom w:val="single" w:sz="4" w:space="0" w:color="ADD6EA"/>
              <w:right w:val="nil"/>
            </w:tcBorders>
            <w:shd w:val="clear" w:color="auto" w:fill="auto"/>
            <w:vAlign w:val="bottom"/>
            <w:hideMark/>
          </w:tcPr>
          <w:p w14:paraId="7FCFDA04"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48</w:t>
            </w:r>
          </w:p>
        </w:tc>
        <w:tc>
          <w:tcPr>
            <w:tcW w:w="747" w:type="dxa"/>
            <w:tcBorders>
              <w:top w:val="nil"/>
              <w:left w:val="nil"/>
              <w:bottom w:val="single" w:sz="4" w:space="0" w:color="ADD6EA"/>
              <w:right w:val="nil"/>
            </w:tcBorders>
            <w:shd w:val="clear" w:color="auto" w:fill="auto"/>
            <w:vAlign w:val="bottom"/>
            <w:hideMark/>
          </w:tcPr>
          <w:p w14:paraId="63EBCA3B"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16</w:t>
            </w:r>
          </w:p>
        </w:tc>
        <w:tc>
          <w:tcPr>
            <w:tcW w:w="748" w:type="dxa"/>
            <w:tcBorders>
              <w:top w:val="nil"/>
              <w:left w:val="nil"/>
              <w:bottom w:val="single" w:sz="4" w:space="0" w:color="ADD6EA"/>
              <w:right w:val="nil"/>
            </w:tcBorders>
            <w:shd w:val="clear" w:color="auto" w:fill="auto"/>
            <w:vAlign w:val="bottom"/>
            <w:hideMark/>
          </w:tcPr>
          <w:p w14:paraId="67BA2028"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33</w:t>
            </w:r>
          </w:p>
        </w:tc>
        <w:tc>
          <w:tcPr>
            <w:tcW w:w="746" w:type="dxa"/>
            <w:tcBorders>
              <w:top w:val="nil"/>
              <w:left w:val="nil"/>
              <w:bottom w:val="single" w:sz="4" w:space="0" w:color="ADD6EA"/>
              <w:right w:val="nil"/>
            </w:tcBorders>
            <w:shd w:val="clear" w:color="auto" w:fill="auto"/>
            <w:vAlign w:val="bottom"/>
            <w:hideMark/>
          </w:tcPr>
          <w:p w14:paraId="6A709FDB"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-34</w:t>
            </w:r>
          </w:p>
        </w:tc>
        <w:tc>
          <w:tcPr>
            <w:tcW w:w="753" w:type="dxa"/>
            <w:tcBorders>
              <w:top w:val="nil"/>
              <w:left w:val="nil"/>
              <w:bottom w:val="single" w:sz="4" w:space="0" w:color="ADD6EA"/>
              <w:right w:val="nil"/>
            </w:tcBorders>
            <w:shd w:val="clear" w:color="auto" w:fill="auto"/>
            <w:vAlign w:val="bottom"/>
            <w:hideMark/>
          </w:tcPr>
          <w:p w14:paraId="7DB18206"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630</w:t>
            </w:r>
          </w:p>
        </w:tc>
      </w:tr>
      <w:tr w:rsidR="00D61C3E" w:rsidRPr="00D61C3E" w14:paraId="64FD35E5" w14:textId="77777777" w:rsidTr="00334954">
        <w:trPr>
          <w:trHeight w:val="315"/>
        </w:trPr>
        <w:tc>
          <w:tcPr>
            <w:tcW w:w="2552" w:type="dxa"/>
            <w:tcBorders>
              <w:top w:val="nil"/>
              <w:left w:val="nil"/>
              <w:bottom w:val="single" w:sz="4" w:space="0" w:color="ADD6EA"/>
              <w:right w:val="nil"/>
            </w:tcBorders>
            <w:shd w:val="clear" w:color="auto" w:fill="auto"/>
            <w:vAlign w:val="bottom"/>
            <w:hideMark/>
          </w:tcPr>
          <w:p w14:paraId="3CCFE850" w14:textId="77777777" w:rsidR="00D61C3E" w:rsidRPr="00D61C3E" w:rsidRDefault="00D61C3E" w:rsidP="00D61C3E">
            <w:pPr>
              <w:keepNext/>
              <w:keepLines/>
              <w:tabs>
                <w:tab w:val="clear" w:pos="567"/>
              </w:tabs>
              <w:spacing w:before="0" w:line="240" w:lineRule="auto"/>
              <w:rPr>
                <w:rFonts w:eastAsia="Times New Roman" w:cs="Open Sans Light"/>
                <w:sz w:val="16"/>
                <w:szCs w:val="16"/>
                <w:lang w:val="en-AU" w:eastAsia="en-AU"/>
              </w:rPr>
            </w:pPr>
            <w:r w:rsidRPr="00D61C3E">
              <w:rPr>
                <w:rFonts w:eastAsia="Times New Roman" w:cs="Open Sans Light"/>
                <w:sz w:val="16"/>
                <w:szCs w:val="16"/>
                <w:lang w:val="en-AU" w:eastAsia="en-AU"/>
              </w:rPr>
              <w:t>Commonwealth payments</w:t>
            </w:r>
          </w:p>
        </w:tc>
        <w:tc>
          <w:tcPr>
            <w:tcW w:w="567" w:type="dxa"/>
            <w:tcBorders>
              <w:top w:val="nil"/>
              <w:left w:val="nil"/>
              <w:bottom w:val="single" w:sz="4" w:space="0" w:color="ADD6EA"/>
              <w:right w:val="nil"/>
            </w:tcBorders>
            <w:shd w:val="clear" w:color="auto" w:fill="auto"/>
            <w:vAlign w:val="bottom"/>
            <w:hideMark/>
          </w:tcPr>
          <w:p w14:paraId="0F1028B8"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116</w:t>
            </w:r>
          </w:p>
        </w:tc>
        <w:tc>
          <w:tcPr>
            <w:tcW w:w="709" w:type="dxa"/>
            <w:tcBorders>
              <w:top w:val="nil"/>
              <w:left w:val="nil"/>
              <w:bottom w:val="single" w:sz="4" w:space="0" w:color="ADD6EA"/>
              <w:right w:val="nil"/>
            </w:tcBorders>
            <w:shd w:val="clear" w:color="auto" w:fill="auto"/>
            <w:vAlign w:val="bottom"/>
            <w:hideMark/>
          </w:tcPr>
          <w:p w14:paraId="79F6E4A5"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209</w:t>
            </w:r>
          </w:p>
        </w:tc>
        <w:tc>
          <w:tcPr>
            <w:tcW w:w="586" w:type="dxa"/>
            <w:tcBorders>
              <w:top w:val="nil"/>
              <w:left w:val="nil"/>
              <w:bottom w:val="single" w:sz="4" w:space="0" w:color="ADD6EA"/>
              <w:right w:val="nil"/>
            </w:tcBorders>
            <w:shd w:val="clear" w:color="auto" w:fill="auto"/>
            <w:vAlign w:val="bottom"/>
            <w:hideMark/>
          </w:tcPr>
          <w:p w14:paraId="0FAE8AED"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-164</w:t>
            </w:r>
          </w:p>
        </w:tc>
        <w:tc>
          <w:tcPr>
            <w:tcW w:w="747" w:type="dxa"/>
            <w:tcBorders>
              <w:top w:val="nil"/>
              <w:left w:val="nil"/>
              <w:bottom w:val="single" w:sz="4" w:space="0" w:color="ADD6EA"/>
              <w:right w:val="nil"/>
            </w:tcBorders>
            <w:shd w:val="clear" w:color="auto" w:fill="auto"/>
            <w:vAlign w:val="bottom"/>
            <w:hideMark/>
          </w:tcPr>
          <w:p w14:paraId="361458AD"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-13</w:t>
            </w:r>
          </w:p>
        </w:tc>
        <w:tc>
          <w:tcPr>
            <w:tcW w:w="747" w:type="dxa"/>
            <w:tcBorders>
              <w:top w:val="nil"/>
              <w:left w:val="nil"/>
              <w:bottom w:val="single" w:sz="4" w:space="0" w:color="ADD6EA"/>
              <w:right w:val="nil"/>
            </w:tcBorders>
            <w:shd w:val="clear" w:color="auto" w:fill="auto"/>
            <w:vAlign w:val="bottom"/>
            <w:hideMark/>
          </w:tcPr>
          <w:p w14:paraId="459AAFA0"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-174</w:t>
            </w:r>
          </w:p>
        </w:tc>
        <w:tc>
          <w:tcPr>
            <w:tcW w:w="747" w:type="dxa"/>
            <w:tcBorders>
              <w:top w:val="nil"/>
              <w:left w:val="nil"/>
              <w:bottom w:val="single" w:sz="4" w:space="0" w:color="ADD6EA"/>
              <w:right w:val="nil"/>
            </w:tcBorders>
            <w:shd w:val="clear" w:color="auto" w:fill="auto"/>
            <w:vAlign w:val="bottom"/>
            <w:hideMark/>
          </w:tcPr>
          <w:p w14:paraId="5A50719A"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w:t>
            </w:r>
          </w:p>
        </w:tc>
        <w:tc>
          <w:tcPr>
            <w:tcW w:w="748" w:type="dxa"/>
            <w:tcBorders>
              <w:top w:val="nil"/>
              <w:left w:val="nil"/>
              <w:bottom w:val="single" w:sz="4" w:space="0" w:color="ADD6EA"/>
              <w:right w:val="nil"/>
            </w:tcBorders>
            <w:shd w:val="clear" w:color="auto" w:fill="auto"/>
            <w:vAlign w:val="bottom"/>
            <w:hideMark/>
          </w:tcPr>
          <w:p w14:paraId="5B231109"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1</w:t>
            </w:r>
          </w:p>
        </w:tc>
        <w:tc>
          <w:tcPr>
            <w:tcW w:w="746" w:type="dxa"/>
            <w:tcBorders>
              <w:top w:val="nil"/>
              <w:left w:val="nil"/>
              <w:bottom w:val="single" w:sz="4" w:space="0" w:color="ADD6EA"/>
              <w:right w:val="nil"/>
            </w:tcBorders>
            <w:shd w:val="clear" w:color="auto" w:fill="auto"/>
            <w:vAlign w:val="bottom"/>
            <w:hideMark/>
          </w:tcPr>
          <w:p w14:paraId="6B517C47"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27</w:t>
            </w:r>
          </w:p>
        </w:tc>
        <w:tc>
          <w:tcPr>
            <w:tcW w:w="753" w:type="dxa"/>
            <w:tcBorders>
              <w:top w:val="nil"/>
              <w:left w:val="nil"/>
              <w:bottom w:val="single" w:sz="4" w:space="0" w:color="ADD6EA"/>
              <w:right w:val="nil"/>
            </w:tcBorders>
            <w:shd w:val="clear" w:color="auto" w:fill="auto"/>
            <w:vAlign w:val="bottom"/>
            <w:hideMark/>
          </w:tcPr>
          <w:p w14:paraId="3019B338" w14:textId="77777777" w:rsidR="00D61C3E" w:rsidRPr="00D61C3E" w:rsidRDefault="00D61C3E" w:rsidP="00D61C3E">
            <w:pPr>
              <w:keepNext/>
              <w:keepLines/>
              <w:tabs>
                <w:tab w:val="clear" w:pos="567"/>
              </w:tabs>
              <w:spacing w:before="0" w:line="240" w:lineRule="auto"/>
              <w:jc w:val="right"/>
              <w:rPr>
                <w:rFonts w:eastAsia="Times New Roman" w:cs="Open Sans Light"/>
                <w:sz w:val="16"/>
                <w:szCs w:val="16"/>
                <w:lang w:val="en-AU" w:eastAsia="en-AU"/>
              </w:rPr>
            </w:pPr>
            <w:r w:rsidRPr="00D61C3E">
              <w:rPr>
                <w:rFonts w:eastAsia="Times New Roman" w:cs="Open Sans Light"/>
                <w:sz w:val="16"/>
                <w:szCs w:val="16"/>
                <w:lang w:val="en-AU" w:eastAsia="en-AU"/>
              </w:rPr>
              <w:t>352</w:t>
            </w:r>
          </w:p>
        </w:tc>
      </w:tr>
      <w:tr w:rsidR="00D61C3E" w:rsidRPr="00D61C3E" w14:paraId="64095329" w14:textId="77777777" w:rsidTr="00334954">
        <w:trPr>
          <w:trHeight w:val="315"/>
        </w:trPr>
        <w:tc>
          <w:tcPr>
            <w:tcW w:w="2552" w:type="dxa"/>
            <w:tcBorders>
              <w:top w:val="nil"/>
              <w:left w:val="nil"/>
              <w:bottom w:val="single" w:sz="4" w:space="0" w:color="ADD6EA"/>
              <w:right w:val="nil"/>
            </w:tcBorders>
            <w:shd w:val="clear" w:color="000000" w:fill="D6E7F0"/>
            <w:vAlign w:val="bottom"/>
            <w:hideMark/>
          </w:tcPr>
          <w:p w14:paraId="61098820" w14:textId="7F4249CD" w:rsidR="00D61C3E" w:rsidRPr="00D61C3E" w:rsidRDefault="00D61C3E" w:rsidP="00D61C3E">
            <w:pPr>
              <w:keepNext/>
              <w:keepLines/>
              <w:tabs>
                <w:tab w:val="clear" w:pos="567"/>
              </w:tabs>
              <w:spacing w:before="0" w:line="240" w:lineRule="auto"/>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Total</w:t>
            </w:r>
            <w:r w:rsidR="00334954">
              <w:rPr>
                <w:rFonts w:ascii="Open Sans SemiBold" w:eastAsia="Times New Roman" w:hAnsi="Open Sans SemiBold" w:cs="Open Sans SemiBold"/>
                <w:sz w:val="16"/>
                <w:szCs w:val="16"/>
                <w:lang w:val="en-AU" w:eastAsia="en-AU"/>
              </w:rPr>
              <w:t xml:space="preserve"> circumstances changes</w:t>
            </w:r>
          </w:p>
        </w:tc>
        <w:tc>
          <w:tcPr>
            <w:tcW w:w="567" w:type="dxa"/>
            <w:tcBorders>
              <w:top w:val="nil"/>
              <w:left w:val="nil"/>
              <w:bottom w:val="single" w:sz="4" w:space="0" w:color="ADD6EA"/>
              <w:right w:val="nil"/>
            </w:tcBorders>
            <w:shd w:val="clear" w:color="000000" w:fill="D6E7F0"/>
            <w:vAlign w:val="bottom"/>
            <w:hideMark/>
          </w:tcPr>
          <w:p w14:paraId="45B83015"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595</w:t>
            </w:r>
          </w:p>
        </w:tc>
        <w:tc>
          <w:tcPr>
            <w:tcW w:w="709" w:type="dxa"/>
            <w:tcBorders>
              <w:top w:val="nil"/>
              <w:left w:val="nil"/>
              <w:bottom w:val="single" w:sz="4" w:space="0" w:color="ADD6EA"/>
              <w:right w:val="nil"/>
            </w:tcBorders>
            <w:shd w:val="clear" w:color="000000" w:fill="D6E7F0"/>
            <w:vAlign w:val="bottom"/>
            <w:hideMark/>
          </w:tcPr>
          <w:p w14:paraId="46196427"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279</w:t>
            </w:r>
          </w:p>
        </w:tc>
        <w:tc>
          <w:tcPr>
            <w:tcW w:w="586" w:type="dxa"/>
            <w:tcBorders>
              <w:top w:val="nil"/>
              <w:left w:val="nil"/>
              <w:bottom w:val="single" w:sz="4" w:space="0" w:color="ADD6EA"/>
              <w:right w:val="nil"/>
            </w:tcBorders>
            <w:shd w:val="clear" w:color="000000" w:fill="D6E7F0"/>
            <w:vAlign w:val="bottom"/>
            <w:hideMark/>
          </w:tcPr>
          <w:p w14:paraId="572413CB"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-477</w:t>
            </w:r>
          </w:p>
        </w:tc>
        <w:tc>
          <w:tcPr>
            <w:tcW w:w="747" w:type="dxa"/>
            <w:tcBorders>
              <w:top w:val="nil"/>
              <w:left w:val="nil"/>
              <w:bottom w:val="single" w:sz="4" w:space="0" w:color="ADD6EA"/>
              <w:right w:val="nil"/>
            </w:tcBorders>
            <w:shd w:val="clear" w:color="000000" w:fill="D6E7F0"/>
            <w:vAlign w:val="bottom"/>
            <w:hideMark/>
          </w:tcPr>
          <w:p w14:paraId="1E18349B"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-330</w:t>
            </w:r>
          </w:p>
        </w:tc>
        <w:tc>
          <w:tcPr>
            <w:tcW w:w="747" w:type="dxa"/>
            <w:tcBorders>
              <w:top w:val="nil"/>
              <w:left w:val="nil"/>
              <w:bottom w:val="single" w:sz="4" w:space="0" w:color="ADD6EA"/>
              <w:right w:val="nil"/>
            </w:tcBorders>
            <w:shd w:val="clear" w:color="000000" w:fill="D6E7F0"/>
            <w:vAlign w:val="bottom"/>
            <w:hideMark/>
          </w:tcPr>
          <w:p w14:paraId="21A6DA54"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-172</w:t>
            </w:r>
          </w:p>
        </w:tc>
        <w:tc>
          <w:tcPr>
            <w:tcW w:w="747" w:type="dxa"/>
            <w:tcBorders>
              <w:top w:val="nil"/>
              <w:left w:val="nil"/>
              <w:bottom w:val="single" w:sz="4" w:space="0" w:color="ADD6EA"/>
              <w:right w:val="nil"/>
            </w:tcBorders>
            <w:shd w:val="clear" w:color="000000" w:fill="D6E7F0"/>
            <w:vAlign w:val="bottom"/>
            <w:hideMark/>
          </w:tcPr>
          <w:p w14:paraId="19128EF3"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45</w:t>
            </w:r>
          </w:p>
        </w:tc>
        <w:tc>
          <w:tcPr>
            <w:tcW w:w="748" w:type="dxa"/>
            <w:tcBorders>
              <w:top w:val="nil"/>
              <w:left w:val="nil"/>
              <w:bottom w:val="single" w:sz="4" w:space="0" w:color="ADD6EA"/>
              <w:right w:val="nil"/>
            </w:tcBorders>
            <w:shd w:val="clear" w:color="000000" w:fill="D6E7F0"/>
            <w:vAlign w:val="bottom"/>
            <w:hideMark/>
          </w:tcPr>
          <w:p w14:paraId="7802D039"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-6</w:t>
            </w:r>
          </w:p>
        </w:tc>
        <w:tc>
          <w:tcPr>
            <w:tcW w:w="746" w:type="dxa"/>
            <w:tcBorders>
              <w:top w:val="nil"/>
              <w:left w:val="nil"/>
              <w:bottom w:val="single" w:sz="4" w:space="0" w:color="ADD6EA"/>
              <w:right w:val="nil"/>
            </w:tcBorders>
            <w:shd w:val="clear" w:color="000000" w:fill="D6E7F0"/>
            <w:vAlign w:val="bottom"/>
            <w:hideMark/>
          </w:tcPr>
          <w:p w14:paraId="1EFB13A5"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66</w:t>
            </w:r>
          </w:p>
        </w:tc>
        <w:tc>
          <w:tcPr>
            <w:tcW w:w="753" w:type="dxa"/>
            <w:tcBorders>
              <w:top w:val="nil"/>
              <w:left w:val="nil"/>
              <w:bottom w:val="single" w:sz="4" w:space="0" w:color="ADD6EA"/>
              <w:right w:val="nil"/>
            </w:tcBorders>
            <w:shd w:val="clear" w:color="000000" w:fill="D6E7F0"/>
            <w:vAlign w:val="bottom"/>
            <w:hideMark/>
          </w:tcPr>
          <w:p w14:paraId="212D5B03" w14:textId="77777777" w:rsidR="00D61C3E" w:rsidRPr="00D61C3E" w:rsidRDefault="00D61C3E" w:rsidP="00D61C3E">
            <w:pPr>
              <w:keepNext/>
              <w:keepLines/>
              <w:tabs>
                <w:tab w:val="clear" w:pos="567"/>
              </w:tabs>
              <w:spacing w:before="0" w:line="240" w:lineRule="auto"/>
              <w:jc w:val="right"/>
              <w:rPr>
                <w:rFonts w:ascii="Open Sans SemiBold" w:eastAsia="Times New Roman" w:hAnsi="Open Sans SemiBold" w:cs="Open Sans SemiBold"/>
                <w:sz w:val="16"/>
                <w:szCs w:val="16"/>
                <w:lang w:val="en-AU" w:eastAsia="en-AU"/>
              </w:rPr>
            </w:pPr>
            <w:r w:rsidRPr="00D61C3E">
              <w:rPr>
                <w:rFonts w:ascii="Open Sans SemiBold" w:eastAsia="Times New Roman" w:hAnsi="Open Sans SemiBold" w:cs="Open Sans SemiBold"/>
                <w:sz w:val="16"/>
                <w:szCs w:val="16"/>
                <w:lang w:val="en-AU" w:eastAsia="en-AU"/>
              </w:rPr>
              <w:t>985</w:t>
            </w:r>
          </w:p>
        </w:tc>
      </w:tr>
    </w:tbl>
    <w:p w14:paraId="46DE14A3" w14:textId="0C3E74F8" w:rsidR="00A9309C" w:rsidRPr="00D34D98" w:rsidRDefault="00770422" w:rsidP="00AF5B60">
      <w:pPr>
        <w:pStyle w:val="CGCTablenote"/>
        <w:keepNext/>
        <w:keepLines/>
      </w:pPr>
      <w:r>
        <w:t xml:space="preserve">Source: </w:t>
      </w:r>
      <w:r w:rsidR="00A9309C">
        <w:tab/>
        <w:t>Commission calculation.</w:t>
      </w:r>
    </w:p>
    <w:p w14:paraId="2E6C546D" w14:textId="68F947CE" w:rsidR="001043E8" w:rsidRDefault="001043E8" w:rsidP="001043E8">
      <w:pPr>
        <w:pStyle w:val="CGCParaNumber"/>
      </w:pPr>
      <w:r w:rsidRPr="001043E8">
        <w:t xml:space="preserve">The changes shown in </w:t>
      </w:r>
      <w:r w:rsidR="001A71AB">
        <w:fldChar w:fldCharType="begin"/>
      </w:r>
      <w:r w:rsidR="001A71AB">
        <w:instrText xml:space="preserve"> REF _Ref30408019 \h </w:instrText>
      </w:r>
      <w:r w:rsidR="001A71AB">
        <w:fldChar w:fldCharType="separate"/>
      </w:r>
      <w:r w:rsidR="003D49C2">
        <w:t>Table 2</w:t>
      </w:r>
      <w:r w:rsidR="003D49C2">
        <w:noBreakHyphen/>
      </w:r>
      <w:r w:rsidR="003D49C2">
        <w:rPr>
          <w:noProof/>
        </w:rPr>
        <w:t>5</w:t>
      </w:r>
      <w:r w:rsidR="001A71AB">
        <w:fldChar w:fldCharType="end"/>
      </w:r>
      <w:r w:rsidRPr="001043E8">
        <w:t xml:space="preserve"> can be further disaggregated. </w:t>
      </w:r>
      <w:r w:rsidR="001A71AB">
        <w:fldChar w:fldCharType="begin"/>
      </w:r>
      <w:r w:rsidR="001A71AB">
        <w:instrText xml:space="preserve"> REF _Ref30524031 \h </w:instrText>
      </w:r>
      <w:r w:rsidR="001A71AB">
        <w:fldChar w:fldCharType="separate"/>
      </w:r>
      <w:r w:rsidR="003D49C2">
        <w:t>Table 2</w:t>
      </w:r>
      <w:r w:rsidR="003D49C2">
        <w:noBreakHyphen/>
      </w:r>
      <w:r w:rsidR="003D49C2">
        <w:rPr>
          <w:noProof/>
        </w:rPr>
        <w:t>6</w:t>
      </w:r>
      <w:r w:rsidR="001A71AB">
        <w:fldChar w:fldCharType="end"/>
      </w:r>
      <w:r w:rsidRPr="001043E8">
        <w:t xml:space="preserve"> shows the individual drivers that made the largest contribution to the changes in State circumstances between the 201</w:t>
      </w:r>
      <w:r w:rsidR="00593C12">
        <w:t xml:space="preserve">9 Update </w:t>
      </w:r>
      <w:r w:rsidRPr="001043E8">
        <w:t xml:space="preserve">and </w:t>
      </w:r>
      <w:r w:rsidR="00243DDD">
        <w:t>the 2020 Review</w:t>
      </w:r>
      <w:r w:rsidRPr="001043E8">
        <w:t>.</w:t>
      </w:r>
    </w:p>
    <w:p w14:paraId="63AF8F14" w14:textId="0B4124B2" w:rsidR="00D34D98" w:rsidRDefault="00D34D98" w:rsidP="00D34D98">
      <w:pPr>
        <w:pStyle w:val="CGCTableHeading"/>
      </w:pPr>
      <w:bookmarkStart w:id="28" w:name="_Ref30524031"/>
      <w:r>
        <w:lastRenderedPageBreak/>
        <w:t xml:space="preserve">Table </w:t>
      </w:r>
      <w:r w:rsidR="007D70A7">
        <w:t>2</w:t>
      </w:r>
      <w:r w:rsidR="007D70A7">
        <w:noBreakHyphen/>
      </w:r>
      <w:r>
        <w:fldChar w:fldCharType="begin"/>
      </w:r>
      <w:r>
        <w:instrText>SEQ Table \* ARABIC</w:instrText>
      </w:r>
      <w:r>
        <w:fldChar w:fldCharType="separate"/>
      </w:r>
      <w:r w:rsidR="003D49C2">
        <w:rPr>
          <w:noProof/>
        </w:rPr>
        <w:t>6</w:t>
      </w:r>
      <w:r>
        <w:fldChar w:fldCharType="end"/>
      </w:r>
      <w:bookmarkEnd w:id="28"/>
      <w:r>
        <w:tab/>
        <w:t>Contribution to changes in State circumstances, 2020</w:t>
      </w:r>
      <w:r>
        <w:noBreakHyphen/>
        <w:t>21</w:t>
      </w:r>
    </w:p>
    <w:tbl>
      <w:tblPr>
        <w:tblW w:w="8902" w:type="dxa"/>
        <w:tblCellMar>
          <w:left w:w="0" w:type="dxa"/>
          <w:right w:w="28" w:type="dxa"/>
        </w:tblCellMar>
        <w:tblLook w:val="04A0" w:firstRow="1" w:lastRow="0" w:firstColumn="1" w:lastColumn="0" w:noHBand="0" w:noVBand="1"/>
      </w:tblPr>
      <w:tblGrid>
        <w:gridCol w:w="2305"/>
        <w:gridCol w:w="737"/>
        <w:gridCol w:w="731"/>
        <w:gridCol w:w="731"/>
        <w:gridCol w:w="731"/>
        <w:gridCol w:w="731"/>
        <w:gridCol w:w="730"/>
        <w:gridCol w:w="733"/>
        <w:gridCol w:w="729"/>
        <w:gridCol w:w="744"/>
      </w:tblGrid>
      <w:tr w:rsidR="00AB5D5E" w:rsidRPr="00AB5D5E" w14:paraId="4456C8C3" w14:textId="77777777" w:rsidTr="00664FDC">
        <w:trPr>
          <w:trHeight w:val="375"/>
        </w:trPr>
        <w:tc>
          <w:tcPr>
            <w:tcW w:w="2380" w:type="dxa"/>
            <w:tcBorders>
              <w:top w:val="single" w:sz="4" w:space="0" w:color="ADD6EA"/>
              <w:left w:val="nil"/>
              <w:bottom w:val="single" w:sz="4" w:space="0" w:color="ADD6EA"/>
              <w:right w:val="nil"/>
            </w:tcBorders>
            <w:shd w:val="clear" w:color="000000" w:fill="006991"/>
            <w:vAlign w:val="center"/>
            <w:hideMark/>
          </w:tcPr>
          <w:p w14:paraId="29937F48"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1A86C234"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3ED4FE96"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0C379517"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4B5F499A"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21978645"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4D06B911"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15F69D44"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30FBF63F"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4D229FBC" w14:textId="77777777" w:rsidR="00AB5D5E" w:rsidRPr="00AB5D5E" w:rsidRDefault="00AB5D5E" w:rsidP="00F70357">
            <w:pPr>
              <w:keepNext/>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B5D5E">
              <w:rPr>
                <w:rFonts w:ascii="Open Sans SemiBold" w:eastAsia="Times New Roman" w:hAnsi="Open Sans SemiBold" w:cs="Open Sans SemiBold"/>
                <w:color w:val="FFFFFF"/>
                <w:sz w:val="16"/>
                <w:szCs w:val="16"/>
                <w:lang w:val="en-AU" w:eastAsia="en-AU"/>
              </w:rPr>
              <w:t>Redist</w:t>
            </w:r>
          </w:p>
        </w:tc>
      </w:tr>
      <w:tr w:rsidR="00AB5D5E" w:rsidRPr="00AB5D5E" w14:paraId="3CF04B9B" w14:textId="77777777" w:rsidTr="00664FDC">
        <w:trPr>
          <w:trHeight w:val="258"/>
        </w:trPr>
        <w:tc>
          <w:tcPr>
            <w:tcW w:w="2380" w:type="dxa"/>
            <w:tcBorders>
              <w:top w:val="nil"/>
              <w:left w:val="nil"/>
              <w:bottom w:val="single" w:sz="4" w:space="0" w:color="ADD6EA"/>
              <w:right w:val="nil"/>
            </w:tcBorders>
            <w:shd w:val="clear" w:color="000000" w:fill="B6D5E4"/>
            <w:vAlign w:val="center"/>
            <w:hideMark/>
          </w:tcPr>
          <w:p w14:paraId="5060B608" w14:textId="77777777" w:rsidR="00AB5D5E" w:rsidRPr="00AB5D5E" w:rsidRDefault="00AB5D5E" w:rsidP="00AB5D5E">
            <w:pPr>
              <w:tabs>
                <w:tab w:val="clear" w:pos="567"/>
              </w:tabs>
              <w:spacing w:before="0" w:line="240" w:lineRule="auto"/>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 </w:t>
            </w:r>
          </w:p>
        </w:tc>
        <w:tc>
          <w:tcPr>
            <w:tcW w:w="760" w:type="dxa"/>
            <w:tcBorders>
              <w:top w:val="nil"/>
              <w:left w:val="nil"/>
              <w:bottom w:val="single" w:sz="4" w:space="0" w:color="ADD6EA"/>
              <w:right w:val="nil"/>
            </w:tcBorders>
            <w:shd w:val="clear" w:color="000000" w:fill="B6D5E4"/>
            <w:vAlign w:val="center"/>
            <w:hideMark/>
          </w:tcPr>
          <w:p w14:paraId="29343EE7"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545DF045"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32D7646E"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0C348FE1"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57805BE4"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725219A9"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52AF4E72"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2A61548A"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c>
          <w:tcPr>
            <w:tcW w:w="760" w:type="dxa"/>
            <w:tcBorders>
              <w:top w:val="nil"/>
              <w:left w:val="nil"/>
              <w:bottom w:val="single" w:sz="4" w:space="0" w:color="ADD6EA"/>
              <w:right w:val="nil"/>
            </w:tcBorders>
            <w:shd w:val="clear" w:color="000000" w:fill="B6D5E4"/>
            <w:vAlign w:val="center"/>
            <w:hideMark/>
          </w:tcPr>
          <w:p w14:paraId="72F505E6"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$m</w:t>
            </w:r>
          </w:p>
        </w:tc>
      </w:tr>
      <w:tr w:rsidR="00AB5D5E" w:rsidRPr="00AB5D5E" w14:paraId="720A8873"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6991474F"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Mining production</w:t>
            </w:r>
          </w:p>
        </w:tc>
        <w:tc>
          <w:tcPr>
            <w:tcW w:w="760" w:type="dxa"/>
            <w:tcBorders>
              <w:top w:val="nil"/>
              <w:left w:val="nil"/>
              <w:bottom w:val="single" w:sz="4" w:space="0" w:color="ADD6EA"/>
              <w:right w:val="nil"/>
            </w:tcBorders>
            <w:shd w:val="clear" w:color="auto" w:fill="auto"/>
            <w:vAlign w:val="bottom"/>
            <w:hideMark/>
          </w:tcPr>
          <w:p w14:paraId="05697EEA"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320</w:t>
            </w:r>
          </w:p>
        </w:tc>
        <w:tc>
          <w:tcPr>
            <w:tcW w:w="760" w:type="dxa"/>
            <w:tcBorders>
              <w:top w:val="nil"/>
              <w:left w:val="nil"/>
              <w:bottom w:val="single" w:sz="4" w:space="0" w:color="ADD6EA"/>
              <w:right w:val="nil"/>
            </w:tcBorders>
            <w:shd w:val="clear" w:color="auto" w:fill="auto"/>
            <w:vAlign w:val="bottom"/>
            <w:hideMark/>
          </w:tcPr>
          <w:p w14:paraId="3B3688F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509</w:t>
            </w:r>
          </w:p>
        </w:tc>
        <w:tc>
          <w:tcPr>
            <w:tcW w:w="760" w:type="dxa"/>
            <w:tcBorders>
              <w:top w:val="nil"/>
              <w:left w:val="nil"/>
              <w:bottom w:val="single" w:sz="4" w:space="0" w:color="ADD6EA"/>
              <w:right w:val="nil"/>
            </w:tcBorders>
            <w:shd w:val="clear" w:color="auto" w:fill="auto"/>
            <w:vAlign w:val="bottom"/>
            <w:hideMark/>
          </w:tcPr>
          <w:p w14:paraId="36320B4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-485</w:t>
            </w:r>
          </w:p>
        </w:tc>
        <w:tc>
          <w:tcPr>
            <w:tcW w:w="760" w:type="dxa"/>
            <w:tcBorders>
              <w:top w:val="nil"/>
              <w:left w:val="nil"/>
              <w:bottom w:val="single" w:sz="4" w:space="0" w:color="ADD6EA"/>
              <w:right w:val="nil"/>
            </w:tcBorders>
            <w:shd w:val="clear" w:color="auto" w:fill="auto"/>
            <w:vAlign w:val="bottom"/>
            <w:hideMark/>
          </w:tcPr>
          <w:p w14:paraId="38E88E6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-515</w:t>
            </w:r>
          </w:p>
        </w:tc>
        <w:tc>
          <w:tcPr>
            <w:tcW w:w="760" w:type="dxa"/>
            <w:tcBorders>
              <w:top w:val="nil"/>
              <w:left w:val="nil"/>
              <w:bottom w:val="single" w:sz="4" w:space="0" w:color="ADD6EA"/>
              <w:right w:val="nil"/>
            </w:tcBorders>
            <w:shd w:val="clear" w:color="auto" w:fill="auto"/>
            <w:vAlign w:val="bottom"/>
            <w:hideMark/>
          </w:tcPr>
          <w:p w14:paraId="4CAC8BF7"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117</w:t>
            </w:r>
          </w:p>
        </w:tc>
        <w:tc>
          <w:tcPr>
            <w:tcW w:w="760" w:type="dxa"/>
            <w:tcBorders>
              <w:top w:val="nil"/>
              <w:left w:val="nil"/>
              <w:bottom w:val="single" w:sz="4" w:space="0" w:color="ADD6EA"/>
              <w:right w:val="nil"/>
            </w:tcBorders>
            <w:shd w:val="clear" w:color="auto" w:fill="auto"/>
            <w:vAlign w:val="bottom"/>
            <w:hideMark/>
          </w:tcPr>
          <w:p w14:paraId="12826E8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30</w:t>
            </w:r>
          </w:p>
        </w:tc>
        <w:tc>
          <w:tcPr>
            <w:tcW w:w="760" w:type="dxa"/>
            <w:tcBorders>
              <w:top w:val="nil"/>
              <w:left w:val="nil"/>
              <w:bottom w:val="single" w:sz="4" w:space="0" w:color="ADD6EA"/>
              <w:right w:val="nil"/>
            </w:tcBorders>
            <w:shd w:val="clear" w:color="auto" w:fill="auto"/>
            <w:vAlign w:val="bottom"/>
            <w:hideMark/>
          </w:tcPr>
          <w:p w14:paraId="30D7FFAD"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35</w:t>
            </w:r>
          </w:p>
        </w:tc>
        <w:tc>
          <w:tcPr>
            <w:tcW w:w="760" w:type="dxa"/>
            <w:tcBorders>
              <w:top w:val="nil"/>
              <w:left w:val="nil"/>
              <w:bottom w:val="single" w:sz="4" w:space="0" w:color="ADD6EA"/>
              <w:right w:val="nil"/>
            </w:tcBorders>
            <w:shd w:val="clear" w:color="auto" w:fill="auto"/>
            <w:vAlign w:val="bottom"/>
            <w:hideMark/>
          </w:tcPr>
          <w:p w14:paraId="69784B43"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-11</w:t>
            </w:r>
          </w:p>
        </w:tc>
        <w:tc>
          <w:tcPr>
            <w:tcW w:w="760" w:type="dxa"/>
            <w:tcBorders>
              <w:top w:val="nil"/>
              <w:left w:val="nil"/>
              <w:bottom w:val="single" w:sz="4" w:space="0" w:color="ADD6EA"/>
              <w:right w:val="nil"/>
            </w:tcBorders>
            <w:shd w:val="clear" w:color="auto" w:fill="auto"/>
            <w:vAlign w:val="bottom"/>
            <w:hideMark/>
          </w:tcPr>
          <w:p w14:paraId="46EC4B1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1,011</w:t>
            </w:r>
          </w:p>
        </w:tc>
      </w:tr>
      <w:tr w:rsidR="00AB5D5E" w:rsidRPr="00AB5D5E" w14:paraId="315BC4E5"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192199B8"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Property sales</w:t>
            </w:r>
          </w:p>
        </w:tc>
        <w:tc>
          <w:tcPr>
            <w:tcW w:w="760" w:type="dxa"/>
            <w:tcBorders>
              <w:top w:val="nil"/>
              <w:left w:val="nil"/>
              <w:bottom w:val="single" w:sz="4" w:space="0" w:color="ADD6EA"/>
              <w:right w:val="nil"/>
            </w:tcBorders>
            <w:shd w:val="clear" w:color="auto" w:fill="auto"/>
            <w:vAlign w:val="bottom"/>
            <w:hideMark/>
          </w:tcPr>
          <w:p w14:paraId="3912D7B9"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348</w:t>
            </w:r>
          </w:p>
        </w:tc>
        <w:tc>
          <w:tcPr>
            <w:tcW w:w="760" w:type="dxa"/>
            <w:tcBorders>
              <w:top w:val="nil"/>
              <w:left w:val="nil"/>
              <w:bottom w:val="single" w:sz="4" w:space="0" w:color="ADD6EA"/>
              <w:right w:val="nil"/>
            </w:tcBorders>
            <w:shd w:val="clear" w:color="auto" w:fill="auto"/>
            <w:vAlign w:val="bottom"/>
            <w:hideMark/>
          </w:tcPr>
          <w:p w14:paraId="22EAB0A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-179</w:t>
            </w:r>
          </w:p>
        </w:tc>
        <w:tc>
          <w:tcPr>
            <w:tcW w:w="760" w:type="dxa"/>
            <w:tcBorders>
              <w:top w:val="nil"/>
              <w:left w:val="nil"/>
              <w:bottom w:val="single" w:sz="4" w:space="0" w:color="ADD6EA"/>
              <w:right w:val="nil"/>
            </w:tcBorders>
            <w:shd w:val="clear" w:color="auto" w:fill="auto"/>
            <w:vAlign w:val="bottom"/>
            <w:hideMark/>
          </w:tcPr>
          <w:p w14:paraId="20886F8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-70</w:t>
            </w:r>
          </w:p>
        </w:tc>
        <w:tc>
          <w:tcPr>
            <w:tcW w:w="760" w:type="dxa"/>
            <w:tcBorders>
              <w:top w:val="nil"/>
              <w:left w:val="nil"/>
              <w:bottom w:val="single" w:sz="4" w:space="0" w:color="ADD6EA"/>
              <w:right w:val="nil"/>
            </w:tcBorders>
            <w:shd w:val="clear" w:color="auto" w:fill="auto"/>
            <w:vAlign w:val="bottom"/>
            <w:hideMark/>
          </w:tcPr>
          <w:p w14:paraId="2D2A8A78"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48</w:t>
            </w:r>
          </w:p>
        </w:tc>
        <w:tc>
          <w:tcPr>
            <w:tcW w:w="760" w:type="dxa"/>
            <w:tcBorders>
              <w:top w:val="nil"/>
              <w:left w:val="nil"/>
              <w:bottom w:val="single" w:sz="4" w:space="0" w:color="ADD6EA"/>
              <w:right w:val="nil"/>
            </w:tcBorders>
            <w:shd w:val="clear" w:color="auto" w:fill="auto"/>
            <w:vAlign w:val="bottom"/>
            <w:hideMark/>
          </w:tcPr>
          <w:p w14:paraId="540EF8E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-84</w:t>
            </w:r>
          </w:p>
        </w:tc>
        <w:tc>
          <w:tcPr>
            <w:tcW w:w="760" w:type="dxa"/>
            <w:tcBorders>
              <w:top w:val="nil"/>
              <w:left w:val="nil"/>
              <w:bottom w:val="single" w:sz="4" w:space="0" w:color="ADD6EA"/>
              <w:right w:val="nil"/>
            </w:tcBorders>
            <w:shd w:val="clear" w:color="auto" w:fill="auto"/>
            <w:vAlign w:val="bottom"/>
            <w:hideMark/>
          </w:tcPr>
          <w:p w14:paraId="5D70AC68"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-24</w:t>
            </w:r>
          </w:p>
        </w:tc>
        <w:tc>
          <w:tcPr>
            <w:tcW w:w="760" w:type="dxa"/>
            <w:tcBorders>
              <w:top w:val="nil"/>
              <w:left w:val="nil"/>
              <w:bottom w:val="single" w:sz="4" w:space="0" w:color="ADD6EA"/>
              <w:right w:val="nil"/>
            </w:tcBorders>
            <w:shd w:val="clear" w:color="auto" w:fill="auto"/>
            <w:vAlign w:val="bottom"/>
            <w:hideMark/>
          </w:tcPr>
          <w:p w14:paraId="46930BD7"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-12</w:t>
            </w:r>
          </w:p>
        </w:tc>
        <w:tc>
          <w:tcPr>
            <w:tcW w:w="760" w:type="dxa"/>
            <w:tcBorders>
              <w:top w:val="nil"/>
              <w:left w:val="nil"/>
              <w:bottom w:val="single" w:sz="4" w:space="0" w:color="ADD6EA"/>
              <w:right w:val="nil"/>
            </w:tcBorders>
            <w:shd w:val="clear" w:color="auto" w:fill="auto"/>
            <w:vAlign w:val="bottom"/>
            <w:hideMark/>
          </w:tcPr>
          <w:p w14:paraId="123A0CD4"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-27</w:t>
            </w:r>
          </w:p>
        </w:tc>
        <w:tc>
          <w:tcPr>
            <w:tcW w:w="760" w:type="dxa"/>
            <w:tcBorders>
              <w:top w:val="nil"/>
              <w:left w:val="nil"/>
              <w:bottom w:val="single" w:sz="4" w:space="0" w:color="ADD6EA"/>
              <w:right w:val="nil"/>
            </w:tcBorders>
            <w:shd w:val="clear" w:color="auto" w:fill="auto"/>
            <w:vAlign w:val="bottom"/>
            <w:hideMark/>
          </w:tcPr>
          <w:p w14:paraId="580ACCB3"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396</w:t>
            </w:r>
          </w:p>
        </w:tc>
      </w:tr>
      <w:tr w:rsidR="00AB5D5E" w:rsidRPr="00AB5D5E" w14:paraId="19965FA0"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289D652D"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Taxable land values</w:t>
            </w:r>
          </w:p>
        </w:tc>
        <w:tc>
          <w:tcPr>
            <w:tcW w:w="760" w:type="dxa"/>
            <w:tcBorders>
              <w:top w:val="nil"/>
              <w:left w:val="nil"/>
              <w:bottom w:val="single" w:sz="4" w:space="0" w:color="ADD6EA"/>
              <w:right w:val="nil"/>
            </w:tcBorders>
            <w:shd w:val="clear" w:color="auto" w:fill="auto"/>
            <w:vAlign w:val="bottom"/>
            <w:hideMark/>
          </w:tcPr>
          <w:p w14:paraId="393F3CF9"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-200</w:t>
            </w:r>
          </w:p>
        </w:tc>
        <w:tc>
          <w:tcPr>
            <w:tcW w:w="760" w:type="dxa"/>
            <w:tcBorders>
              <w:top w:val="nil"/>
              <w:left w:val="nil"/>
              <w:bottom w:val="single" w:sz="4" w:space="0" w:color="ADD6EA"/>
              <w:right w:val="nil"/>
            </w:tcBorders>
            <w:shd w:val="clear" w:color="auto" w:fill="auto"/>
            <w:vAlign w:val="bottom"/>
            <w:hideMark/>
          </w:tcPr>
          <w:p w14:paraId="4A12FD30"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-172</w:t>
            </w:r>
          </w:p>
        </w:tc>
        <w:tc>
          <w:tcPr>
            <w:tcW w:w="760" w:type="dxa"/>
            <w:tcBorders>
              <w:top w:val="nil"/>
              <w:left w:val="nil"/>
              <w:bottom w:val="single" w:sz="4" w:space="0" w:color="ADD6EA"/>
              <w:right w:val="nil"/>
            </w:tcBorders>
            <w:shd w:val="clear" w:color="auto" w:fill="auto"/>
            <w:vAlign w:val="bottom"/>
            <w:hideMark/>
          </w:tcPr>
          <w:p w14:paraId="5588076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139</w:t>
            </w:r>
          </w:p>
        </w:tc>
        <w:tc>
          <w:tcPr>
            <w:tcW w:w="760" w:type="dxa"/>
            <w:tcBorders>
              <w:top w:val="nil"/>
              <w:left w:val="nil"/>
              <w:bottom w:val="single" w:sz="4" w:space="0" w:color="ADD6EA"/>
              <w:right w:val="nil"/>
            </w:tcBorders>
            <w:shd w:val="clear" w:color="auto" w:fill="auto"/>
            <w:vAlign w:val="bottom"/>
            <w:hideMark/>
          </w:tcPr>
          <w:p w14:paraId="5E90187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157</w:t>
            </w:r>
          </w:p>
        </w:tc>
        <w:tc>
          <w:tcPr>
            <w:tcW w:w="760" w:type="dxa"/>
            <w:tcBorders>
              <w:top w:val="nil"/>
              <w:left w:val="nil"/>
              <w:bottom w:val="single" w:sz="4" w:space="0" w:color="ADD6EA"/>
              <w:right w:val="nil"/>
            </w:tcBorders>
            <w:shd w:val="clear" w:color="auto" w:fill="auto"/>
            <w:vAlign w:val="bottom"/>
            <w:hideMark/>
          </w:tcPr>
          <w:p w14:paraId="59083DBD"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49</w:t>
            </w:r>
          </w:p>
        </w:tc>
        <w:tc>
          <w:tcPr>
            <w:tcW w:w="760" w:type="dxa"/>
            <w:tcBorders>
              <w:top w:val="nil"/>
              <w:left w:val="nil"/>
              <w:bottom w:val="single" w:sz="4" w:space="0" w:color="ADD6EA"/>
              <w:right w:val="nil"/>
            </w:tcBorders>
            <w:shd w:val="clear" w:color="auto" w:fill="auto"/>
            <w:vAlign w:val="bottom"/>
            <w:hideMark/>
          </w:tcPr>
          <w:p w14:paraId="2C355CB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16</w:t>
            </w:r>
          </w:p>
        </w:tc>
        <w:tc>
          <w:tcPr>
            <w:tcW w:w="760" w:type="dxa"/>
            <w:tcBorders>
              <w:top w:val="nil"/>
              <w:left w:val="nil"/>
              <w:bottom w:val="single" w:sz="4" w:space="0" w:color="ADD6EA"/>
              <w:right w:val="nil"/>
            </w:tcBorders>
            <w:shd w:val="clear" w:color="auto" w:fill="auto"/>
            <w:vAlign w:val="bottom"/>
            <w:hideMark/>
          </w:tcPr>
          <w:p w14:paraId="1631D4C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10</w:t>
            </w:r>
          </w:p>
        </w:tc>
        <w:tc>
          <w:tcPr>
            <w:tcW w:w="760" w:type="dxa"/>
            <w:tcBorders>
              <w:top w:val="nil"/>
              <w:left w:val="nil"/>
              <w:bottom w:val="single" w:sz="4" w:space="0" w:color="ADD6EA"/>
              <w:right w:val="nil"/>
            </w:tcBorders>
            <w:shd w:val="clear" w:color="auto" w:fill="auto"/>
            <w:vAlign w:val="bottom"/>
            <w:hideMark/>
          </w:tcPr>
          <w:p w14:paraId="10BBE3E1"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1321FA9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372</w:t>
            </w:r>
          </w:p>
        </w:tc>
      </w:tr>
      <w:tr w:rsidR="00AB5D5E" w:rsidRPr="00AB5D5E" w14:paraId="7592F73D"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38DF3386"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Commonwealth payments</w:t>
            </w:r>
          </w:p>
        </w:tc>
        <w:tc>
          <w:tcPr>
            <w:tcW w:w="760" w:type="dxa"/>
            <w:tcBorders>
              <w:top w:val="nil"/>
              <w:left w:val="nil"/>
              <w:bottom w:val="single" w:sz="4" w:space="0" w:color="ADD6EA"/>
              <w:right w:val="nil"/>
            </w:tcBorders>
            <w:shd w:val="clear" w:color="auto" w:fill="auto"/>
            <w:vAlign w:val="bottom"/>
            <w:hideMark/>
          </w:tcPr>
          <w:p w14:paraId="65C8709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116</w:t>
            </w:r>
          </w:p>
        </w:tc>
        <w:tc>
          <w:tcPr>
            <w:tcW w:w="760" w:type="dxa"/>
            <w:tcBorders>
              <w:top w:val="nil"/>
              <w:left w:val="nil"/>
              <w:bottom w:val="single" w:sz="4" w:space="0" w:color="ADD6EA"/>
              <w:right w:val="nil"/>
            </w:tcBorders>
            <w:shd w:val="clear" w:color="auto" w:fill="auto"/>
            <w:vAlign w:val="bottom"/>
            <w:hideMark/>
          </w:tcPr>
          <w:p w14:paraId="55938986"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209</w:t>
            </w:r>
          </w:p>
        </w:tc>
        <w:tc>
          <w:tcPr>
            <w:tcW w:w="760" w:type="dxa"/>
            <w:tcBorders>
              <w:top w:val="nil"/>
              <w:left w:val="nil"/>
              <w:bottom w:val="single" w:sz="4" w:space="0" w:color="ADD6EA"/>
              <w:right w:val="nil"/>
            </w:tcBorders>
            <w:shd w:val="clear" w:color="auto" w:fill="auto"/>
            <w:vAlign w:val="bottom"/>
            <w:hideMark/>
          </w:tcPr>
          <w:p w14:paraId="180FB685"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-164</w:t>
            </w:r>
          </w:p>
        </w:tc>
        <w:tc>
          <w:tcPr>
            <w:tcW w:w="760" w:type="dxa"/>
            <w:tcBorders>
              <w:top w:val="nil"/>
              <w:left w:val="nil"/>
              <w:bottom w:val="single" w:sz="4" w:space="0" w:color="ADD6EA"/>
              <w:right w:val="nil"/>
            </w:tcBorders>
            <w:shd w:val="clear" w:color="auto" w:fill="auto"/>
            <w:vAlign w:val="bottom"/>
            <w:hideMark/>
          </w:tcPr>
          <w:p w14:paraId="2DD9C1D1"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-13</w:t>
            </w:r>
          </w:p>
        </w:tc>
        <w:tc>
          <w:tcPr>
            <w:tcW w:w="760" w:type="dxa"/>
            <w:tcBorders>
              <w:top w:val="nil"/>
              <w:left w:val="nil"/>
              <w:bottom w:val="single" w:sz="4" w:space="0" w:color="ADD6EA"/>
              <w:right w:val="nil"/>
            </w:tcBorders>
            <w:shd w:val="clear" w:color="auto" w:fill="auto"/>
            <w:vAlign w:val="bottom"/>
            <w:hideMark/>
          </w:tcPr>
          <w:p w14:paraId="15ED3CE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-174</w:t>
            </w:r>
          </w:p>
        </w:tc>
        <w:tc>
          <w:tcPr>
            <w:tcW w:w="760" w:type="dxa"/>
            <w:tcBorders>
              <w:top w:val="nil"/>
              <w:left w:val="nil"/>
              <w:bottom w:val="single" w:sz="4" w:space="0" w:color="ADD6EA"/>
              <w:right w:val="nil"/>
            </w:tcBorders>
            <w:shd w:val="clear" w:color="auto" w:fill="auto"/>
            <w:vAlign w:val="bottom"/>
            <w:hideMark/>
          </w:tcPr>
          <w:p w14:paraId="49472D4F"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4AA2080A"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451B4764"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27</w:t>
            </w:r>
          </w:p>
        </w:tc>
        <w:tc>
          <w:tcPr>
            <w:tcW w:w="760" w:type="dxa"/>
            <w:tcBorders>
              <w:top w:val="nil"/>
              <w:left w:val="nil"/>
              <w:bottom w:val="single" w:sz="4" w:space="0" w:color="ADD6EA"/>
              <w:right w:val="nil"/>
            </w:tcBorders>
            <w:shd w:val="clear" w:color="auto" w:fill="auto"/>
            <w:vAlign w:val="bottom"/>
            <w:hideMark/>
          </w:tcPr>
          <w:p w14:paraId="428EA66A"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352</w:t>
            </w:r>
          </w:p>
        </w:tc>
      </w:tr>
      <w:tr w:rsidR="00AB5D5E" w:rsidRPr="00AB5D5E" w14:paraId="7CF929F0"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2223CAFC"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Wage costs</w:t>
            </w:r>
          </w:p>
        </w:tc>
        <w:tc>
          <w:tcPr>
            <w:tcW w:w="760" w:type="dxa"/>
            <w:tcBorders>
              <w:top w:val="nil"/>
              <w:left w:val="nil"/>
              <w:bottom w:val="single" w:sz="4" w:space="0" w:color="ADD6EA"/>
              <w:right w:val="nil"/>
            </w:tcBorders>
            <w:shd w:val="clear" w:color="auto" w:fill="auto"/>
            <w:vAlign w:val="bottom"/>
            <w:hideMark/>
          </w:tcPr>
          <w:p w14:paraId="522EE7B5"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126</w:t>
            </w:r>
          </w:p>
        </w:tc>
        <w:tc>
          <w:tcPr>
            <w:tcW w:w="760" w:type="dxa"/>
            <w:tcBorders>
              <w:top w:val="nil"/>
              <w:left w:val="nil"/>
              <w:bottom w:val="single" w:sz="4" w:space="0" w:color="ADD6EA"/>
              <w:right w:val="nil"/>
            </w:tcBorders>
            <w:shd w:val="clear" w:color="auto" w:fill="auto"/>
            <w:vAlign w:val="bottom"/>
            <w:hideMark/>
          </w:tcPr>
          <w:p w14:paraId="6C7BF380"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45</w:t>
            </w:r>
          </w:p>
        </w:tc>
        <w:tc>
          <w:tcPr>
            <w:tcW w:w="760" w:type="dxa"/>
            <w:tcBorders>
              <w:top w:val="nil"/>
              <w:left w:val="nil"/>
              <w:bottom w:val="single" w:sz="4" w:space="0" w:color="ADD6EA"/>
              <w:right w:val="nil"/>
            </w:tcBorders>
            <w:shd w:val="clear" w:color="auto" w:fill="auto"/>
            <w:vAlign w:val="bottom"/>
            <w:hideMark/>
          </w:tcPr>
          <w:p w14:paraId="6A397327"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-44</w:t>
            </w:r>
          </w:p>
        </w:tc>
        <w:tc>
          <w:tcPr>
            <w:tcW w:w="760" w:type="dxa"/>
            <w:tcBorders>
              <w:top w:val="nil"/>
              <w:left w:val="nil"/>
              <w:bottom w:val="single" w:sz="4" w:space="0" w:color="ADD6EA"/>
              <w:right w:val="nil"/>
            </w:tcBorders>
            <w:shd w:val="clear" w:color="auto" w:fill="auto"/>
            <w:vAlign w:val="bottom"/>
            <w:hideMark/>
          </w:tcPr>
          <w:p w14:paraId="39039089"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-88</w:t>
            </w:r>
          </w:p>
        </w:tc>
        <w:tc>
          <w:tcPr>
            <w:tcW w:w="760" w:type="dxa"/>
            <w:tcBorders>
              <w:top w:val="nil"/>
              <w:left w:val="nil"/>
              <w:bottom w:val="single" w:sz="4" w:space="0" w:color="ADD6EA"/>
              <w:right w:val="nil"/>
            </w:tcBorders>
            <w:shd w:val="clear" w:color="auto" w:fill="auto"/>
            <w:vAlign w:val="bottom"/>
            <w:hideMark/>
          </w:tcPr>
          <w:p w14:paraId="58CCAACA"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-41</w:t>
            </w:r>
          </w:p>
        </w:tc>
        <w:tc>
          <w:tcPr>
            <w:tcW w:w="760" w:type="dxa"/>
            <w:tcBorders>
              <w:top w:val="nil"/>
              <w:left w:val="nil"/>
              <w:bottom w:val="single" w:sz="4" w:space="0" w:color="ADD6EA"/>
              <w:right w:val="nil"/>
            </w:tcBorders>
            <w:shd w:val="clear" w:color="auto" w:fill="auto"/>
            <w:vAlign w:val="bottom"/>
            <w:hideMark/>
          </w:tcPr>
          <w:p w14:paraId="3EC0EB1D"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17</w:t>
            </w:r>
          </w:p>
        </w:tc>
        <w:tc>
          <w:tcPr>
            <w:tcW w:w="760" w:type="dxa"/>
            <w:tcBorders>
              <w:top w:val="nil"/>
              <w:left w:val="nil"/>
              <w:bottom w:val="single" w:sz="4" w:space="0" w:color="ADD6EA"/>
              <w:right w:val="nil"/>
            </w:tcBorders>
            <w:shd w:val="clear" w:color="auto" w:fill="auto"/>
            <w:vAlign w:val="bottom"/>
            <w:hideMark/>
          </w:tcPr>
          <w:p w14:paraId="0A088850"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-12</w:t>
            </w:r>
          </w:p>
        </w:tc>
        <w:tc>
          <w:tcPr>
            <w:tcW w:w="760" w:type="dxa"/>
            <w:tcBorders>
              <w:top w:val="nil"/>
              <w:left w:val="nil"/>
              <w:bottom w:val="single" w:sz="4" w:space="0" w:color="ADD6EA"/>
              <w:right w:val="nil"/>
            </w:tcBorders>
            <w:shd w:val="clear" w:color="auto" w:fill="auto"/>
            <w:vAlign w:val="bottom"/>
            <w:hideMark/>
          </w:tcPr>
          <w:p w14:paraId="04621133"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w:t>
            </w:r>
          </w:p>
        </w:tc>
        <w:tc>
          <w:tcPr>
            <w:tcW w:w="760" w:type="dxa"/>
            <w:tcBorders>
              <w:top w:val="nil"/>
              <w:left w:val="nil"/>
              <w:bottom w:val="single" w:sz="4" w:space="0" w:color="ADD6EA"/>
              <w:right w:val="nil"/>
            </w:tcBorders>
            <w:shd w:val="clear" w:color="auto" w:fill="auto"/>
            <w:vAlign w:val="bottom"/>
            <w:hideMark/>
          </w:tcPr>
          <w:p w14:paraId="413A847B"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188</w:t>
            </w:r>
          </w:p>
        </w:tc>
      </w:tr>
      <w:tr w:rsidR="00AB5D5E" w:rsidRPr="00AB5D5E" w14:paraId="458E1730"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7DCAD26C"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Capital requirement</w:t>
            </w:r>
          </w:p>
        </w:tc>
        <w:tc>
          <w:tcPr>
            <w:tcW w:w="760" w:type="dxa"/>
            <w:tcBorders>
              <w:top w:val="nil"/>
              <w:left w:val="nil"/>
              <w:bottom w:val="single" w:sz="4" w:space="0" w:color="ADD6EA"/>
              <w:right w:val="nil"/>
            </w:tcBorders>
            <w:shd w:val="clear" w:color="auto" w:fill="auto"/>
            <w:vAlign w:val="bottom"/>
            <w:hideMark/>
          </w:tcPr>
          <w:p w14:paraId="68F76B59"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-95</w:t>
            </w:r>
          </w:p>
        </w:tc>
        <w:tc>
          <w:tcPr>
            <w:tcW w:w="760" w:type="dxa"/>
            <w:tcBorders>
              <w:top w:val="nil"/>
              <w:left w:val="nil"/>
              <w:bottom w:val="single" w:sz="4" w:space="0" w:color="ADD6EA"/>
              <w:right w:val="nil"/>
            </w:tcBorders>
            <w:shd w:val="clear" w:color="auto" w:fill="auto"/>
            <w:vAlign w:val="bottom"/>
            <w:hideMark/>
          </w:tcPr>
          <w:p w14:paraId="76DE27BF"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80</w:t>
            </w:r>
          </w:p>
        </w:tc>
        <w:tc>
          <w:tcPr>
            <w:tcW w:w="760" w:type="dxa"/>
            <w:tcBorders>
              <w:top w:val="nil"/>
              <w:left w:val="nil"/>
              <w:bottom w:val="single" w:sz="4" w:space="0" w:color="ADD6EA"/>
              <w:right w:val="nil"/>
            </w:tcBorders>
            <w:shd w:val="clear" w:color="auto" w:fill="auto"/>
            <w:vAlign w:val="bottom"/>
            <w:hideMark/>
          </w:tcPr>
          <w:p w14:paraId="43A7B23D"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70</w:t>
            </w:r>
          </w:p>
        </w:tc>
        <w:tc>
          <w:tcPr>
            <w:tcW w:w="760" w:type="dxa"/>
            <w:tcBorders>
              <w:top w:val="nil"/>
              <w:left w:val="nil"/>
              <w:bottom w:val="single" w:sz="4" w:space="0" w:color="ADD6EA"/>
              <w:right w:val="nil"/>
            </w:tcBorders>
            <w:shd w:val="clear" w:color="auto" w:fill="auto"/>
            <w:vAlign w:val="bottom"/>
            <w:hideMark/>
          </w:tcPr>
          <w:p w14:paraId="136D9EB6"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-31</w:t>
            </w:r>
          </w:p>
        </w:tc>
        <w:tc>
          <w:tcPr>
            <w:tcW w:w="760" w:type="dxa"/>
            <w:tcBorders>
              <w:top w:val="nil"/>
              <w:left w:val="nil"/>
              <w:bottom w:val="single" w:sz="4" w:space="0" w:color="ADD6EA"/>
              <w:right w:val="nil"/>
            </w:tcBorders>
            <w:shd w:val="clear" w:color="auto" w:fill="auto"/>
            <w:vAlign w:val="bottom"/>
            <w:hideMark/>
          </w:tcPr>
          <w:p w14:paraId="6F6E69B5"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-12</w:t>
            </w:r>
          </w:p>
        </w:tc>
        <w:tc>
          <w:tcPr>
            <w:tcW w:w="760" w:type="dxa"/>
            <w:tcBorders>
              <w:top w:val="nil"/>
              <w:left w:val="nil"/>
              <w:bottom w:val="single" w:sz="4" w:space="0" w:color="ADD6EA"/>
              <w:right w:val="nil"/>
            </w:tcBorders>
            <w:shd w:val="clear" w:color="auto" w:fill="auto"/>
            <w:vAlign w:val="bottom"/>
            <w:hideMark/>
          </w:tcPr>
          <w:p w14:paraId="79DA2A6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10</w:t>
            </w:r>
          </w:p>
        </w:tc>
        <w:tc>
          <w:tcPr>
            <w:tcW w:w="760" w:type="dxa"/>
            <w:tcBorders>
              <w:top w:val="nil"/>
              <w:left w:val="nil"/>
              <w:bottom w:val="single" w:sz="4" w:space="0" w:color="ADD6EA"/>
              <w:right w:val="nil"/>
            </w:tcBorders>
            <w:shd w:val="clear" w:color="auto" w:fill="auto"/>
            <w:vAlign w:val="bottom"/>
            <w:hideMark/>
          </w:tcPr>
          <w:p w14:paraId="419AAA88"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w:t>
            </w:r>
          </w:p>
        </w:tc>
        <w:tc>
          <w:tcPr>
            <w:tcW w:w="760" w:type="dxa"/>
            <w:tcBorders>
              <w:top w:val="nil"/>
              <w:left w:val="nil"/>
              <w:bottom w:val="single" w:sz="4" w:space="0" w:color="ADD6EA"/>
              <w:right w:val="nil"/>
            </w:tcBorders>
            <w:shd w:val="clear" w:color="auto" w:fill="auto"/>
            <w:vAlign w:val="bottom"/>
            <w:hideMark/>
          </w:tcPr>
          <w:p w14:paraId="658D04E3"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-23</w:t>
            </w:r>
          </w:p>
        </w:tc>
        <w:tc>
          <w:tcPr>
            <w:tcW w:w="760" w:type="dxa"/>
            <w:tcBorders>
              <w:top w:val="nil"/>
              <w:left w:val="nil"/>
              <w:bottom w:val="single" w:sz="4" w:space="0" w:color="ADD6EA"/>
              <w:right w:val="nil"/>
            </w:tcBorders>
            <w:shd w:val="clear" w:color="auto" w:fill="auto"/>
            <w:vAlign w:val="bottom"/>
            <w:hideMark/>
          </w:tcPr>
          <w:p w14:paraId="6E015E5D"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162</w:t>
            </w:r>
          </w:p>
        </w:tc>
      </w:tr>
      <w:tr w:rsidR="00AB5D5E" w:rsidRPr="00AB5D5E" w14:paraId="3D5C7481"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771C5A96"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Taxable payrolls</w:t>
            </w:r>
          </w:p>
        </w:tc>
        <w:tc>
          <w:tcPr>
            <w:tcW w:w="760" w:type="dxa"/>
            <w:tcBorders>
              <w:top w:val="nil"/>
              <w:left w:val="nil"/>
              <w:bottom w:val="single" w:sz="4" w:space="0" w:color="ADD6EA"/>
              <w:right w:val="nil"/>
            </w:tcBorders>
            <w:shd w:val="clear" w:color="auto" w:fill="auto"/>
            <w:vAlign w:val="bottom"/>
            <w:hideMark/>
          </w:tcPr>
          <w:p w14:paraId="15CC17A4"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-12</w:t>
            </w:r>
          </w:p>
        </w:tc>
        <w:tc>
          <w:tcPr>
            <w:tcW w:w="760" w:type="dxa"/>
            <w:tcBorders>
              <w:top w:val="nil"/>
              <w:left w:val="nil"/>
              <w:bottom w:val="single" w:sz="4" w:space="0" w:color="ADD6EA"/>
              <w:right w:val="nil"/>
            </w:tcBorders>
            <w:shd w:val="clear" w:color="auto" w:fill="auto"/>
            <w:vAlign w:val="bottom"/>
            <w:hideMark/>
          </w:tcPr>
          <w:p w14:paraId="51B3BED3"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-60</w:t>
            </w:r>
          </w:p>
        </w:tc>
        <w:tc>
          <w:tcPr>
            <w:tcW w:w="760" w:type="dxa"/>
            <w:tcBorders>
              <w:top w:val="nil"/>
              <w:left w:val="nil"/>
              <w:bottom w:val="single" w:sz="4" w:space="0" w:color="ADD6EA"/>
              <w:right w:val="nil"/>
            </w:tcBorders>
            <w:shd w:val="clear" w:color="auto" w:fill="auto"/>
            <w:vAlign w:val="bottom"/>
            <w:hideMark/>
          </w:tcPr>
          <w:p w14:paraId="77AC9318"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-4</w:t>
            </w:r>
          </w:p>
        </w:tc>
        <w:tc>
          <w:tcPr>
            <w:tcW w:w="760" w:type="dxa"/>
            <w:tcBorders>
              <w:top w:val="nil"/>
              <w:left w:val="nil"/>
              <w:bottom w:val="single" w:sz="4" w:space="0" w:color="ADD6EA"/>
              <w:right w:val="nil"/>
            </w:tcBorders>
            <w:shd w:val="clear" w:color="auto" w:fill="auto"/>
            <w:vAlign w:val="bottom"/>
            <w:hideMark/>
          </w:tcPr>
          <w:p w14:paraId="3293F5E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108</w:t>
            </w:r>
          </w:p>
        </w:tc>
        <w:tc>
          <w:tcPr>
            <w:tcW w:w="760" w:type="dxa"/>
            <w:tcBorders>
              <w:top w:val="nil"/>
              <w:left w:val="nil"/>
              <w:bottom w:val="single" w:sz="4" w:space="0" w:color="ADD6EA"/>
              <w:right w:val="nil"/>
            </w:tcBorders>
            <w:shd w:val="clear" w:color="auto" w:fill="auto"/>
            <w:vAlign w:val="bottom"/>
            <w:hideMark/>
          </w:tcPr>
          <w:p w14:paraId="714CA3CF"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-32</w:t>
            </w:r>
          </w:p>
        </w:tc>
        <w:tc>
          <w:tcPr>
            <w:tcW w:w="760" w:type="dxa"/>
            <w:tcBorders>
              <w:top w:val="nil"/>
              <w:left w:val="nil"/>
              <w:bottom w:val="single" w:sz="4" w:space="0" w:color="ADD6EA"/>
              <w:right w:val="nil"/>
            </w:tcBorders>
            <w:shd w:val="clear" w:color="auto" w:fill="auto"/>
            <w:vAlign w:val="bottom"/>
            <w:hideMark/>
          </w:tcPr>
          <w:p w14:paraId="24352BB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w:t>
            </w:r>
          </w:p>
        </w:tc>
        <w:tc>
          <w:tcPr>
            <w:tcW w:w="760" w:type="dxa"/>
            <w:tcBorders>
              <w:top w:val="nil"/>
              <w:left w:val="nil"/>
              <w:bottom w:val="single" w:sz="4" w:space="0" w:color="ADD6EA"/>
              <w:right w:val="nil"/>
            </w:tcBorders>
            <w:shd w:val="clear" w:color="auto" w:fill="auto"/>
            <w:vAlign w:val="bottom"/>
            <w:hideMark/>
          </w:tcPr>
          <w:p w14:paraId="26DA09E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0</w:t>
            </w:r>
          </w:p>
        </w:tc>
        <w:tc>
          <w:tcPr>
            <w:tcW w:w="760" w:type="dxa"/>
            <w:tcBorders>
              <w:top w:val="nil"/>
              <w:left w:val="nil"/>
              <w:bottom w:val="single" w:sz="4" w:space="0" w:color="ADD6EA"/>
              <w:right w:val="nil"/>
            </w:tcBorders>
            <w:shd w:val="clear" w:color="auto" w:fill="auto"/>
            <w:vAlign w:val="bottom"/>
            <w:hideMark/>
          </w:tcPr>
          <w:p w14:paraId="15BBC721"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3</w:t>
            </w:r>
          </w:p>
        </w:tc>
        <w:tc>
          <w:tcPr>
            <w:tcW w:w="760" w:type="dxa"/>
            <w:tcBorders>
              <w:top w:val="nil"/>
              <w:left w:val="nil"/>
              <w:bottom w:val="single" w:sz="4" w:space="0" w:color="ADD6EA"/>
              <w:right w:val="nil"/>
            </w:tcBorders>
            <w:shd w:val="clear" w:color="auto" w:fill="auto"/>
            <w:vAlign w:val="bottom"/>
            <w:hideMark/>
          </w:tcPr>
          <w:p w14:paraId="5FD30465"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111</w:t>
            </w:r>
          </w:p>
        </w:tc>
      </w:tr>
      <w:tr w:rsidR="00AB5D5E" w:rsidRPr="00AB5D5E" w14:paraId="1B97C4F9" w14:textId="77777777" w:rsidTr="00664FDC">
        <w:trPr>
          <w:trHeight w:val="315"/>
        </w:trPr>
        <w:tc>
          <w:tcPr>
            <w:tcW w:w="2380" w:type="dxa"/>
            <w:tcBorders>
              <w:top w:val="nil"/>
              <w:left w:val="nil"/>
              <w:bottom w:val="single" w:sz="4" w:space="0" w:color="ADD6EA"/>
              <w:right w:val="nil"/>
            </w:tcBorders>
            <w:shd w:val="clear" w:color="auto" w:fill="auto"/>
            <w:vAlign w:val="bottom"/>
            <w:hideMark/>
          </w:tcPr>
          <w:p w14:paraId="1EEE3C3A" w14:textId="77777777" w:rsidR="00AB5D5E" w:rsidRPr="00AB5D5E" w:rsidRDefault="00AB5D5E" w:rsidP="00AB5D5E">
            <w:pPr>
              <w:tabs>
                <w:tab w:val="clear" w:pos="567"/>
              </w:tabs>
              <w:spacing w:before="0" w:line="240" w:lineRule="auto"/>
              <w:rPr>
                <w:rFonts w:eastAsia="Times New Roman" w:cs="Open Sans Light"/>
                <w:sz w:val="16"/>
                <w:szCs w:val="16"/>
                <w:lang w:val="en-AU" w:eastAsia="en-AU"/>
              </w:rPr>
            </w:pPr>
            <w:r w:rsidRPr="00AB5D5E">
              <w:rPr>
                <w:rFonts w:eastAsia="Times New Roman" w:cs="Open Sans Light"/>
                <w:sz w:val="16"/>
                <w:szCs w:val="16"/>
                <w:lang w:val="en-AU" w:eastAsia="en-AU"/>
              </w:rPr>
              <w:t>Other causes of change</w:t>
            </w:r>
          </w:p>
        </w:tc>
        <w:tc>
          <w:tcPr>
            <w:tcW w:w="760" w:type="dxa"/>
            <w:tcBorders>
              <w:top w:val="nil"/>
              <w:left w:val="nil"/>
              <w:bottom w:val="single" w:sz="4" w:space="0" w:color="ADD6EA"/>
              <w:right w:val="nil"/>
            </w:tcBorders>
            <w:shd w:val="clear" w:color="auto" w:fill="auto"/>
            <w:vAlign w:val="bottom"/>
            <w:hideMark/>
          </w:tcPr>
          <w:p w14:paraId="34893BD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-9</w:t>
            </w:r>
          </w:p>
        </w:tc>
        <w:tc>
          <w:tcPr>
            <w:tcW w:w="760" w:type="dxa"/>
            <w:tcBorders>
              <w:top w:val="nil"/>
              <w:left w:val="nil"/>
              <w:bottom w:val="single" w:sz="4" w:space="0" w:color="ADD6EA"/>
              <w:right w:val="nil"/>
            </w:tcBorders>
            <w:shd w:val="clear" w:color="auto" w:fill="auto"/>
            <w:vAlign w:val="bottom"/>
            <w:hideMark/>
          </w:tcPr>
          <w:p w14:paraId="0FCA4902"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-154</w:t>
            </w:r>
          </w:p>
        </w:tc>
        <w:tc>
          <w:tcPr>
            <w:tcW w:w="760" w:type="dxa"/>
            <w:tcBorders>
              <w:top w:val="nil"/>
              <w:left w:val="nil"/>
              <w:bottom w:val="single" w:sz="4" w:space="0" w:color="ADD6EA"/>
              <w:right w:val="nil"/>
            </w:tcBorders>
            <w:shd w:val="clear" w:color="auto" w:fill="auto"/>
            <w:vAlign w:val="bottom"/>
            <w:hideMark/>
          </w:tcPr>
          <w:p w14:paraId="5E5F7C49"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82</w:t>
            </w:r>
          </w:p>
        </w:tc>
        <w:tc>
          <w:tcPr>
            <w:tcW w:w="760" w:type="dxa"/>
            <w:tcBorders>
              <w:top w:val="nil"/>
              <w:left w:val="nil"/>
              <w:bottom w:val="single" w:sz="4" w:space="0" w:color="ADD6EA"/>
              <w:right w:val="nil"/>
            </w:tcBorders>
            <w:shd w:val="clear" w:color="auto" w:fill="auto"/>
            <w:vAlign w:val="bottom"/>
            <w:hideMark/>
          </w:tcPr>
          <w:p w14:paraId="102FDCF5"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5</w:t>
            </w:r>
          </w:p>
        </w:tc>
        <w:tc>
          <w:tcPr>
            <w:tcW w:w="760" w:type="dxa"/>
            <w:tcBorders>
              <w:top w:val="nil"/>
              <w:left w:val="nil"/>
              <w:bottom w:val="single" w:sz="4" w:space="0" w:color="ADD6EA"/>
              <w:right w:val="nil"/>
            </w:tcBorders>
            <w:shd w:val="clear" w:color="auto" w:fill="auto"/>
            <w:vAlign w:val="bottom"/>
            <w:hideMark/>
          </w:tcPr>
          <w:p w14:paraId="173C4DB7"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5</w:t>
            </w:r>
          </w:p>
        </w:tc>
        <w:tc>
          <w:tcPr>
            <w:tcW w:w="760" w:type="dxa"/>
            <w:tcBorders>
              <w:top w:val="nil"/>
              <w:left w:val="nil"/>
              <w:bottom w:val="single" w:sz="4" w:space="0" w:color="ADD6EA"/>
              <w:right w:val="nil"/>
            </w:tcBorders>
            <w:shd w:val="clear" w:color="auto" w:fill="auto"/>
            <w:vAlign w:val="bottom"/>
            <w:hideMark/>
          </w:tcPr>
          <w:p w14:paraId="7F7E2D7C"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0</w:t>
            </w:r>
          </w:p>
        </w:tc>
        <w:tc>
          <w:tcPr>
            <w:tcW w:w="760" w:type="dxa"/>
            <w:tcBorders>
              <w:top w:val="nil"/>
              <w:left w:val="nil"/>
              <w:bottom w:val="single" w:sz="4" w:space="0" w:color="ADD6EA"/>
              <w:right w:val="nil"/>
            </w:tcBorders>
            <w:shd w:val="clear" w:color="auto" w:fill="auto"/>
            <w:vAlign w:val="bottom"/>
            <w:hideMark/>
          </w:tcPr>
          <w:p w14:paraId="26A3DD3E"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-29</w:t>
            </w:r>
          </w:p>
        </w:tc>
        <w:tc>
          <w:tcPr>
            <w:tcW w:w="760" w:type="dxa"/>
            <w:tcBorders>
              <w:top w:val="nil"/>
              <w:left w:val="nil"/>
              <w:bottom w:val="single" w:sz="4" w:space="0" w:color="ADD6EA"/>
              <w:right w:val="nil"/>
            </w:tcBorders>
            <w:shd w:val="clear" w:color="auto" w:fill="auto"/>
            <w:vAlign w:val="bottom"/>
            <w:hideMark/>
          </w:tcPr>
          <w:p w14:paraId="776B5C47"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99</w:t>
            </w:r>
          </w:p>
        </w:tc>
        <w:tc>
          <w:tcPr>
            <w:tcW w:w="760" w:type="dxa"/>
            <w:tcBorders>
              <w:top w:val="nil"/>
              <w:left w:val="nil"/>
              <w:bottom w:val="single" w:sz="4" w:space="0" w:color="ADD6EA"/>
              <w:right w:val="nil"/>
            </w:tcBorders>
            <w:shd w:val="clear" w:color="auto" w:fill="auto"/>
            <w:vAlign w:val="bottom"/>
            <w:hideMark/>
          </w:tcPr>
          <w:p w14:paraId="6CBFF7F1" w14:textId="77777777" w:rsidR="00AB5D5E" w:rsidRPr="00AB5D5E" w:rsidRDefault="00AB5D5E" w:rsidP="00AB5D5E">
            <w:pPr>
              <w:tabs>
                <w:tab w:val="clear" w:pos="567"/>
              </w:tabs>
              <w:spacing w:before="0" w:line="240" w:lineRule="auto"/>
              <w:jc w:val="right"/>
              <w:rPr>
                <w:rFonts w:eastAsia="Times New Roman" w:cs="Open Sans Light"/>
                <w:sz w:val="16"/>
                <w:szCs w:val="16"/>
                <w:lang w:val="en-AU" w:eastAsia="en-AU"/>
              </w:rPr>
            </w:pPr>
            <w:r w:rsidRPr="00AB5D5E">
              <w:rPr>
                <w:rFonts w:eastAsia="Times New Roman" w:cs="Open Sans Light"/>
                <w:sz w:val="16"/>
                <w:szCs w:val="16"/>
                <w:lang w:val="en-AU" w:eastAsia="en-AU"/>
              </w:rPr>
              <w:t>191</w:t>
            </w:r>
          </w:p>
        </w:tc>
      </w:tr>
      <w:tr w:rsidR="00AB5D5E" w:rsidRPr="00AB5D5E" w14:paraId="735A73AB" w14:textId="77777777" w:rsidTr="00664FDC">
        <w:trPr>
          <w:trHeight w:val="315"/>
        </w:trPr>
        <w:tc>
          <w:tcPr>
            <w:tcW w:w="2380" w:type="dxa"/>
            <w:tcBorders>
              <w:top w:val="nil"/>
              <w:left w:val="nil"/>
              <w:bottom w:val="single" w:sz="4" w:space="0" w:color="ADD6EA"/>
              <w:right w:val="nil"/>
            </w:tcBorders>
            <w:shd w:val="clear" w:color="000000" w:fill="D6E7F0"/>
            <w:vAlign w:val="bottom"/>
            <w:hideMark/>
          </w:tcPr>
          <w:p w14:paraId="286C5801" w14:textId="17915BC2" w:rsidR="00AB5D5E" w:rsidRPr="00AB5D5E" w:rsidRDefault="00AB5D5E" w:rsidP="00AB5D5E">
            <w:pPr>
              <w:tabs>
                <w:tab w:val="clear" w:pos="567"/>
              </w:tabs>
              <w:spacing w:before="0" w:line="240" w:lineRule="auto"/>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Total</w:t>
            </w:r>
            <w:r w:rsidR="00334954">
              <w:rPr>
                <w:rFonts w:ascii="Open Sans SemiBold" w:eastAsia="Times New Roman" w:hAnsi="Open Sans SemiBold" w:cs="Open Sans SemiBold"/>
                <w:sz w:val="16"/>
                <w:szCs w:val="16"/>
                <w:lang w:val="en-AU" w:eastAsia="en-AU"/>
              </w:rPr>
              <w:t xml:space="preserve"> circumstances changes</w:t>
            </w:r>
          </w:p>
        </w:tc>
        <w:tc>
          <w:tcPr>
            <w:tcW w:w="760" w:type="dxa"/>
            <w:tcBorders>
              <w:top w:val="nil"/>
              <w:left w:val="nil"/>
              <w:bottom w:val="single" w:sz="4" w:space="0" w:color="ADD6EA"/>
              <w:right w:val="nil"/>
            </w:tcBorders>
            <w:shd w:val="clear" w:color="000000" w:fill="D6E7F0"/>
            <w:vAlign w:val="bottom"/>
            <w:hideMark/>
          </w:tcPr>
          <w:p w14:paraId="5F78E625"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595</w:t>
            </w:r>
          </w:p>
        </w:tc>
        <w:tc>
          <w:tcPr>
            <w:tcW w:w="760" w:type="dxa"/>
            <w:tcBorders>
              <w:top w:val="nil"/>
              <w:left w:val="nil"/>
              <w:bottom w:val="single" w:sz="4" w:space="0" w:color="ADD6EA"/>
              <w:right w:val="nil"/>
            </w:tcBorders>
            <w:shd w:val="clear" w:color="000000" w:fill="D6E7F0"/>
            <w:vAlign w:val="bottom"/>
            <w:hideMark/>
          </w:tcPr>
          <w:p w14:paraId="3C21F3BB"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279</w:t>
            </w:r>
          </w:p>
        </w:tc>
        <w:tc>
          <w:tcPr>
            <w:tcW w:w="760" w:type="dxa"/>
            <w:tcBorders>
              <w:top w:val="nil"/>
              <w:left w:val="nil"/>
              <w:bottom w:val="single" w:sz="4" w:space="0" w:color="ADD6EA"/>
              <w:right w:val="nil"/>
            </w:tcBorders>
            <w:shd w:val="clear" w:color="000000" w:fill="D6E7F0"/>
            <w:vAlign w:val="bottom"/>
            <w:hideMark/>
          </w:tcPr>
          <w:p w14:paraId="7D90220C"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-477</w:t>
            </w:r>
          </w:p>
        </w:tc>
        <w:tc>
          <w:tcPr>
            <w:tcW w:w="760" w:type="dxa"/>
            <w:tcBorders>
              <w:top w:val="nil"/>
              <w:left w:val="nil"/>
              <w:bottom w:val="single" w:sz="4" w:space="0" w:color="ADD6EA"/>
              <w:right w:val="nil"/>
            </w:tcBorders>
            <w:shd w:val="clear" w:color="000000" w:fill="D6E7F0"/>
            <w:vAlign w:val="bottom"/>
            <w:hideMark/>
          </w:tcPr>
          <w:p w14:paraId="1D7733C0"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-330</w:t>
            </w:r>
          </w:p>
        </w:tc>
        <w:tc>
          <w:tcPr>
            <w:tcW w:w="760" w:type="dxa"/>
            <w:tcBorders>
              <w:top w:val="nil"/>
              <w:left w:val="nil"/>
              <w:bottom w:val="single" w:sz="4" w:space="0" w:color="ADD6EA"/>
              <w:right w:val="nil"/>
            </w:tcBorders>
            <w:shd w:val="clear" w:color="000000" w:fill="D6E7F0"/>
            <w:vAlign w:val="bottom"/>
            <w:hideMark/>
          </w:tcPr>
          <w:p w14:paraId="01091D4D"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-172</w:t>
            </w:r>
          </w:p>
        </w:tc>
        <w:tc>
          <w:tcPr>
            <w:tcW w:w="760" w:type="dxa"/>
            <w:tcBorders>
              <w:top w:val="nil"/>
              <w:left w:val="nil"/>
              <w:bottom w:val="single" w:sz="4" w:space="0" w:color="ADD6EA"/>
              <w:right w:val="nil"/>
            </w:tcBorders>
            <w:shd w:val="clear" w:color="000000" w:fill="D6E7F0"/>
            <w:vAlign w:val="bottom"/>
            <w:hideMark/>
          </w:tcPr>
          <w:p w14:paraId="55B5D090"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45</w:t>
            </w:r>
          </w:p>
        </w:tc>
        <w:tc>
          <w:tcPr>
            <w:tcW w:w="760" w:type="dxa"/>
            <w:tcBorders>
              <w:top w:val="nil"/>
              <w:left w:val="nil"/>
              <w:bottom w:val="single" w:sz="4" w:space="0" w:color="ADD6EA"/>
              <w:right w:val="nil"/>
            </w:tcBorders>
            <w:shd w:val="clear" w:color="000000" w:fill="D6E7F0"/>
            <w:vAlign w:val="bottom"/>
            <w:hideMark/>
          </w:tcPr>
          <w:p w14:paraId="3B0F09FE"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-6</w:t>
            </w:r>
          </w:p>
        </w:tc>
        <w:tc>
          <w:tcPr>
            <w:tcW w:w="760" w:type="dxa"/>
            <w:tcBorders>
              <w:top w:val="nil"/>
              <w:left w:val="nil"/>
              <w:bottom w:val="single" w:sz="4" w:space="0" w:color="ADD6EA"/>
              <w:right w:val="nil"/>
            </w:tcBorders>
            <w:shd w:val="clear" w:color="000000" w:fill="D6E7F0"/>
            <w:vAlign w:val="bottom"/>
            <w:hideMark/>
          </w:tcPr>
          <w:p w14:paraId="4AFF26DF"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66</w:t>
            </w:r>
          </w:p>
        </w:tc>
        <w:tc>
          <w:tcPr>
            <w:tcW w:w="760" w:type="dxa"/>
            <w:tcBorders>
              <w:top w:val="nil"/>
              <w:left w:val="nil"/>
              <w:bottom w:val="single" w:sz="4" w:space="0" w:color="ADD6EA"/>
              <w:right w:val="nil"/>
            </w:tcBorders>
            <w:shd w:val="clear" w:color="000000" w:fill="D6E7F0"/>
            <w:vAlign w:val="bottom"/>
            <w:hideMark/>
          </w:tcPr>
          <w:p w14:paraId="39830B6F" w14:textId="77777777" w:rsidR="00AB5D5E" w:rsidRPr="00AB5D5E" w:rsidRDefault="00AB5D5E" w:rsidP="00AB5D5E">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AB5D5E">
              <w:rPr>
                <w:rFonts w:ascii="Open Sans SemiBold" w:eastAsia="Times New Roman" w:hAnsi="Open Sans SemiBold" w:cs="Open Sans SemiBold"/>
                <w:sz w:val="16"/>
                <w:szCs w:val="16"/>
                <w:lang w:val="en-AU" w:eastAsia="en-AU"/>
              </w:rPr>
              <w:t>985</w:t>
            </w:r>
          </w:p>
        </w:tc>
      </w:tr>
    </w:tbl>
    <w:p w14:paraId="72A2C360" w14:textId="79EC3BBA" w:rsidR="00D34D98" w:rsidRPr="00D34D98" w:rsidRDefault="00D34D98" w:rsidP="00E7623E">
      <w:pPr>
        <w:pStyle w:val="CGCTablenote"/>
        <w:keepNext/>
        <w:keepLines/>
      </w:pPr>
      <w:r>
        <w:t xml:space="preserve">Source: </w:t>
      </w:r>
      <w:r w:rsidR="00A9309C">
        <w:tab/>
        <w:t>Commission calculation.</w:t>
      </w:r>
    </w:p>
    <w:p w14:paraId="6896635B" w14:textId="5B882430" w:rsidR="00770422" w:rsidRPr="00770422" w:rsidRDefault="0023305F" w:rsidP="001043E8">
      <w:pPr>
        <w:pStyle w:val="CGCParaNumber"/>
      </w:pPr>
      <w:r w:rsidRPr="0023305F">
        <w:t>The following sections explain the main causes of change in State circumstances.</w:t>
      </w:r>
    </w:p>
    <w:p w14:paraId="4DA2261C" w14:textId="77777777" w:rsidR="008859F8" w:rsidRDefault="008859F8">
      <w:pPr>
        <w:tabs>
          <w:tab w:val="clear" w:pos="567"/>
        </w:tabs>
        <w:spacing w:before="0" w:after="160" w:line="259" w:lineRule="auto"/>
        <w:rPr>
          <w:rFonts w:ascii="Montserrat Semi Bold" w:eastAsiaTheme="majorEastAsia" w:hAnsi="Montserrat Semi Bold" w:cstheme="majorBidi"/>
          <w:bCs/>
          <w:iCs/>
          <w:color w:val="006991"/>
          <w:sz w:val="28"/>
        </w:rPr>
      </w:pPr>
      <w:r>
        <w:br w:type="page"/>
      </w:r>
    </w:p>
    <w:p w14:paraId="72B65BE4" w14:textId="56426ED1" w:rsidR="003126B8" w:rsidRDefault="003126B8" w:rsidP="003126B8">
      <w:pPr>
        <w:pStyle w:val="Heading4"/>
      </w:pPr>
      <w:bookmarkStart w:id="29" w:name="_Toc33600547"/>
      <w:r>
        <w:lastRenderedPageBreak/>
        <w:t>Revenue including Commonwealth payments</w:t>
      </w:r>
      <w:bookmarkEnd w:id="29"/>
    </w:p>
    <w:p w14:paraId="7F15774D" w14:textId="6F7138C3" w:rsidR="005E33BA" w:rsidRDefault="0099569A" w:rsidP="005E33BA">
      <w:pPr>
        <w:pStyle w:val="Heading5"/>
      </w:pPr>
      <w:r>
        <w:t>Mining production</w:t>
      </w:r>
    </w:p>
    <w:p w14:paraId="71826B78" w14:textId="3B7D700A" w:rsidR="00827487" w:rsidRDefault="00827487" w:rsidP="00827487">
      <w:pPr>
        <w:pStyle w:val="CGCParaNumber"/>
      </w:pPr>
      <w:r>
        <w:t xml:space="preserve">The uneven distribution between States of resource endowments and mining activity, together with price differences for different commodities, can produce large movements in the value of mining production from year to year. This can give rise to significant </w:t>
      </w:r>
      <w:r w:rsidR="007B29CE">
        <w:t>changes</w:t>
      </w:r>
      <w:r w:rsidR="00AC3512">
        <w:t xml:space="preserve"> in </w:t>
      </w:r>
      <w:r w:rsidR="003738B6">
        <w:t>relative fiscal capacities</w:t>
      </w:r>
      <w:r>
        <w:t xml:space="preserve">. Increases in the value of production </w:t>
      </w:r>
      <w:r w:rsidR="00EB7807">
        <w:t xml:space="preserve">for </w:t>
      </w:r>
      <w:r>
        <w:t xml:space="preserve">both coal and iron ore have </w:t>
      </w:r>
      <w:r w:rsidR="00B27A44">
        <w:t xml:space="preserve">increased </w:t>
      </w:r>
      <w:r>
        <w:t xml:space="preserve">the </w:t>
      </w:r>
      <w:r w:rsidR="00A23DD4">
        <w:t xml:space="preserve">revenue raising </w:t>
      </w:r>
      <w:r>
        <w:t>capacities of Queensland and Western</w:t>
      </w:r>
      <w:r w:rsidR="00260871">
        <w:t> </w:t>
      </w:r>
      <w:r>
        <w:t>Australia</w:t>
      </w:r>
      <w:r w:rsidR="00BA6842">
        <w:t>, reducing their GST requirement</w:t>
      </w:r>
      <w:r w:rsidR="00A77002">
        <w:t>s</w:t>
      </w:r>
      <w:r w:rsidR="00BA6842">
        <w:t xml:space="preserve"> by $</w:t>
      </w:r>
      <w:r w:rsidR="00BA6842" w:rsidRPr="00831500">
        <w:t>485</w:t>
      </w:r>
      <w:r w:rsidR="00BA6842">
        <w:t> million and $</w:t>
      </w:r>
      <w:r w:rsidR="00BA6842" w:rsidRPr="00831500">
        <w:t>515</w:t>
      </w:r>
      <w:r w:rsidR="00BA6842">
        <w:t xml:space="preserve"> million, respectively. </w:t>
      </w:r>
      <w:r w:rsidR="00B81D8B">
        <w:t xml:space="preserve">The </w:t>
      </w:r>
      <w:r w:rsidR="003E75FB">
        <w:t xml:space="preserve">changes increased </w:t>
      </w:r>
      <w:r w:rsidR="00407137">
        <w:t>the GST requirements</w:t>
      </w:r>
      <w:r w:rsidR="00B81D8B">
        <w:t xml:space="preserve"> of the other States</w:t>
      </w:r>
      <w:r>
        <w:t xml:space="preserve">, particularly </w:t>
      </w:r>
      <w:r w:rsidR="00407137">
        <w:t xml:space="preserve">those of </w:t>
      </w:r>
      <w:r>
        <w:t>New</w:t>
      </w:r>
      <w:r w:rsidR="00260871">
        <w:t> </w:t>
      </w:r>
      <w:r>
        <w:t>South</w:t>
      </w:r>
      <w:r w:rsidR="00260871">
        <w:t> </w:t>
      </w:r>
      <w:r>
        <w:t>Wales ($</w:t>
      </w:r>
      <w:r w:rsidRPr="00831500">
        <w:t>320</w:t>
      </w:r>
      <w:r w:rsidR="00407137">
        <w:t> </w:t>
      </w:r>
      <w:r>
        <w:t>million) and Victoria ($</w:t>
      </w:r>
      <w:r w:rsidRPr="00831500">
        <w:t>509</w:t>
      </w:r>
      <w:r w:rsidR="00407137">
        <w:t> </w:t>
      </w:r>
      <w:r>
        <w:t>million).</w:t>
      </w:r>
    </w:p>
    <w:p w14:paraId="3361DADF" w14:textId="2D76C60B" w:rsidR="00827487" w:rsidRDefault="00827487" w:rsidP="00827487">
      <w:pPr>
        <w:pStyle w:val="CGCParaNumber"/>
      </w:pPr>
      <w:r>
        <w:t>Between 2015</w:t>
      </w:r>
      <w:r w:rsidR="00EC328D">
        <w:noBreakHyphen/>
      </w:r>
      <w:r>
        <w:t>16 and 2018</w:t>
      </w:r>
      <w:r w:rsidR="00EC328D">
        <w:noBreakHyphen/>
      </w:r>
      <w:r>
        <w:t xml:space="preserve">19, States' value of mining production grew 67%. </w:t>
      </w:r>
      <w:r w:rsidR="00DA788B">
        <w:fldChar w:fldCharType="begin"/>
      </w:r>
      <w:r w:rsidR="00DA788B">
        <w:instrText xml:space="preserve"> REF _Ref32933547 \h </w:instrText>
      </w:r>
      <w:r w:rsidR="00DA788B">
        <w:fldChar w:fldCharType="separate"/>
      </w:r>
      <w:r w:rsidR="003D49C2">
        <w:t>Figure 2</w:t>
      </w:r>
      <w:r w:rsidR="003D49C2">
        <w:noBreakHyphen/>
      </w:r>
      <w:r w:rsidR="003D49C2">
        <w:rPr>
          <w:noProof/>
        </w:rPr>
        <w:t>1</w:t>
      </w:r>
      <w:r w:rsidR="00DA788B">
        <w:fldChar w:fldCharType="end"/>
      </w:r>
      <w:r>
        <w:t xml:space="preserve"> shows th</w:t>
      </w:r>
      <w:r w:rsidR="009B182C">
        <w:t>at</w:t>
      </w:r>
      <w:r>
        <w:t xml:space="preserve"> </w:t>
      </w:r>
      <w:r w:rsidR="009B182C">
        <w:t>iron ore and</w:t>
      </w:r>
      <w:r>
        <w:t xml:space="preserve"> coal </w:t>
      </w:r>
      <w:r w:rsidR="009B182C">
        <w:t xml:space="preserve">experienced bigger increases </w:t>
      </w:r>
      <w:r w:rsidR="002A44EE">
        <w:t xml:space="preserve">than </w:t>
      </w:r>
      <w:r>
        <w:t>other mineral production over th</w:t>
      </w:r>
      <w:r w:rsidR="002A44EE">
        <w:t>e</w:t>
      </w:r>
      <w:r>
        <w:t xml:space="preserve"> period.</w:t>
      </w:r>
    </w:p>
    <w:p w14:paraId="2D5873BF" w14:textId="0DAE2DC0" w:rsidR="00F0066B" w:rsidRDefault="00F0066B" w:rsidP="00F0066B">
      <w:pPr>
        <w:pStyle w:val="CGCParaNumber"/>
      </w:pPr>
      <w:r w:rsidRPr="00EB02F3">
        <w:rPr>
          <w:rStyle w:val="Heading6Char"/>
        </w:rPr>
        <w:t>Coal.</w:t>
      </w:r>
      <w:r>
        <w:t xml:space="preserve"> </w:t>
      </w:r>
      <w:r w:rsidRPr="000F4EAE">
        <w:t>Between 2015-16 and 2018-19</w:t>
      </w:r>
      <w:r w:rsidR="005841D7">
        <w:t>,</w:t>
      </w:r>
      <w:r w:rsidRPr="000F4EAE">
        <w:t xml:space="preserve"> the value of coal production in Australia </w:t>
      </w:r>
      <w:r w:rsidR="0086733D">
        <w:t>almost doubled</w:t>
      </w:r>
      <w:r w:rsidR="00EE114B">
        <w:t>, from $</w:t>
      </w:r>
      <w:r w:rsidR="00702989">
        <w:t>38</w:t>
      </w:r>
      <w:r w:rsidR="00EE114B">
        <w:t xml:space="preserve"> billion</w:t>
      </w:r>
      <w:r w:rsidRPr="000F4EAE">
        <w:t xml:space="preserve"> to $75 billion. As Queensland accounts for more than 60% of the value of Australia’s coal production, this affected its </w:t>
      </w:r>
      <w:r>
        <w:t xml:space="preserve">revenue raising </w:t>
      </w:r>
      <w:r w:rsidRPr="000F4EAE">
        <w:t>capacity most.</w:t>
      </w:r>
    </w:p>
    <w:p w14:paraId="355D3BA8" w14:textId="1424C596" w:rsidR="00F0066B" w:rsidRPr="00EB02F3" w:rsidRDefault="00F0066B" w:rsidP="00F0066B">
      <w:pPr>
        <w:pStyle w:val="CGCParaNumber"/>
      </w:pPr>
      <w:r w:rsidRPr="00EB02F3">
        <w:rPr>
          <w:rStyle w:val="Heading6Char"/>
        </w:rPr>
        <w:t>Iron ore.</w:t>
      </w:r>
      <w:r>
        <w:t xml:space="preserve"> </w:t>
      </w:r>
      <w:r w:rsidRPr="00EB02F3">
        <w:t>Between 2015-16 and 2018-19</w:t>
      </w:r>
      <w:r w:rsidR="005841D7">
        <w:t>,</w:t>
      </w:r>
      <w:r w:rsidRPr="00EB02F3">
        <w:t xml:space="preserve"> the value of iron ore production in Australia grew by 60%</w:t>
      </w:r>
      <w:r w:rsidR="00EE114B">
        <w:t>, from $</w:t>
      </w:r>
      <w:r w:rsidR="00CE7C90">
        <w:t>50</w:t>
      </w:r>
      <w:r w:rsidR="00EE114B">
        <w:t xml:space="preserve"> billion</w:t>
      </w:r>
      <w:r w:rsidRPr="00EB02F3">
        <w:t xml:space="preserve"> to $79 billion. As Western</w:t>
      </w:r>
      <w:r>
        <w:t> </w:t>
      </w:r>
      <w:r w:rsidRPr="00EB02F3">
        <w:t>Australia accounts for 9</w:t>
      </w:r>
      <w:r w:rsidR="00D46B85">
        <w:t>9</w:t>
      </w:r>
      <w:r w:rsidRPr="00EB02F3">
        <w:t xml:space="preserve">% of the value of Australia's iron ore production, this affected its </w:t>
      </w:r>
      <w:r>
        <w:t xml:space="preserve">revenue raising </w:t>
      </w:r>
      <w:r w:rsidRPr="00EB02F3">
        <w:t>capacity most.</w:t>
      </w:r>
    </w:p>
    <w:p w14:paraId="4834F2A4" w14:textId="1920CA96" w:rsidR="00B776A0" w:rsidRDefault="00311891" w:rsidP="00311891">
      <w:pPr>
        <w:pStyle w:val="CGCTableHeading"/>
      </w:pPr>
      <w:bookmarkStart w:id="30" w:name="_Ref30680556"/>
      <w:bookmarkStart w:id="31" w:name="_Ref32933547"/>
      <w:r>
        <w:t>Figure</w:t>
      </w:r>
      <w:r w:rsidR="007C30A7">
        <w:t> </w:t>
      </w:r>
      <w:r w:rsidR="007D70A7">
        <w:t>2</w:t>
      </w:r>
      <w:r w:rsidR="007D70A7">
        <w:noBreakHyphen/>
      </w:r>
      <w:bookmarkEnd w:id="30"/>
      <w:r w:rsidR="00DA788B">
        <w:fldChar w:fldCharType="begin"/>
      </w:r>
      <w:r w:rsidR="00DA788B">
        <w:instrText xml:space="preserve"> SEQ Figure \* ARABIC\r 1 </w:instrText>
      </w:r>
      <w:r w:rsidR="00DA788B">
        <w:fldChar w:fldCharType="separate"/>
      </w:r>
      <w:r w:rsidR="003D49C2">
        <w:rPr>
          <w:noProof/>
        </w:rPr>
        <w:t>1</w:t>
      </w:r>
      <w:r w:rsidR="00DA788B">
        <w:fldChar w:fldCharType="end"/>
      </w:r>
      <w:bookmarkEnd w:id="31"/>
      <w:r>
        <w:tab/>
      </w:r>
      <w:r w:rsidR="00CC35D7">
        <w:t xml:space="preserve">Mining value of production, </w:t>
      </w:r>
      <w:r w:rsidR="00326AAD">
        <w:t>selected minerals, 2015</w:t>
      </w:r>
      <w:r w:rsidR="00326AAD">
        <w:noBreakHyphen/>
        <w:t>16 and 2018</w:t>
      </w:r>
      <w:r w:rsidR="00326AAD">
        <w:noBreakHyphen/>
        <w:t>19</w:t>
      </w:r>
    </w:p>
    <w:p w14:paraId="6D65C71C" w14:textId="172C6703" w:rsidR="00FD5C6B" w:rsidRPr="00FD5C6B" w:rsidRDefault="009A7A95" w:rsidP="00FD5C6B">
      <w:r>
        <w:rPr>
          <w:noProof/>
        </w:rPr>
        <w:drawing>
          <wp:inline distT="0" distB="0" distL="0" distR="0" wp14:anchorId="7D405051" wp14:editId="0F89B696">
            <wp:extent cx="5657850" cy="3572510"/>
            <wp:effectExtent l="0" t="0" r="0" b="8890"/>
            <wp:docPr id="54418307" name="Picture 5" descr="This bar graph compares iron ore and coal mining to other minerals in 2015-16 and 2018-19. Iron ore and coal have grown mush faster that other minerals in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657850" cy="3572510"/>
                    </a:xfrm>
                    <a:prstGeom prst="rect">
                      <a:avLst/>
                    </a:prstGeom>
                  </pic:spPr>
                </pic:pic>
              </a:graphicData>
            </a:graphic>
          </wp:inline>
        </w:drawing>
      </w:r>
    </w:p>
    <w:p w14:paraId="66E540E8" w14:textId="7629AC9D" w:rsidR="003A06C7" w:rsidRDefault="003A06C7" w:rsidP="003A06C7">
      <w:pPr>
        <w:pStyle w:val="CGCTablenote"/>
      </w:pPr>
      <w:r>
        <w:t>Source:</w:t>
      </w:r>
      <w:r>
        <w:tab/>
        <w:t>State provided data.</w:t>
      </w:r>
    </w:p>
    <w:p w14:paraId="7E3EC16B" w14:textId="77777777" w:rsidR="008859F8" w:rsidRDefault="008859F8">
      <w:pPr>
        <w:tabs>
          <w:tab w:val="clear" w:pos="567"/>
        </w:tabs>
        <w:spacing w:before="0" w:after="160" w:line="259" w:lineRule="auto"/>
        <w:rPr>
          <w:rFonts w:ascii="Montserrat Semi Bold" w:eastAsiaTheme="majorEastAsia" w:hAnsi="Montserrat Semi Bold" w:cstheme="majorBidi"/>
          <w:color w:val="636466"/>
          <w:sz w:val="24"/>
        </w:rPr>
      </w:pPr>
      <w:r>
        <w:br w:type="page"/>
      </w:r>
    </w:p>
    <w:p w14:paraId="6A71B460" w14:textId="5F1AC20A" w:rsidR="008D19EF" w:rsidRDefault="008D19EF" w:rsidP="008D19EF">
      <w:pPr>
        <w:pStyle w:val="Heading5"/>
      </w:pPr>
      <w:r>
        <w:lastRenderedPageBreak/>
        <w:t>Property sales</w:t>
      </w:r>
    </w:p>
    <w:p w14:paraId="4E767932" w14:textId="0359ECA6" w:rsidR="00727125" w:rsidRDefault="00727125" w:rsidP="00727125">
      <w:pPr>
        <w:pStyle w:val="CGCParaNumber"/>
      </w:pPr>
      <w:r>
        <w:t>Stamp duties raised from the transfer of property are volatile. Property market cycles can lead to big changes across years and States, which can substantially affect their relative fiscal capacities.</w:t>
      </w:r>
      <w:r w:rsidR="0034769D">
        <w:t xml:space="preserve"> The </w:t>
      </w:r>
      <w:r w:rsidR="000C3F17">
        <w:t xml:space="preserve">Commission </w:t>
      </w:r>
      <w:r w:rsidR="00532F0E">
        <w:t xml:space="preserve">uses data on the </w:t>
      </w:r>
      <w:r w:rsidR="00E03360">
        <w:t xml:space="preserve">per capita </w:t>
      </w:r>
      <w:r w:rsidR="0034769D">
        <w:t xml:space="preserve">value of </w:t>
      </w:r>
      <w:r w:rsidR="00532F0E">
        <w:t xml:space="preserve">taxable </w:t>
      </w:r>
      <w:r w:rsidR="0034769D">
        <w:t xml:space="preserve">property </w:t>
      </w:r>
      <w:r w:rsidR="00883FDA">
        <w:t xml:space="preserve">transfers </w:t>
      </w:r>
      <w:r w:rsidR="00532F0E">
        <w:t>as its measure of States</w:t>
      </w:r>
      <w:r w:rsidR="00336937">
        <w:t xml:space="preserve">’ capacities to raise revenue from stamp duty </w:t>
      </w:r>
      <w:r w:rsidR="003C7231">
        <w:t>on conveyances.</w:t>
      </w:r>
    </w:p>
    <w:p w14:paraId="32146056" w14:textId="3E04476F" w:rsidR="00727125" w:rsidRDefault="00D9648F" w:rsidP="00727125">
      <w:pPr>
        <w:pStyle w:val="CGCParaNumber"/>
      </w:pPr>
      <w:r>
        <w:fldChar w:fldCharType="begin"/>
      </w:r>
      <w:r>
        <w:instrText xml:space="preserve"> REF _Ref30714653 \h </w:instrText>
      </w:r>
      <w:r>
        <w:fldChar w:fldCharType="separate"/>
      </w:r>
      <w:r w:rsidR="003D49C2">
        <w:t>Figure 2</w:t>
      </w:r>
      <w:r w:rsidR="003D49C2">
        <w:noBreakHyphen/>
      </w:r>
      <w:r w:rsidR="003D49C2">
        <w:rPr>
          <w:noProof/>
        </w:rPr>
        <w:t>2</w:t>
      </w:r>
      <w:r>
        <w:fldChar w:fldCharType="end"/>
      </w:r>
      <w:r>
        <w:t xml:space="preserve"> shows the change in States' per capita value of property transferred between 2015</w:t>
      </w:r>
      <w:r>
        <w:noBreakHyphen/>
        <w:t>16 and 2018</w:t>
      </w:r>
      <w:r>
        <w:noBreakHyphen/>
        <w:t xml:space="preserve">19. </w:t>
      </w:r>
      <w:r w:rsidR="00F0054A">
        <w:t>Over that period,</w:t>
      </w:r>
      <w:r w:rsidR="00727125">
        <w:t xml:space="preserve"> the per capita value of property transferred fell nationally by 11%. The per capita value of property transferred in New</w:t>
      </w:r>
      <w:r w:rsidR="00C2481F">
        <w:t> </w:t>
      </w:r>
      <w:r w:rsidR="00727125">
        <w:t>South</w:t>
      </w:r>
      <w:r w:rsidR="00C2481F">
        <w:t> </w:t>
      </w:r>
      <w:r w:rsidR="00727125">
        <w:t>Wales and Western</w:t>
      </w:r>
      <w:r w:rsidR="00C2481F">
        <w:t> </w:t>
      </w:r>
      <w:r w:rsidR="00727125">
        <w:t xml:space="preserve">Australia fell by more than the average. Per capita values in Queensland fell by </w:t>
      </w:r>
      <w:r w:rsidR="00BF3FCB">
        <w:t>slightly less than</w:t>
      </w:r>
      <w:r w:rsidR="00727125">
        <w:t xml:space="preserve"> the average and the per capita values in the other States </w:t>
      </w:r>
      <w:r w:rsidR="002D79C8">
        <w:t>fell</w:t>
      </w:r>
      <w:r w:rsidR="00950F66">
        <w:t xml:space="preserve"> </w:t>
      </w:r>
      <w:r w:rsidR="002D79C8">
        <w:t>by less than the average</w:t>
      </w:r>
      <w:r w:rsidR="00D71ED0">
        <w:t xml:space="preserve"> or </w:t>
      </w:r>
      <w:r w:rsidR="00950F66">
        <w:t>grew</w:t>
      </w:r>
      <w:r w:rsidR="00727125">
        <w:t xml:space="preserve">. </w:t>
      </w:r>
    </w:p>
    <w:p w14:paraId="52C08FAB" w14:textId="79176D08" w:rsidR="00727125" w:rsidRDefault="00727125" w:rsidP="00727125">
      <w:pPr>
        <w:pStyle w:val="CGCParaNumber"/>
      </w:pPr>
      <w:r>
        <w:t xml:space="preserve">These differences in per capita growth rates </w:t>
      </w:r>
      <w:r w:rsidR="005425E8">
        <w:t>reduced the revenue raising capacit</w:t>
      </w:r>
      <w:r w:rsidR="007A2347">
        <w:t>ies</w:t>
      </w:r>
      <w:r w:rsidR="005425E8">
        <w:t xml:space="preserve"> of</w:t>
      </w:r>
      <w:r>
        <w:t xml:space="preserve"> New</w:t>
      </w:r>
      <w:r w:rsidR="005425E8">
        <w:t> </w:t>
      </w:r>
      <w:r>
        <w:t>South</w:t>
      </w:r>
      <w:r w:rsidR="005425E8">
        <w:t> </w:t>
      </w:r>
      <w:r>
        <w:t>Wales and Western</w:t>
      </w:r>
      <w:r w:rsidR="005425E8">
        <w:t> </w:t>
      </w:r>
      <w:r>
        <w:t>Australia</w:t>
      </w:r>
      <w:r w:rsidR="005425E8">
        <w:t>, increasing their GST requirements by $</w:t>
      </w:r>
      <w:r w:rsidR="005425E8" w:rsidRPr="00754A55">
        <w:t>348</w:t>
      </w:r>
      <w:r w:rsidR="005425E8">
        <w:t> million</w:t>
      </w:r>
      <w:r>
        <w:t xml:space="preserve"> </w:t>
      </w:r>
      <w:r w:rsidR="005425E8">
        <w:t xml:space="preserve">and </w:t>
      </w:r>
      <w:r>
        <w:t>$</w:t>
      </w:r>
      <w:r w:rsidRPr="00754A55">
        <w:t>48</w:t>
      </w:r>
      <w:r w:rsidR="005425E8">
        <w:t> </w:t>
      </w:r>
      <w:r>
        <w:t>million</w:t>
      </w:r>
      <w:r w:rsidR="005425E8">
        <w:t>, respectively.</w:t>
      </w:r>
      <w:r>
        <w:t xml:space="preserve"> </w:t>
      </w:r>
      <w:r w:rsidR="005A355B">
        <w:t>Conversely, the revenue raising capaci</w:t>
      </w:r>
      <w:r w:rsidR="007A2347">
        <w:t xml:space="preserve">ties of </w:t>
      </w:r>
      <w:r w:rsidR="0006792F">
        <w:t xml:space="preserve">other States </w:t>
      </w:r>
      <w:r w:rsidR="00846C08">
        <w:t>increased</w:t>
      </w:r>
      <w:r w:rsidR="00310886">
        <w:t xml:space="preserve">, </w:t>
      </w:r>
      <w:r w:rsidR="00236B98">
        <w:t>leading to a reduction in</w:t>
      </w:r>
      <w:r w:rsidR="0006792F">
        <w:t xml:space="preserve"> the</w:t>
      </w:r>
      <w:r w:rsidR="00846C08">
        <w:t xml:space="preserve"> GST requirements </w:t>
      </w:r>
      <w:r w:rsidR="0006792F">
        <w:t xml:space="preserve">of </w:t>
      </w:r>
      <w:r>
        <w:t>Victoria</w:t>
      </w:r>
      <w:r w:rsidR="0006792F">
        <w:t xml:space="preserve"> ($</w:t>
      </w:r>
      <w:r w:rsidR="00BA4B5B" w:rsidRPr="00754A55">
        <w:t>17</w:t>
      </w:r>
      <w:r w:rsidR="00754A55">
        <w:t>9</w:t>
      </w:r>
      <w:r w:rsidR="003B2648">
        <w:t> </w:t>
      </w:r>
      <w:r w:rsidR="00BA4B5B">
        <w:t>million</w:t>
      </w:r>
      <w:r w:rsidR="0006792F">
        <w:t>)</w:t>
      </w:r>
      <w:r w:rsidR="0068003F">
        <w:t>,</w:t>
      </w:r>
      <w:r>
        <w:t xml:space="preserve"> Queensland</w:t>
      </w:r>
      <w:r w:rsidR="0006792F">
        <w:t xml:space="preserve"> ($</w:t>
      </w:r>
      <w:r w:rsidRPr="00754A55">
        <w:t>70</w:t>
      </w:r>
      <w:r w:rsidR="003B2648">
        <w:t> </w:t>
      </w:r>
      <w:r>
        <w:t>million</w:t>
      </w:r>
      <w:r w:rsidR="0006792F">
        <w:t>)</w:t>
      </w:r>
      <w:r w:rsidR="00984032">
        <w:t xml:space="preserve">, South Australia </w:t>
      </w:r>
      <w:r w:rsidR="0006792F">
        <w:t>(</w:t>
      </w:r>
      <w:r w:rsidR="000D6692">
        <w:t xml:space="preserve">$84 million) </w:t>
      </w:r>
      <w:r w:rsidR="00984032">
        <w:t>and Tasmania</w:t>
      </w:r>
      <w:r>
        <w:t xml:space="preserve"> </w:t>
      </w:r>
      <w:r w:rsidR="000D6692">
        <w:t>($24 million)</w:t>
      </w:r>
      <w:r>
        <w:t>.</w:t>
      </w:r>
    </w:p>
    <w:p w14:paraId="3D94FE82" w14:textId="696E2A2F" w:rsidR="008D419A" w:rsidRDefault="00620753" w:rsidP="008D419A">
      <w:pPr>
        <w:pStyle w:val="CGCTableHeading"/>
      </w:pPr>
      <w:bookmarkStart w:id="32" w:name="_Ref30714653"/>
      <w:r>
        <w:t xml:space="preserve">Figure </w:t>
      </w:r>
      <w:r w:rsidR="007D70A7">
        <w:t>2</w:t>
      </w:r>
      <w:r w:rsidR="007D70A7">
        <w:noBreakHyphen/>
      </w:r>
      <w:r>
        <w:fldChar w:fldCharType="begin"/>
      </w:r>
      <w:r>
        <w:instrText>SEQ Figure \* ARABIC</w:instrText>
      </w:r>
      <w:r>
        <w:fldChar w:fldCharType="separate"/>
      </w:r>
      <w:r w:rsidR="003D49C2">
        <w:rPr>
          <w:noProof/>
        </w:rPr>
        <w:t>2</w:t>
      </w:r>
      <w:r>
        <w:fldChar w:fldCharType="end"/>
      </w:r>
      <w:bookmarkEnd w:id="32"/>
      <w:r w:rsidR="003A06C7">
        <w:tab/>
      </w:r>
      <w:r w:rsidR="00582A9F">
        <w:t>V</w:t>
      </w:r>
      <w:r w:rsidR="002135F3">
        <w:t>alue of property transfer</w:t>
      </w:r>
      <w:r w:rsidR="001F1A20">
        <w:t>s</w:t>
      </w:r>
      <w:r w:rsidR="00582A9F">
        <w:t xml:space="preserve"> per capita</w:t>
      </w:r>
      <w:r w:rsidR="001F1A20">
        <w:t>,</w:t>
      </w:r>
      <w:r w:rsidR="002135F3">
        <w:t xml:space="preserve"> 2015</w:t>
      </w:r>
      <w:r w:rsidR="002135F3">
        <w:noBreakHyphen/>
        <w:t>16 and 2018</w:t>
      </w:r>
      <w:r w:rsidR="002135F3">
        <w:noBreakHyphen/>
        <w:t>19</w:t>
      </w:r>
    </w:p>
    <w:p w14:paraId="51259373" w14:textId="6649CFA0" w:rsidR="00931856" w:rsidRPr="00931856" w:rsidRDefault="00931856" w:rsidP="00931856">
      <w:r>
        <w:rPr>
          <w:noProof/>
        </w:rPr>
        <w:drawing>
          <wp:inline distT="0" distB="0" distL="0" distR="0" wp14:anchorId="23C9F615" wp14:editId="4030C336">
            <wp:extent cx="5657850" cy="3572510"/>
            <wp:effectExtent l="0" t="0" r="0" b="8890"/>
            <wp:docPr id="1119536709" name="Picture 4" descr="This bar graph compares property transfers by state for 2015-16 and 2018-19. New South Wales is significantly higher than any other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5657850" cy="3572510"/>
                    </a:xfrm>
                    <a:prstGeom prst="rect">
                      <a:avLst/>
                    </a:prstGeom>
                  </pic:spPr>
                </pic:pic>
              </a:graphicData>
            </a:graphic>
          </wp:inline>
        </w:drawing>
      </w:r>
    </w:p>
    <w:p w14:paraId="6FAD8A2C" w14:textId="21CB6E7C" w:rsidR="00420AF5" w:rsidRDefault="00420AF5" w:rsidP="002135F3">
      <w:pPr>
        <w:pStyle w:val="CGCTablenote"/>
      </w:pPr>
      <w:r>
        <w:t>Note:</w:t>
      </w:r>
      <w:r>
        <w:tab/>
        <w:t xml:space="preserve">Total </w:t>
      </w:r>
      <w:r w:rsidR="00E078AE">
        <w:t>value of taxable property transfers in a State divided by the resident population in that State.</w:t>
      </w:r>
    </w:p>
    <w:p w14:paraId="6AC9A5CF" w14:textId="337FD321" w:rsidR="002135F3" w:rsidRDefault="002135F3" w:rsidP="002135F3">
      <w:pPr>
        <w:pStyle w:val="CGCTablenote"/>
      </w:pPr>
      <w:r>
        <w:t>Source</w:t>
      </w:r>
      <w:r w:rsidR="003505CA">
        <w:t>:</w:t>
      </w:r>
      <w:r>
        <w:tab/>
        <w:t>State provided data.</w:t>
      </w:r>
    </w:p>
    <w:p w14:paraId="38388744" w14:textId="77777777" w:rsidR="008859F8" w:rsidRDefault="008859F8">
      <w:pPr>
        <w:tabs>
          <w:tab w:val="clear" w:pos="567"/>
        </w:tabs>
        <w:spacing w:before="0" w:after="160" w:line="259" w:lineRule="auto"/>
        <w:rPr>
          <w:rFonts w:ascii="Montserrat Semi Bold" w:eastAsiaTheme="majorEastAsia" w:hAnsi="Montserrat Semi Bold" w:cstheme="majorBidi"/>
          <w:color w:val="636466"/>
          <w:sz w:val="24"/>
        </w:rPr>
      </w:pPr>
      <w:r>
        <w:br w:type="page"/>
      </w:r>
    </w:p>
    <w:p w14:paraId="22C38977" w14:textId="488F3030" w:rsidR="0099569A" w:rsidRDefault="0099569A" w:rsidP="0099569A">
      <w:pPr>
        <w:pStyle w:val="Heading5"/>
      </w:pPr>
      <w:r>
        <w:lastRenderedPageBreak/>
        <w:t>Taxable land values</w:t>
      </w:r>
    </w:p>
    <w:p w14:paraId="285EFDB1" w14:textId="5D67A00E" w:rsidR="0099569A" w:rsidRDefault="0086329A" w:rsidP="0099569A">
      <w:pPr>
        <w:pStyle w:val="CGCParaNumber"/>
      </w:pPr>
      <w:r w:rsidRPr="0086329A">
        <w:t xml:space="preserve">Property market cycles change State land values and their land tax capacities. </w:t>
      </w:r>
      <w:r w:rsidR="007D5110">
        <w:fldChar w:fldCharType="begin"/>
      </w:r>
      <w:r w:rsidR="007D5110">
        <w:instrText xml:space="preserve"> REF _Ref31300864 \h </w:instrText>
      </w:r>
      <w:r w:rsidR="007D5110">
        <w:fldChar w:fldCharType="separate"/>
      </w:r>
      <w:r w:rsidR="003D49C2">
        <w:t>Figure 2</w:t>
      </w:r>
      <w:r w:rsidR="003D49C2">
        <w:noBreakHyphen/>
      </w:r>
      <w:r w:rsidR="003D49C2">
        <w:rPr>
          <w:noProof/>
        </w:rPr>
        <w:t>3</w:t>
      </w:r>
      <w:r w:rsidR="007D5110">
        <w:fldChar w:fldCharType="end"/>
      </w:r>
      <w:r w:rsidR="007D5110">
        <w:t xml:space="preserve"> shows the change in States’ per capita taxable land values between 2015</w:t>
      </w:r>
      <w:r w:rsidR="007D5110">
        <w:noBreakHyphen/>
        <w:t>16 and 2018</w:t>
      </w:r>
      <w:r w:rsidR="007D5110">
        <w:noBreakHyphen/>
        <w:t>19. Over that period</w:t>
      </w:r>
      <w:r w:rsidRPr="0086329A">
        <w:t>, most States experienced growth in the per capita value of their taxable land. New</w:t>
      </w:r>
      <w:r w:rsidR="0091038B">
        <w:t> </w:t>
      </w:r>
      <w:r w:rsidRPr="0086329A">
        <w:t>South</w:t>
      </w:r>
      <w:r w:rsidR="0091038B">
        <w:t> </w:t>
      </w:r>
      <w:r w:rsidRPr="0086329A">
        <w:t>Wales (</w:t>
      </w:r>
      <w:r w:rsidR="000553A0">
        <w:t>44</w:t>
      </w:r>
      <w:r w:rsidRPr="0086329A">
        <w:t>%) and Victoria (</w:t>
      </w:r>
      <w:r w:rsidR="001B45C0">
        <w:t>35</w:t>
      </w:r>
      <w:r w:rsidRPr="0086329A">
        <w:t>%) experienced growth in excess of the average (29%)</w:t>
      </w:r>
      <w:r w:rsidR="00837899">
        <w:t xml:space="preserve">, </w:t>
      </w:r>
      <w:r w:rsidR="00E62BA2">
        <w:t>increas</w:t>
      </w:r>
      <w:r w:rsidR="00837899">
        <w:t>ing</w:t>
      </w:r>
      <w:r w:rsidR="00E62BA2">
        <w:t xml:space="preserve"> </w:t>
      </w:r>
      <w:r w:rsidR="00E451CA">
        <w:t>the</w:t>
      </w:r>
      <w:r w:rsidR="00837899">
        <w:t>ir</w:t>
      </w:r>
      <w:r w:rsidR="00E451CA">
        <w:t xml:space="preserve"> </w:t>
      </w:r>
      <w:r w:rsidR="00E62BA2">
        <w:t>revenue raising capacities</w:t>
      </w:r>
      <w:r w:rsidR="00837899">
        <w:t>. Consequently,</w:t>
      </w:r>
      <w:r w:rsidR="00310EE9">
        <w:t xml:space="preserve"> </w:t>
      </w:r>
      <w:r w:rsidR="00837899">
        <w:t xml:space="preserve">the </w:t>
      </w:r>
      <w:r w:rsidR="00AE5558">
        <w:t xml:space="preserve">GST </w:t>
      </w:r>
      <w:r w:rsidR="00310EE9">
        <w:t>requir</w:t>
      </w:r>
      <w:r w:rsidR="004B0D96">
        <w:t xml:space="preserve">ements </w:t>
      </w:r>
      <w:r w:rsidR="00837899">
        <w:t xml:space="preserve">of New South Wales and Victoria were </w:t>
      </w:r>
      <w:r w:rsidR="00C140AA">
        <w:t xml:space="preserve">reduced </w:t>
      </w:r>
      <w:r w:rsidR="004B0D96">
        <w:t>by $</w:t>
      </w:r>
      <w:r w:rsidR="004B0D96" w:rsidRPr="00000DC6">
        <w:t>20</w:t>
      </w:r>
      <w:r w:rsidR="00000DC6" w:rsidRPr="00000DC6">
        <w:t>0</w:t>
      </w:r>
      <w:r w:rsidR="004B0D96">
        <w:t> million and $</w:t>
      </w:r>
      <w:r w:rsidR="004B0D96" w:rsidRPr="00000DC6">
        <w:t>1</w:t>
      </w:r>
      <w:r w:rsidR="00000DC6" w:rsidRPr="00000DC6">
        <w:t>7</w:t>
      </w:r>
      <w:r w:rsidR="00000DC6">
        <w:t>2</w:t>
      </w:r>
      <w:r w:rsidR="004B0D96">
        <w:t> million</w:t>
      </w:r>
      <w:r w:rsidR="00310EE9">
        <w:t>,</w:t>
      </w:r>
      <w:r w:rsidRPr="0086329A">
        <w:t xml:space="preserve"> </w:t>
      </w:r>
      <w:r w:rsidR="004B0D96">
        <w:t>respectively</w:t>
      </w:r>
      <w:r w:rsidRPr="0086329A">
        <w:t xml:space="preserve">. The </w:t>
      </w:r>
      <w:r w:rsidR="00CC75CC">
        <w:t xml:space="preserve">GST requirements </w:t>
      </w:r>
      <w:r w:rsidR="00191904">
        <w:t>of</w:t>
      </w:r>
      <w:r w:rsidR="00CC75CC">
        <w:t xml:space="preserve"> </w:t>
      </w:r>
      <w:r w:rsidRPr="0086329A">
        <w:t>the other States rose, particularly Queensland ($</w:t>
      </w:r>
      <w:r w:rsidRPr="00000DC6">
        <w:t>139</w:t>
      </w:r>
      <w:r w:rsidR="0091038B">
        <w:t> </w:t>
      </w:r>
      <w:r w:rsidRPr="0086329A">
        <w:t>million) and Western</w:t>
      </w:r>
      <w:r w:rsidR="0091038B">
        <w:t> </w:t>
      </w:r>
      <w:r w:rsidRPr="0086329A">
        <w:t>Australia ($</w:t>
      </w:r>
      <w:r w:rsidRPr="004F1A72">
        <w:t>15</w:t>
      </w:r>
      <w:r w:rsidR="004F1A72" w:rsidRPr="004F1A72">
        <w:t>7</w:t>
      </w:r>
      <w:r w:rsidRPr="0086329A">
        <w:t xml:space="preserve"> million). </w:t>
      </w:r>
      <w:r w:rsidR="00C63E46">
        <w:t>Overall, t</w:t>
      </w:r>
      <w:r w:rsidRPr="0086329A">
        <w:t xml:space="preserve">he </w:t>
      </w:r>
      <w:r w:rsidR="00C63E46">
        <w:t>changes redistributed</w:t>
      </w:r>
      <w:r w:rsidRPr="0086329A">
        <w:t xml:space="preserve"> $</w:t>
      </w:r>
      <w:r w:rsidRPr="004F1A72">
        <w:t>3</w:t>
      </w:r>
      <w:r w:rsidR="004F1A72" w:rsidRPr="004F1A72">
        <w:t>72</w:t>
      </w:r>
      <w:r w:rsidR="0091038B">
        <w:t> </w:t>
      </w:r>
      <w:r w:rsidRPr="0086329A">
        <w:t>million.</w:t>
      </w:r>
      <w:r w:rsidR="003B0B4A">
        <w:t xml:space="preserve"> </w:t>
      </w:r>
    </w:p>
    <w:p w14:paraId="08C82855" w14:textId="0CCD0697" w:rsidR="00F00357" w:rsidRDefault="00E344FA" w:rsidP="00F00357">
      <w:pPr>
        <w:pStyle w:val="CGCTableHeading"/>
      </w:pPr>
      <w:bookmarkStart w:id="33" w:name="_Ref31300864"/>
      <w:r>
        <w:t xml:space="preserve">Figure </w:t>
      </w:r>
      <w:r w:rsidR="00D5059E">
        <w:t>2</w:t>
      </w:r>
      <w:r w:rsidR="00D5059E">
        <w:noBreakHyphen/>
      </w:r>
      <w:r>
        <w:fldChar w:fldCharType="begin"/>
      </w:r>
      <w:r>
        <w:instrText>SEQ Figure \* ARABIC</w:instrText>
      </w:r>
      <w:r>
        <w:fldChar w:fldCharType="separate"/>
      </w:r>
      <w:r w:rsidR="003D49C2">
        <w:rPr>
          <w:noProof/>
        </w:rPr>
        <w:t>3</w:t>
      </w:r>
      <w:r>
        <w:fldChar w:fldCharType="end"/>
      </w:r>
      <w:bookmarkEnd w:id="33"/>
      <w:r w:rsidR="0099442A">
        <w:tab/>
        <w:t>Taxable land values per capita by State, 2015</w:t>
      </w:r>
      <w:r w:rsidR="0099442A">
        <w:noBreakHyphen/>
        <w:t>16 and 201</w:t>
      </w:r>
      <w:r w:rsidR="00A54247">
        <w:t>8</w:t>
      </w:r>
      <w:r w:rsidR="0099442A">
        <w:noBreakHyphen/>
      </w:r>
      <w:r w:rsidR="00A54247">
        <w:t>19</w:t>
      </w:r>
    </w:p>
    <w:p w14:paraId="6507B392" w14:textId="402A72E6" w:rsidR="00455A4B" w:rsidRPr="00455A4B" w:rsidRDefault="00455A4B" w:rsidP="00455A4B">
      <w:r w:rsidRPr="00455A4B">
        <w:rPr>
          <w:noProof/>
        </w:rPr>
        <w:drawing>
          <wp:inline distT="0" distB="0" distL="0" distR="0" wp14:anchorId="368E9785" wp14:editId="0691E0A6">
            <wp:extent cx="5654040" cy="3566160"/>
            <wp:effectExtent l="0" t="0" r="3810" b="0"/>
            <wp:docPr id="5" name="Picture 5" descr="This bar graph compares taxable land values by state for 2015-16 and 2018-19. New South Wales and Victoria are significantly higher than the oth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040" cy="3566160"/>
                    </a:xfrm>
                    <a:prstGeom prst="rect">
                      <a:avLst/>
                    </a:prstGeom>
                    <a:noFill/>
                    <a:ln>
                      <a:noFill/>
                    </a:ln>
                  </pic:spPr>
                </pic:pic>
              </a:graphicData>
            </a:graphic>
          </wp:inline>
        </w:drawing>
      </w:r>
    </w:p>
    <w:p w14:paraId="05D322C7" w14:textId="01000349" w:rsidR="0099442A" w:rsidRDefault="0099442A" w:rsidP="0099442A">
      <w:pPr>
        <w:pStyle w:val="CGCTablenote"/>
      </w:pPr>
      <w:r>
        <w:t>Note:</w:t>
      </w:r>
      <w:r>
        <w:tab/>
      </w:r>
      <w:r w:rsidR="00D75C4E">
        <w:t>Total value of taxable land in a State divided by the resident population in that State.</w:t>
      </w:r>
    </w:p>
    <w:p w14:paraId="34012A12" w14:textId="684EC537" w:rsidR="0099442A" w:rsidRPr="0099442A" w:rsidRDefault="0099442A" w:rsidP="0099442A">
      <w:pPr>
        <w:pStyle w:val="CGCTablenote"/>
      </w:pPr>
      <w:r>
        <w:t>Source:</w:t>
      </w:r>
      <w:r>
        <w:tab/>
        <w:t>State provided data.</w:t>
      </w:r>
    </w:p>
    <w:p w14:paraId="762BF120" w14:textId="77777777" w:rsidR="008859F8" w:rsidRDefault="008859F8">
      <w:pPr>
        <w:tabs>
          <w:tab w:val="clear" w:pos="567"/>
        </w:tabs>
        <w:spacing w:before="0" w:after="160" w:line="259" w:lineRule="auto"/>
        <w:rPr>
          <w:rFonts w:ascii="Montserrat Semi Bold" w:eastAsiaTheme="majorEastAsia" w:hAnsi="Montserrat Semi Bold" w:cstheme="majorBidi"/>
          <w:color w:val="636466"/>
          <w:sz w:val="24"/>
        </w:rPr>
      </w:pPr>
      <w:r>
        <w:br w:type="page"/>
      </w:r>
    </w:p>
    <w:p w14:paraId="66400A70" w14:textId="6BAA0FC5" w:rsidR="00000634" w:rsidRDefault="00000634" w:rsidP="0099569A">
      <w:pPr>
        <w:pStyle w:val="Heading5"/>
      </w:pPr>
      <w:r>
        <w:lastRenderedPageBreak/>
        <w:t>Taxable payrolls</w:t>
      </w:r>
    </w:p>
    <w:p w14:paraId="45A65CA5" w14:textId="20F1D806" w:rsidR="00000634" w:rsidRDefault="008A595F" w:rsidP="00000634">
      <w:pPr>
        <w:pStyle w:val="CGCParaNumber"/>
      </w:pPr>
      <w:r>
        <w:t xml:space="preserve">Changes </w:t>
      </w:r>
      <w:r w:rsidR="00D60339">
        <w:t xml:space="preserve">in States’ capacities to raise payroll tax </w:t>
      </w:r>
      <w:r w:rsidR="00D60339" w:rsidRPr="003D2778">
        <w:t xml:space="preserve">redistributed </w:t>
      </w:r>
      <w:r w:rsidR="00750F03" w:rsidRPr="003D2778">
        <w:t>$</w:t>
      </w:r>
      <w:r w:rsidR="009D780F" w:rsidRPr="003D2778">
        <w:t>111</w:t>
      </w:r>
      <w:r w:rsidR="006C6525">
        <w:t> </w:t>
      </w:r>
      <w:r w:rsidR="009D780F" w:rsidRPr="003D2778">
        <w:t>million</w:t>
      </w:r>
      <w:r w:rsidR="00AB5EFF">
        <w:t xml:space="preserve"> in GST revenue. </w:t>
      </w:r>
      <w:r w:rsidR="00470C0D">
        <w:t>The redistribution</w:t>
      </w:r>
      <w:r w:rsidR="00717A11">
        <w:t xml:space="preserve"> was driven by differences across States in the rate of growth </w:t>
      </w:r>
      <w:r w:rsidR="003D118A">
        <w:t>of taxable payrolls between 2015</w:t>
      </w:r>
      <w:r w:rsidR="002A34CC">
        <w:noBreakHyphen/>
      </w:r>
      <w:r w:rsidR="003D118A">
        <w:t>16 and 2018</w:t>
      </w:r>
      <w:r w:rsidR="002A34CC">
        <w:noBreakHyphen/>
      </w:r>
      <w:r w:rsidR="003D118A">
        <w:t xml:space="preserve">19. These differences are shown in </w:t>
      </w:r>
      <w:r w:rsidR="00A77AB3">
        <w:fldChar w:fldCharType="begin"/>
      </w:r>
      <w:r w:rsidR="00A77AB3">
        <w:instrText xml:space="preserve"> REF _Ref31187682 \h </w:instrText>
      </w:r>
      <w:r w:rsidR="00A77AB3">
        <w:fldChar w:fldCharType="separate"/>
      </w:r>
      <w:r w:rsidR="003D49C2">
        <w:t>Figure 2</w:t>
      </w:r>
      <w:r w:rsidR="003D49C2">
        <w:noBreakHyphen/>
      </w:r>
      <w:r w:rsidR="003D49C2">
        <w:rPr>
          <w:noProof/>
        </w:rPr>
        <w:t>4</w:t>
      </w:r>
      <w:r w:rsidR="00A77AB3">
        <w:fldChar w:fldCharType="end"/>
      </w:r>
      <w:r w:rsidR="00BD12B3">
        <w:t xml:space="preserve">. </w:t>
      </w:r>
    </w:p>
    <w:p w14:paraId="5DA8FBF2" w14:textId="47D14748" w:rsidR="00377A1F" w:rsidRDefault="00377A1F" w:rsidP="00000634">
      <w:pPr>
        <w:pStyle w:val="CGCParaNumber"/>
      </w:pPr>
      <w:r>
        <w:t xml:space="preserve">The Commission uses </w:t>
      </w:r>
      <w:r w:rsidR="00753847">
        <w:t>Australian Bureau of Statistics (</w:t>
      </w:r>
      <w:r>
        <w:t>ABS</w:t>
      </w:r>
      <w:r w:rsidR="00753847">
        <w:t>)</w:t>
      </w:r>
      <w:r>
        <w:t xml:space="preserve"> Compensation of Employees (CoE) data to measure States’ payroll tax bases.</w:t>
      </w:r>
      <w:r w:rsidR="00066CBE">
        <w:t xml:space="preserve"> National average growth in taxable CoE per capita between 2015</w:t>
      </w:r>
      <w:r w:rsidR="002A34CC">
        <w:noBreakHyphen/>
      </w:r>
      <w:r w:rsidR="00066CBE">
        <w:t>16 and 2018</w:t>
      </w:r>
      <w:r w:rsidR="002A34CC">
        <w:noBreakHyphen/>
      </w:r>
      <w:r w:rsidR="00066CBE">
        <w:t xml:space="preserve">19 was </w:t>
      </w:r>
      <w:r w:rsidR="00107E14" w:rsidRPr="00F65287">
        <w:t>10%.</w:t>
      </w:r>
      <w:r w:rsidR="00107E14">
        <w:t xml:space="preserve"> </w:t>
      </w:r>
      <w:r w:rsidR="0012086B">
        <w:t>New</w:t>
      </w:r>
      <w:r w:rsidR="002A34CC">
        <w:t> </w:t>
      </w:r>
      <w:r w:rsidR="0012086B">
        <w:t>South</w:t>
      </w:r>
      <w:r w:rsidR="002A34CC">
        <w:t> </w:t>
      </w:r>
      <w:r w:rsidR="0012086B">
        <w:t>Wales, Victoria</w:t>
      </w:r>
      <w:r w:rsidR="00886E50">
        <w:t>, Queensland, South</w:t>
      </w:r>
      <w:r w:rsidR="002A34CC">
        <w:t> </w:t>
      </w:r>
      <w:r w:rsidR="00886E50">
        <w:t>Australia, Tasmania and the ACT</w:t>
      </w:r>
      <w:r w:rsidR="004F6CA0">
        <w:t xml:space="preserve"> had above average growth in CoE </w:t>
      </w:r>
      <w:r w:rsidR="00280566">
        <w:t xml:space="preserve">over the period, increasing their capacities to raise payroll tax and reducing their GST shares. </w:t>
      </w:r>
    </w:p>
    <w:p w14:paraId="5403F967" w14:textId="16BDF85A" w:rsidR="001C741D" w:rsidRDefault="00FD6F32" w:rsidP="00000634">
      <w:pPr>
        <w:pStyle w:val="CGCParaNumber"/>
      </w:pPr>
      <w:r>
        <w:t>Western Australia and the Northern Territory</w:t>
      </w:r>
      <w:r w:rsidR="002A1544">
        <w:t>’</w:t>
      </w:r>
      <w:r>
        <w:t xml:space="preserve">s </w:t>
      </w:r>
      <w:r w:rsidR="001C741D">
        <w:t xml:space="preserve">taxable CoE per capita changed </w:t>
      </w:r>
      <w:r w:rsidR="00A90615">
        <w:t xml:space="preserve">little </w:t>
      </w:r>
      <w:r w:rsidR="001C741D">
        <w:t>between 2015</w:t>
      </w:r>
      <w:r w:rsidR="002A34CC">
        <w:noBreakHyphen/>
      </w:r>
      <w:r w:rsidR="001C741D">
        <w:t>16 to 2018</w:t>
      </w:r>
      <w:r w:rsidR="002A34CC">
        <w:noBreakHyphen/>
      </w:r>
      <w:r w:rsidR="001C741D">
        <w:t>19</w:t>
      </w:r>
      <w:r w:rsidR="00B33228">
        <w:t>, reducin</w:t>
      </w:r>
      <w:r w:rsidR="007664B0">
        <w:t>g</w:t>
      </w:r>
      <w:r w:rsidR="00B33228">
        <w:t xml:space="preserve"> </w:t>
      </w:r>
      <w:r w:rsidR="007664B0">
        <w:t xml:space="preserve">their </w:t>
      </w:r>
      <w:r w:rsidR="00DD1F2B">
        <w:t xml:space="preserve">relative capacity </w:t>
      </w:r>
      <w:r w:rsidR="00B33228">
        <w:t>to raise payroll tax and increas</w:t>
      </w:r>
      <w:r w:rsidR="00D83F06">
        <w:t>ing</w:t>
      </w:r>
      <w:r w:rsidR="00B33228">
        <w:t xml:space="preserve"> their GST shares</w:t>
      </w:r>
      <w:r w:rsidR="00B41FF0">
        <w:t xml:space="preserve">. </w:t>
      </w:r>
      <w:r w:rsidR="00A5681D">
        <w:t xml:space="preserve">While </w:t>
      </w:r>
      <w:r w:rsidR="00B41FF0">
        <w:t>Western</w:t>
      </w:r>
      <w:r w:rsidR="0001681E">
        <w:t> </w:t>
      </w:r>
      <w:r w:rsidR="00B41FF0">
        <w:t>Australia</w:t>
      </w:r>
      <w:r w:rsidR="00A5681D">
        <w:t xml:space="preserve"> </w:t>
      </w:r>
      <w:r w:rsidR="005B25A7">
        <w:t>ha</w:t>
      </w:r>
      <w:r w:rsidR="007760DD">
        <w:t>d</w:t>
      </w:r>
      <w:r w:rsidR="00A5681D">
        <w:t xml:space="preserve"> </w:t>
      </w:r>
      <w:r w:rsidR="00561FAC">
        <w:t xml:space="preserve">the highest </w:t>
      </w:r>
      <w:r w:rsidR="00947943">
        <w:t xml:space="preserve">per capita </w:t>
      </w:r>
      <w:r w:rsidR="00561FAC">
        <w:t>taxable CoE of any State</w:t>
      </w:r>
      <w:r w:rsidR="005B25A7">
        <w:t xml:space="preserve">, the </w:t>
      </w:r>
      <w:r w:rsidR="00F14F1E">
        <w:t>difference</w:t>
      </w:r>
      <w:r w:rsidR="00FC3366">
        <w:t xml:space="preserve"> between Western</w:t>
      </w:r>
      <w:r w:rsidR="0001681E">
        <w:t> </w:t>
      </w:r>
      <w:r w:rsidR="00FC3366">
        <w:t xml:space="preserve">Australia and the other States </w:t>
      </w:r>
      <w:r w:rsidR="00FA1A42">
        <w:t>declined</w:t>
      </w:r>
      <w:r w:rsidR="005A5A2F">
        <w:t xml:space="preserve"> </w:t>
      </w:r>
      <w:r w:rsidR="005816B9">
        <w:t>over the period</w:t>
      </w:r>
      <w:r w:rsidR="004473C0">
        <w:t>.</w:t>
      </w:r>
    </w:p>
    <w:p w14:paraId="0DA75DC3" w14:textId="7C7DB1D1" w:rsidR="00162C9C" w:rsidRDefault="00A77AB3" w:rsidP="00A77AB3">
      <w:pPr>
        <w:pStyle w:val="Caption"/>
      </w:pPr>
      <w:bookmarkStart w:id="34" w:name="_Ref31187682"/>
      <w:r>
        <w:t xml:space="preserve">Figure </w:t>
      </w:r>
      <w:r w:rsidR="00D5059E">
        <w:t>2</w:t>
      </w:r>
      <w:r w:rsidR="00D5059E">
        <w:noBreakHyphen/>
      </w:r>
      <w:r>
        <w:fldChar w:fldCharType="begin"/>
      </w:r>
      <w:r>
        <w:instrText>SEQ Figure \* ARABIC</w:instrText>
      </w:r>
      <w:r>
        <w:fldChar w:fldCharType="separate"/>
      </w:r>
      <w:r w:rsidR="003D49C2">
        <w:rPr>
          <w:noProof/>
        </w:rPr>
        <w:t>4</w:t>
      </w:r>
      <w:r>
        <w:fldChar w:fldCharType="end"/>
      </w:r>
      <w:bookmarkEnd w:id="34"/>
      <w:r w:rsidR="003356FB">
        <w:tab/>
      </w:r>
      <w:r w:rsidR="00A57284">
        <w:t>Taxable c</w:t>
      </w:r>
      <w:r w:rsidR="003356FB">
        <w:t>ompensation of employees per capita by State, 2015</w:t>
      </w:r>
      <w:r w:rsidR="003356FB">
        <w:noBreakHyphen/>
        <w:t>16 and 2018</w:t>
      </w:r>
      <w:r w:rsidR="003356FB">
        <w:noBreakHyphen/>
        <w:t>19</w:t>
      </w:r>
    </w:p>
    <w:p w14:paraId="3FDA1FDB" w14:textId="3100ED02" w:rsidR="00A57284" w:rsidRPr="00A57284" w:rsidRDefault="00632F08" w:rsidP="00A57284">
      <w:r>
        <w:rPr>
          <w:noProof/>
        </w:rPr>
        <w:drawing>
          <wp:inline distT="0" distB="0" distL="0" distR="0" wp14:anchorId="5E0E74EB" wp14:editId="19275CDA">
            <wp:extent cx="5663565" cy="3542030"/>
            <wp:effectExtent l="0" t="0" r="0" b="1270"/>
            <wp:docPr id="49371683" name="Picture 20" descr="This bar graph compares taxable compensation by state for 2015-16 and 2018-19. Western Australia and the Northern territory are much higher than other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663565" cy="3542030"/>
                    </a:xfrm>
                    <a:prstGeom prst="rect">
                      <a:avLst/>
                    </a:prstGeom>
                  </pic:spPr>
                </pic:pic>
              </a:graphicData>
            </a:graphic>
          </wp:inline>
        </w:drawing>
      </w:r>
    </w:p>
    <w:p w14:paraId="1ED1C318" w14:textId="0ACE0523" w:rsidR="003356FB" w:rsidRPr="003356FB" w:rsidRDefault="003356FB" w:rsidP="003356FB">
      <w:pPr>
        <w:pStyle w:val="CGCTablenote"/>
      </w:pPr>
      <w:r>
        <w:t>Source:</w:t>
      </w:r>
      <w:r>
        <w:tab/>
        <w:t xml:space="preserve">Commission calculation based on </w:t>
      </w:r>
      <w:r w:rsidR="004F3D0F" w:rsidRPr="004F3D0F">
        <w:rPr>
          <w:lang w:val="en-AU"/>
        </w:rPr>
        <w:t xml:space="preserve">Australian Bureau of Statistics (ABS) </w:t>
      </w:r>
      <w:r>
        <w:t>data.</w:t>
      </w:r>
    </w:p>
    <w:p w14:paraId="18F3FFA6" w14:textId="77777777" w:rsidR="008859F8" w:rsidRDefault="008859F8">
      <w:pPr>
        <w:tabs>
          <w:tab w:val="clear" w:pos="567"/>
        </w:tabs>
        <w:spacing w:before="0" w:after="160" w:line="259" w:lineRule="auto"/>
        <w:rPr>
          <w:rFonts w:ascii="Montserrat Semi Bold" w:eastAsiaTheme="majorEastAsia" w:hAnsi="Montserrat Semi Bold" w:cstheme="majorBidi"/>
          <w:color w:val="636466"/>
          <w:sz w:val="24"/>
        </w:rPr>
      </w:pPr>
      <w:r>
        <w:br w:type="page"/>
      </w:r>
    </w:p>
    <w:p w14:paraId="63D6273B" w14:textId="0ECE3C82" w:rsidR="0099569A" w:rsidRDefault="0099569A" w:rsidP="0099569A">
      <w:pPr>
        <w:pStyle w:val="Heading5"/>
      </w:pPr>
      <w:r>
        <w:lastRenderedPageBreak/>
        <w:t>Commonwealth payments</w:t>
      </w:r>
    </w:p>
    <w:p w14:paraId="6890B8A1" w14:textId="1C763B40" w:rsidR="0099569A" w:rsidRDefault="00AA31FB" w:rsidP="0099569A">
      <w:pPr>
        <w:pStyle w:val="CGCParaNumber"/>
      </w:pPr>
      <w:r>
        <w:t xml:space="preserve">As well as the GST, the Commonwealth makes other payments to the States for specific purposes (PSPs). </w:t>
      </w:r>
      <w:r w:rsidRPr="002F4EDD">
        <w:rPr>
          <w:lang w:val="en-AU"/>
        </w:rPr>
        <w:t>Equalising</w:t>
      </w:r>
      <w:r>
        <w:t xml:space="preserve"> the fiscal capacity of the States to provide services requires </w:t>
      </w:r>
      <w:r w:rsidR="00574FF7">
        <w:t xml:space="preserve">that </w:t>
      </w:r>
      <w:r>
        <w:t xml:space="preserve">the Commission take account of the total expenditure and investment each State would </w:t>
      </w:r>
      <w:r w:rsidR="00092768">
        <w:t xml:space="preserve">incur to provide the average level of services and the revenue available to finance it. This includes the revenue </w:t>
      </w:r>
      <w:r w:rsidR="00370B18">
        <w:t xml:space="preserve">States </w:t>
      </w:r>
      <w:r w:rsidR="00092768">
        <w:t>can collect from their own tax bases under average policies and the revenue they receive through PSPs.</w:t>
      </w:r>
      <w:r w:rsidR="003E75B1">
        <w:rPr>
          <w:rStyle w:val="FootnoteReference"/>
        </w:rPr>
        <w:footnoteReference w:id="8"/>
      </w:r>
      <w:r w:rsidR="00FA0B67">
        <w:t xml:space="preserve"> To the extent that a State receives above average per capita amounts of PSPs, less GST is required to equali</w:t>
      </w:r>
      <w:r w:rsidR="00085846">
        <w:t>s</w:t>
      </w:r>
      <w:r w:rsidR="00FA0B67">
        <w:t>e its fiscal capacity. Conversely, if a State receives below average amounts of PSPs, it requires more GST.</w:t>
      </w:r>
    </w:p>
    <w:p w14:paraId="555ED7BB" w14:textId="731DEC4D" w:rsidR="00E4579B" w:rsidRDefault="00BF50A4" w:rsidP="00F34D8C">
      <w:pPr>
        <w:pStyle w:val="CGCParaNumber"/>
      </w:pPr>
      <w:r>
        <w:t>Between 2015</w:t>
      </w:r>
      <w:r w:rsidR="00EB5634">
        <w:noBreakHyphen/>
      </w:r>
      <w:r>
        <w:t>16 and 2018</w:t>
      </w:r>
      <w:r w:rsidR="00EB5634">
        <w:noBreakHyphen/>
      </w:r>
      <w:r>
        <w:t xml:space="preserve">19, there were changes in the amounts </w:t>
      </w:r>
      <w:r w:rsidR="002D2DFF">
        <w:t>paid and the interstate distribution of some PSPs</w:t>
      </w:r>
      <w:r w:rsidR="004A45A4">
        <w:t>, particularly payments for road and rail infrastructure</w:t>
      </w:r>
      <w:r w:rsidR="00072F0B">
        <w:t xml:space="preserve">, </w:t>
      </w:r>
      <w:r w:rsidR="00AA7CCE">
        <w:t>National heal</w:t>
      </w:r>
      <w:r w:rsidR="00283D49">
        <w:t xml:space="preserve">th reform and Quality schools </w:t>
      </w:r>
      <w:r w:rsidR="006A7A2C">
        <w:t>(</w:t>
      </w:r>
      <w:r w:rsidR="00283D49">
        <w:t xml:space="preserve">government </w:t>
      </w:r>
      <w:r w:rsidR="006A7A2C">
        <w:t>schools component)</w:t>
      </w:r>
      <w:r w:rsidR="005E4B1A">
        <w:t xml:space="preserve">, which </w:t>
      </w:r>
      <w:r w:rsidR="009206F3">
        <w:t>had flow</w:t>
      </w:r>
      <w:r w:rsidR="008E30C2">
        <w:t>-</w:t>
      </w:r>
      <w:r w:rsidR="009206F3">
        <w:t>on effec</w:t>
      </w:r>
      <w:r w:rsidR="005700E5">
        <w:t>t</w:t>
      </w:r>
      <w:r w:rsidR="009206F3">
        <w:t>s for the GST distr</w:t>
      </w:r>
      <w:r w:rsidR="00295848">
        <w:t>i</w:t>
      </w:r>
      <w:r w:rsidR="009206F3">
        <w:t>bution</w:t>
      </w:r>
      <w:r w:rsidR="008F292C">
        <w:t>.</w:t>
      </w:r>
      <w:r w:rsidR="00752DB4">
        <w:t xml:space="preserve"> </w:t>
      </w:r>
      <w:r w:rsidR="00DA3F1D">
        <w:t xml:space="preserve">In addition, </w:t>
      </w:r>
      <w:r w:rsidR="009A2551">
        <w:t>new</w:t>
      </w:r>
      <w:r w:rsidR="003C5DA8">
        <w:t xml:space="preserve"> </w:t>
      </w:r>
      <w:r w:rsidR="009A2551">
        <w:t xml:space="preserve">and ceased payments </w:t>
      </w:r>
      <w:r w:rsidR="003C5DA8">
        <w:t>in 2018</w:t>
      </w:r>
      <w:r w:rsidR="000342FB">
        <w:noBreakHyphen/>
      </w:r>
      <w:r w:rsidR="003C5DA8">
        <w:t>19</w:t>
      </w:r>
      <w:r w:rsidR="00185FC2">
        <w:t xml:space="preserve"> also affect </w:t>
      </w:r>
      <w:r w:rsidR="00311DE6">
        <w:t xml:space="preserve">the </w:t>
      </w:r>
      <w:r w:rsidR="00185FC2">
        <w:t>GST distribution</w:t>
      </w:r>
      <w:r w:rsidR="00D05468">
        <w:t>,</w:t>
      </w:r>
      <w:r w:rsidR="003C72A1">
        <w:t xml:space="preserve"> such as</w:t>
      </w:r>
      <w:r w:rsidR="00C61BDD">
        <w:t xml:space="preserve"> t</w:t>
      </w:r>
      <w:r w:rsidR="00195AD6">
        <w:t xml:space="preserve">he </w:t>
      </w:r>
      <w:r w:rsidR="009A2551">
        <w:t>cessation of the payment under</w:t>
      </w:r>
      <w:r w:rsidR="00F34D8C">
        <w:t xml:space="preserve"> the </w:t>
      </w:r>
      <w:r w:rsidR="00452A64">
        <w:t>National Partnership on Remote Indigenous Housing</w:t>
      </w:r>
      <w:r w:rsidR="003C72A1">
        <w:t>.</w:t>
      </w:r>
      <w:r w:rsidR="00980B8D">
        <w:rPr>
          <w:rStyle w:val="FootnoteReference"/>
        </w:rPr>
        <w:footnoteReference w:id="9"/>
      </w:r>
    </w:p>
    <w:p w14:paraId="36CE3E8C" w14:textId="2CC96427" w:rsidR="00E67F0B" w:rsidRDefault="00E67F0B" w:rsidP="0099569A">
      <w:pPr>
        <w:pStyle w:val="CGCParaNumber"/>
      </w:pPr>
      <w:r>
        <w:t xml:space="preserve">The main payments causing changes in the GST distribution in this review are shown in </w:t>
      </w:r>
      <w:r w:rsidR="000577C3">
        <w:fldChar w:fldCharType="begin"/>
      </w:r>
      <w:r w:rsidR="000577C3">
        <w:instrText xml:space="preserve"> REF _Ref30759115 \h </w:instrText>
      </w:r>
      <w:r w:rsidR="000577C3">
        <w:fldChar w:fldCharType="separate"/>
      </w:r>
      <w:r w:rsidR="003D49C2">
        <w:t>Table 2</w:t>
      </w:r>
      <w:r w:rsidR="003D49C2">
        <w:noBreakHyphen/>
      </w:r>
      <w:r w:rsidR="003D49C2">
        <w:rPr>
          <w:noProof/>
        </w:rPr>
        <w:t>7</w:t>
      </w:r>
      <w:r w:rsidR="000577C3">
        <w:fldChar w:fldCharType="end"/>
      </w:r>
      <w:r w:rsidR="00BC0EA1">
        <w:t>.</w:t>
      </w:r>
    </w:p>
    <w:p w14:paraId="2AB2CAC2" w14:textId="6B8F067E" w:rsidR="00D75C4E" w:rsidRDefault="00D75C4E" w:rsidP="003F4674">
      <w:pPr>
        <w:pStyle w:val="CGCTableHeading"/>
      </w:pPr>
      <w:bookmarkStart w:id="35" w:name="_Ref30759115"/>
      <w:r>
        <w:t>Table</w:t>
      </w:r>
      <w:r w:rsidR="00FE1254">
        <w:t> </w:t>
      </w:r>
      <w:r w:rsidR="00D5059E">
        <w:t>2</w:t>
      </w:r>
      <w:r w:rsidR="00D5059E">
        <w:noBreakHyphen/>
      </w:r>
      <w:r>
        <w:fldChar w:fldCharType="begin"/>
      </w:r>
      <w:r>
        <w:instrText>SEQ Table \* ARABIC</w:instrText>
      </w:r>
      <w:r>
        <w:fldChar w:fldCharType="separate"/>
      </w:r>
      <w:r w:rsidR="003D49C2">
        <w:rPr>
          <w:noProof/>
        </w:rPr>
        <w:t>7</w:t>
      </w:r>
      <w:r>
        <w:fldChar w:fldCharType="end"/>
      </w:r>
      <w:bookmarkEnd w:id="35"/>
      <w:r>
        <w:tab/>
      </w:r>
      <w:r w:rsidR="00AD3137">
        <w:t>Changes</w:t>
      </w:r>
      <w:r w:rsidR="00FD6CD6">
        <w:t xml:space="preserve"> in the illustrative GST distribution due to changes in Commonwealth payments, 2020</w:t>
      </w:r>
      <w:r w:rsidR="002542E9">
        <w:t>-21</w:t>
      </w:r>
    </w:p>
    <w:tbl>
      <w:tblPr>
        <w:tblW w:w="8877" w:type="dxa"/>
        <w:tblCellMar>
          <w:left w:w="0" w:type="dxa"/>
          <w:right w:w="28" w:type="dxa"/>
        </w:tblCellMar>
        <w:tblLook w:val="04A0" w:firstRow="1" w:lastRow="0" w:firstColumn="1" w:lastColumn="0" w:noHBand="0" w:noVBand="1"/>
      </w:tblPr>
      <w:tblGrid>
        <w:gridCol w:w="3588"/>
        <w:gridCol w:w="589"/>
        <w:gridCol w:w="668"/>
        <w:gridCol w:w="568"/>
        <w:gridCol w:w="568"/>
        <w:gridCol w:w="568"/>
        <w:gridCol w:w="568"/>
        <w:gridCol w:w="568"/>
        <w:gridCol w:w="568"/>
        <w:gridCol w:w="704"/>
      </w:tblGrid>
      <w:tr w:rsidR="00854CCB" w:rsidRPr="00CE0997" w14:paraId="7193E734" w14:textId="77777777" w:rsidTr="00664FDC">
        <w:trPr>
          <w:trHeight w:val="375"/>
        </w:trPr>
        <w:tc>
          <w:tcPr>
            <w:tcW w:w="3580" w:type="dxa"/>
            <w:tcBorders>
              <w:top w:val="single" w:sz="4" w:space="0" w:color="ADD6EA"/>
              <w:left w:val="nil"/>
              <w:bottom w:val="single" w:sz="4" w:space="0" w:color="ADD6EA"/>
              <w:right w:val="nil"/>
            </w:tcBorders>
            <w:shd w:val="clear" w:color="000000" w:fill="006991"/>
            <w:noWrap/>
            <w:vAlign w:val="center"/>
            <w:hideMark/>
          </w:tcPr>
          <w:p w14:paraId="1143FDC3" w14:textId="77777777" w:rsidR="00854CCB" w:rsidRPr="007D2A7D" w:rsidRDefault="00854CCB" w:rsidP="00854CCB">
            <w:pPr>
              <w:tabs>
                <w:tab w:val="clear" w:pos="567"/>
              </w:tabs>
              <w:spacing w:before="0" w:line="240" w:lineRule="auto"/>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 </w:t>
            </w:r>
          </w:p>
        </w:tc>
        <w:tc>
          <w:tcPr>
            <w:tcW w:w="581" w:type="dxa"/>
            <w:tcBorders>
              <w:top w:val="single" w:sz="4" w:space="0" w:color="ADD6EA"/>
              <w:left w:val="nil"/>
              <w:bottom w:val="single" w:sz="4" w:space="0" w:color="ADD6EA"/>
              <w:right w:val="nil"/>
            </w:tcBorders>
            <w:shd w:val="clear" w:color="000000" w:fill="006991"/>
            <w:vAlign w:val="center"/>
            <w:hideMark/>
          </w:tcPr>
          <w:p w14:paraId="786AD41D"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NSW</w:t>
            </w:r>
          </w:p>
        </w:tc>
        <w:tc>
          <w:tcPr>
            <w:tcW w:w="660" w:type="dxa"/>
            <w:tcBorders>
              <w:top w:val="single" w:sz="4" w:space="0" w:color="ADD6EA"/>
              <w:left w:val="nil"/>
              <w:bottom w:val="single" w:sz="4" w:space="0" w:color="ADD6EA"/>
              <w:right w:val="nil"/>
            </w:tcBorders>
            <w:shd w:val="clear" w:color="000000" w:fill="006991"/>
            <w:noWrap/>
            <w:vAlign w:val="center"/>
            <w:hideMark/>
          </w:tcPr>
          <w:p w14:paraId="3558582B"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Vic</w:t>
            </w:r>
          </w:p>
        </w:tc>
        <w:tc>
          <w:tcPr>
            <w:tcW w:w="560" w:type="dxa"/>
            <w:tcBorders>
              <w:top w:val="single" w:sz="4" w:space="0" w:color="ADD6EA"/>
              <w:left w:val="nil"/>
              <w:bottom w:val="single" w:sz="4" w:space="0" w:color="ADD6EA"/>
              <w:right w:val="nil"/>
            </w:tcBorders>
            <w:shd w:val="clear" w:color="000000" w:fill="006991"/>
            <w:noWrap/>
            <w:vAlign w:val="center"/>
            <w:hideMark/>
          </w:tcPr>
          <w:p w14:paraId="193B3860"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Qld</w:t>
            </w:r>
          </w:p>
        </w:tc>
        <w:tc>
          <w:tcPr>
            <w:tcW w:w="560" w:type="dxa"/>
            <w:tcBorders>
              <w:top w:val="single" w:sz="4" w:space="0" w:color="ADD6EA"/>
              <w:left w:val="nil"/>
              <w:bottom w:val="single" w:sz="4" w:space="0" w:color="ADD6EA"/>
              <w:right w:val="nil"/>
            </w:tcBorders>
            <w:shd w:val="clear" w:color="000000" w:fill="006991"/>
            <w:noWrap/>
            <w:vAlign w:val="center"/>
            <w:hideMark/>
          </w:tcPr>
          <w:p w14:paraId="0FEE6AAF"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WA</w:t>
            </w:r>
          </w:p>
        </w:tc>
        <w:tc>
          <w:tcPr>
            <w:tcW w:w="560" w:type="dxa"/>
            <w:tcBorders>
              <w:top w:val="single" w:sz="4" w:space="0" w:color="ADD6EA"/>
              <w:left w:val="nil"/>
              <w:bottom w:val="single" w:sz="4" w:space="0" w:color="ADD6EA"/>
              <w:right w:val="nil"/>
            </w:tcBorders>
            <w:shd w:val="clear" w:color="000000" w:fill="006991"/>
            <w:noWrap/>
            <w:vAlign w:val="center"/>
            <w:hideMark/>
          </w:tcPr>
          <w:p w14:paraId="487F6AB4"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SA</w:t>
            </w:r>
          </w:p>
        </w:tc>
        <w:tc>
          <w:tcPr>
            <w:tcW w:w="560" w:type="dxa"/>
            <w:tcBorders>
              <w:top w:val="single" w:sz="4" w:space="0" w:color="ADD6EA"/>
              <w:left w:val="nil"/>
              <w:bottom w:val="single" w:sz="4" w:space="0" w:color="ADD6EA"/>
              <w:right w:val="nil"/>
            </w:tcBorders>
            <w:shd w:val="clear" w:color="000000" w:fill="006991"/>
            <w:vAlign w:val="center"/>
            <w:hideMark/>
          </w:tcPr>
          <w:p w14:paraId="5B2D5EE5"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Tas</w:t>
            </w:r>
          </w:p>
        </w:tc>
        <w:tc>
          <w:tcPr>
            <w:tcW w:w="560" w:type="dxa"/>
            <w:tcBorders>
              <w:top w:val="single" w:sz="4" w:space="0" w:color="ADD6EA"/>
              <w:left w:val="nil"/>
              <w:bottom w:val="single" w:sz="4" w:space="0" w:color="ADD6EA"/>
              <w:right w:val="nil"/>
            </w:tcBorders>
            <w:shd w:val="clear" w:color="000000" w:fill="006991"/>
            <w:noWrap/>
            <w:vAlign w:val="center"/>
            <w:hideMark/>
          </w:tcPr>
          <w:p w14:paraId="769E596B"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ACT</w:t>
            </w:r>
          </w:p>
        </w:tc>
        <w:tc>
          <w:tcPr>
            <w:tcW w:w="560" w:type="dxa"/>
            <w:tcBorders>
              <w:top w:val="single" w:sz="4" w:space="0" w:color="ADD6EA"/>
              <w:left w:val="nil"/>
              <w:bottom w:val="single" w:sz="4" w:space="0" w:color="ADD6EA"/>
              <w:right w:val="nil"/>
            </w:tcBorders>
            <w:shd w:val="clear" w:color="000000" w:fill="006991"/>
            <w:noWrap/>
            <w:vAlign w:val="center"/>
            <w:hideMark/>
          </w:tcPr>
          <w:p w14:paraId="33D96318"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NT</w:t>
            </w:r>
          </w:p>
        </w:tc>
        <w:tc>
          <w:tcPr>
            <w:tcW w:w="696" w:type="dxa"/>
            <w:tcBorders>
              <w:top w:val="single" w:sz="4" w:space="0" w:color="ADD6EA"/>
              <w:left w:val="nil"/>
              <w:bottom w:val="single" w:sz="4" w:space="0" w:color="ADD6EA"/>
              <w:right w:val="nil"/>
            </w:tcBorders>
            <w:shd w:val="clear" w:color="000000" w:fill="006991"/>
            <w:noWrap/>
            <w:vAlign w:val="center"/>
            <w:hideMark/>
          </w:tcPr>
          <w:p w14:paraId="35BB680F" w14:textId="77777777" w:rsidR="00854CCB" w:rsidRPr="007D2A7D" w:rsidRDefault="00B67A07" w:rsidP="00854CCB">
            <w:pPr>
              <w:tabs>
                <w:tab w:val="clear" w:pos="567"/>
              </w:tabs>
              <w:spacing w:before="0" w:line="240" w:lineRule="auto"/>
              <w:jc w:val="right"/>
              <w:rPr>
                <w:rFonts w:ascii="Open Sans SemiBold" w:eastAsia="Times New Roman" w:hAnsi="Open Sans SemiBold" w:cs="Open Sans SemiBold"/>
                <w:b/>
                <w:color w:val="FFFFFF"/>
                <w:sz w:val="16"/>
                <w:szCs w:val="16"/>
                <w:lang w:val="en-AU" w:eastAsia="en-AU"/>
              </w:rPr>
            </w:pPr>
            <w:r w:rsidRPr="007D2A7D">
              <w:rPr>
                <w:rFonts w:ascii="Open Sans SemiBold" w:eastAsia="Times New Roman" w:hAnsi="Open Sans SemiBold" w:cs="Open Sans SemiBold"/>
                <w:b/>
                <w:color w:val="FFFFFF"/>
                <w:sz w:val="16"/>
                <w:szCs w:val="16"/>
                <w:lang w:val="en-AU" w:eastAsia="en-AU"/>
              </w:rPr>
              <w:t>Redist</w:t>
            </w:r>
          </w:p>
        </w:tc>
      </w:tr>
      <w:tr w:rsidR="00854CCB" w:rsidRPr="00CE0997" w14:paraId="132DE5AA" w14:textId="77777777" w:rsidTr="00664FDC">
        <w:trPr>
          <w:trHeight w:val="259"/>
        </w:trPr>
        <w:tc>
          <w:tcPr>
            <w:tcW w:w="3580" w:type="dxa"/>
            <w:tcBorders>
              <w:top w:val="nil"/>
              <w:left w:val="nil"/>
              <w:bottom w:val="single" w:sz="4" w:space="0" w:color="ADD6EA"/>
              <w:right w:val="nil"/>
            </w:tcBorders>
            <w:shd w:val="clear" w:color="000000" w:fill="B6D5E4"/>
            <w:noWrap/>
            <w:vAlign w:val="center"/>
            <w:hideMark/>
          </w:tcPr>
          <w:p w14:paraId="5219BB56" w14:textId="77777777" w:rsidR="00854CCB" w:rsidRPr="007D2A7D" w:rsidRDefault="00854CCB" w:rsidP="00854CCB">
            <w:pPr>
              <w:tabs>
                <w:tab w:val="clear" w:pos="567"/>
              </w:tabs>
              <w:spacing w:before="0" w:line="240" w:lineRule="auto"/>
              <w:rPr>
                <w:rFonts w:ascii="Open Sans SemiBold" w:eastAsia="Times New Roman" w:hAnsi="Open Sans SemiBold" w:cs="Open Sans SemiBold"/>
                <w:color w:val="000000"/>
                <w:sz w:val="22"/>
                <w:lang w:val="en-AU" w:eastAsia="en-AU"/>
              </w:rPr>
            </w:pPr>
            <w:r w:rsidRPr="007D2A7D">
              <w:rPr>
                <w:rFonts w:ascii="Open Sans SemiBold" w:eastAsia="Times New Roman" w:hAnsi="Open Sans SemiBold" w:cs="Open Sans SemiBold"/>
                <w:color w:val="000000"/>
                <w:sz w:val="22"/>
                <w:lang w:val="en-AU" w:eastAsia="en-AU"/>
              </w:rPr>
              <w:t> </w:t>
            </w:r>
          </w:p>
        </w:tc>
        <w:tc>
          <w:tcPr>
            <w:tcW w:w="581" w:type="dxa"/>
            <w:tcBorders>
              <w:top w:val="nil"/>
              <w:left w:val="nil"/>
              <w:bottom w:val="single" w:sz="4" w:space="0" w:color="ADD6EA"/>
              <w:right w:val="nil"/>
            </w:tcBorders>
            <w:shd w:val="clear" w:color="000000" w:fill="B6D5E4"/>
            <w:noWrap/>
            <w:vAlign w:val="center"/>
            <w:hideMark/>
          </w:tcPr>
          <w:p w14:paraId="4034BF6A"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660" w:type="dxa"/>
            <w:tcBorders>
              <w:top w:val="nil"/>
              <w:left w:val="nil"/>
              <w:bottom w:val="single" w:sz="4" w:space="0" w:color="ADD6EA"/>
              <w:right w:val="nil"/>
            </w:tcBorders>
            <w:shd w:val="clear" w:color="000000" w:fill="B6D5E4"/>
            <w:noWrap/>
            <w:vAlign w:val="center"/>
            <w:hideMark/>
          </w:tcPr>
          <w:p w14:paraId="42A011EF"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11DCE228"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61DCD453"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6FCA4C0A"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3ED41E4F"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6A9B8E25"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560" w:type="dxa"/>
            <w:tcBorders>
              <w:top w:val="nil"/>
              <w:left w:val="nil"/>
              <w:bottom w:val="single" w:sz="4" w:space="0" w:color="ADD6EA"/>
              <w:right w:val="nil"/>
            </w:tcBorders>
            <w:shd w:val="clear" w:color="000000" w:fill="B6D5E4"/>
            <w:noWrap/>
            <w:vAlign w:val="center"/>
            <w:hideMark/>
          </w:tcPr>
          <w:p w14:paraId="6CA90C49"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c>
          <w:tcPr>
            <w:tcW w:w="696" w:type="dxa"/>
            <w:tcBorders>
              <w:top w:val="nil"/>
              <w:left w:val="nil"/>
              <w:bottom w:val="single" w:sz="4" w:space="0" w:color="ADD6EA"/>
              <w:right w:val="nil"/>
            </w:tcBorders>
            <w:shd w:val="clear" w:color="000000" w:fill="B6D5E4"/>
            <w:noWrap/>
            <w:vAlign w:val="center"/>
            <w:hideMark/>
          </w:tcPr>
          <w:p w14:paraId="2C494D79"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$m</w:t>
            </w:r>
          </w:p>
        </w:tc>
      </w:tr>
      <w:tr w:rsidR="00854CCB" w:rsidRPr="00CE0997" w14:paraId="22C11FF7"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62D061E7" w14:textId="19F5F793"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National </w:t>
            </w:r>
            <w:r w:rsidR="00744E00">
              <w:rPr>
                <w:rFonts w:cs="Open Sans Light"/>
                <w:sz w:val="16"/>
                <w:szCs w:val="16"/>
              </w:rPr>
              <w:t>Health Reform</w:t>
            </w:r>
            <w:r>
              <w:rPr>
                <w:rFonts w:cs="Open Sans Light"/>
                <w:sz w:val="16"/>
                <w:szCs w:val="16"/>
              </w:rPr>
              <w:t xml:space="preserve"> funding</w:t>
            </w:r>
          </w:p>
        </w:tc>
        <w:tc>
          <w:tcPr>
            <w:tcW w:w="581" w:type="dxa"/>
            <w:tcBorders>
              <w:top w:val="nil"/>
              <w:left w:val="nil"/>
              <w:bottom w:val="single" w:sz="4" w:space="0" w:color="ADD6EA"/>
              <w:right w:val="nil"/>
            </w:tcBorders>
            <w:shd w:val="clear" w:color="auto" w:fill="auto"/>
            <w:vAlign w:val="bottom"/>
            <w:hideMark/>
          </w:tcPr>
          <w:p w14:paraId="6F48CF2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72</w:t>
            </w:r>
          </w:p>
        </w:tc>
        <w:tc>
          <w:tcPr>
            <w:tcW w:w="660" w:type="dxa"/>
            <w:tcBorders>
              <w:top w:val="nil"/>
              <w:left w:val="nil"/>
              <w:bottom w:val="single" w:sz="4" w:space="0" w:color="ADD6EA"/>
              <w:right w:val="nil"/>
            </w:tcBorders>
            <w:shd w:val="clear" w:color="auto" w:fill="auto"/>
            <w:vAlign w:val="bottom"/>
            <w:hideMark/>
          </w:tcPr>
          <w:p w14:paraId="573F1AA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134</w:t>
            </w:r>
          </w:p>
        </w:tc>
        <w:tc>
          <w:tcPr>
            <w:tcW w:w="560" w:type="dxa"/>
            <w:tcBorders>
              <w:top w:val="nil"/>
              <w:left w:val="nil"/>
              <w:bottom w:val="single" w:sz="4" w:space="0" w:color="ADD6EA"/>
              <w:right w:val="nil"/>
            </w:tcBorders>
            <w:shd w:val="clear" w:color="auto" w:fill="auto"/>
            <w:vAlign w:val="bottom"/>
            <w:hideMark/>
          </w:tcPr>
          <w:p w14:paraId="2AED4CD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-267</w:t>
            </w:r>
          </w:p>
        </w:tc>
        <w:tc>
          <w:tcPr>
            <w:tcW w:w="560" w:type="dxa"/>
            <w:tcBorders>
              <w:top w:val="nil"/>
              <w:left w:val="nil"/>
              <w:bottom w:val="single" w:sz="4" w:space="0" w:color="ADD6EA"/>
              <w:right w:val="nil"/>
            </w:tcBorders>
            <w:shd w:val="clear" w:color="auto" w:fill="auto"/>
            <w:vAlign w:val="bottom"/>
            <w:hideMark/>
          </w:tcPr>
          <w:p w14:paraId="6CAA5A8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560" w:type="dxa"/>
            <w:tcBorders>
              <w:top w:val="nil"/>
              <w:left w:val="nil"/>
              <w:bottom w:val="single" w:sz="4" w:space="0" w:color="ADD6EA"/>
              <w:right w:val="nil"/>
            </w:tcBorders>
            <w:shd w:val="clear" w:color="auto" w:fill="auto"/>
            <w:vAlign w:val="bottom"/>
            <w:hideMark/>
          </w:tcPr>
          <w:p w14:paraId="5E5EE4BF"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61</w:t>
            </w:r>
          </w:p>
        </w:tc>
        <w:tc>
          <w:tcPr>
            <w:tcW w:w="560" w:type="dxa"/>
            <w:tcBorders>
              <w:top w:val="nil"/>
              <w:left w:val="nil"/>
              <w:bottom w:val="single" w:sz="4" w:space="0" w:color="ADD6EA"/>
              <w:right w:val="nil"/>
            </w:tcBorders>
            <w:shd w:val="clear" w:color="auto" w:fill="auto"/>
            <w:vAlign w:val="bottom"/>
            <w:hideMark/>
          </w:tcPr>
          <w:p w14:paraId="797A642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13</w:t>
            </w:r>
          </w:p>
        </w:tc>
        <w:tc>
          <w:tcPr>
            <w:tcW w:w="560" w:type="dxa"/>
            <w:tcBorders>
              <w:top w:val="nil"/>
              <w:left w:val="nil"/>
              <w:bottom w:val="single" w:sz="4" w:space="0" w:color="ADD6EA"/>
              <w:right w:val="nil"/>
            </w:tcBorders>
            <w:shd w:val="clear" w:color="auto" w:fill="auto"/>
            <w:vAlign w:val="bottom"/>
            <w:hideMark/>
          </w:tcPr>
          <w:p w14:paraId="6761142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124F93F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-14</w:t>
            </w:r>
          </w:p>
        </w:tc>
        <w:tc>
          <w:tcPr>
            <w:tcW w:w="696" w:type="dxa"/>
            <w:tcBorders>
              <w:top w:val="nil"/>
              <w:left w:val="nil"/>
              <w:bottom w:val="single" w:sz="4" w:space="0" w:color="ADD6EA"/>
              <w:right w:val="nil"/>
            </w:tcBorders>
            <w:shd w:val="clear" w:color="auto" w:fill="auto"/>
            <w:vAlign w:val="bottom"/>
            <w:hideMark/>
          </w:tcPr>
          <w:p w14:paraId="11EBEBC8"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281</w:t>
            </w:r>
          </w:p>
        </w:tc>
      </w:tr>
      <w:tr w:rsidR="00854CCB" w:rsidRPr="00CE0997" w14:paraId="60F139F3"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65F40512" w14:textId="640CA5F0"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Road infrastructure - </w:t>
            </w:r>
            <w:r w:rsidR="00744E00">
              <w:rPr>
                <w:rFonts w:cs="Open Sans Light"/>
                <w:sz w:val="16"/>
                <w:szCs w:val="16"/>
              </w:rPr>
              <w:t>National Network</w:t>
            </w:r>
          </w:p>
        </w:tc>
        <w:tc>
          <w:tcPr>
            <w:tcW w:w="581" w:type="dxa"/>
            <w:tcBorders>
              <w:top w:val="nil"/>
              <w:left w:val="nil"/>
              <w:bottom w:val="single" w:sz="4" w:space="0" w:color="ADD6EA"/>
              <w:right w:val="nil"/>
            </w:tcBorders>
            <w:shd w:val="clear" w:color="auto" w:fill="auto"/>
            <w:vAlign w:val="bottom"/>
            <w:hideMark/>
          </w:tcPr>
          <w:p w14:paraId="5D73622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108</w:t>
            </w:r>
          </w:p>
        </w:tc>
        <w:tc>
          <w:tcPr>
            <w:tcW w:w="660" w:type="dxa"/>
            <w:tcBorders>
              <w:top w:val="nil"/>
              <w:left w:val="nil"/>
              <w:bottom w:val="single" w:sz="4" w:space="0" w:color="ADD6EA"/>
              <w:right w:val="nil"/>
            </w:tcBorders>
            <w:shd w:val="clear" w:color="auto" w:fill="auto"/>
            <w:vAlign w:val="bottom"/>
            <w:hideMark/>
          </w:tcPr>
          <w:p w14:paraId="2E8A1BA2"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14</w:t>
            </w:r>
          </w:p>
        </w:tc>
        <w:tc>
          <w:tcPr>
            <w:tcW w:w="560" w:type="dxa"/>
            <w:tcBorders>
              <w:top w:val="nil"/>
              <w:left w:val="nil"/>
              <w:bottom w:val="single" w:sz="4" w:space="0" w:color="ADD6EA"/>
              <w:right w:val="nil"/>
            </w:tcBorders>
            <w:shd w:val="clear" w:color="auto" w:fill="auto"/>
            <w:vAlign w:val="bottom"/>
            <w:hideMark/>
          </w:tcPr>
          <w:p w14:paraId="0352F40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13</w:t>
            </w:r>
          </w:p>
        </w:tc>
        <w:tc>
          <w:tcPr>
            <w:tcW w:w="560" w:type="dxa"/>
            <w:tcBorders>
              <w:top w:val="nil"/>
              <w:left w:val="nil"/>
              <w:bottom w:val="single" w:sz="4" w:space="0" w:color="ADD6EA"/>
              <w:right w:val="nil"/>
            </w:tcBorders>
            <w:shd w:val="clear" w:color="auto" w:fill="auto"/>
            <w:vAlign w:val="bottom"/>
            <w:hideMark/>
          </w:tcPr>
          <w:p w14:paraId="2068E37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-15</w:t>
            </w:r>
          </w:p>
        </w:tc>
        <w:tc>
          <w:tcPr>
            <w:tcW w:w="560" w:type="dxa"/>
            <w:tcBorders>
              <w:top w:val="nil"/>
              <w:left w:val="nil"/>
              <w:bottom w:val="single" w:sz="4" w:space="0" w:color="ADD6EA"/>
              <w:right w:val="nil"/>
            </w:tcBorders>
            <w:shd w:val="clear" w:color="auto" w:fill="auto"/>
            <w:vAlign w:val="bottom"/>
            <w:hideMark/>
          </w:tcPr>
          <w:p w14:paraId="72EB698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-123</w:t>
            </w:r>
          </w:p>
        </w:tc>
        <w:tc>
          <w:tcPr>
            <w:tcW w:w="560" w:type="dxa"/>
            <w:tcBorders>
              <w:top w:val="nil"/>
              <w:left w:val="nil"/>
              <w:bottom w:val="single" w:sz="4" w:space="0" w:color="ADD6EA"/>
              <w:right w:val="nil"/>
            </w:tcBorders>
            <w:shd w:val="clear" w:color="auto" w:fill="auto"/>
            <w:vAlign w:val="bottom"/>
            <w:hideMark/>
          </w:tcPr>
          <w:p w14:paraId="4C3B74D2"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1FFD78F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5A16DCBF"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3A1F61A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138</w:t>
            </w:r>
          </w:p>
        </w:tc>
      </w:tr>
      <w:tr w:rsidR="00854CCB" w:rsidRPr="00CE0997" w14:paraId="78B0AC98"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2148FEAA" w14:textId="3D8DAA2D"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Rail infrastructure - </w:t>
            </w:r>
            <w:r w:rsidR="00744E00">
              <w:rPr>
                <w:rFonts w:cs="Open Sans Light"/>
                <w:sz w:val="16"/>
                <w:szCs w:val="16"/>
              </w:rPr>
              <w:t>National Network</w:t>
            </w:r>
          </w:p>
        </w:tc>
        <w:tc>
          <w:tcPr>
            <w:tcW w:w="581" w:type="dxa"/>
            <w:tcBorders>
              <w:top w:val="nil"/>
              <w:left w:val="nil"/>
              <w:bottom w:val="single" w:sz="4" w:space="0" w:color="ADD6EA"/>
              <w:right w:val="nil"/>
            </w:tcBorders>
            <w:shd w:val="clear" w:color="auto" w:fill="auto"/>
            <w:vAlign w:val="bottom"/>
            <w:hideMark/>
          </w:tcPr>
          <w:p w14:paraId="085E7C0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7</w:t>
            </w:r>
          </w:p>
        </w:tc>
        <w:tc>
          <w:tcPr>
            <w:tcW w:w="660" w:type="dxa"/>
            <w:tcBorders>
              <w:top w:val="nil"/>
              <w:left w:val="nil"/>
              <w:bottom w:val="single" w:sz="4" w:space="0" w:color="ADD6EA"/>
              <w:right w:val="nil"/>
            </w:tcBorders>
            <w:shd w:val="clear" w:color="auto" w:fill="auto"/>
            <w:vAlign w:val="bottom"/>
            <w:hideMark/>
          </w:tcPr>
          <w:p w14:paraId="2BC7E75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11</w:t>
            </w:r>
          </w:p>
        </w:tc>
        <w:tc>
          <w:tcPr>
            <w:tcW w:w="560" w:type="dxa"/>
            <w:tcBorders>
              <w:top w:val="nil"/>
              <w:left w:val="nil"/>
              <w:bottom w:val="single" w:sz="4" w:space="0" w:color="ADD6EA"/>
              <w:right w:val="nil"/>
            </w:tcBorders>
            <w:shd w:val="clear" w:color="auto" w:fill="auto"/>
            <w:vAlign w:val="bottom"/>
            <w:hideMark/>
          </w:tcPr>
          <w:p w14:paraId="2F02B83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51</w:t>
            </w:r>
          </w:p>
        </w:tc>
        <w:tc>
          <w:tcPr>
            <w:tcW w:w="560" w:type="dxa"/>
            <w:tcBorders>
              <w:top w:val="nil"/>
              <w:left w:val="nil"/>
              <w:bottom w:val="single" w:sz="4" w:space="0" w:color="ADD6EA"/>
              <w:right w:val="nil"/>
            </w:tcBorders>
            <w:shd w:val="clear" w:color="auto" w:fill="auto"/>
            <w:vAlign w:val="bottom"/>
            <w:hideMark/>
          </w:tcPr>
          <w:p w14:paraId="1661038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5</w:t>
            </w:r>
          </w:p>
        </w:tc>
        <w:tc>
          <w:tcPr>
            <w:tcW w:w="560" w:type="dxa"/>
            <w:tcBorders>
              <w:top w:val="nil"/>
              <w:left w:val="nil"/>
              <w:bottom w:val="single" w:sz="4" w:space="0" w:color="ADD6EA"/>
              <w:right w:val="nil"/>
            </w:tcBorders>
            <w:shd w:val="clear" w:color="auto" w:fill="auto"/>
            <w:vAlign w:val="bottom"/>
            <w:hideMark/>
          </w:tcPr>
          <w:p w14:paraId="22CFF4D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-78</w:t>
            </w:r>
          </w:p>
        </w:tc>
        <w:tc>
          <w:tcPr>
            <w:tcW w:w="560" w:type="dxa"/>
            <w:tcBorders>
              <w:top w:val="nil"/>
              <w:left w:val="nil"/>
              <w:bottom w:val="single" w:sz="4" w:space="0" w:color="ADD6EA"/>
              <w:right w:val="nil"/>
            </w:tcBorders>
            <w:shd w:val="clear" w:color="auto" w:fill="auto"/>
            <w:vAlign w:val="bottom"/>
            <w:hideMark/>
          </w:tcPr>
          <w:p w14:paraId="1EF1479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2954DB2E"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37692D5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58FCE38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78</w:t>
            </w:r>
          </w:p>
        </w:tc>
      </w:tr>
      <w:tr w:rsidR="00854CCB" w:rsidRPr="00CE0997" w14:paraId="07BA2C30"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2CDA302A" w14:textId="190905ED"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Remote Indigenous housing</w:t>
            </w:r>
          </w:p>
        </w:tc>
        <w:tc>
          <w:tcPr>
            <w:tcW w:w="581" w:type="dxa"/>
            <w:tcBorders>
              <w:top w:val="nil"/>
              <w:left w:val="nil"/>
              <w:bottom w:val="single" w:sz="4" w:space="0" w:color="ADD6EA"/>
              <w:right w:val="nil"/>
            </w:tcBorders>
            <w:shd w:val="clear" w:color="auto" w:fill="auto"/>
            <w:vAlign w:val="bottom"/>
            <w:hideMark/>
          </w:tcPr>
          <w:p w14:paraId="4976994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-21</w:t>
            </w:r>
          </w:p>
        </w:tc>
        <w:tc>
          <w:tcPr>
            <w:tcW w:w="660" w:type="dxa"/>
            <w:tcBorders>
              <w:top w:val="nil"/>
              <w:left w:val="nil"/>
              <w:bottom w:val="single" w:sz="4" w:space="0" w:color="ADD6EA"/>
              <w:right w:val="nil"/>
            </w:tcBorders>
            <w:shd w:val="clear" w:color="auto" w:fill="auto"/>
            <w:vAlign w:val="bottom"/>
            <w:hideMark/>
          </w:tcPr>
          <w:p w14:paraId="65E3AA82"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-29</w:t>
            </w:r>
          </w:p>
        </w:tc>
        <w:tc>
          <w:tcPr>
            <w:tcW w:w="560" w:type="dxa"/>
            <w:tcBorders>
              <w:top w:val="nil"/>
              <w:left w:val="nil"/>
              <w:bottom w:val="single" w:sz="4" w:space="0" w:color="ADD6EA"/>
              <w:right w:val="nil"/>
            </w:tcBorders>
            <w:shd w:val="clear" w:color="auto" w:fill="auto"/>
            <w:vAlign w:val="bottom"/>
            <w:hideMark/>
          </w:tcPr>
          <w:p w14:paraId="6A113C6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20</w:t>
            </w:r>
          </w:p>
        </w:tc>
        <w:tc>
          <w:tcPr>
            <w:tcW w:w="560" w:type="dxa"/>
            <w:tcBorders>
              <w:top w:val="nil"/>
              <w:left w:val="nil"/>
              <w:bottom w:val="single" w:sz="4" w:space="0" w:color="ADD6EA"/>
              <w:right w:val="nil"/>
            </w:tcBorders>
            <w:shd w:val="clear" w:color="auto" w:fill="auto"/>
            <w:vAlign w:val="bottom"/>
            <w:hideMark/>
          </w:tcPr>
          <w:p w14:paraId="32463872"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20</w:t>
            </w:r>
          </w:p>
        </w:tc>
        <w:tc>
          <w:tcPr>
            <w:tcW w:w="560" w:type="dxa"/>
            <w:tcBorders>
              <w:top w:val="nil"/>
              <w:left w:val="nil"/>
              <w:bottom w:val="single" w:sz="4" w:space="0" w:color="ADD6EA"/>
              <w:right w:val="nil"/>
            </w:tcBorders>
            <w:shd w:val="clear" w:color="auto" w:fill="auto"/>
            <w:vAlign w:val="bottom"/>
            <w:hideMark/>
          </w:tcPr>
          <w:p w14:paraId="4AF033C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7BFEFBE8"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0012F05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719AF33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17</w:t>
            </w:r>
          </w:p>
        </w:tc>
        <w:tc>
          <w:tcPr>
            <w:tcW w:w="696" w:type="dxa"/>
            <w:tcBorders>
              <w:top w:val="nil"/>
              <w:left w:val="nil"/>
              <w:bottom w:val="single" w:sz="4" w:space="0" w:color="ADD6EA"/>
              <w:right w:val="nil"/>
            </w:tcBorders>
            <w:shd w:val="clear" w:color="auto" w:fill="auto"/>
            <w:vAlign w:val="bottom"/>
            <w:hideMark/>
          </w:tcPr>
          <w:p w14:paraId="6071C5B2"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57</w:t>
            </w:r>
          </w:p>
        </w:tc>
      </w:tr>
      <w:tr w:rsidR="00854CCB" w:rsidRPr="00CE0997" w14:paraId="2EDA3EEF"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0C3DDDD8" w14:textId="2F51C42E"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Quality </w:t>
            </w:r>
            <w:r w:rsidR="00744E00">
              <w:rPr>
                <w:rFonts w:cs="Open Sans Light"/>
                <w:sz w:val="16"/>
                <w:szCs w:val="16"/>
              </w:rPr>
              <w:t>Schools</w:t>
            </w:r>
            <w:r>
              <w:rPr>
                <w:rFonts w:cs="Open Sans Light"/>
                <w:sz w:val="16"/>
                <w:szCs w:val="16"/>
              </w:rPr>
              <w:t xml:space="preserve"> - government</w:t>
            </w:r>
          </w:p>
        </w:tc>
        <w:tc>
          <w:tcPr>
            <w:tcW w:w="581" w:type="dxa"/>
            <w:tcBorders>
              <w:top w:val="nil"/>
              <w:left w:val="nil"/>
              <w:bottom w:val="single" w:sz="4" w:space="0" w:color="ADD6EA"/>
              <w:right w:val="nil"/>
            </w:tcBorders>
            <w:shd w:val="clear" w:color="auto" w:fill="auto"/>
            <w:vAlign w:val="bottom"/>
            <w:hideMark/>
          </w:tcPr>
          <w:p w14:paraId="3C7467F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-22</w:t>
            </w:r>
          </w:p>
        </w:tc>
        <w:tc>
          <w:tcPr>
            <w:tcW w:w="660" w:type="dxa"/>
            <w:tcBorders>
              <w:top w:val="nil"/>
              <w:left w:val="nil"/>
              <w:bottom w:val="single" w:sz="4" w:space="0" w:color="ADD6EA"/>
              <w:right w:val="nil"/>
            </w:tcBorders>
            <w:shd w:val="clear" w:color="auto" w:fill="auto"/>
            <w:vAlign w:val="bottom"/>
            <w:hideMark/>
          </w:tcPr>
          <w:p w14:paraId="58C5F11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37</w:t>
            </w:r>
          </w:p>
        </w:tc>
        <w:tc>
          <w:tcPr>
            <w:tcW w:w="560" w:type="dxa"/>
            <w:tcBorders>
              <w:top w:val="nil"/>
              <w:left w:val="nil"/>
              <w:bottom w:val="single" w:sz="4" w:space="0" w:color="ADD6EA"/>
              <w:right w:val="nil"/>
            </w:tcBorders>
            <w:shd w:val="clear" w:color="auto" w:fill="auto"/>
            <w:vAlign w:val="bottom"/>
            <w:hideMark/>
          </w:tcPr>
          <w:p w14:paraId="3CBE97D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-15</w:t>
            </w:r>
          </w:p>
        </w:tc>
        <w:tc>
          <w:tcPr>
            <w:tcW w:w="560" w:type="dxa"/>
            <w:tcBorders>
              <w:top w:val="nil"/>
              <w:left w:val="nil"/>
              <w:bottom w:val="single" w:sz="4" w:space="0" w:color="ADD6EA"/>
              <w:right w:val="nil"/>
            </w:tcBorders>
            <w:shd w:val="clear" w:color="auto" w:fill="auto"/>
            <w:vAlign w:val="bottom"/>
            <w:hideMark/>
          </w:tcPr>
          <w:p w14:paraId="76D4959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560" w:type="dxa"/>
            <w:tcBorders>
              <w:top w:val="nil"/>
              <w:left w:val="nil"/>
              <w:bottom w:val="single" w:sz="4" w:space="0" w:color="ADD6EA"/>
              <w:right w:val="nil"/>
            </w:tcBorders>
            <w:shd w:val="clear" w:color="auto" w:fill="auto"/>
            <w:vAlign w:val="bottom"/>
            <w:hideMark/>
          </w:tcPr>
          <w:p w14:paraId="547C4E7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3FDB58D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5CEC04A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657A43C4"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696" w:type="dxa"/>
            <w:tcBorders>
              <w:top w:val="nil"/>
              <w:left w:val="nil"/>
              <w:bottom w:val="single" w:sz="4" w:space="0" w:color="ADD6EA"/>
              <w:right w:val="nil"/>
            </w:tcBorders>
            <w:shd w:val="clear" w:color="auto" w:fill="auto"/>
            <w:vAlign w:val="bottom"/>
            <w:hideMark/>
          </w:tcPr>
          <w:p w14:paraId="1E86A7A6"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45</w:t>
            </w:r>
          </w:p>
        </w:tc>
      </w:tr>
      <w:tr w:rsidR="00854CCB" w:rsidRPr="00CE0997" w14:paraId="648D60E4"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05AD1013" w14:textId="1DEAB99B"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Road infrastructure - </w:t>
            </w:r>
            <w:r w:rsidR="00744E00">
              <w:rPr>
                <w:rFonts w:cs="Open Sans Light"/>
                <w:sz w:val="16"/>
                <w:szCs w:val="16"/>
              </w:rPr>
              <w:t>Other Roads</w:t>
            </w:r>
          </w:p>
        </w:tc>
        <w:tc>
          <w:tcPr>
            <w:tcW w:w="581" w:type="dxa"/>
            <w:tcBorders>
              <w:top w:val="nil"/>
              <w:left w:val="nil"/>
              <w:bottom w:val="single" w:sz="4" w:space="0" w:color="ADD6EA"/>
              <w:right w:val="nil"/>
            </w:tcBorders>
            <w:shd w:val="clear" w:color="auto" w:fill="auto"/>
            <w:vAlign w:val="bottom"/>
            <w:hideMark/>
          </w:tcPr>
          <w:p w14:paraId="5B4E53AF"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660" w:type="dxa"/>
            <w:tcBorders>
              <w:top w:val="nil"/>
              <w:left w:val="nil"/>
              <w:bottom w:val="single" w:sz="4" w:space="0" w:color="ADD6EA"/>
              <w:right w:val="nil"/>
            </w:tcBorders>
            <w:shd w:val="clear" w:color="auto" w:fill="auto"/>
            <w:vAlign w:val="bottom"/>
            <w:hideMark/>
          </w:tcPr>
          <w:p w14:paraId="66ED55E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31</w:t>
            </w:r>
          </w:p>
        </w:tc>
        <w:tc>
          <w:tcPr>
            <w:tcW w:w="560" w:type="dxa"/>
            <w:tcBorders>
              <w:top w:val="nil"/>
              <w:left w:val="nil"/>
              <w:bottom w:val="single" w:sz="4" w:space="0" w:color="ADD6EA"/>
              <w:right w:val="nil"/>
            </w:tcBorders>
            <w:shd w:val="clear" w:color="auto" w:fill="auto"/>
            <w:vAlign w:val="bottom"/>
            <w:hideMark/>
          </w:tcPr>
          <w:p w14:paraId="3A05B6B8"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560" w:type="dxa"/>
            <w:tcBorders>
              <w:top w:val="nil"/>
              <w:left w:val="nil"/>
              <w:bottom w:val="single" w:sz="4" w:space="0" w:color="ADD6EA"/>
              <w:right w:val="nil"/>
            </w:tcBorders>
            <w:shd w:val="clear" w:color="auto" w:fill="auto"/>
            <w:vAlign w:val="bottom"/>
            <w:hideMark/>
          </w:tcPr>
          <w:p w14:paraId="083F79F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-19</w:t>
            </w:r>
          </w:p>
        </w:tc>
        <w:tc>
          <w:tcPr>
            <w:tcW w:w="560" w:type="dxa"/>
            <w:tcBorders>
              <w:top w:val="nil"/>
              <w:left w:val="nil"/>
              <w:bottom w:val="single" w:sz="4" w:space="0" w:color="ADD6EA"/>
              <w:right w:val="nil"/>
            </w:tcBorders>
            <w:shd w:val="clear" w:color="auto" w:fill="auto"/>
            <w:vAlign w:val="bottom"/>
            <w:hideMark/>
          </w:tcPr>
          <w:p w14:paraId="06372A1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-19</w:t>
            </w:r>
          </w:p>
        </w:tc>
        <w:tc>
          <w:tcPr>
            <w:tcW w:w="560" w:type="dxa"/>
            <w:tcBorders>
              <w:top w:val="nil"/>
              <w:left w:val="nil"/>
              <w:bottom w:val="single" w:sz="4" w:space="0" w:color="ADD6EA"/>
              <w:right w:val="nil"/>
            </w:tcBorders>
            <w:shd w:val="clear" w:color="auto" w:fill="auto"/>
            <w:vAlign w:val="bottom"/>
            <w:hideMark/>
          </w:tcPr>
          <w:p w14:paraId="0D5665A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-4</w:t>
            </w:r>
          </w:p>
        </w:tc>
        <w:tc>
          <w:tcPr>
            <w:tcW w:w="560" w:type="dxa"/>
            <w:tcBorders>
              <w:top w:val="nil"/>
              <w:left w:val="nil"/>
              <w:bottom w:val="single" w:sz="4" w:space="0" w:color="ADD6EA"/>
              <w:right w:val="nil"/>
            </w:tcBorders>
            <w:shd w:val="clear" w:color="auto" w:fill="auto"/>
            <w:vAlign w:val="bottom"/>
            <w:hideMark/>
          </w:tcPr>
          <w:p w14:paraId="4686CBCD"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560" w:type="dxa"/>
            <w:tcBorders>
              <w:top w:val="nil"/>
              <w:left w:val="nil"/>
              <w:bottom w:val="single" w:sz="4" w:space="0" w:color="ADD6EA"/>
              <w:right w:val="nil"/>
            </w:tcBorders>
            <w:shd w:val="clear" w:color="auto" w:fill="auto"/>
            <w:vAlign w:val="bottom"/>
            <w:hideMark/>
          </w:tcPr>
          <w:p w14:paraId="3C45554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4AE594E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41</w:t>
            </w:r>
          </w:p>
        </w:tc>
      </w:tr>
      <w:tr w:rsidR="00854CCB" w:rsidRPr="00CE0997" w14:paraId="4C11584D"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1ECAECE9" w14:textId="20149358"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Health and hospital fund</w:t>
            </w:r>
          </w:p>
        </w:tc>
        <w:tc>
          <w:tcPr>
            <w:tcW w:w="581" w:type="dxa"/>
            <w:tcBorders>
              <w:top w:val="nil"/>
              <w:left w:val="nil"/>
              <w:bottom w:val="single" w:sz="4" w:space="0" w:color="ADD6EA"/>
              <w:right w:val="nil"/>
            </w:tcBorders>
            <w:shd w:val="clear" w:color="auto" w:fill="auto"/>
            <w:vAlign w:val="bottom"/>
            <w:hideMark/>
          </w:tcPr>
          <w:p w14:paraId="69EF779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-16</w:t>
            </w:r>
          </w:p>
        </w:tc>
        <w:tc>
          <w:tcPr>
            <w:tcW w:w="660" w:type="dxa"/>
            <w:tcBorders>
              <w:top w:val="nil"/>
              <w:left w:val="nil"/>
              <w:bottom w:val="single" w:sz="4" w:space="0" w:color="ADD6EA"/>
              <w:right w:val="nil"/>
            </w:tcBorders>
            <w:shd w:val="clear" w:color="auto" w:fill="auto"/>
            <w:vAlign w:val="bottom"/>
            <w:hideMark/>
          </w:tcPr>
          <w:p w14:paraId="22CAD61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22</w:t>
            </w:r>
          </w:p>
        </w:tc>
        <w:tc>
          <w:tcPr>
            <w:tcW w:w="560" w:type="dxa"/>
            <w:tcBorders>
              <w:top w:val="nil"/>
              <w:left w:val="nil"/>
              <w:bottom w:val="single" w:sz="4" w:space="0" w:color="ADD6EA"/>
              <w:right w:val="nil"/>
            </w:tcBorders>
            <w:shd w:val="clear" w:color="auto" w:fill="auto"/>
            <w:vAlign w:val="bottom"/>
            <w:hideMark/>
          </w:tcPr>
          <w:p w14:paraId="5A84C13E"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-12</w:t>
            </w:r>
          </w:p>
        </w:tc>
        <w:tc>
          <w:tcPr>
            <w:tcW w:w="560" w:type="dxa"/>
            <w:tcBorders>
              <w:top w:val="nil"/>
              <w:left w:val="nil"/>
              <w:bottom w:val="single" w:sz="4" w:space="0" w:color="ADD6EA"/>
              <w:right w:val="nil"/>
            </w:tcBorders>
            <w:shd w:val="clear" w:color="auto" w:fill="auto"/>
            <w:vAlign w:val="bottom"/>
            <w:hideMark/>
          </w:tcPr>
          <w:p w14:paraId="31F655E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5249FB05"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7B2FDDEF"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-5</w:t>
            </w:r>
          </w:p>
        </w:tc>
        <w:tc>
          <w:tcPr>
            <w:tcW w:w="560" w:type="dxa"/>
            <w:tcBorders>
              <w:top w:val="nil"/>
              <w:left w:val="nil"/>
              <w:bottom w:val="single" w:sz="4" w:space="0" w:color="ADD6EA"/>
              <w:right w:val="nil"/>
            </w:tcBorders>
            <w:shd w:val="clear" w:color="auto" w:fill="auto"/>
            <w:vAlign w:val="bottom"/>
            <w:hideMark/>
          </w:tcPr>
          <w:p w14:paraId="766201F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28F299E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17</w:t>
            </w:r>
          </w:p>
        </w:tc>
        <w:tc>
          <w:tcPr>
            <w:tcW w:w="696" w:type="dxa"/>
            <w:tcBorders>
              <w:top w:val="nil"/>
              <w:left w:val="nil"/>
              <w:bottom w:val="single" w:sz="4" w:space="0" w:color="ADD6EA"/>
              <w:right w:val="nil"/>
            </w:tcBorders>
            <w:shd w:val="clear" w:color="auto" w:fill="auto"/>
            <w:vAlign w:val="bottom"/>
            <w:hideMark/>
          </w:tcPr>
          <w:p w14:paraId="7E062048"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38</w:t>
            </w:r>
          </w:p>
        </w:tc>
      </w:tr>
      <w:tr w:rsidR="00854CCB" w:rsidRPr="00CE0997" w14:paraId="30072B59"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50755C69" w14:textId="58F7084F"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Investment Growth Package - new investments</w:t>
            </w:r>
          </w:p>
        </w:tc>
        <w:tc>
          <w:tcPr>
            <w:tcW w:w="581" w:type="dxa"/>
            <w:tcBorders>
              <w:top w:val="nil"/>
              <w:left w:val="nil"/>
              <w:bottom w:val="single" w:sz="4" w:space="0" w:color="ADD6EA"/>
              <w:right w:val="nil"/>
            </w:tcBorders>
            <w:shd w:val="clear" w:color="auto" w:fill="auto"/>
            <w:vAlign w:val="bottom"/>
            <w:hideMark/>
          </w:tcPr>
          <w:p w14:paraId="41670B3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-15</w:t>
            </w:r>
          </w:p>
        </w:tc>
        <w:tc>
          <w:tcPr>
            <w:tcW w:w="660" w:type="dxa"/>
            <w:tcBorders>
              <w:top w:val="nil"/>
              <w:left w:val="nil"/>
              <w:bottom w:val="single" w:sz="4" w:space="0" w:color="ADD6EA"/>
              <w:right w:val="nil"/>
            </w:tcBorders>
            <w:shd w:val="clear" w:color="auto" w:fill="auto"/>
            <w:vAlign w:val="bottom"/>
            <w:hideMark/>
          </w:tcPr>
          <w:p w14:paraId="2925825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-12</w:t>
            </w:r>
          </w:p>
        </w:tc>
        <w:tc>
          <w:tcPr>
            <w:tcW w:w="560" w:type="dxa"/>
            <w:tcBorders>
              <w:top w:val="nil"/>
              <w:left w:val="nil"/>
              <w:bottom w:val="single" w:sz="4" w:space="0" w:color="ADD6EA"/>
              <w:right w:val="nil"/>
            </w:tcBorders>
            <w:shd w:val="clear" w:color="auto" w:fill="auto"/>
            <w:vAlign w:val="bottom"/>
            <w:hideMark/>
          </w:tcPr>
          <w:p w14:paraId="1F05084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26</w:t>
            </w:r>
          </w:p>
        </w:tc>
        <w:tc>
          <w:tcPr>
            <w:tcW w:w="560" w:type="dxa"/>
            <w:tcBorders>
              <w:top w:val="nil"/>
              <w:left w:val="nil"/>
              <w:bottom w:val="single" w:sz="4" w:space="0" w:color="ADD6EA"/>
              <w:right w:val="nil"/>
            </w:tcBorders>
            <w:shd w:val="clear" w:color="auto" w:fill="auto"/>
            <w:vAlign w:val="bottom"/>
            <w:hideMark/>
          </w:tcPr>
          <w:p w14:paraId="1F1BAE7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0400CBD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2D9800C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560" w:type="dxa"/>
            <w:tcBorders>
              <w:top w:val="nil"/>
              <w:left w:val="nil"/>
              <w:bottom w:val="single" w:sz="4" w:space="0" w:color="ADD6EA"/>
              <w:right w:val="nil"/>
            </w:tcBorders>
            <w:shd w:val="clear" w:color="auto" w:fill="auto"/>
            <w:vAlign w:val="bottom"/>
            <w:hideMark/>
          </w:tcPr>
          <w:p w14:paraId="3B634CD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6B88309E"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5</w:t>
            </w:r>
          </w:p>
        </w:tc>
        <w:tc>
          <w:tcPr>
            <w:tcW w:w="696" w:type="dxa"/>
            <w:tcBorders>
              <w:top w:val="nil"/>
              <w:left w:val="nil"/>
              <w:bottom w:val="single" w:sz="4" w:space="0" w:color="ADD6EA"/>
              <w:right w:val="nil"/>
            </w:tcBorders>
            <w:shd w:val="clear" w:color="auto" w:fill="auto"/>
            <w:vAlign w:val="bottom"/>
            <w:hideMark/>
          </w:tcPr>
          <w:p w14:paraId="62BE0D0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32</w:t>
            </w:r>
          </w:p>
        </w:tc>
      </w:tr>
      <w:tr w:rsidR="00854CCB" w:rsidRPr="00CE0997" w14:paraId="7E471F79"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1E16D2B2" w14:textId="5210A10B"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Skilling Australians Fund</w:t>
            </w:r>
          </w:p>
        </w:tc>
        <w:tc>
          <w:tcPr>
            <w:tcW w:w="581" w:type="dxa"/>
            <w:tcBorders>
              <w:top w:val="nil"/>
              <w:left w:val="nil"/>
              <w:bottom w:val="single" w:sz="4" w:space="0" w:color="ADD6EA"/>
              <w:right w:val="nil"/>
            </w:tcBorders>
            <w:shd w:val="clear" w:color="auto" w:fill="auto"/>
            <w:vAlign w:val="bottom"/>
            <w:hideMark/>
          </w:tcPr>
          <w:p w14:paraId="6C9DB69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-16</w:t>
            </w:r>
          </w:p>
        </w:tc>
        <w:tc>
          <w:tcPr>
            <w:tcW w:w="660" w:type="dxa"/>
            <w:tcBorders>
              <w:top w:val="nil"/>
              <w:left w:val="nil"/>
              <w:bottom w:val="single" w:sz="4" w:space="0" w:color="ADD6EA"/>
              <w:right w:val="nil"/>
            </w:tcBorders>
            <w:shd w:val="clear" w:color="auto" w:fill="auto"/>
            <w:vAlign w:val="bottom"/>
            <w:hideMark/>
          </w:tcPr>
          <w:p w14:paraId="7972234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13</w:t>
            </w:r>
          </w:p>
        </w:tc>
        <w:tc>
          <w:tcPr>
            <w:tcW w:w="560" w:type="dxa"/>
            <w:tcBorders>
              <w:top w:val="nil"/>
              <w:left w:val="nil"/>
              <w:bottom w:val="single" w:sz="4" w:space="0" w:color="ADD6EA"/>
              <w:right w:val="nil"/>
            </w:tcBorders>
            <w:shd w:val="clear" w:color="auto" w:fill="auto"/>
            <w:vAlign w:val="bottom"/>
            <w:hideMark/>
          </w:tcPr>
          <w:p w14:paraId="2AC060FE"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10</w:t>
            </w:r>
          </w:p>
        </w:tc>
        <w:tc>
          <w:tcPr>
            <w:tcW w:w="560" w:type="dxa"/>
            <w:tcBorders>
              <w:top w:val="nil"/>
              <w:left w:val="nil"/>
              <w:bottom w:val="single" w:sz="4" w:space="0" w:color="ADD6EA"/>
              <w:right w:val="nil"/>
            </w:tcBorders>
            <w:shd w:val="clear" w:color="auto" w:fill="auto"/>
            <w:vAlign w:val="bottom"/>
            <w:hideMark/>
          </w:tcPr>
          <w:p w14:paraId="3155B00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3F4F3936"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5D52B4B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48EACF9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732B36F6"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5BE86A6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23</w:t>
            </w:r>
          </w:p>
        </w:tc>
      </w:tr>
      <w:tr w:rsidR="00854CCB" w:rsidRPr="00CE0997" w14:paraId="38859B73" w14:textId="77777777" w:rsidTr="00664FDC">
        <w:trPr>
          <w:trHeight w:val="555"/>
        </w:trPr>
        <w:tc>
          <w:tcPr>
            <w:tcW w:w="3580" w:type="dxa"/>
            <w:tcBorders>
              <w:top w:val="nil"/>
              <w:left w:val="nil"/>
              <w:bottom w:val="single" w:sz="4" w:space="0" w:color="ADD6EA"/>
              <w:right w:val="nil"/>
            </w:tcBorders>
            <w:shd w:val="clear" w:color="auto" w:fill="auto"/>
            <w:vAlign w:val="bottom"/>
            <w:hideMark/>
          </w:tcPr>
          <w:p w14:paraId="098F634A" w14:textId="6BAF29FB" w:rsidR="00854CCB" w:rsidRPr="007D2A7D" w:rsidRDefault="00744E00"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Sustainable Rural Water Use and Infrastructure Program</w:t>
            </w:r>
          </w:p>
        </w:tc>
        <w:tc>
          <w:tcPr>
            <w:tcW w:w="581" w:type="dxa"/>
            <w:tcBorders>
              <w:top w:val="nil"/>
              <w:left w:val="nil"/>
              <w:bottom w:val="single" w:sz="4" w:space="0" w:color="ADD6EA"/>
              <w:right w:val="nil"/>
            </w:tcBorders>
            <w:shd w:val="clear" w:color="auto" w:fill="auto"/>
            <w:vAlign w:val="bottom"/>
            <w:hideMark/>
          </w:tcPr>
          <w:p w14:paraId="5CE0CAF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660" w:type="dxa"/>
            <w:tcBorders>
              <w:top w:val="nil"/>
              <w:left w:val="nil"/>
              <w:bottom w:val="single" w:sz="4" w:space="0" w:color="ADD6EA"/>
              <w:right w:val="nil"/>
            </w:tcBorders>
            <w:shd w:val="clear" w:color="auto" w:fill="auto"/>
            <w:vAlign w:val="bottom"/>
            <w:hideMark/>
          </w:tcPr>
          <w:p w14:paraId="36D6A78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-17</w:t>
            </w:r>
          </w:p>
        </w:tc>
        <w:tc>
          <w:tcPr>
            <w:tcW w:w="560" w:type="dxa"/>
            <w:tcBorders>
              <w:top w:val="nil"/>
              <w:left w:val="nil"/>
              <w:bottom w:val="single" w:sz="4" w:space="0" w:color="ADD6EA"/>
              <w:right w:val="nil"/>
            </w:tcBorders>
            <w:shd w:val="clear" w:color="auto" w:fill="auto"/>
            <w:vAlign w:val="bottom"/>
            <w:hideMark/>
          </w:tcPr>
          <w:p w14:paraId="63E63C1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10</w:t>
            </w:r>
          </w:p>
        </w:tc>
        <w:tc>
          <w:tcPr>
            <w:tcW w:w="560" w:type="dxa"/>
            <w:tcBorders>
              <w:top w:val="nil"/>
              <w:left w:val="nil"/>
              <w:bottom w:val="single" w:sz="4" w:space="0" w:color="ADD6EA"/>
              <w:right w:val="nil"/>
            </w:tcBorders>
            <w:shd w:val="clear" w:color="auto" w:fill="auto"/>
            <w:vAlign w:val="bottom"/>
            <w:hideMark/>
          </w:tcPr>
          <w:p w14:paraId="129CFC5B"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2B89DE0A"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w:t>
            </w:r>
          </w:p>
        </w:tc>
        <w:tc>
          <w:tcPr>
            <w:tcW w:w="560" w:type="dxa"/>
            <w:tcBorders>
              <w:top w:val="nil"/>
              <w:left w:val="nil"/>
              <w:bottom w:val="single" w:sz="4" w:space="0" w:color="ADD6EA"/>
              <w:right w:val="nil"/>
            </w:tcBorders>
            <w:shd w:val="clear" w:color="auto" w:fill="auto"/>
            <w:vAlign w:val="bottom"/>
            <w:hideMark/>
          </w:tcPr>
          <w:p w14:paraId="6317FB3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2A0CBE0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45E1E41C"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05F8E569"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23</w:t>
            </w:r>
          </w:p>
        </w:tc>
      </w:tr>
      <w:tr w:rsidR="00854CCB" w:rsidRPr="00CE0997" w14:paraId="3C82BC71" w14:textId="77777777" w:rsidTr="00664FDC">
        <w:trPr>
          <w:trHeight w:val="315"/>
        </w:trPr>
        <w:tc>
          <w:tcPr>
            <w:tcW w:w="3580" w:type="dxa"/>
            <w:tcBorders>
              <w:top w:val="nil"/>
              <w:left w:val="nil"/>
              <w:bottom w:val="single" w:sz="4" w:space="0" w:color="ADD6EA"/>
              <w:right w:val="nil"/>
            </w:tcBorders>
            <w:shd w:val="clear" w:color="auto" w:fill="auto"/>
            <w:vAlign w:val="bottom"/>
            <w:hideMark/>
          </w:tcPr>
          <w:p w14:paraId="78A96E5B" w14:textId="7196845E" w:rsidR="00854CCB" w:rsidRPr="007D2A7D" w:rsidRDefault="00854CCB" w:rsidP="00854CCB">
            <w:pPr>
              <w:tabs>
                <w:tab w:val="clear" w:pos="567"/>
              </w:tabs>
              <w:spacing w:before="0" w:line="240" w:lineRule="auto"/>
              <w:rPr>
                <w:rFonts w:eastAsia="Times New Roman" w:cs="Open Sans Light"/>
                <w:sz w:val="16"/>
                <w:szCs w:val="16"/>
                <w:lang w:val="en-AU" w:eastAsia="en-AU"/>
              </w:rPr>
            </w:pPr>
            <w:r>
              <w:rPr>
                <w:rFonts w:cs="Open Sans Light"/>
                <w:sz w:val="16"/>
                <w:szCs w:val="16"/>
              </w:rPr>
              <w:t>Other</w:t>
            </w:r>
          </w:p>
        </w:tc>
        <w:tc>
          <w:tcPr>
            <w:tcW w:w="581" w:type="dxa"/>
            <w:tcBorders>
              <w:top w:val="nil"/>
              <w:left w:val="nil"/>
              <w:bottom w:val="single" w:sz="4" w:space="0" w:color="ADD6EA"/>
              <w:right w:val="nil"/>
            </w:tcBorders>
            <w:shd w:val="clear" w:color="auto" w:fill="auto"/>
            <w:vAlign w:val="bottom"/>
            <w:hideMark/>
          </w:tcPr>
          <w:p w14:paraId="16FB824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10</w:t>
            </w:r>
          </w:p>
        </w:tc>
        <w:tc>
          <w:tcPr>
            <w:tcW w:w="660" w:type="dxa"/>
            <w:tcBorders>
              <w:top w:val="nil"/>
              <w:left w:val="nil"/>
              <w:bottom w:val="single" w:sz="4" w:space="0" w:color="ADD6EA"/>
              <w:right w:val="nil"/>
            </w:tcBorders>
            <w:shd w:val="clear" w:color="auto" w:fill="auto"/>
            <w:vAlign w:val="bottom"/>
            <w:hideMark/>
          </w:tcPr>
          <w:p w14:paraId="49C0F8B7"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3</w:t>
            </w:r>
          </w:p>
        </w:tc>
        <w:tc>
          <w:tcPr>
            <w:tcW w:w="560" w:type="dxa"/>
            <w:tcBorders>
              <w:top w:val="nil"/>
              <w:left w:val="nil"/>
              <w:bottom w:val="single" w:sz="4" w:space="0" w:color="ADD6EA"/>
              <w:right w:val="nil"/>
            </w:tcBorders>
            <w:shd w:val="clear" w:color="auto" w:fill="auto"/>
            <w:vAlign w:val="bottom"/>
            <w:hideMark/>
          </w:tcPr>
          <w:p w14:paraId="0B125D0D"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560" w:type="dxa"/>
            <w:tcBorders>
              <w:top w:val="nil"/>
              <w:left w:val="nil"/>
              <w:bottom w:val="single" w:sz="4" w:space="0" w:color="ADD6EA"/>
              <w:right w:val="nil"/>
            </w:tcBorders>
            <w:shd w:val="clear" w:color="auto" w:fill="auto"/>
            <w:vAlign w:val="bottom"/>
            <w:hideMark/>
          </w:tcPr>
          <w:p w14:paraId="5A8863A8"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3D641D1E"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560" w:type="dxa"/>
            <w:tcBorders>
              <w:top w:val="nil"/>
              <w:left w:val="nil"/>
              <w:bottom w:val="single" w:sz="4" w:space="0" w:color="ADD6EA"/>
              <w:right w:val="nil"/>
            </w:tcBorders>
            <w:shd w:val="clear" w:color="auto" w:fill="auto"/>
            <w:vAlign w:val="bottom"/>
            <w:hideMark/>
          </w:tcPr>
          <w:p w14:paraId="44BDCFC1"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-8</w:t>
            </w:r>
          </w:p>
        </w:tc>
        <w:tc>
          <w:tcPr>
            <w:tcW w:w="560" w:type="dxa"/>
            <w:tcBorders>
              <w:top w:val="nil"/>
              <w:left w:val="nil"/>
              <w:bottom w:val="single" w:sz="4" w:space="0" w:color="ADD6EA"/>
              <w:right w:val="nil"/>
            </w:tcBorders>
            <w:shd w:val="clear" w:color="auto" w:fill="auto"/>
            <w:vAlign w:val="bottom"/>
            <w:hideMark/>
          </w:tcPr>
          <w:p w14:paraId="40D8005F"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w:t>
            </w:r>
          </w:p>
        </w:tc>
        <w:tc>
          <w:tcPr>
            <w:tcW w:w="560" w:type="dxa"/>
            <w:tcBorders>
              <w:top w:val="nil"/>
              <w:left w:val="nil"/>
              <w:bottom w:val="single" w:sz="4" w:space="0" w:color="ADD6EA"/>
              <w:right w:val="nil"/>
            </w:tcBorders>
            <w:shd w:val="clear" w:color="auto" w:fill="auto"/>
            <w:vAlign w:val="bottom"/>
            <w:hideMark/>
          </w:tcPr>
          <w:p w14:paraId="39930D83"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10</w:t>
            </w:r>
          </w:p>
        </w:tc>
        <w:tc>
          <w:tcPr>
            <w:tcW w:w="696" w:type="dxa"/>
            <w:tcBorders>
              <w:top w:val="nil"/>
              <w:left w:val="nil"/>
              <w:bottom w:val="single" w:sz="4" w:space="0" w:color="ADD6EA"/>
              <w:right w:val="nil"/>
            </w:tcBorders>
            <w:shd w:val="clear" w:color="auto" w:fill="auto"/>
            <w:vAlign w:val="bottom"/>
            <w:hideMark/>
          </w:tcPr>
          <w:p w14:paraId="597A1BA0" w14:textId="77777777" w:rsidR="00854CCB" w:rsidRPr="007D2A7D" w:rsidRDefault="00854CCB" w:rsidP="00854CCB">
            <w:pPr>
              <w:tabs>
                <w:tab w:val="clear" w:pos="567"/>
              </w:tabs>
              <w:spacing w:before="0" w:line="240" w:lineRule="auto"/>
              <w:jc w:val="right"/>
              <w:rPr>
                <w:rFonts w:eastAsia="Times New Roman" w:cs="Open Sans Light"/>
                <w:sz w:val="16"/>
                <w:szCs w:val="16"/>
                <w:lang w:val="en-AU" w:eastAsia="en-AU"/>
              </w:rPr>
            </w:pPr>
            <w:r w:rsidRPr="007D2A7D">
              <w:rPr>
                <w:rFonts w:eastAsia="Times New Roman" w:cs="Open Sans Light"/>
                <w:sz w:val="16"/>
                <w:szCs w:val="16"/>
                <w:lang w:val="en-AU" w:eastAsia="en-AU"/>
              </w:rPr>
              <w:t>25</w:t>
            </w:r>
          </w:p>
        </w:tc>
      </w:tr>
      <w:tr w:rsidR="00841DF3" w:rsidRPr="00CE0997" w14:paraId="6EA52BB7" w14:textId="77777777" w:rsidTr="00664FDC">
        <w:trPr>
          <w:trHeight w:val="315"/>
        </w:trPr>
        <w:tc>
          <w:tcPr>
            <w:tcW w:w="3580" w:type="dxa"/>
            <w:tcBorders>
              <w:top w:val="nil"/>
              <w:left w:val="nil"/>
              <w:bottom w:val="single" w:sz="4" w:space="0" w:color="ADD6EA"/>
              <w:right w:val="nil"/>
            </w:tcBorders>
            <w:shd w:val="clear" w:color="000000" w:fill="D6E7F0"/>
            <w:vAlign w:val="bottom"/>
            <w:hideMark/>
          </w:tcPr>
          <w:p w14:paraId="7E84036E" w14:textId="77777777" w:rsidR="00854CCB" w:rsidRPr="007D2A7D" w:rsidRDefault="00854CCB" w:rsidP="00854CC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Total</w:t>
            </w:r>
          </w:p>
        </w:tc>
        <w:tc>
          <w:tcPr>
            <w:tcW w:w="581" w:type="dxa"/>
            <w:tcBorders>
              <w:top w:val="nil"/>
              <w:left w:val="nil"/>
              <w:bottom w:val="single" w:sz="4" w:space="0" w:color="ADD6EA"/>
              <w:right w:val="nil"/>
            </w:tcBorders>
            <w:shd w:val="clear" w:color="000000" w:fill="D6E7F0"/>
            <w:vAlign w:val="bottom"/>
            <w:hideMark/>
          </w:tcPr>
          <w:p w14:paraId="29847EA2"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116</w:t>
            </w:r>
          </w:p>
        </w:tc>
        <w:tc>
          <w:tcPr>
            <w:tcW w:w="660" w:type="dxa"/>
            <w:tcBorders>
              <w:top w:val="nil"/>
              <w:left w:val="nil"/>
              <w:bottom w:val="single" w:sz="4" w:space="0" w:color="ADD6EA"/>
              <w:right w:val="nil"/>
            </w:tcBorders>
            <w:shd w:val="clear" w:color="000000" w:fill="D6E7F0"/>
            <w:vAlign w:val="bottom"/>
            <w:hideMark/>
          </w:tcPr>
          <w:p w14:paraId="5AFAE770"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209</w:t>
            </w:r>
          </w:p>
        </w:tc>
        <w:tc>
          <w:tcPr>
            <w:tcW w:w="560" w:type="dxa"/>
            <w:tcBorders>
              <w:top w:val="nil"/>
              <w:left w:val="nil"/>
              <w:bottom w:val="single" w:sz="4" w:space="0" w:color="ADD6EA"/>
              <w:right w:val="nil"/>
            </w:tcBorders>
            <w:shd w:val="clear" w:color="000000" w:fill="D6E7F0"/>
            <w:vAlign w:val="bottom"/>
            <w:hideMark/>
          </w:tcPr>
          <w:p w14:paraId="668DA4AD"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-164</w:t>
            </w:r>
          </w:p>
        </w:tc>
        <w:tc>
          <w:tcPr>
            <w:tcW w:w="560" w:type="dxa"/>
            <w:tcBorders>
              <w:top w:val="nil"/>
              <w:left w:val="nil"/>
              <w:bottom w:val="single" w:sz="4" w:space="0" w:color="ADD6EA"/>
              <w:right w:val="nil"/>
            </w:tcBorders>
            <w:shd w:val="clear" w:color="000000" w:fill="D6E7F0"/>
            <w:vAlign w:val="bottom"/>
            <w:hideMark/>
          </w:tcPr>
          <w:p w14:paraId="62F37DC0"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-13</w:t>
            </w:r>
          </w:p>
        </w:tc>
        <w:tc>
          <w:tcPr>
            <w:tcW w:w="560" w:type="dxa"/>
            <w:tcBorders>
              <w:top w:val="nil"/>
              <w:left w:val="nil"/>
              <w:bottom w:val="single" w:sz="4" w:space="0" w:color="ADD6EA"/>
              <w:right w:val="nil"/>
            </w:tcBorders>
            <w:shd w:val="clear" w:color="000000" w:fill="D6E7F0"/>
            <w:vAlign w:val="bottom"/>
            <w:hideMark/>
          </w:tcPr>
          <w:p w14:paraId="322C2716"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-174</w:t>
            </w:r>
          </w:p>
        </w:tc>
        <w:tc>
          <w:tcPr>
            <w:tcW w:w="560" w:type="dxa"/>
            <w:tcBorders>
              <w:top w:val="nil"/>
              <w:left w:val="nil"/>
              <w:bottom w:val="single" w:sz="4" w:space="0" w:color="ADD6EA"/>
              <w:right w:val="nil"/>
            </w:tcBorders>
            <w:shd w:val="clear" w:color="000000" w:fill="D6E7F0"/>
            <w:vAlign w:val="bottom"/>
            <w:hideMark/>
          </w:tcPr>
          <w:p w14:paraId="62E445E4"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w:t>
            </w:r>
          </w:p>
        </w:tc>
        <w:tc>
          <w:tcPr>
            <w:tcW w:w="560" w:type="dxa"/>
            <w:tcBorders>
              <w:top w:val="nil"/>
              <w:left w:val="nil"/>
              <w:bottom w:val="single" w:sz="4" w:space="0" w:color="ADD6EA"/>
              <w:right w:val="nil"/>
            </w:tcBorders>
            <w:shd w:val="clear" w:color="000000" w:fill="D6E7F0"/>
            <w:vAlign w:val="bottom"/>
            <w:hideMark/>
          </w:tcPr>
          <w:p w14:paraId="6A5A1FEE"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1</w:t>
            </w:r>
          </w:p>
        </w:tc>
        <w:tc>
          <w:tcPr>
            <w:tcW w:w="560" w:type="dxa"/>
            <w:tcBorders>
              <w:top w:val="nil"/>
              <w:left w:val="nil"/>
              <w:bottom w:val="single" w:sz="4" w:space="0" w:color="ADD6EA"/>
              <w:right w:val="nil"/>
            </w:tcBorders>
            <w:shd w:val="clear" w:color="000000" w:fill="D6E7F0"/>
            <w:vAlign w:val="bottom"/>
            <w:hideMark/>
          </w:tcPr>
          <w:p w14:paraId="1E87E114"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27</w:t>
            </w:r>
          </w:p>
        </w:tc>
        <w:tc>
          <w:tcPr>
            <w:tcW w:w="696" w:type="dxa"/>
            <w:tcBorders>
              <w:top w:val="nil"/>
              <w:left w:val="nil"/>
              <w:bottom w:val="single" w:sz="4" w:space="0" w:color="ADD6EA"/>
              <w:right w:val="nil"/>
            </w:tcBorders>
            <w:shd w:val="clear" w:color="000000" w:fill="D6E7F0"/>
            <w:vAlign w:val="bottom"/>
            <w:hideMark/>
          </w:tcPr>
          <w:p w14:paraId="5DD27A28" w14:textId="77777777" w:rsidR="00854CCB" w:rsidRPr="007D2A7D" w:rsidRDefault="00854CCB" w:rsidP="00854CC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D2A7D">
              <w:rPr>
                <w:rFonts w:ascii="Open Sans SemiBold" w:eastAsia="Times New Roman" w:hAnsi="Open Sans SemiBold" w:cs="Open Sans SemiBold"/>
                <w:color w:val="000000"/>
                <w:sz w:val="16"/>
                <w:szCs w:val="16"/>
                <w:lang w:val="en-AU" w:eastAsia="en-AU"/>
              </w:rPr>
              <w:t>352</w:t>
            </w:r>
          </w:p>
        </w:tc>
      </w:tr>
    </w:tbl>
    <w:p w14:paraId="54FF8444" w14:textId="56F44F63" w:rsidR="00FD6CD6" w:rsidRPr="00FD6CD6" w:rsidRDefault="00FD6CD6" w:rsidP="00FD6CD6">
      <w:pPr>
        <w:pStyle w:val="CGCTablenote"/>
      </w:pPr>
      <w:r>
        <w:t>Source:</w:t>
      </w:r>
      <w:r>
        <w:tab/>
        <w:t>Commission calculation.</w:t>
      </w:r>
    </w:p>
    <w:p w14:paraId="1048B52D" w14:textId="7B7A52C1" w:rsidR="003126B8" w:rsidRDefault="003126B8" w:rsidP="003126B8">
      <w:pPr>
        <w:pStyle w:val="Heading4"/>
      </w:pPr>
      <w:bookmarkStart w:id="36" w:name="_Toc33600548"/>
      <w:r>
        <w:lastRenderedPageBreak/>
        <w:t>Expenditure</w:t>
      </w:r>
      <w:bookmarkEnd w:id="36"/>
    </w:p>
    <w:p w14:paraId="1EC5BD70" w14:textId="1307E0B7" w:rsidR="0099569A" w:rsidRDefault="0099569A" w:rsidP="0099569A">
      <w:pPr>
        <w:pStyle w:val="Heading5"/>
      </w:pPr>
      <w:r>
        <w:t>Wage costs</w:t>
      </w:r>
    </w:p>
    <w:p w14:paraId="01368322" w14:textId="77777777" w:rsidR="00643C4E" w:rsidRDefault="003A0B02" w:rsidP="003A0B02">
      <w:pPr>
        <w:pStyle w:val="CGCParaNumber"/>
      </w:pPr>
      <w:r>
        <w:t>Variation in wage levels outside the control of States drive</w:t>
      </w:r>
      <w:r w:rsidR="007171E9">
        <w:t>s</w:t>
      </w:r>
      <w:r>
        <w:t xml:space="preserve"> differences between States in the cost of delivering the average level of services. </w:t>
      </w:r>
      <w:r w:rsidR="00AD653D">
        <w:t xml:space="preserve">The Commission measures </w:t>
      </w:r>
      <w:r w:rsidR="00C73AA6">
        <w:t xml:space="preserve">the </w:t>
      </w:r>
      <w:r w:rsidR="0009594B">
        <w:t xml:space="preserve">relative </w:t>
      </w:r>
      <w:r w:rsidR="00C73AA6">
        <w:t xml:space="preserve">wage levels in each State using an econometric </w:t>
      </w:r>
      <w:r w:rsidR="00C868A9">
        <w:t xml:space="preserve">model </w:t>
      </w:r>
      <w:r w:rsidR="00B511C3">
        <w:t xml:space="preserve">based </w:t>
      </w:r>
      <w:r w:rsidR="00613E65">
        <w:t xml:space="preserve">on </w:t>
      </w:r>
      <w:r w:rsidR="00E61D24">
        <w:t xml:space="preserve">private sector </w:t>
      </w:r>
      <w:r w:rsidR="00613E65">
        <w:t xml:space="preserve">data </w:t>
      </w:r>
      <w:r w:rsidR="00636137">
        <w:t xml:space="preserve">from the ABS Characteristics of Employment </w:t>
      </w:r>
      <w:r w:rsidR="00CA1F7C">
        <w:t xml:space="preserve">survey (CoES). </w:t>
      </w:r>
      <w:r w:rsidR="00C06126">
        <w:t xml:space="preserve">The model </w:t>
      </w:r>
      <w:r w:rsidR="00F06DBE">
        <w:t xml:space="preserve">controls for differences </w:t>
      </w:r>
      <w:r w:rsidR="00A12AD5">
        <w:t xml:space="preserve">between States in </w:t>
      </w:r>
      <w:r w:rsidR="00EA3AE9">
        <w:t xml:space="preserve">industry </w:t>
      </w:r>
      <w:r w:rsidR="00891D1D">
        <w:t xml:space="preserve">and occupation </w:t>
      </w:r>
      <w:r w:rsidR="00EA3AE9">
        <w:t>structure</w:t>
      </w:r>
      <w:r w:rsidR="00891D1D">
        <w:t xml:space="preserve">, as well as </w:t>
      </w:r>
      <w:r w:rsidR="00541FB8">
        <w:t xml:space="preserve">employee </w:t>
      </w:r>
      <w:r w:rsidR="00891D1D">
        <w:t>characteristics</w:t>
      </w:r>
      <w:r w:rsidR="000725C7">
        <w:t xml:space="preserve"> known to affect </w:t>
      </w:r>
      <w:r w:rsidR="00885914">
        <w:t>wages</w:t>
      </w:r>
      <w:r w:rsidR="00891D1D">
        <w:t xml:space="preserve">. </w:t>
      </w:r>
    </w:p>
    <w:p w14:paraId="4BBC3E7B" w14:textId="3F44AFAD" w:rsidR="003A0B02" w:rsidRDefault="00643C4E" w:rsidP="00423FDF">
      <w:pPr>
        <w:pStyle w:val="CGCParaNumber"/>
      </w:pPr>
      <w:r>
        <w:t xml:space="preserve">Between </w:t>
      </w:r>
      <w:r w:rsidR="2C74D035">
        <w:t>2015</w:t>
      </w:r>
      <w:r w:rsidR="00671AFD">
        <w:noBreakHyphen/>
      </w:r>
      <w:r w:rsidR="2C74D035">
        <w:t>16</w:t>
      </w:r>
      <w:r w:rsidR="003B09A2">
        <w:t xml:space="preserve"> </w:t>
      </w:r>
      <w:r>
        <w:t xml:space="preserve">and </w:t>
      </w:r>
      <w:r w:rsidR="2C74D035">
        <w:t>2018</w:t>
      </w:r>
      <w:r w:rsidR="00671AFD">
        <w:noBreakHyphen/>
      </w:r>
      <w:r w:rsidR="2C74D035">
        <w:t>19</w:t>
      </w:r>
      <w:r>
        <w:t>,</w:t>
      </w:r>
      <w:r w:rsidR="00004E6B">
        <w:t xml:space="preserve"> </w:t>
      </w:r>
      <w:r w:rsidR="00A92B8C">
        <w:t xml:space="preserve">relative wage levels increased </w:t>
      </w:r>
      <w:r w:rsidR="003A0B02">
        <w:t>in New</w:t>
      </w:r>
      <w:r w:rsidR="00724379">
        <w:t> </w:t>
      </w:r>
      <w:r w:rsidR="003A0B02">
        <w:t>South</w:t>
      </w:r>
      <w:r w:rsidR="00724379">
        <w:t> </w:t>
      </w:r>
      <w:r w:rsidR="003A0B02">
        <w:t>Wales</w:t>
      </w:r>
      <w:r w:rsidR="00724379">
        <w:t>,</w:t>
      </w:r>
      <w:r w:rsidR="003A0B02">
        <w:t xml:space="preserve"> Victoria and Tasmania, increasing the</w:t>
      </w:r>
      <w:r w:rsidR="00C303B7">
        <w:t>ir</w:t>
      </w:r>
      <w:r w:rsidR="003A0B02">
        <w:t xml:space="preserve"> GST require</w:t>
      </w:r>
      <w:r w:rsidR="00C303B7">
        <w:t>ments.</w:t>
      </w:r>
      <w:r w:rsidR="00DF78AB">
        <w:t xml:space="preserve"> </w:t>
      </w:r>
      <w:r w:rsidR="00C85D16">
        <w:t xml:space="preserve">Relative </w:t>
      </w:r>
      <w:r w:rsidR="001905D9">
        <w:t>w</w:t>
      </w:r>
      <w:r w:rsidR="003A0B02">
        <w:t xml:space="preserve">age levels </w:t>
      </w:r>
      <w:r w:rsidR="00733373">
        <w:t xml:space="preserve">declined </w:t>
      </w:r>
      <w:r w:rsidR="003A0B02">
        <w:t xml:space="preserve">in </w:t>
      </w:r>
      <w:r w:rsidR="00733373">
        <w:t xml:space="preserve">the other States </w:t>
      </w:r>
      <w:r w:rsidR="003A0B02">
        <w:t xml:space="preserve">over the </w:t>
      </w:r>
      <w:r w:rsidR="00733373">
        <w:t>period</w:t>
      </w:r>
      <w:r w:rsidR="003A0B02">
        <w:t>, reducing the</w:t>
      </w:r>
      <w:r w:rsidR="00733373">
        <w:t>ir</w:t>
      </w:r>
      <w:r w:rsidR="003A0B02">
        <w:t xml:space="preserve"> GST </w:t>
      </w:r>
      <w:r w:rsidR="00733373">
        <w:t>requirements.</w:t>
      </w:r>
    </w:p>
    <w:p w14:paraId="0FB5D665" w14:textId="0805EF89" w:rsidR="003A0B02" w:rsidRDefault="003B0AD3" w:rsidP="003A0B02">
      <w:pPr>
        <w:pStyle w:val="CGCParaNumber"/>
      </w:pPr>
      <w:r>
        <w:fldChar w:fldCharType="begin"/>
      </w:r>
      <w:r>
        <w:instrText xml:space="preserve"> REF _Ref30708049 \h </w:instrText>
      </w:r>
      <w:r>
        <w:fldChar w:fldCharType="separate"/>
      </w:r>
      <w:r w:rsidR="003D49C2">
        <w:t>Figure 2</w:t>
      </w:r>
      <w:r w:rsidR="003D49C2">
        <w:noBreakHyphen/>
      </w:r>
      <w:r w:rsidR="003D49C2">
        <w:rPr>
          <w:noProof/>
        </w:rPr>
        <w:t>5</w:t>
      </w:r>
      <w:r>
        <w:fldChar w:fldCharType="end"/>
      </w:r>
      <w:r w:rsidR="003A0B02">
        <w:t xml:space="preserve"> shows the change in relative wage levels between 2015</w:t>
      </w:r>
      <w:r w:rsidR="00D07B87">
        <w:noBreakHyphen/>
      </w:r>
      <w:r w:rsidR="003A0B02">
        <w:t>16 and 2018</w:t>
      </w:r>
      <w:r w:rsidR="00D07B87">
        <w:noBreakHyphen/>
      </w:r>
      <w:r w:rsidR="003A0B02">
        <w:t>19.</w:t>
      </w:r>
    </w:p>
    <w:p w14:paraId="28C94B9E" w14:textId="4EFFF514" w:rsidR="00853946" w:rsidRDefault="003B0AD3" w:rsidP="003B0AD3">
      <w:pPr>
        <w:pStyle w:val="CGCTableHeading"/>
      </w:pPr>
      <w:bookmarkStart w:id="37" w:name="_Ref30708049"/>
      <w:r>
        <w:t xml:space="preserve">Figure </w:t>
      </w:r>
      <w:r w:rsidR="00D5059E">
        <w:t>2</w:t>
      </w:r>
      <w:r w:rsidR="00D5059E">
        <w:noBreakHyphen/>
      </w:r>
      <w:r>
        <w:fldChar w:fldCharType="begin"/>
      </w:r>
      <w:r>
        <w:instrText>SEQ Figure \* ARABIC</w:instrText>
      </w:r>
      <w:r>
        <w:fldChar w:fldCharType="separate"/>
      </w:r>
      <w:r w:rsidR="003D49C2">
        <w:rPr>
          <w:noProof/>
        </w:rPr>
        <w:t>5</w:t>
      </w:r>
      <w:r>
        <w:fldChar w:fldCharType="end"/>
      </w:r>
      <w:bookmarkEnd w:id="37"/>
      <w:r>
        <w:tab/>
      </w:r>
      <w:r w:rsidR="00853946">
        <w:t xml:space="preserve">Change in </w:t>
      </w:r>
      <w:r w:rsidR="00891AB8">
        <w:t xml:space="preserve">relative </w:t>
      </w:r>
      <w:r w:rsidR="00853946">
        <w:t xml:space="preserve">wage </w:t>
      </w:r>
      <w:r w:rsidR="003F11B7">
        <w:t>levels</w:t>
      </w:r>
      <w:r w:rsidR="00853946">
        <w:t xml:space="preserve"> </w:t>
      </w:r>
      <w:r w:rsidR="00891AB8">
        <w:t>between 2015</w:t>
      </w:r>
      <w:r w:rsidR="00891AB8">
        <w:noBreakHyphen/>
        <w:t>16 and 2018</w:t>
      </w:r>
      <w:r w:rsidR="00891AB8">
        <w:noBreakHyphen/>
        <w:t>19</w:t>
      </w:r>
    </w:p>
    <w:p w14:paraId="39DAAB4F" w14:textId="24D65D6E" w:rsidR="00891AB8" w:rsidRDefault="00A7149B" w:rsidP="00891AB8">
      <w:r>
        <w:rPr>
          <w:noProof/>
        </w:rPr>
        <w:drawing>
          <wp:inline distT="0" distB="0" distL="0" distR="0" wp14:anchorId="4ECB0240" wp14:editId="539B054D">
            <wp:extent cx="5623560" cy="3505200"/>
            <wp:effectExtent l="0" t="0" r="0" b="0"/>
            <wp:docPr id="822249468" name="Picture 7" descr="This bar graph compares relative wage levels by state for 2015-16 and 2018-19. the second bar for most states is trending towards the zero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623560" cy="3505200"/>
                    </a:xfrm>
                    <a:prstGeom prst="rect">
                      <a:avLst/>
                    </a:prstGeom>
                  </pic:spPr>
                </pic:pic>
              </a:graphicData>
            </a:graphic>
          </wp:inline>
        </w:drawing>
      </w:r>
    </w:p>
    <w:p w14:paraId="67E74AD3" w14:textId="797B04CB" w:rsidR="00891AB8" w:rsidRPr="00891AB8" w:rsidRDefault="00891AB8" w:rsidP="00891AB8">
      <w:pPr>
        <w:pStyle w:val="CGCTablenote"/>
      </w:pPr>
      <w:r>
        <w:t>Source</w:t>
      </w:r>
      <w:r w:rsidR="00C22C7A">
        <w:t>:</w:t>
      </w:r>
      <w:r>
        <w:tab/>
        <w:t>Commission calculation based on the Characteristics of Employment survey (CoES)</w:t>
      </w:r>
      <w:r w:rsidR="00A50AA4">
        <w:t>.</w:t>
      </w:r>
    </w:p>
    <w:p w14:paraId="017E8F47" w14:textId="66C42D4A" w:rsidR="003126B8" w:rsidRDefault="000A486F" w:rsidP="000A486F">
      <w:pPr>
        <w:pStyle w:val="Heading5"/>
      </w:pPr>
      <w:r>
        <w:t>Capital requirement</w:t>
      </w:r>
    </w:p>
    <w:p w14:paraId="41AE5D59" w14:textId="2B89F03D" w:rsidR="00057AA9" w:rsidRDefault="007F0E34" w:rsidP="000A486F">
      <w:pPr>
        <w:pStyle w:val="CGCParaNumber"/>
      </w:pPr>
      <w:r>
        <w:t xml:space="preserve">Between </w:t>
      </w:r>
      <w:r w:rsidR="2C74D035">
        <w:t>2015</w:t>
      </w:r>
      <w:r w:rsidR="0017728F">
        <w:noBreakHyphen/>
      </w:r>
      <w:r w:rsidR="2C74D035">
        <w:t>16</w:t>
      </w:r>
      <w:r w:rsidR="00917FCD">
        <w:t xml:space="preserve"> and </w:t>
      </w:r>
      <w:r w:rsidR="00241AB1" w:rsidRPr="00241AB1">
        <w:t>2018</w:t>
      </w:r>
      <w:r w:rsidR="0017728F">
        <w:noBreakHyphen/>
      </w:r>
      <w:r w:rsidR="00241AB1" w:rsidRPr="00241AB1">
        <w:t>19, the Northern Territory</w:t>
      </w:r>
      <w:r w:rsidR="00917FCD">
        <w:t>’s</w:t>
      </w:r>
      <w:r w:rsidR="00241AB1" w:rsidRPr="00241AB1">
        <w:t xml:space="preserve"> population </w:t>
      </w:r>
      <w:r w:rsidR="00917FCD">
        <w:t xml:space="preserve">growth </w:t>
      </w:r>
      <w:r w:rsidR="00445DD5">
        <w:t>slowed</w:t>
      </w:r>
      <w:r w:rsidR="00241AB1" w:rsidRPr="00241AB1">
        <w:t xml:space="preserve">. </w:t>
      </w:r>
      <w:r w:rsidR="00322DB3">
        <w:t>T</w:t>
      </w:r>
      <w:r w:rsidR="00241AB1" w:rsidRPr="00241AB1">
        <w:t>his</w:t>
      </w:r>
      <w:r w:rsidR="00322DB3">
        <w:t xml:space="preserve"> translated into </w:t>
      </w:r>
      <w:r w:rsidR="00A729B8">
        <w:t xml:space="preserve">much </w:t>
      </w:r>
      <w:r w:rsidR="00730431">
        <w:t>slow</w:t>
      </w:r>
      <w:r w:rsidR="00A729B8">
        <w:t>er</w:t>
      </w:r>
      <w:r w:rsidR="00730431">
        <w:t xml:space="preserve"> growth</w:t>
      </w:r>
      <w:r w:rsidR="00A729B8">
        <w:t>, or even decline,</w:t>
      </w:r>
      <w:r w:rsidR="00730431">
        <w:t xml:space="preserve"> in </w:t>
      </w:r>
      <w:r w:rsidR="00241AB1" w:rsidRPr="00241AB1">
        <w:t>user population</w:t>
      </w:r>
      <w:r w:rsidR="00730431">
        <w:t>s</w:t>
      </w:r>
      <w:r w:rsidR="00241AB1" w:rsidRPr="00241AB1">
        <w:t xml:space="preserve"> for most services</w:t>
      </w:r>
      <w:r w:rsidR="00E24FA8">
        <w:t>.</w:t>
      </w:r>
      <w:r w:rsidR="00241AB1" w:rsidRPr="00241AB1">
        <w:t xml:space="preserve"> </w:t>
      </w:r>
      <w:r w:rsidR="00ED7B25">
        <w:t>C</w:t>
      </w:r>
      <w:r w:rsidR="00D26FE1">
        <w:t>onsequen</w:t>
      </w:r>
      <w:r w:rsidR="00ED7B25">
        <w:t>tly</w:t>
      </w:r>
      <w:r w:rsidR="00FE5C21">
        <w:t xml:space="preserve">, </w:t>
      </w:r>
      <w:r w:rsidR="00FC3981">
        <w:t xml:space="preserve">its </w:t>
      </w:r>
      <w:r w:rsidR="00D26FE1">
        <w:t xml:space="preserve">assessed </w:t>
      </w:r>
      <w:r w:rsidR="00672298">
        <w:t>capital requirements</w:t>
      </w:r>
      <w:r w:rsidR="00D26FE1">
        <w:t xml:space="preserve"> </w:t>
      </w:r>
      <w:r w:rsidR="00241AB1" w:rsidRPr="00241AB1">
        <w:t xml:space="preserve">were considerably lower </w:t>
      </w:r>
      <w:r w:rsidR="00D26FE1">
        <w:t xml:space="preserve">in </w:t>
      </w:r>
      <w:r w:rsidR="2C74D035">
        <w:t>2018</w:t>
      </w:r>
      <w:r w:rsidR="002A5A8E">
        <w:noBreakHyphen/>
      </w:r>
      <w:r w:rsidR="2C74D035">
        <w:t>19</w:t>
      </w:r>
      <w:r w:rsidR="00FC3981">
        <w:t xml:space="preserve"> </w:t>
      </w:r>
      <w:r w:rsidR="00241AB1" w:rsidRPr="00241AB1">
        <w:t>than in 2015</w:t>
      </w:r>
      <w:r w:rsidR="002A5A8E">
        <w:noBreakHyphen/>
      </w:r>
      <w:r w:rsidR="00241AB1" w:rsidRPr="00241AB1">
        <w:t>16.</w:t>
      </w:r>
    </w:p>
    <w:p w14:paraId="58B917CB" w14:textId="4EB35886" w:rsidR="000A486F" w:rsidRPr="000A486F" w:rsidRDefault="00300394" w:rsidP="000A486F">
      <w:pPr>
        <w:pStyle w:val="CGCParaNumber"/>
        <w:sectPr w:rsidR="000A486F" w:rsidRPr="000A486F" w:rsidSect="00E22AA8">
          <w:footerReference w:type="default" r:id="rId41"/>
          <w:footerReference w:type="first" r:id="rId42"/>
          <w:pgSz w:w="11907" w:h="16840" w:code="9"/>
          <w:pgMar w:top="1418" w:right="1474" w:bottom="1418" w:left="1474" w:header="720" w:footer="567" w:gutter="0"/>
          <w:cols w:space="720"/>
          <w:titlePg/>
          <w:docGrid w:linePitch="360"/>
        </w:sectPr>
      </w:pPr>
      <w:r>
        <w:t xml:space="preserve">Capital </w:t>
      </w:r>
      <w:r w:rsidR="00241AB1" w:rsidRPr="00241AB1">
        <w:t xml:space="preserve">requirements </w:t>
      </w:r>
      <w:r>
        <w:t xml:space="preserve">in relation to </w:t>
      </w:r>
      <w:r w:rsidR="00241AB1" w:rsidRPr="00241AB1">
        <w:t xml:space="preserve">urban transport investment </w:t>
      </w:r>
      <w:r w:rsidR="00251BCA">
        <w:t xml:space="preserve">also changed </w:t>
      </w:r>
      <w:r w:rsidR="00057AA9">
        <w:t xml:space="preserve">between </w:t>
      </w:r>
      <w:r w:rsidR="00241AB1" w:rsidRPr="00241AB1">
        <w:t>2015</w:t>
      </w:r>
      <w:r w:rsidR="00E42B07">
        <w:noBreakHyphen/>
      </w:r>
      <w:r w:rsidR="00241AB1" w:rsidRPr="00241AB1">
        <w:t>16 and 2018-19</w:t>
      </w:r>
      <w:r w:rsidR="002C1162">
        <w:t>.</w:t>
      </w:r>
      <w:r w:rsidR="00FE5FDF">
        <w:t xml:space="preserve"> </w:t>
      </w:r>
      <w:r w:rsidR="00241AB1" w:rsidRPr="00241AB1">
        <w:t>New South Wales had a slight decline in its share of urban transport needs</w:t>
      </w:r>
      <w:r w:rsidR="00995975">
        <w:t xml:space="preserve"> over the period</w:t>
      </w:r>
      <w:r w:rsidR="00241AB1" w:rsidRPr="00241AB1">
        <w:t>, while Victoria</w:t>
      </w:r>
      <w:r w:rsidR="003969B9">
        <w:t>’s</w:t>
      </w:r>
      <w:r w:rsidR="00241AB1" w:rsidRPr="00241AB1">
        <w:t xml:space="preserve"> and Queensland’s shares grew</w:t>
      </w:r>
      <w:r w:rsidR="001622F3">
        <w:t>.</w:t>
      </w:r>
    </w:p>
    <w:p w14:paraId="72379F8D" w14:textId="49C67B5B" w:rsidR="001D6D17" w:rsidRDefault="001D6D17" w:rsidP="006D087D">
      <w:pPr>
        <w:pStyle w:val="Heading2"/>
      </w:pPr>
      <w:bookmarkStart w:id="38" w:name="_Toc33600549"/>
      <w:r>
        <w:lastRenderedPageBreak/>
        <w:t>3</w:t>
      </w:r>
      <w:r>
        <w:tab/>
        <w:t>State by State changes</w:t>
      </w:r>
      <w:bookmarkEnd w:id="38"/>
    </w:p>
    <w:p w14:paraId="4357698A" w14:textId="0B3003F4" w:rsidR="003C3E87" w:rsidRDefault="0091477C" w:rsidP="00E22AA8">
      <w:pPr>
        <w:pStyle w:val="CGCParaNumber"/>
        <w:numPr>
          <w:ilvl w:val="0"/>
          <w:numId w:val="30"/>
        </w:numPr>
        <w:ind w:left="567" w:hanging="567"/>
      </w:pPr>
      <w:r>
        <w:t xml:space="preserve">This chapter sets out the major </w:t>
      </w:r>
      <w:r w:rsidR="005B436E">
        <w:t xml:space="preserve">causes of </w:t>
      </w:r>
      <w:r>
        <w:t>c</w:t>
      </w:r>
      <w:r w:rsidR="003A5840" w:rsidRPr="003A5840">
        <w:t xml:space="preserve">hange </w:t>
      </w:r>
      <w:r w:rsidR="000A5C3C">
        <w:t xml:space="preserve">in </w:t>
      </w:r>
      <w:r w:rsidR="00FA7DAD">
        <w:t xml:space="preserve">each State’s </w:t>
      </w:r>
      <w:r w:rsidR="003E5AEE">
        <w:t xml:space="preserve">relative </w:t>
      </w:r>
      <w:r w:rsidR="003A5840" w:rsidRPr="003A5840">
        <w:t xml:space="preserve">fiscal capacity </w:t>
      </w:r>
      <w:r w:rsidR="005B436E">
        <w:t>since the 2019 Update</w:t>
      </w:r>
      <w:r w:rsidR="003A5840" w:rsidRPr="003A5840">
        <w:t xml:space="preserve">. </w:t>
      </w:r>
      <w:r w:rsidR="00F87514">
        <w:t xml:space="preserve">As mentioned in the previous chapter, changes in </w:t>
      </w:r>
      <w:r w:rsidR="005876EF">
        <w:t>assessed</w:t>
      </w:r>
      <w:r w:rsidR="00F87514">
        <w:t xml:space="preserve"> fiscal capacit</w:t>
      </w:r>
      <w:r w:rsidR="00555B28">
        <w:t>ies</w:t>
      </w:r>
      <w:r w:rsidR="00F87514">
        <w:t xml:space="preserve"> have resulted </w:t>
      </w:r>
      <w:r w:rsidR="00917E38">
        <w:t xml:space="preserve">from changes in some of the </w:t>
      </w:r>
      <w:r w:rsidR="002978E3">
        <w:t xml:space="preserve">assessment </w:t>
      </w:r>
      <w:r w:rsidR="00917E38">
        <w:t xml:space="preserve">methods used </w:t>
      </w:r>
      <w:r w:rsidR="002978E3">
        <w:t>by the Commission</w:t>
      </w:r>
      <w:r w:rsidR="005F0D82">
        <w:t xml:space="preserve">, </w:t>
      </w:r>
      <w:r w:rsidR="00F0456A">
        <w:t>revisions</w:t>
      </w:r>
      <w:r w:rsidR="005E7EC2">
        <w:t xml:space="preserve"> to some of the data used in the </w:t>
      </w:r>
      <w:r w:rsidR="003E782A">
        <w:t>assessments</w:t>
      </w:r>
      <w:r w:rsidR="007B2AF4">
        <w:t xml:space="preserve">, and </w:t>
      </w:r>
      <w:r w:rsidR="005B51B4">
        <w:t>changes in State</w:t>
      </w:r>
      <w:r w:rsidR="00E22DC6">
        <w:t>s’</w:t>
      </w:r>
      <w:r w:rsidR="005B51B4">
        <w:t xml:space="preserve"> </w:t>
      </w:r>
      <w:r w:rsidR="00E22DC6">
        <w:t>economic and demographic circumstances.</w:t>
      </w:r>
    </w:p>
    <w:p w14:paraId="309CD2D5" w14:textId="3288D89A" w:rsidR="004C088A" w:rsidRDefault="00816420" w:rsidP="00E22AA8">
      <w:pPr>
        <w:pStyle w:val="CGCParaNumber"/>
        <w:numPr>
          <w:ilvl w:val="0"/>
          <w:numId w:val="30"/>
        </w:numPr>
        <w:ind w:left="567" w:hanging="567"/>
      </w:pPr>
      <w:r>
        <w:fldChar w:fldCharType="begin"/>
      </w:r>
      <w:r>
        <w:instrText xml:space="preserve"> REF _Ref32933683 \h </w:instrText>
      </w:r>
      <w:r>
        <w:fldChar w:fldCharType="separate"/>
      </w:r>
      <w:r w:rsidR="003D49C2">
        <w:t>Figure 3</w:t>
      </w:r>
      <w:r w:rsidR="003D49C2">
        <w:noBreakHyphen/>
      </w:r>
      <w:r w:rsidR="003D49C2">
        <w:rPr>
          <w:noProof/>
        </w:rPr>
        <w:t>1</w:t>
      </w:r>
      <w:r>
        <w:fldChar w:fldCharType="end"/>
      </w:r>
      <w:r w:rsidR="0039487C">
        <w:t xml:space="preserve"> shows </w:t>
      </w:r>
      <w:r w:rsidR="0080564A">
        <w:t xml:space="preserve">the changes in </w:t>
      </w:r>
      <w:r w:rsidR="00790E5F">
        <w:t xml:space="preserve">States’ relative fiscal capacities since </w:t>
      </w:r>
      <w:r w:rsidR="00D06549">
        <w:t>200</w:t>
      </w:r>
      <w:r w:rsidR="003E5A3E">
        <w:t>9</w:t>
      </w:r>
      <w:r w:rsidR="00D06549">
        <w:noBreakHyphen/>
        <w:t>1</w:t>
      </w:r>
      <w:r w:rsidR="003E5A3E">
        <w:t>0</w:t>
      </w:r>
      <w:r w:rsidR="00D06549">
        <w:t xml:space="preserve">. </w:t>
      </w:r>
      <w:r w:rsidR="004C088A">
        <w:t xml:space="preserve">Chapter 4 provides </w:t>
      </w:r>
      <w:r w:rsidR="002E2D4B">
        <w:t xml:space="preserve">detailed </w:t>
      </w:r>
      <w:r w:rsidR="003614BF">
        <w:t>explanations f</w:t>
      </w:r>
      <w:r w:rsidR="00A748FD">
        <w:t>o</w:t>
      </w:r>
      <w:r w:rsidR="003614BF">
        <w:t>r</w:t>
      </w:r>
      <w:r w:rsidR="00A748FD">
        <w:t xml:space="preserve"> </w:t>
      </w:r>
      <w:r w:rsidR="004C088A">
        <w:t>why State</w:t>
      </w:r>
      <w:r w:rsidR="004C512F">
        <w:t>s’</w:t>
      </w:r>
      <w:r w:rsidR="004C088A">
        <w:t xml:space="preserve"> relative fiscal capacit</w:t>
      </w:r>
      <w:r w:rsidR="004C512F">
        <w:t>ies</w:t>
      </w:r>
      <w:r w:rsidR="004C088A">
        <w:t xml:space="preserve"> differ.</w:t>
      </w:r>
    </w:p>
    <w:p w14:paraId="1BE97EE3" w14:textId="0EF2C16D" w:rsidR="00BB0FD0" w:rsidRDefault="00BB0FD0" w:rsidP="000E377D">
      <w:pPr>
        <w:pStyle w:val="CGCTableHeading"/>
      </w:pPr>
      <w:bookmarkStart w:id="39" w:name="_Ref32477959"/>
      <w:bookmarkStart w:id="40" w:name="_Ref32933683"/>
      <w:r>
        <w:t xml:space="preserve">Figure </w:t>
      </w:r>
      <w:r w:rsidR="00D5059E">
        <w:t>3</w:t>
      </w:r>
      <w:r w:rsidR="00D5059E">
        <w:noBreakHyphen/>
      </w:r>
      <w:bookmarkEnd w:id="39"/>
      <w:r w:rsidR="00816420">
        <w:fldChar w:fldCharType="begin"/>
      </w:r>
      <w:r w:rsidR="00816420">
        <w:instrText xml:space="preserve"> SEQ Figure \* ARABIC \r 1 </w:instrText>
      </w:r>
      <w:r w:rsidR="00816420">
        <w:fldChar w:fldCharType="separate"/>
      </w:r>
      <w:r w:rsidR="003D49C2">
        <w:rPr>
          <w:noProof/>
        </w:rPr>
        <w:t>1</w:t>
      </w:r>
      <w:r w:rsidR="00816420">
        <w:fldChar w:fldCharType="end"/>
      </w:r>
      <w:bookmarkEnd w:id="40"/>
      <w:r w:rsidR="000E377D">
        <w:tab/>
      </w:r>
      <w:r w:rsidR="001220D4">
        <w:t>R</w:t>
      </w:r>
      <w:r w:rsidR="000E377D">
        <w:t>elativ</w:t>
      </w:r>
      <w:r w:rsidR="001220D4">
        <w:t>iti</w:t>
      </w:r>
      <w:r w:rsidR="000E377D">
        <w:t>e</w:t>
      </w:r>
      <w:r w:rsidR="001220D4">
        <w:t>s</w:t>
      </w:r>
      <w:r w:rsidR="000E377D">
        <w:t xml:space="preserve"> </w:t>
      </w:r>
      <w:r w:rsidR="001220D4">
        <w:t>used for distributing the GST</w:t>
      </w:r>
      <w:r w:rsidR="00881819">
        <w:t>, 200</w:t>
      </w:r>
      <w:r w:rsidR="006015FA">
        <w:t>9</w:t>
      </w:r>
      <w:r w:rsidR="00881819">
        <w:noBreakHyphen/>
        <w:t>1</w:t>
      </w:r>
      <w:r w:rsidR="006015FA">
        <w:t>0</w:t>
      </w:r>
      <w:r w:rsidR="00881819">
        <w:t xml:space="preserve"> to </w:t>
      </w:r>
      <w:r w:rsidR="00F37E64">
        <w:t>2020</w:t>
      </w:r>
      <w:r w:rsidR="00F37E64">
        <w:noBreakHyphen/>
        <w:t>21</w:t>
      </w:r>
    </w:p>
    <w:p w14:paraId="5490AA02" w14:textId="1FD9C485" w:rsidR="00CD3C46" w:rsidRDefault="007D399F" w:rsidP="00CD3C46">
      <w:r>
        <w:rPr>
          <w:noProof/>
        </w:rPr>
        <w:drawing>
          <wp:inline distT="0" distB="0" distL="0" distR="0" wp14:anchorId="48850BD7" wp14:editId="2BBFEE7F">
            <wp:extent cx="5810250" cy="3450590"/>
            <wp:effectExtent l="0" t="0" r="0" b="0"/>
            <wp:docPr id="19" name="Picture 19" descr="This is a split line chart  of GST relativities between 2009-10 and 2020-21 with the Northern Territory relativity shown in the top half, varying between 2.0 and 4.0 and all other states in the second half, varying between a relativity of 0 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3450590"/>
                    </a:xfrm>
                    <a:prstGeom prst="rect">
                      <a:avLst/>
                    </a:prstGeom>
                    <a:noFill/>
                  </pic:spPr>
                </pic:pic>
              </a:graphicData>
            </a:graphic>
          </wp:inline>
        </w:drawing>
      </w:r>
    </w:p>
    <w:p w14:paraId="27FA757B" w14:textId="168A17DB" w:rsidR="001A13DF" w:rsidRDefault="001A13DF" w:rsidP="00D07B49">
      <w:pPr>
        <w:pStyle w:val="CGCTableFootnote"/>
      </w:pPr>
      <w:r>
        <w:t>Note</w:t>
      </w:r>
      <w:r w:rsidR="00092521">
        <w:t>s</w:t>
      </w:r>
      <w:r>
        <w:t>:</w:t>
      </w:r>
      <w:r>
        <w:tab/>
      </w:r>
      <w:r w:rsidR="00DA66DD">
        <w:t xml:space="preserve">The relativities are derived </w:t>
      </w:r>
      <w:r w:rsidR="00672BDF">
        <w:t xml:space="preserve">on the basis of </w:t>
      </w:r>
      <w:r w:rsidR="003C4208">
        <w:t>a pool comprising GST only.</w:t>
      </w:r>
    </w:p>
    <w:p w14:paraId="0CE70461" w14:textId="5882AE2C" w:rsidR="004D2771" w:rsidRPr="004D2771" w:rsidRDefault="004D2771" w:rsidP="00D07B49">
      <w:pPr>
        <w:pStyle w:val="CGCTableFootnote"/>
        <w:ind w:left="709" w:hanging="596"/>
      </w:pPr>
      <w:r>
        <w:tab/>
      </w:r>
      <w:r w:rsidR="00140B78">
        <w:t>The</w:t>
      </w:r>
      <w:r w:rsidR="00BA49E1">
        <w:t xml:space="preserve"> r</w:t>
      </w:r>
      <w:r w:rsidR="00C4218B">
        <w:t xml:space="preserve">elativities in </w:t>
      </w:r>
      <w:r w:rsidR="00F55894">
        <w:t>2010</w:t>
      </w:r>
      <w:r w:rsidR="00BA49E1">
        <w:noBreakHyphen/>
      </w:r>
      <w:r w:rsidR="00F55894">
        <w:t>11</w:t>
      </w:r>
      <w:r w:rsidR="00BA49E1">
        <w:t>, 2015</w:t>
      </w:r>
      <w:r w:rsidR="00BA49E1">
        <w:noBreakHyphen/>
        <w:t>16 and 2020</w:t>
      </w:r>
      <w:r w:rsidR="00BA49E1">
        <w:noBreakHyphen/>
        <w:t>21</w:t>
      </w:r>
      <w:r w:rsidR="00C4218B">
        <w:t xml:space="preserve"> </w:t>
      </w:r>
      <w:r w:rsidR="00E814CC">
        <w:t>included the impacts of methodology r</w:t>
      </w:r>
      <w:r w:rsidR="00F13FD1">
        <w:t>eviews</w:t>
      </w:r>
      <w:r w:rsidR="00BA49E1">
        <w:t>.</w:t>
      </w:r>
    </w:p>
    <w:p w14:paraId="48271826" w14:textId="71A6D306" w:rsidR="002E2D4B" w:rsidRPr="000E377D" w:rsidRDefault="002E2D4B" w:rsidP="00AE532F">
      <w:pPr>
        <w:pStyle w:val="CGCTableFootnote"/>
        <w:keepNext/>
        <w:keepLines/>
        <w:sectPr w:rsidR="002E2D4B" w:rsidRPr="000E377D" w:rsidSect="00E22AA8">
          <w:pgSz w:w="11907" w:h="16840" w:code="9"/>
          <w:pgMar w:top="1418" w:right="1474" w:bottom="1418" w:left="1474" w:header="720" w:footer="567" w:gutter="0"/>
          <w:cols w:space="720"/>
          <w:titlePg/>
          <w:docGrid w:linePitch="360"/>
        </w:sectPr>
      </w:pPr>
      <w:r>
        <w:t>Source:</w:t>
      </w:r>
      <w:r>
        <w:tab/>
        <w:t>Commission calculation.</w:t>
      </w:r>
    </w:p>
    <w:p w14:paraId="496A0455" w14:textId="5B6BA403" w:rsidR="00896666" w:rsidRDefault="003C3E87" w:rsidP="00272A97">
      <w:pPr>
        <w:pStyle w:val="Heading3"/>
        <w:spacing w:before="0"/>
      </w:pPr>
      <w:bookmarkStart w:id="41" w:name="_Toc33600550"/>
      <w:r>
        <w:lastRenderedPageBreak/>
        <w:t>New</w:t>
      </w:r>
      <w:r w:rsidR="006032C3">
        <w:t> </w:t>
      </w:r>
      <w:r>
        <w:t>South</w:t>
      </w:r>
      <w:r w:rsidR="006032C3">
        <w:t> </w:t>
      </w:r>
      <w:r>
        <w:t>Wales</w:t>
      </w:r>
      <w:bookmarkEnd w:id="41"/>
    </w:p>
    <w:p w14:paraId="6A4EA10D" w14:textId="6F6C91B3" w:rsidR="00896666" w:rsidRDefault="00896666" w:rsidP="000D702F">
      <w:r w:rsidRPr="00042C58">
        <w:t>New</w:t>
      </w:r>
      <w:r w:rsidR="006412E7" w:rsidRPr="00042C58">
        <w:t> </w:t>
      </w:r>
      <w:r w:rsidRPr="00042C58">
        <w:t>South</w:t>
      </w:r>
      <w:r w:rsidR="006412E7" w:rsidRPr="00042C58">
        <w:t> </w:t>
      </w:r>
      <w:r w:rsidRPr="00042C58">
        <w:t>Wales’ fiscal capacity has weakened</w:t>
      </w:r>
      <w:r w:rsidR="00842737" w:rsidRPr="00042C58">
        <w:t xml:space="preserve"> due to an increase in its assessed costs of </w:t>
      </w:r>
      <w:r w:rsidR="00240DA8" w:rsidRPr="00042C58">
        <w:t xml:space="preserve">providing urban </w:t>
      </w:r>
      <w:r w:rsidR="00237087">
        <w:t xml:space="preserve">public </w:t>
      </w:r>
      <w:r w:rsidR="00240DA8" w:rsidRPr="00042C58">
        <w:t>transport</w:t>
      </w:r>
      <w:r w:rsidR="00622891" w:rsidRPr="00042C58">
        <w:t xml:space="preserve"> </w:t>
      </w:r>
      <w:r w:rsidR="00284079">
        <w:t>services</w:t>
      </w:r>
      <w:r w:rsidR="00D67DD5">
        <w:t>,</w:t>
      </w:r>
      <w:r w:rsidR="0099166C">
        <w:t xml:space="preserve"> </w:t>
      </w:r>
      <w:r w:rsidR="00100CA2" w:rsidRPr="00042C58">
        <w:t xml:space="preserve">as well as </w:t>
      </w:r>
      <w:r w:rsidR="007D4D14" w:rsidRPr="00042C58">
        <w:t xml:space="preserve">below average growth in </w:t>
      </w:r>
      <w:r w:rsidR="009751A2" w:rsidRPr="00042C58">
        <w:t xml:space="preserve">the </w:t>
      </w:r>
      <w:r w:rsidRPr="00042C58">
        <w:t>value of property sales</w:t>
      </w:r>
      <w:r w:rsidR="0093728B" w:rsidRPr="00042C58">
        <w:t xml:space="preserve"> </w:t>
      </w:r>
      <w:r w:rsidR="00914097" w:rsidRPr="00042C58">
        <w:t xml:space="preserve">and </w:t>
      </w:r>
      <w:r w:rsidR="006A025B" w:rsidRPr="00042C58">
        <w:t xml:space="preserve">a </w:t>
      </w:r>
      <w:r w:rsidR="004D23F4" w:rsidRPr="00042C58">
        <w:t xml:space="preserve">fall in </w:t>
      </w:r>
      <w:r w:rsidR="006A025B" w:rsidRPr="00042C58">
        <w:t xml:space="preserve">its </w:t>
      </w:r>
      <w:r w:rsidR="000E06F9">
        <w:t>relative</w:t>
      </w:r>
      <w:r w:rsidR="000E06F9" w:rsidRPr="00042C58">
        <w:t xml:space="preserve"> </w:t>
      </w:r>
      <w:r w:rsidR="004D23F4" w:rsidRPr="00042C58">
        <w:t xml:space="preserve">capacity to raise mining </w:t>
      </w:r>
      <w:r w:rsidR="000070B0">
        <w:t>revenue</w:t>
      </w:r>
      <w:r w:rsidR="00531787">
        <w:t xml:space="preserve"> due to </w:t>
      </w:r>
      <w:r w:rsidR="006B792F">
        <w:t>growth</w:t>
      </w:r>
      <w:r w:rsidR="00147397">
        <w:t xml:space="preserve"> in the value of </w:t>
      </w:r>
      <w:r w:rsidR="00334C55">
        <w:t xml:space="preserve">mining </w:t>
      </w:r>
      <w:r w:rsidR="00147397">
        <w:t>pro</w:t>
      </w:r>
      <w:r w:rsidR="00581182">
        <w:t>duction in other States</w:t>
      </w:r>
      <w:r w:rsidR="004D23F4" w:rsidRPr="00042C58">
        <w:t>.</w:t>
      </w:r>
      <w:r w:rsidRPr="00042C58">
        <w:t xml:space="preserve"> These changes were partially offset by </w:t>
      </w:r>
      <w:r w:rsidR="00344F8F">
        <w:t xml:space="preserve">changes to the scope of the stamp duty </w:t>
      </w:r>
      <w:r w:rsidR="00900ADD">
        <w:t>assessment</w:t>
      </w:r>
      <w:r w:rsidR="00791370">
        <w:t>,</w:t>
      </w:r>
      <w:r w:rsidR="00200E09" w:rsidRPr="00042C58">
        <w:t xml:space="preserve"> </w:t>
      </w:r>
      <w:r w:rsidR="007305DA" w:rsidRPr="00042C58">
        <w:t xml:space="preserve">above </w:t>
      </w:r>
      <w:r w:rsidR="00E0799D" w:rsidRPr="00042C58">
        <w:t xml:space="preserve">average </w:t>
      </w:r>
      <w:r w:rsidRPr="00042C58">
        <w:t>growth in its taxable land values</w:t>
      </w:r>
      <w:r w:rsidR="00B20213">
        <w:t>, and revisions to</w:t>
      </w:r>
      <w:r w:rsidR="00B20213" w:rsidRPr="00042C58">
        <w:t xml:space="preserve"> </w:t>
      </w:r>
      <w:r w:rsidR="00B20213">
        <w:t>State</w:t>
      </w:r>
      <w:r w:rsidR="00B20213" w:rsidRPr="00042C58">
        <w:t xml:space="preserve"> natural disaster relief expenses</w:t>
      </w:r>
      <w:r w:rsidRPr="00042C58">
        <w:t>. New</w:t>
      </w:r>
      <w:r w:rsidR="006412E7" w:rsidRPr="00042C58">
        <w:t> </w:t>
      </w:r>
      <w:r w:rsidRPr="00042C58">
        <w:t>South</w:t>
      </w:r>
      <w:r w:rsidR="006412E7" w:rsidRPr="00042C58">
        <w:t> </w:t>
      </w:r>
      <w:r w:rsidRPr="00042C58">
        <w:t xml:space="preserve">Wales’ </w:t>
      </w:r>
      <w:r w:rsidR="006F16AA" w:rsidRPr="00042C58">
        <w:t>reduced</w:t>
      </w:r>
      <w:r w:rsidRPr="00042C58">
        <w:t xml:space="preserve"> fiscal capacity will see its GST share increase from 27.</w:t>
      </w:r>
      <w:r w:rsidR="00DC3330" w:rsidRPr="00042C58">
        <w:t>8</w:t>
      </w:r>
      <w:r w:rsidRPr="00042C58">
        <w:t>% to 29</w:t>
      </w:r>
      <w:r w:rsidR="00DC3330" w:rsidRPr="00042C58">
        <w:t>.</w:t>
      </w:r>
      <w:r w:rsidR="00CB4264">
        <w:t>3</w:t>
      </w:r>
      <w:r w:rsidRPr="00042C58">
        <w:t>%.</w:t>
      </w:r>
      <w:r w:rsidR="007B5966" w:rsidRPr="00042C58">
        <w:t xml:space="preserve"> </w:t>
      </w:r>
      <w:r w:rsidR="0045090F">
        <w:t>C</w:t>
      </w:r>
      <w:r w:rsidRPr="00042C58">
        <w:t>ombined with pool growth, its GST entitlement in 2020</w:t>
      </w:r>
      <w:r w:rsidR="0095787E" w:rsidRPr="00042C58">
        <w:noBreakHyphen/>
        <w:t>21</w:t>
      </w:r>
      <w:r w:rsidRPr="00042C58">
        <w:t xml:space="preserve"> will rise by $1</w:t>
      </w:r>
      <w:r w:rsidR="00E14BC2" w:rsidRPr="00042C58">
        <w:t>,</w:t>
      </w:r>
      <w:r w:rsidR="00F94C9A" w:rsidRPr="00042C58">
        <w:t>6</w:t>
      </w:r>
      <w:r w:rsidR="00CB4264">
        <w:t>4</w:t>
      </w:r>
      <w:r w:rsidR="007054EF">
        <w:t>0</w:t>
      </w:r>
      <w:r w:rsidR="0047535B" w:rsidRPr="00042C58">
        <w:t> </w:t>
      </w:r>
      <w:r w:rsidRPr="00042C58">
        <w:t xml:space="preserve">million, or </w:t>
      </w:r>
      <w:r w:rsidR="00D67199">
        <w:t>9</w:t>
      </w:r>
      <w:r w:rsidRPr="00042C58">
        <w:t>.</w:t>
      </w:r>
      <w:r w:rsidR="00D67199">
        <w:t>0</w:t>
      </w:r>
      <w:r w:rsidRPr="00042C58">
        <w:t>%.</w:t>
      </w:r>
    </w:p>
    <w:p w14:paraId="63325E5D" w14:textId="579214D5" w:rsidR="009823E1" w:rsidRDefault="00F266DD" w:rsidP="00F266DD">
      <w:pPr>
        <w:pStyle w:val="CGCTableHeading"/>
      </w:pPr>
      <w:bookmarkStart w:id="42" w:name="_Ref30689432"/>
      <w:r>
        <w:t xml:space="preserve">Table </w:t>
      </w:r>
      <w:r w:rsidR="00D5059E">
        <w:t>3</w:t>
      </w:r>
      <w:r w:rsidR="00D5059E">
        <w:noBreakHyphen/>
      </w:r>
      <w:bookmarkEnd w:id="42"/>
      <w:r w:rsidR="00816420">
        <w:fldChar w:fldCharType="begin"/>
      </w:r>
      <w:r w:rsidR="00816420">
        <w:instrText xml:space="preserve"> SEQ Table \* ARABIC\r 1 </w:instrText>
      </w:r>
      <w:r w:rsidR="00816420">
        <w:fldChar w:fldCharType="separate"/>
      </w:r>
      <w:r w:rsidR="003D49C2">
        <w:rPr>
          <w:noProof/>
        </w:rPr>
        <w:t>1</w:t>
      </w:r>
      <w:r w:rsidR="00816420">
        <w:fldChar w:fldCharType="end"/>
      </w:r>
      <w:r>
        <w:tab/>
      </w:r>
      <w:r w:rsidR="008525FB">
        <w:t>Change in</w:t>
      </w:r>
      <w:r w:rsidR="005F23C0">
        <w:t xml:space="preserve"> </w:t>
      </w:r>
      <w:r w:rsidR="007A189F">
        <w:t xml:space="preserve">illustrative </w:t>
      </w:r>
      <w:r w:rsidR="008525FB">
        <w:t>GST</w:t>
      </w:r>
      <w:r w:rsidR="007A189F">
        <w:t xml:space="preserve"> distribution</w:t>
      </w:r>
      <w:r w:rsidR="00BB416A">
        <w:t xml:space="preserve"> since </w:t>
      </w:r>
      <w:r w:rsidR="00A37FAC">
        <w:t xml:space="preserve">the </w:t>
      </w:r>
      <w:r w:rsidR="00BB416A">
        <w:t>2019 Update</w:t>
      </w:r>
      <w:r w:rsidR="007A189F">
        <w:t>, New South Wales</w:t>
      </w:r>
    </w:p>
    <w:tbl>
      <w:tblPr>
        <w:tblW w:w="8902" w:type="dxa"/>
        <w:tblCellMar>
          <w:left w:w="0" w:type="dxa"/>
          <w:right w:w="28" w:type="dxa"/>
        </w:tblCellMar>
        <w:tblLook w:val="04A0" w:firstRow="1" w:lastRow="0" w:firstColumn="1" w:lastColumn="0" w:noHBand="0" w:noVBand="1"/>
      </w:tblPr>
      <w:tblGrid>
        <w:gridCol w:w="4040"/>
        <w:gridCol w:w="2508"/>
        <w:gridCol w:w="2411"/>
      </w:tblGrid>
      <w:tr w:rsidR="007C5730" w:rsidRPr="007C5730" w14:paraId="7640797A" w14:textId="77777777" w:rsidTr="00664FDC">
        <w:trPr>
          <w:trHeight w:val="258"/>
        </w:trPr>
        <w:tc>
          <w:tcPr>
            <w:tcW w:w="4160" w:type="dxa"/>
            <w:tcBorders>
              <w:top w:val="single" w:sz="4" w:space="0" w:color="ADD6EA"/>
              <w:left w:val="nil"/>
              <w:bottom w:val="single" w:sz="4" w:space="0" w:color="ADD6EA"/>
              <w:right w:val="nil"/>
            </w:tcBorders>
            <w:shd w:val="clear" w:color="000000" w:fill="006991"/>
            <w:noWrap/>
            <w:vAlign w:val="center"/>
            <w:hideMark/>
          </w:tcPr>
          <w:p w14:paraId="06EF2397" w14:textId="77777777" w:rsidR="007C5730" w:rsidRPr="007C5730" w:rsidRDefault="007C5730" w:rsidP="007C5730">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C5730">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noWrap/>
            <w:vAlign w:val="center"/>
            <w:hideMark/>
          </w:tcPr>
          <w:p w14:paraId="1F34FC59" w14:textId="77777777" w:rsidR="007C5730" w:rsidRPr="007C5730" w:rsidRDefault="007C5730" w:rsidP="007C5730">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C5730">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noWrap/>
            <w:vAlign w:val="center"/>
            <w:hideMark/>
          </w:tcPr>
          <w:p w14:paraId="4EC1A76A" w14:textId="77777777" w:rsidR="007C5730" w:rsidRPr="007C5730" w:rsidRDefault="007C5730" w:rsidP="007C5730">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C5730">
              <w:rPr>
                <w:rFonts w:ascii="Open Sans SemiBold" w:eastAsia="Times New Roman" w:hAnsi="Open Sans SemiBold" w:cs="Open Sans SemiBold"/>
                <w:color w:val="FFFFFF"/>
                <w:sz w:val="16"/>
                <w:szCs w:val="16"/>
                <w:lang w:val="en-AU" w:eastAsia="en-AU"/>
              </w:rPr>
              <w:t>$pc</w:t>
            </w:r>
          </w:p>
        </w:tc>
      </w:tr>
      <w:tr w:rsidR="007C5730" w:rsidRPr="007C5730" w14:paraId="482914A8" w14:textId="77777777" w:rsidTr="00664FDC">
        <w:trPr>
          <w:trHeight w:val="315"/>
        </w:trPr>
        <w:tc>
          <w:tcPr>
            <w:tcW w:w="4160" w:type="dxa"/>
            <w:tcBorders>
              <w:top w:val="nil"/>
              <w:left w:val="nil"/>
              <w:bottom w:val="single" w:sz="4" w:space="0" w:color="ADD6EA"/>
              <w:right w:val="nil"/>
            </w:tcBorders>
            <w:shd w:val="clear" w:color="auto" w:fill="auto"/>
            <w:noWrap/>
            <w:vAlign w:val="bottom"/>
            <w:hideMark/>
          </w:tcPr>
          <w:p w14:paraId="228133B6" w14:textId="77777777" w:rsidR="007C5730" w:rsidRPr="007C5730" w:rsidRDefault="007C5730" w:rsidP="007C5730">
            <w:pPr>
              <w:tabs>
                <w:tab w:val="clear" w:pos="567"/>
              </w:tabs>
              <w:spacing w:before="0" w:line="240" w:lineRule="auto"/>
              <w:rPr>
                <w:rFonts w:eastAsia="Times New Roman" w:cs="Open Sans Light"/>
                <w:sz w:val="16"/>
                <w:szCs w:val="16"/>
                <w:lang w:val="en-AU" w:eastAsia="en-AU"/>
              </w:rPr>
            </w:pPr>
            <w:r w:rsidRPr="007C5730">
              <w:rPr>
                <w:rFonts w:eastAsia="Times New Roman" w:cs="Open Sans Light"/>
                <w:sz w:val="16"/>
                <w:szCs w:val="16"/>
                <w:lang w:val="en-AU" w:eastAsia="en-AU"/>
              </w:rPr>
              <w:t>New population</w:t>
            </w:r>
          </w:p>
        </w:tc>
        <w:tc>
          <w:tcPr>
            <w:tcW w:w="2580" w:type="dxa"/>
            <w:tcBorders>
              <w:top w:val="nil"/>
              <w:left w:val="nil"/>
              <w:bottom w:val="single" w:sz="4" w:space="0" w:color="ADD6EA"/>
              <w:right w:val="nil"/>
            </w:tcBorders>
            <w:shd w:val="clear" w:color="auto" w:fill="auto"/>
            <w:noWrap/>
            <w:vAlign w:val="bottom"/>
            <w:hideMark/>
          </w:tcPr>
          <w:p w14:paraId="51A9804B"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-3</w:t>
            </w:r>
          </w:p>
        </w:tc>
        <w:tc>
          <w:tcPr>
            <w:tcW w:w="2480" w:type="dxa"/>
            <w:tcBorders>
              <w:top w:val="nil"/>
              <w:left w:val="nil"/>
              <w:bottom w:val="single" w:sz="4" w:space="0" w:color="ADD6EA"/>
              <w:right w:val="nil"/>
            </w:tcBorders>
            <w:shd w:val="clear" w:color="auto" w:fill="auto"/>
            <w:noWrap/>
            <w:vAlign w:val="bottom"/>
            <w:hideMark/>
          </w:tcPr>
          <w:p w14:paraId="6EAB9968"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0</w:t>
            </w:r>
          </w:p>
        </w:tc>
      </w:tr>
      <w:tr w:rsidR="007C5730" w:rsidRPr="007C5730" w14:paraId="63CD66AD" w14:textId="77777777" w:rsidTr="00664FDC">
        <w:trPr>
          <w:trHeight w:val="315"/>
        </w:trPr>
        <w:tc>
          <w:tcPr>
            <w:tcW w:w="4160" w:type="dxa"/>
            <w:tcBorders>
              <w:top w:val="nil"/>
              <w:left w:val="nil"/>
              <w:bottom w:val="single" w:sz="4" w:space="0" w:color="ADD6EA"/>
              <w:right w:val="nil"/>
            </w:tcBorders>
            <w:shd w:val="clear" w:color="auto" w:fill="auto"/>
            <w:noWrap/>
            <w:vAlign w:val="bottom"/>
            <w:hideMark/>
          </w:tcPr>
          <w:p w14:paraId="6B0A3DD5" w14:textId="77777777" w:rsidR="007C5730" w:rsidRPr="007C5730" w:rsidRDefault="007C5730" w:rsidP="007C5730">
            <w:pPr>
              <w:tabs>
                <w:tab w:val="clear" w:pos="567"/>
              </w:tabs>
              <w:spacing w:before="0" w:line="240" w:lineRule="auto"/>
              <w:rPr>
                <w:rFonts w:eastAsia="Times New Roman" w:cs="Open Sans Light"/>
                <w:sz w:val="16"/>
                <w:szCs w:val="16"/>
                <w:lang w:val="en-AU" w:eastAsia="en-AU"/>
              </w:rPr>
            </w:pPr>
            <w:r w:rsidRPr="007C5730">
              <w:rPr>
                <w:rFonts w:eastAsia="Times New Roman" w:cs="Open Sans Light"/>
                <w:sz w:val="16"/>
                <w:szCs w:val="16"/>
                <w:lang w:val="en-AU" w:eastAsia="en-AU"/>
              </w:rPr>
              <w:t>Growth in GST available</w:t>
            </w:r>
          </w:p>
        </w:tc>
        <w:tc>
          <w:tcPr>
            <w:tcW w:w="2580" w:type="dxa"/>
            <w:tcBorders>
              <w:top w:val="nil"/>
              <w:left w:val="nil"/>
              <w:bottom w:val="single" w:sz="4" w:space="0" w:color="ADD6EA"/>
              <w:right w:val="nil"/>
            </w:tcBorders>
            <w:shd w:val="clear" w:color="auto" w:fill="auto"/>
            <w:noWrap/>
            <w:vAlign w:val="bottom"/>
            <w:hideMark/>
          </w:tcPr>
          <w:p w14:paraId="02F2F531"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612</w:t>
            </w:r>
          </w:p>
        </w:tc>
        <w:tc>
          <w:tcPr>
            <w:tcW w:w="2480" w:type="dxa"/>
            <w:tcBorders>
              <w:top w:val="nil"/>
              <w:left w:val="nil"/>
              <w:bottom w:val="single" w:sz="4" w:space="0" w:color="ADD6EA"/>
              <w:right w:val="nil"/>
            </w:tcBorders>
            <w:shd w:val="clear" w:color="auto" w:fill="auto"/>
            <w:noWrap/>
            <w:vAlign w:val="bottom"/>
            <w:hideMark/>
          </w:tcPr>
          <w:p w14:paraId="3DB4FFFD"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74</w:t>
            </w:r>
          </w:p>
        </w:tc>
      </w:tr>
      <w:tr w:rsidR="007C5730" w:rsidRPr="007C5730" w14:paraId="653FC853" w14:textId="77777777" w:rsidTr="00664FDC">
        <w:trPr>
          <w:trHeight w:val="315"/>
        </w:trPr>
        <w:tc>
          <w:tcPr>
            <w:tcW w:w="4160" w:type="dxa"/>
            <w:tcBorders>
              <w:top w:val="nil"/>
              <w:left w:val="nil"/>
              <w:bottom w:val="single" w:sz="4" w:space="0" w:color="ADD6EA"/>
              <w:right w:val="nil"/>
            </w:tcBorders>
            <w:shd w:val="clear" w:color="auto" w:fill="auto"/>
            <w:vAlign w:val="bottom"/>
            <w:hideMark/>
          </w:tcPr>
          <w:p w14:paraId="59E8DC8E" w14:textId="77777777" w:rsidR="007C5730" w:rsidRPr="007C5730" w:rsidRDefault="007C5730" w:rsidP="007C5730">
            <w:pPr>
              <w:tabs>
                <w:tab w:val="clear" w:pos="567"/>
              </w:tabs>
              <w:spacing w:before="0" w:line="240" w:lineRule="auto"/>
              <w:rPr>
                <w:rFonts w:eastAsia="Times New Roman" w:cs="Open Sans Light"/>
                <w:sz w:val="16"/>
                <w:szCs w:val="16"/>
                <w:lang w:val="en-AU" w:eastAsia="en-AU"/>
              </w:rPr>
            </w:pPr>
            <w:r w:rsidRPr="007C5730">
              <w:rPr>
                <w:rFonts w:eastAsia="Times New Roman" w:cs="Open Sans Light"/>
                <w:sz w:val="16"/>
                <w:szCs w:val="16"/>
                <w:lang w:val="en-AU" w:eastAsia="en-AU"/>
              </w:rPr>
              <w:t>Changes in relative fiscal capacity</w:t>
            </w:r>
          </w:p>
        </w:tc>
        <w:tc>
          <w:tcPr>
            <w:tcW w:w="2580" w:type="dxa"/>
            <w:tcBorders>
              <w:top w:val="nil"/>
              <w:left w:val="nil"/>
              <w:bottom w:val="single" w:sz="4" w:space="0" w:color="ADD6EA"/>
              <w:right w:val="nil"/>
            </w:tcBorders>
            <w:shd w:val="clear" w:color="auto" w:fill="auto"/>
            <w:noWrap/>
            <w:vAlign w:val="bottom"/>
            <w:hideMark/>
          </w:tcPr>
          <w:p w14:paraId="55620807"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1,031</w:t>
            </w:r>
          </w:p>
        </w:tc>
        <w:tc>
          <w:tcPr>
            <w:tcW w:w="2480" w:type="dxa"/>
            <w:tcBorders>
              <w:top w:val="nil"/>
              <w:left w:val="nil"/>
              <w:bottom w:val="single" w:sz="4" w:space="0" w:color="ADD6EA"/>
              <w:right w:val="nil"/>
            </w:tcBorders>
            <w:shd w:val="clear" w:color="auto" w:fill="auto"/>
            <w:noWrap/>
            <w:vAlign w:val="bottom"/>
            <w:hideMark/>
          </w:tcPr>
          <w:p w14:paraId="2CDAE995"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124</w:t>
            </w:r>
          </w:p>
        </w:tc>
      </w:tr>
      <w:tr w:rsidR="007C5730" w:rsidRPr="007C5730" w14:paraId="6519DCC4" w14:textId="77777777" w:rsidTr="00664FDC">
        <w:trPr>
          <w:trHeight w:val="315"/>
        </w:trPr>
        <w:tc>
          <w:tcPr>
            <w:tcW w:w="4160" w:type="dxa"/>
            <w:tcBorders>
              <w:top w:val="nil"/>
              <w:left w:val="nil"/>
              <w:bottom w:val="single" w:sz="4" w:space="0" w:color="ADD6EA"/>
              <w:right w:val="nil"/>
            </w:tcBorders>
            <w:shd w:val="clear" w:color="auto" w:fill="auto"/>
            <w:vAlign w:val="bottom"/>
            <w:hideMark/>
          </w:tcPr>
          <w:p w14:paraId="5AF51821" w14:textId="77777777" w:rsidR="007C5730" w:rsidRPr="007C5730" w:rsidRDefault="007C5730" w:rsidP="007C5730">
            <w:pPr>
              <w:tabs>
                <w:tab w:val="clear" w:pos="567"/>
              </w:tabs>
              <w:spacing w:before="0" w:line="240" w:lineRule="auto"/>
              <w:ind w:firstLineChars="100" w:firstLine="160"/>
              <w:rPr>
                <w:rFonts w:eastAsia="Times New Roman" w:cs="Open Sans Light"/>
                <w:sz w:val="16"/>
                <w:szCs w:val="16"/>
                <w:lang w:val="en-AU" w:eastAsia="en-AU"/>
              </w:rPr>
            </w:pPr>
            <w:r w:rsidRPr="007C5730">
              <w:rPr>
                <w:rFonts w:eastAsia="Times New Roman" w:cs="Open Sans Light"/>
                <w:sz w:val="16"/>
                <w:szCs w:val="16"/>
                <w:lang w:val="en-AU" w:eastAsia="en-AU"/>
              </w:rPr>
              <w:t>Method changes</w:t>
            </w:r>
          </w:p>
        </w:tc>
        <w:tc>
          <w:tcPr>
            <w:tcW w:w="2580" w:type="dxa"/>
            <w:tcBorders>
              <w:top w:val="nil"/>
              <w:left w:val="nil"/>
              <w:bottom w:val="single" w:sz="4" w:space="0" w:color="ADD6EA"/>
              <w:right w:val="nil"/>
            </w:tcBorders>
            <w:shd w:val="clear" w:color="auto" w:fill="auto"/>
            <w:noWrap/>
            <w:vAlign w:val="bottom"/>
            <w:hideMark/>
          </w:tcPr>
          <w:p w14:paraId="07AB8D1F"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711</w:t>
            </w:r>
          </w:p>
        </w:tc>
        <w:tc>
          <w:tcPr>
            <w:tcW w:w="2480" w:type="dxa"/>
            <w:tcBorders>
              <w:top w:val="nil"/>
              <w:left w:val="nil"/>
              <w:bottom w:val="single" w:sz="4" w:space="0" w:color="ADD6EA"/>
              <w:right w:val="nil"/>
            </w:tcBorders>
            <w:shd w:val="clear" w:color="auto" w:fill="auto"/>
            <w:noWrap/>
            <w:vAlign w:val="bottom"/>
            <w:hideMark/>
          </w:tcPr>
          <w:p w14:paraId="5B519DA6"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86</w:t>
            </w:r>
          </w:p>
        </w:tc>
      </w:tr>
      <w:tr w:rsidR="007C5730" w:rsidRPr="007C5730" w14:paraId="51E03B1A" w14:textId="77777777" w:rsidTr="00664FDC">
        <w:trPr>
          <w:trHeight w:val="315"/>
        </w:trPr>
        <w:tc>
          <w:tcPr>
            <w:tcW w:w="4160" w:type="dxa"/>
            <w:tcBorders>
              <w:top w:val="nil"/>
              <w:left w:val="nil"/>
              <w:bottom w:val="single" w:sz="4" w:space="0" w:color="ADD6EA"/>
              <w:right w:val="nil"/>
            </w:tcBorders>
            <w:shd w:val="clear" w:color="auto" w:fill="auto"/>
            <w:vAlign w:val="bottom"/>
            <w:hideMark/>
          </w:tcPr>
          <w:p w14:paraId="2C3747E3" w14:textId="77777777" w:rsidR="007C5730" w:rsidRPr="007C5730" w:rsidRDefault="007C5730" w:rsidP="007C5730">
            <w:pPr>
              <w:tabs>
                <w:tab w:val="clear" w:pos="567"/>
              </w:tabs>
              <w:spacing w:before="0" w:line="240" w:lineRule="auto"/>
              <w:ind w:firstLineChars="100" w:firstLine="160"/>
              <w:rPr>
                <w:rFonts w:eastAsia="Times New Roman" w:cs="Open Sans Light"/>
                <w:sz w:val="16"/>
                <w:szCs w:val="16"/>
                <w:lang w:val="en-AU" w:eastAsia="en-AU"/>
              </w:rPr>
            </w:pPr>
            <w:r w:rsidRPr="007C5730">
              <w:rPr>
                <w:rFonts w:eastAsia="Times New Roman" w:cs="Open Sans Light"/>
                <w:sz w:val="16"/>
                <w:szCs w:val="16"/>
                <w:lang w:val="en-AU" w:eastAsia="en-AU"/>
              </w:rPr>
              <w:t>Data revisions</w:t>
            </w:r>
          </w:p>
        </w:tc>
        <w:tc>
          <w:tcPr>
            <w:tcW w:w="2580" w:type="dxa"/>
            <w:tcBorders>
              <w:top w:val="nil"/>
              <w:left w:val="nil"/>
              <w:bottom w:val="single" w:sz="4" w:space="0" w:color="ADD6EA"/>
              <w:right w:val="nil"/>
            </w:tcBorders>
            <w:shd w:val="clear" w:color="auto" w:fill="auto"/>
            <w:noWrap/>
            <w:vAlign w:val="bottom"/>
            <w:hideMark/>
          </w:tcPr>
          <w:p w14:paraId="5FCD8C88"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-275</w:t>
            </w:r>
          </w:p>
        </w:tc>
        <w:tc>
          <w:tcPr>
            <w:tcW w:w="2480" w:type="dxa"/>
            <w:tcBorders>
              <w:top w:val="nil"/>
              <w:left w:val="nil"/>
              <w:bottom w:val="single" w:sz="4" w:space="0" w:color="ADD6EA"/>
              <w:right w:val="nil"/>
            </w:tcBorders>
            <w:shd w:val="clear" w:color="auto" w:fill="auto"/>
            <w:noWrap/>
            <w:vAlign w:val="bottom"/>
            <w:hideMark/>
          </w:tcPr>
          <w:p w14:paraId="6B9518AB"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-33</w:t>
            </w:r>
          </w:p>
        </w:tc>
      </w:tr>
      <w:tr w:rsidR="007C5730" w:rsidRPr="007C5730" w14:paraId="222A05C2" w14:textId="77777777" w:rsidTr="00664FDC">
        <w:trPr>
          <w:trHeight w:val="315"/>
        </w:trPr>
        <w:tc>
          <w:tcPr>
            <w:tcW w:w="4160" w:type="dxa"/>
            <w:tcBorders>
              <w:top w:val="nil"/>
              <w:left w:val="nil"/>
              <w:bottom w:val="single" w:sz="4" w:space="0" w:color="ADD6EA"/>
              <w:right w:val="nil"/>
            </w:tcBorders>
            <w:shd w:val="clear" w:color="auto" w:fill="auto"/>
            <w:vAlign w:val="bottom"/>
            <w:hideMark/>
          </w:tcPr>
          <w:p w14:paraId="22482C57" w14:textId="77777777" w:rsidR="007C5730" w:rsidRPr="007C5730" w:rsidRDefault="007C5730" w:rsidP="007C5730">
            <w:pPr>
              <w:tabs>
                <w:tab w:val="clear" w:pos="567"/>
              </w:tabs>
              <w:spacing w:before="0" w:line="240" w:lineRule="auto"/>
              <w:ind w:firstLineChars="100" w:firstLine="160"/>
              <w:rPr>
                <w:rFonts w:eastAsia="Times New Roman" w:cs="Open Sans Light"/>
                <w:sz w:val="16"/>
                <w:szCs w:val="16"/>
                <w:lang w:val="en-AU" w:eastAsia="en-AU"/>
              </w:rPr>
            </w:pPr>
            <w:r w:rsidRPr="007C5730">
              <w:rPr>
                <w:rFonts w:eastAsia="Times New Roman" w:cs="Open Sans Light"/>
                <w:sz w:val="16"/>
                <w:szCs w:val="16"/>
                <w:lang w:val="en-AU" w:eastAsia="en-AU"/>
              </w:rPr>
              <w:t>State circumstances</w:t>
            </w:r>
          </w:p>
        </w:tc>
        <w:tc>
          <w:tcPr>
            <w:tcW w:w="2580" w:type="dxa"/>
            <w:tcBorders>
              <w:top w:val="nil"/>
              <w:left w:val="nil"/>
              <w:bottom w:val="single" w:sz="4" w:space="0" w:color="ADD6EA"/>
              <w:right w:val="nil"/>
            </w:tcBorders>
            <w:shd w:val="clear" w:color="auto" w:fill="auto"/>
            <w:noWrap/>
            <w:vAlign w:val="bottom"/>
            <w:hideMark/>
          </w:tcPr>
          <w:p w14:paraId="45D9BB8E"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595</w:t>
            </w:r>
          </w:p>
        </w:tc>
        <w:tc>
          <w:tcPr>
            <w:tcW w:w="2480" w:type="dxa"/>
            <w:tcBorders>
              <w:top w:val="nil"/>
              <w:left w:val="nil"/>
              <w:bottom w:val="single" w:sz="4" w:space="0" w:color="ADD6EA"/>
              <w:right w:val="nil"/>
            </w:tcBorders>
            <w:shd w:val="clear" w:color="auto" w:fill="auto"/>
            <w:noWrap/>
            <w:vAlign w:val="bottom"/>
            <w:hideMark/>
          </w:tcPr>
          <w:p w14:paraId="4CFD0808" w14:textId="77777777" w:rsidR="007C5730" w:rsidRPr="007C5730" w:rsidRDefault="007C5730" w:rsidP="007C5730">
            <w:pPr>
              <w:tabs>
                <w:tab w:val="clear" w:pos="567"/>
              </w:tabs>
              <w:spacing w:before="0" w:line="240" w:lineRule="auto"/>
              <w:jc w:val="right"/>
              <w:rPr>
                <w:rFonts w:eastAsia="Times New Roman" w:cs="Open Sans Light"/>
                <w:sz w:val="16"/>
                <w:szCs w:val="16"/>
                <w:lang w:val="en-AU" w:eastAsia="en-AU"/>
              </w:rPr>
            </w:pPr>
            <w:r w:rsidRPr="007C5730">
              <w:rPr>
                <w:rFonts w:eastAsia="Times New Roman" w:cs="Open Sans Light"/>
                <w:sz w:val="16"/>
                <w:szCs w:val="16"/>
                <w:lang w:val="en-AU" w:eastAsia="en-AU"/>
              </w:rPr>
              <w:t>72</w:t>
            </w:r>
          </w:p>
        </w:tc>
      </w:tr>
      <w:tr w:rsidR="007C5730" w:rsidRPr="007C5730" w14:paraId="260CF065" w14:textId="77777777" w:rsidTr="00664FDC">
        <w:trPr>
          <w:trHeight w:val="315"/>
        </w:trPr>
        <w:tc>
          <w:tcPr>
            <w:tcW w:w="4160" w:type="dxa"/>
            <w:tcBorders>
              <w:top w:val="nil"/>
              <w:left w:val="nil"/>
              <w:bottom w:val="single" w:sz="4" w:space="0" w:color="ADD6EA"/>
              <w:right w:val="nil"/>
            </w:tcBorders>
            <w:shd w:val="clear" w:color="000000" w:fill="D6E7F0"/>
            <w:noWrap/>
            <w:vAlign w:val="bottom"/>
            <w:hideMark/>
          </w:tcPr>
          <w:p w14:paraId="412B97B4" w14:textId="77777777" w:rsidR="007C5730" w:rsidRPr="007C5730" w:rsidRDefault="007C5730" w:rsidP="007C5730">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7C5730">
              <w:rPr>
                <w:rFonts w:ascii="Open Sans SemiBold" w:eastAsia="Times New Roman" w:hAnsi="Open Sans SemiBold" w:cs="Open Sans SemiBold"/>
                <w:color w:val="000000"/>
                <w:sz w:val="16"/>
                <w:szCs w:val="16"/>
                <w:lang w:val="en-AU" w:eastAsia="en-AU"/>
              </w:rPr>
              <w:t>Total change</w:t>
            </w:r>
          </w:p>
        </w:tc>
        <w:tc>
          <w:tcPr>
            <w:tcW w:w="2580" w:type="dxa"/>
            <w:tcBorders>
              <w:top w:val="nil"/>
              <w:left w:val="nil"/>
              <w:bottom w:val="single" w:sz="4" w:space="0" w:color="ADD6EA"/>
              <w:right w:val="nil"/>
            </w:tcBorders>
            <w:shd w:val="clear" w:color="000000" w:fill="D6E7F0"/>
            <w:noWrap/>
            <w:vAlign w:val="bottom"/>
            <w:hideMark/>
          </w:tcPr>
          <w:p w14:paraId="40679F05" w14:textId="77777777" w:rsidR="007C5730" w:rsidRPr="007C5730" w:rsidRDefault="007C5730" w:rsidP="007C5730">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C5730">
              <w:rPr>
                <w:rFonts w:ascii="Open Sans SemiBold" w:eastAsia="Times New Roman" w:hAnsi="Open Sans SemiBold" w:cs="Open Sans SemiBold"/>
                <w:color w:val="000000"/>
                <w:sz w:val="16"/>
                <w:szCs w:val="16"/>
                <w:lang w:val="en-AU" w:eastAsia="en-AU"/>
              </w:rPr>
              <w:t>1,640</w:t>
            </w:r>
          </w:p>
        </w:tc>
        <w:tc>
          <w:tcPr>
            <w:tcW w:w="2480" w:type="dxa"/>
            <w:tcBorders>
              <w:top w:val="nil"/>
              <w:left w:val="nil"/>
              <w:bottom w:val="single" w:sz="4" w:space="0" w:color="ADD6EA"/>
              <w:right w:val="nil"/>
            </w:tcBorders>
            <w:shd w:val="clear" w:color="000000" w:fill="D6E7F0"/>
            <w:noWrap/>
            <w:vAlign w:val="bottom"/>
            <w:hideMark/>
          </w:tcPr>
          <w:p w14:paraId="624C595B" w14:textId="77777777" w:rsidR="007C5730" w:rsidRPr="007C5730" w:rsidRDefault="007C5730" w:rsidP="007C5730">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C5730">
              <w:rPr>
                <w:rFonts w:ascii="Open Sans SemiBold" w:eastAsia="Times New Roman" w:hAnsi="Open Sans SemiBold" w:cs="Open Sans SemiBold"/>
                <w:color w:val="000000"/>
                <w:sz w:val="16"/>
                <w:szCs w:val="16"/>
                <w:lang w:val="en-AU" w:eastAsia="en-AU"/>
              </w:rPr>
              <w:t>198</w:t>
            </w:r>
          </w:p>
        </w:tc>
      </w:tr>
    </w:tbl>
    <w:p w14:paraId="54E6E3B8" w14:textId="5D6107EA" w:rsidR="008525FB" w:rsidRDefault="008525FB" w:rsidP="008525FB">
      <w:pPr>
        <w:pStyle w:val="CGCTablenote"/>
      </w:pPr>
      <w:r>
        <w:t>Note</w:t>
      </w:r>
      <w:r w:rsidR="009072A4">
        <w:t>:</w:t>
      </w:r>
      <w:r>
        <w:tab/>
        <w:t xml:space="preserve">Table may </w:t>
      </w:r>
      <w:r w:rsidR="00183EF1">
        <w:t>not add due to rounding.</w:t>
      </w:r>
    </w:p>
    <w:p w14:paraId="1547E670" w14:textId="18754151" w:rsidR="008525FB" w:rsidRDefault="008525FB" w:rsidP="008525FB">
      <w:pPr>
        <w:pStyle w:val="CGCTablenote"/>
      </w:pPr>
      <w:r>
        <w:t>Source:</w:t>
      </w:r>
      <w:r>
        <w:tab/>
      </w:r>
      <w:r w:rsidR="005438E4">
        <w:t>Commission calculation.</w:t>
      </w:r>
    </w:p>
    <w:p w14:paraId="6B2BDDD7" w14:textId="60822273" w:rsidR="00BD40E8" w:rsidRDefault="00BD40E8" w:rsidP="00BD40E8">
      <w:pPr>
        <w:pStyle w:val="Caption"/>
      </w:pPr>
      <w:r>
        <w:t xml:space="preserve">Figure </w:t>
      </w:r>
      <w:r w:rsidR="00D5059E">
        <w:t>3</w:t>
      </w:r>
      <w:r w:rsidR="00D5059E">
        <w:noBreakHyphen/>
      </w:r>
      <w:r>
        <w:fldChar w:fldCharType="begin"/>
      </w:r>
      <w:r>
        <w:instrText>SEQ Figure \* ARABIC</w:instrText>
      </w:r>
      <w:r>
        <w:fldChar w:fldCharType="separate"/>
      </w:r>
      <w:r w:rsidR="003D49C2">
        <w:rPr>
          <w:noProof/>
        </w:rPr>
        <w:t>2</w:t>
      </w:r>
      <w:r>
        <w:fldChar w:fldCharType="end"/>
      </w:r>
      <w:r>
        <w:tab/>
        <w:t>Main changes for New South Wales, 2020 Review</w:t>
      </w:r>
    </w:p>
    <w:p w14:paraId="7A126A0D" w14:textId="6EDBAA5B" w:rsidR="00193020" w:rsidRDefault="00141D28" w:rsidP="0087514E">
      <w:r>
        <w:rPr>
          <w:noProof/>
        </w:rPr>
        <w:drawing>
          <wp:inline distT="0" distB="0" distL="0" distR="0" wp14:anchorId="2F8CC400" wp14:editId="136FB989">
            <wp:extent cx="5681980" cy="3907790"/>
            <wp:effectExtent l="0" t="0" r="0" b="0"/>
            <wp:docPr id="1" name="Picture 1" descr="$896m Transport. -$232m Stamp duty on conveyances. $128 Services to communities. -$173m Natural disaster relief. $348m Property sales. $320m Mining production. -$200m Taxable land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1980" cy="3907790"/>
                    </a:xfrm>
                    <a:prstGeom prst="rect">
                      <a:avLst/>
                    </a:prstGeom>
                    <a:noFill/>
                  </pic:spPr>
                </pic:pic>
              </a:graphicData>
            </a:graphic>
          </wp:inline>
        </w:drawing>
      </w:r>
    </w:p>
    <w:p w14:paraId="5ADB2AC7" w14:textId="403F1DBC" w:rsidR="0034548C" w:rsidRDefault="00AD212F" w:rsidP="001F4B93">
      <w:pPr>
        <w:pStyle w:val="CGCTablenote"/>
      </w:pPr>
      <w:r>
        <w:t>Source:</w:t>
      </w:r>
      <w:r>
        <w:tab/>
        <w:t>Commission calculation.</w:t>
      </w:r>
    </w:p>
    <w:p w14:paraId="2E2F6902" w14:textId="1C469552" w:rsidR="00AD212F" w:rsidRPr="00AD212F" w:rsidRDefault="00AD212F" w:rsidP="0034548C">
      <w:pPr>
        <w:sectPr w:rsidR="00AD212F" w:rsidRPr="00AD212F" w:rsidSect="00E22AA8">
          <w:footerReference w:type="default" r:id="rId45"/>
          <w:footerReference w:type="first" r:id="rId46"/>
          <w:pgSz w:w="11907" w:h="16840" w:code="9"/>
          <w:pgMar w:top="1418" w:right="1474" w:bottom="1418" w:left="1474" w:header="720" w:footer="567" w:gutter="0"/>
          <w:cols w:space="720"/>
          <w:titlePg/>
          <w:docGrid w:linePitch="360"/>
        </w:sectPr>
      </w:pPr>
    </w:p>
    <w:p w14:paraId="4011E04A" w14:textId="13A4F30C" w:rsidR="006032C3" w:rsidRDefault="006032C3" w:rsidP="0038169A">
      <w:pPr>
        <w:pStyle w:val="Heading3"/>
        <w:spacing w:before="120"/>
      </w:pPr>
      <w:bookmarkStart w:id="43" w:name="_Toc33600551"/>
      <w:r>
        <w:lastRenderedPageBreak/>
        <w:t>Victoria</w:t>
      </w:r>
      <w:bookmarkEnd w:id="43"/>
    </w:p>
    <w:p w14:paraId="2B184F7C" w14:textId="56C4CF0C" w:rsidR="00183EF1" w:rsidRDefault="005C26CC" w:rsidP="00B306F7">
      <w:r w:rsidRPr="005C26CC">
        <w:t xml:space="preserve">Victoria’s fiscal capacity has </w:t>
      </w:r>
      <w:r w:rsidR="00C17A85">
        <w:t>strengthened</w:t>
      </w:r>
      <w:r w:rsidR="00A7124A">
        <w:t xml:space="preserve"> due to</w:t>
      </w:r>
      <w:r w:rsidRPr="005C26CC">
        <w:t xml:space="preserve"> </w:t>
      </w:r>
      <w:r w:rsidR="00A5419D">
        <w:t>reduced investment needs</w:t>
      </w:r>
      <w:r w:rsidR="006479B4">
        <w:t>,</w:t>
      </w:r>
      <w:r w:rsidR="007B45BC">
        <w:t xml:space="preserve"> </w:t>
      </w:r>
      <w:r w:rsidR="00336F98">
        <w:t xml:space="preserve">lower </w:t>
      </w:r>
      <w:r w:rsidR="001B3363">
        <w:t xml:space="preserve">assessed costs of providing urban </w:t>
      </w:r>
      <w:r w:rsidR="00EE0DD8">
        <w:t xml:space="preserve">public </w:t>
      </w:r>
      <w:r w:rsidR="001B3363">
        <w:t>transport</w:t>
      </w:r>
      <w:r w:rsidR="00093AB6">
        <w:t>,</w:t>
      </w:r>
      <w:r w:rsidR="00336F98">
        <w:t xml:space="preserve"> </w:t>
      </w:r>
      <w:r w:rsidR="007B45BC">
        <w:t xml:space="preserve">revisions </w:t>
      </w:r>
      <w:r w:rsidR="008414D9">
        <w:t>to State</w:t>
      </w:r>
      <w:r w:rsidR="00A04DD8">
        <w:t xml:space="preserve"> natural disaster relief expenses</w:t>
      </w:r>
      <w:r w:rsidR="009C390B">
        <w:t>,</w:t>
      </w:r>
      <w:r w:rsidR="00A04DD8">
        <w:t xml:space="preserve"> </w:t>
      </w:r>
      <w:r w:rsidR="00BB3830">
        <w:t xml:space="preserve">and </w:t>
      </w:r>
      <w:r w:rsidR="00196BDD">
        <w:t>above</w:t>
      </w:r>
      <w:r w:rsidR="00BB3830">
        <w:t xml:space="preserve"> average growth in property sales.</w:t>
      </w:r>
      <w:r w:rsidR="004010D9">
        <w:t xml:space="preserve"> </w:t>
      </w:r>
      <w:r w:rsidRPr="005C26CC">
        <w:t xml:space="preserve">These changes were </w:t>
      </w:r>
      <w:r w:rsidR="00792B6F">
        <w:t xml:space="preserve">partly </w:t>
      </w:r>
      <w:r w:rsidRPr="005C26CC">
        <w:t xml:space="preserve">offset by </w:t>
      </w:r>
      <w:r w:rsidR="00CE2E47">
        <w:t xml:space="preserve">a fall in its </w:t>
      </w:r>
      <w:r w:rsidR="006F5A0A">
        <w:t xml:space="preserve">relative </w:t>
      </w:r>
      <w:r w:rsidR="00CE2E47">
        <w:t>capacity to raise mining r</w:t>
      </w:r>
      <w:r w:rsidR="005232EE">
        <w:t>evenue</w:t>
      </w:r>
      <w:r w:rsidR="00BE6AF5">
        <w:t>,</w:t>
      </w:r>
      <w:r w:rsidR="009778F9">
        <w:t xml:space="preserve"> </w:t>
      </w:r>
      <w:r w:rsidR="00134E7D">
        <w:t xml:space="preserve">a </w:t>
      </w:r>
      <w:r w:rsidR="009D68D6">
        <w:t>lower</w:t>
      </w:r>
      <w:r w:rsidRPr="005C26CC">
        <w:t xml:space="preserve"> share of </w:t>
      </w:r>
      <w:r w:rsidR="009D68D6">
        <w:t>Commonwealth payments</w:t>
      </w:r>
      <w:r w:rsidR="00C06C4E">
        <w:t xml:space="preserve"> and</w:t>
      </w:r>
      <w:r w:rsidR="00E85CAB">
        <w:t xml:space="preserve"> downward revision</w:t>
      </w:r>
      <w:r w:rsidR="00832D9D">
        <w:t>s</w:t>
      </w:r>
      <w:r w:rsidR="00E85CAB">
        <w:t xml:space="preserve"> to </w:t>
      </w:r>
      <w:r w:rsidRPr="005C26CC">
        <w:t xml:space="preserve">the </w:t>
      </w:r>
      <w:r w:rsidR="00E85CAB">
        <w:t>value of property sales in earlier years</w:t>
      </w:r>
      <w:r w:rsidRPr="005C26CC">
        <w:t xml:space="preserve">. </w:t>
      </w:r>
      <w:r w:rsidR="005B39AF">
        <w:t xml:space="preserve">Victoria’s </w:t>
      </w:r>
      <w:r w:rsidR="001B7AFC">
        <w:t>increased fiscal capacity</w:t>
      </w:r>
      <w:r w:rsidRPr="005C26CC">
        <w:t xml:space="preserve"> will </w:t>
      </w:r>
      <w:r w:rsidR="001B7AFC">
        <w:t xml:space="preserve">reduce its GST share </w:t>
      </w:r>
      <w:r w:rsidRPr="005C26CC">
        <w:t>from 25.</w:t>
      </w:r>
      <w:r w:rsidR="0001176B">
        <w:t>7</w:t>
      </w:r>
      <w:r w:rsidRPr="005C26CC">
        <w:t>% to 25.</w:t>
      </w:r>
      <w:r w:rsidR="00930FA8">
        <w:t>2</w:t>
      </w:r>
      <w:r w:rsidRPr="005C26CC">
        <w:t>%. Combined with pool growth, its GST entitlement in 2020</w:t>
      </w:r>
      <w:r w:rsidR="0074260D">
        <w:noBreakHyphen/>
        <w:t>21</w:t>
      </w:r>
      <w:r w:rsidRPr="005C26CC">
        <w:t xml:space="preserve"> will rise by $</w:t>
      </w:r>
      <w:r w:rsidR="00BC0DE8">
        <w:t>2</w:t>
      </w:r>
      <w:r w:rsidR="005932A1">
        <w:t>69</w:t>
      </w:r>
      <w:r w:rsidR="000C57C0">
        <w:t> </w:t>
      </w:r>
      <w:r w:rsidRPr="005C26CC">
        <w:t xml:space="preserve">million, or </w:t>
      </w:r>
      <w:r w:rsidR="00D711D2">
        <w:t>1.</w:t>
      </w:r>
      <w:r w:rsidR="0073028E">
        <w:t>6</w:t>
      </w:r>
      <w:r w:rsidRPr="005C26CC">
        <w:t>%</w:t>
      </w:r>
      <w:r w:rsidR="00FC56D5">
        <w:t>.</w:t>
      </w:r>
    </w:p>
    <w:p w14:paraId="1140031E" w14:textId="3088DC6A" w:rsidR="00FC56D5" w:rsidRDefault="00FC56D5" w:rsidP="00965779">
      <w:pPr>
        <w:pStyle w:val="CGCTableHeading"/>
        <w:spacing w:before="120"/>
      </w:pPr>
      <w:r>
        <w:t xml:space="preserve">Table </w:t>
      </w:r>
      <w:r w:rsidR="00D5059E">
        <w:t>3</w:t>
      </w:r>
      <w:r w:rsidR="00D5059E">
        <w:noBreakHyphen/>
      </w:r>
      <w:r>
        <w:fldChar w:fldCharType="begin"/>
      </w:r>
      <w:r>
        <w:instrText>SEQ Table \* ARABIC</w:instrText>
      </w:r>
      <w:r>
        <w:fldChar w:fldCharType="separate"/>
      </w:r>
      <w:r w:rsidR="003D49C2">
        <w:rPr>
          <w:noProof/>
        </w:rPr>
        <w:t>2</w:t>
      </w:r>
      <w:r>
        <w:fldChar w:fldCharType="end"/>
      </w:r>
      <w:r>
        <w:tab/>
      </w:r>
      <w:r w:rsidR="00A37FAC">
        <w:t>Change in illustrative GST distribution since the 2019 Update,</w:t>
      </w:r>
      <w:r w:rsidR="00BB416A">
        <w:t xml:space="preserve"> Victoria</w:t>
      </w:r>
    </w:p>
    <w:tbl>
      <w:tblPr>
        <w:tblW w:w="8902" w:type="dxa"/>
        <w:tblCellMar>
          <w:left w:w="0" w:type="dxa"/>
          <w:right w:w="28" w:type="dxa"/>
        </w:tblCellMar>
        <w:tblLook w:val="04A0" w:firstRow="1" w:lastRow="0" w:firstColumn="1" w:lastColumn="0" w:noHBand="0" w:noVBand="1"/>
      </w:tblPr>
      <w:tblGrid>
        <w:gridCol w:w="4040"/>
        <w:gridCol w:w="2508"/>
        <w:gridCol w:w="2411"/>
      </w:tblGrid>
      <w:tr w:rsidR="001A3CAB" w:rsidRPr="001A3CAB" w14:paraId="7C33C4FA" w14:textId="77777777" w:rsidTr="00500FBE">
        <w:trPr>
          <w:trHeight w:val="258"/>
        </w:trPr>
        <w:tc>
          <w:tcPr>
            <w:tcW w:w="4160" w:type="dxa"/>
            <w:tcBorders>
              <w:top w:val="single" w:sz="4" w:space="0" w:color="ADD6EA"/>
              <w:left w:val="nil"/>
              <w:bottom w:val="single" w:sz="4" w:space="0" w:color="ADD6EA"/>
              <w:right w:val="nil"/>
            </w:tcBorders>
            <w:shd w:val="clear" w:color="000000" w:fill="006991"/>
            <w:noWrap/>
            <w:vAlign w:val="center"/>
            <w:hideMark/>
          </w:tcPr>
          <w:p w14:paraId="19A28290" w14:textId="77777777" w:rsidR="001A3CAB" w:rsidRPr="001A3CAB" w:rsidRDefault="001A3CAB" w:rsidP="001A3C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A3CAB">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noWrap/>
            <w:vAlign w:val="center"/>
            <w:hideMark/>
          </w:tcPr>
          <w:p w14:paraId="0A778DC8" w14:textId="77777777" w:rsidR="001A3CAB" w:rsidRPr="001A3CAB" w:rsidRDefault="001A3CAB" w:rsidP="001A3C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A3CAB">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noWrap/>
            <w:vAlign w:val="center"/>
            <w:hideMark/>
          </w:tcPr>
          <w:p w14:paraId="2786DF5D" w14:textId="77777777" w:rsidR="001A3CAB" w:rsidRPr="001A3CAB" w:rsidRDefault="001A3CAB" w:rsidP="001A3C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A3CAB">
              <w:rPr>
                <w:rFonts w:ascii="Open Sans SemiBold" w:eastAsia="Times New Roman" w:hAnsi="Open Sans SemiBold" w:cs="Open Sans SemiBold"/>
                <w:color w:val="FFFFFF"/>
                <w:sz w:val="16"/>
                <w:szCs w:val="16"/>
                <w:lang w:val="en-AU" w:eastAsia="en-AU"/>
              </w:rPr>
              <w:t>$pc</w:t>
            </w:r>
          </w:p>
        </w:tc>
      </w:tr>
      <w:tr w:rsidR="001A3CAB" w:rsidRPr="001A3CAB" w14:paraId="1DDCEDD6"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6918B4FC" w14:textId="77777777" w:rsidR="001A3CAB" w:rsidRPr="001A3CAB" w:rsidRDefault="001A3CAB" w:rsidP="001A3CAB">
            <w:pPr>
              <w:tabs>
                <w:tab w:val="clear" w:pos="567"/>
              </w:tabs>
              <w:spacing w:before="0" w:line="240" w:lineRule="auto"/>
              <w:rPr>
                <w:rFonts w:eastAsia="Times New Roman" w:cs="Open Sans Light"/>
                <w:sz w:val="16"/>
                <w:szCs w:val="16"/>
                <w:lang w:val="en-AU" w:eastAsia="en-AU"/>
              </w:rPr>
            </w:pPr>
            <w:r w:rsidRPr="001A3CAB">
              <w:rPr>
                <w:rFonts w:eastAsia="Times New Roman" w:cs="Open Sans Light"/>
                <w:sz w:val="16"/>
                <w:szCs w:val="16"/>
                <w:lang w:val="en-AU" w:eastAsia="en-AU"/>
              </w:rPr>
              <w:t>New population</w:t>
            </w:r>
          </w:p>
        </w:tc>
        <w:tc>
          <w:tcPr>
            <w:tcW w:w="2580" w:type="dxa"/>
            <w:tcBorders>
              <w:top w:val="nil"/>
              <w:left w:val="nil"/>
              <w:bottom w:val="single" w:sz="4" w:space="0" w:color="ADD6EA"/>
              <w:right w:val="nil"/>
            </w:tcBorders>
            <w:shd w:val="clear" w:color="auto" w:fill="auto"/>
            <w:noWrap/>
            <w:vAlign w:val="bottom"/>
            <w:hideMark/>
          </w:tcPr>
          <w:p w14:paraId="73E425A6"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111</w:t>
            </w:r>
          </w:p>
        </w:tc>
        <w:tc>
          <w:tcPr>
            <w:tcW w:w="2480" w:type="dxa"/>
            <w:tcBorders>
              <w:top w:val="nil"/>
              <w:left w:val="nil"/>
              <w:bottom w:val="single" w:sz="4" w:space="0" w:color="ADD6EA"/>
              <w:right w:val="nil"/>
            </w:tcBorders>
            <w:shd w:val="clear" w:color="auto" w:fill="auto"/>
            <w:noWrap/>
            <w:vAlign w:val="bottom"/>
            <w:hideMark/>
          </w:tcPr>
          <w:p w14:paraId="1285460C"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16</w:t>
            </w:r>
          </w:p>
        </w:tc>
      </w:tr>
      <w:tr w:rsidR="001A3CAB" w:rsidRPr="001A3CAB" w14:paraId="1B239469"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3F9CFC6A" w14:textId="77777777" w:rsidR="001A3CAB" w:rsidRPr="001A3CAB" w:rsidRDefault="001A3CAB" w:rsidP="001A3CAB">
            <w:pPr>
              <w:tabs>
                <w:tab w:val="clear" w:pos="567"/>
              </w:tabs>
              <w:spacing w:before="0" w:line="240" w:lineRule="auto"/>
              <w:rPr>
                <w:rFonts w:eastAsia="Times New Roman" w:cs="Open Sans Light"/>
                <w:sz w:val="16"/>
                <w:szCs w:val="16"/>
                <w:lang w:val="en-AU" w:eastAsia="en-AU"/>
              </w:rPr>
            </w:pPr>
            <w:r w:rsidRPr="001A3CAB">
              <w:rPr>
                <w:rFonts w:eastAsia="Times New Roman" w:cs="Open Sans Light"/>
                <w:sz w:val="16"/>
                <w:szCs w:val="16"/>
                <w:lang w:val="en-AU" w:eastAsia="en-AU"/>
              </w:rPr>
              <w:t>Growth in GST available</w:t>
            </w:r>
          </w:p>
        </w:tc>
        <w:tc>
          <w:tcPr>
            <w:tcW w:w="2580" w:type="dxa"/>
            <w:tcBorders>
              <w:top w:val="nil"/>
              <w:left w:val="nil"/>
              <w:bottom w:val="single" w:sz="4" w:space="0" w:color="ADD6EA"/>
              <w:right w:val="nil"/>
            </w:tcBorders>
            <w:shd w:val="clear" w:color="auto" w:fill="auto"/>
            <w:noWrap/>
            <w:vAlign w:val="bottom"/>
            <w:hideMark/>
          </w:tcPr>
          <w:p w14:paraId="048C47E7"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569</w:t>
            </w:r>
          </w:p>
        </w:tc>
        <w:tc>
          <w:tcPr>
            <w:tcW w:w="2480" w:type="dxa"/>
            <w:tcBorders>
              <w:top w:val="nil"/>
              <w:left w:val="nil"/>
              <w:bottom w:val="single" w:sz="4" w:space="0" w:color="ADD6EA"/>
              <w:right w:val="nil"/>
            </w:tcBorders>
            <w:shd w:val="clear" w:color="auto" w:fill="auto"/>
            <w:noWrap/>
            <w:vAlign w:val="bottom"/>
            <w:hideMark/>
          </w:tcPr>
          <w:p w14:paraId="14AF10C8"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83</w:t>
            </w:r>
          </w:p>
        </w:tc>
      </w:tr>
      <w:tr w:rsidR="001A3CAB" w:rsidRPr="001A3CAB" w14:paraId="380EE803"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3F014C1F" w14:textId="77777777" w:rsidR="001A3CAB" w:rsidRPr="001A3CAB" w:rsidRDefault="001A3CAB" w:rsidP="001A3CAB">
            <w:pPr>
              <w:tabs>
                <w:tab w:val="clear" w:pos="567"/>
              </w:tabs>
              <w:spacing w:before="0" w:line="240" w:lineRule="auto"/>
              <w:rPr>
                <w:rFonts w:eastAsia="Times New Roman" w:cs="Open Sans Light"/>
                <w:sz w:val="16"/>
                <w:szCs w:val="16"/>
                <w:lang w:val="en-AU" w:eastAsia="en-AU"/>
              </w:rPr>
            </w:pPr>
            <w:r w:rsidRPr="001A3CAB">
              <w:rPr>
                <w:rFonts w:eastAsia="Times New Roman" w:cs="Open Sans Light"/>
                <w:sz w:val="16"/>
                <w:szCs w:val="16"/>
                <w:lang w:val="en-AU" w:eastAsia="en-AU"/>
              </w:rPr>
              <w:t>Changes in relative fiscal capacity</w:t>
            </w:r>
          </w:p>
        </w:tc>
        <w:tc>
          <w:tcPr>
            <w:tcW w:w="2580" w:type="dxa"/>
            <w:tcBorders>
              <w:top w:val="nil"/>
              <w:left w:val="nil"/>
              <w:bottom w:val="single" w:sz="4" w:space="0" w:color="ADD6EA"/>
              <w:right w:val="nil"/>
            </w:tcBorders>
            <w:shd w:val="clear" w:color="auto" w:fill="auto"/>
            <w:noWrap/>
            <w:vAlign w:val="bottom"/>
            <w:hideMark/>
          </w:tcPr>
          <w:p w14:paraId="2FD22225"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-410</w:t>
            </w:r>
          </w:p>
        </w:tc>
        <w:tc>
          <w:tcPr>
            <w:tcW w:w="2480" w:type="dxa"/>
            <w:tcBorders>
              <w:top w:val="nil"/>
              <w:left w:val="nil"/>
              <w:bottom w:val="single" w:sz="4" w:space="0" w:color="ADD6EA"/>
              <w:right w:val="nil"/>
            </w:tcBorders>
            <w:shd w:val="clear" w:color="auto" w:fill="auto"/>
            <w:noWrap/>
            <w:vAlign w:val="bottom"/>
            <w:hideMark/>
          </w:tcPr>
          <w:p w14:paraId="2B74B9F6"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-60</w:t>
            </w:r>
          </w:p>
        </w:tc>
      </w:tr>
      <w:tr w:rsidR="001A3CAB" w:rsidRPr="001A3CAB" w14:paraId="0B7D5C4F"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2EE7862B" w14:textId="77777777" w:rsidR="001A3CAB" w:rsidRPr="001A3CAB" w:rsidRDefault="001A3CAB" w:rsidP="001A3CAB">
            <w:pPr>
              <w:tabs>
                <w:tab w:val="clear" w:pos="567"/>
              </w:tabs>
              <w:spacing w:before="0" w:line="240" w:lineRule="auto"/>
              <w:ind w:firstLineChars="100" w:firstLine="160"/>
              <w:rPr>
                <w:rFonts w:eastAsia="Times New Roman" w:cs="Open Sans Light"/>
                <w:sz w:val="16"/>
                <w:szCs w:val="16"/>
                <w:lang w:val="en-AU" w:eastAsia="en-AU"/>
              </w:rPr>
            </w:pPr>
            <w:r w:rsidRPr="001A3CAB">
              <w:rPr>
                <w:rFonts w:eastAsia="Times New Roman" w:cs="Open Sans Light"/>
                <w:sz w:val="16"/>
                <w:szCs w:val="16"/>
                <w:lang w:val="en-AU" w:eastAsia="en-AU"/>
              </w:rPr>
              <w:t>Method changes</w:t>
            </w:r>
          </w:p>
        </w:tc>
        <w:tc>
          <w:tcPr>
            <w:tcW w:w="2580" w:type="dxa"/>
            <w:tcBorders>
              <w:top w:val="nil"/>
              <w:left w:val="nil"/>
              <w:bottom w:val="single" w:sz="4" w:space="0" w:color="ADD6EA"/>
              <w:right w:val="nil"/>
            </w:tcBorders>
            <w:shd w:val="clear" w:color="auto" w:fill="auto"/>
            <w:noWrap/>
            <w:vAlign w:val="bottom"/>
            <w:hideMark/>
          </w:tcPr>
          <w:p w14:paraId="0312F99D"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-802</w:t>
            </w:r>
          </w:p>
        </w:tc>
        <w:tc>
          <w:tcPr>
            <w:tcW w:w="2480" w:type="dxa"/>
            <w:tcBorders>
              <w:top w:val="nil"/>
              <w:left w:val="nil"/>
              <w:bottom w:val="single" w:sz="4" w:space="0" w:color="ADD6EA"/>
              <w:right w:val="nil"/>
            </w:tcBorders>
            <w:shd w:val="clear" w:color="auto" w:fill="auto"/>
            <w:noWrap/>
            <w:vAlign w:val="bottom"/>
            <w:hideMark/>
          </w:tcPr>
          <w:p w14:paraId="09FEB549"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-117</w:t>
            </w:r>
          </w:p>
        </w:tc>
      </w:tr>
      <w:tr w:rsidR="001A3CAB" w:rsidRPr="001A3CAB" w14:paraId="1FEFC54A"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634B024D" w14:textId="77777777" w:rsidR="001A3CAB" w:rsidRPr="001A3CAB" w:rsidRDefault="001A3CAB" w:rsidP="001A3CAB">
            <w:pPr>
              <w:tabs>
                <w:tab w:val="clear" w:pos="567"/>
              </w:tabs>
              <w:spacing w:before="0" w:line="240" w:lineRule="auto"/>
              <w:ind w:firstLineChars="100" w:firstLine="160"/>
              <w:rPr>
                <w:rFonts w:eastAsia="Times New Roman" w:cs="Open Sans Light"/>
                <w:sz w:val="16"/>
                <w:szCs w:val="16"/>
                <w:lang w:val="en-AU" w:eastAsia="en-AU"/>
              </w:rPr>
            </w:pPr>
            <w:r w:rsidRPr="001A3CAB">
              <w:rPr>
                <w:rFonts w:eastAsia="Times New Roman" w:cs="Open Sans Light"/>
                <w:sz w:val="16"/>
                <w:szCs w:val="16"/>
                <w:lang w:val="en-AU" w:eastAsia="en-AU"/>
              </w:rPr>
              <w:t>Data revisions</w:t>
            </w:r>
          </w:p>
        </w:tc>
        <w:tc>
          <w:tcPr>
            <w:tcW w:w="2580" w:type="dxa"/>
            <w:tcBorders>
              <w:top w:val="nil"/>
              <w:left w:val="nil"/>
              <w:bottom w:val="single" w:sz="4" w:space="0" w:color="ADD6EA"/>
              <w:right w:val="nil"/>
            </w:tcBorders>
            <w:shd w:val="clear" w:color="auto" w:fill="auto"/>
            <w:noWrap/>
            <w:vAlign w:val="bottom"/>
            <w:hideMark/>
          </w:tcPr>
          <w:p w14:paraId="4FA43D16"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113</w:t>
            </w:r>
          </w:p>
        </w:tc>
        <w:tc>
          <w:tcPr>
            <w:tcW w:w="2480" w:type="dxa"/>
            <w:tcBorders>
              <w:top w:val="nil"/>
              <w:left w:val="nil"/>
              <w:bottom w:val="single" w:sz="4" w:space="0" w:color="ADD6EA"/>
              <w:right w:val="nil"/>
            </w:tcBorders>
            <w:shd w:val="clear" w:color="auto" w:fill="auto"/>
            <w:noWrap/>
            <w:vAlign w:val="bottom"/>
            <w:hideMark/>
          </w:tcPr>
          <w:p w14:paraId="6AC84444"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16</w:t>
            </w:r>
          </w:p>
        </w:tc>
      </w:tr>
      <w:tr w:rsidR="001A3CAB" w:rsidRPr="001A3CAB" w14:paraId="1F70D298"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4C70609A" w14:textId="77777777" w:rsidR="001A3CAB" w:rsidRPr="001A3CAB" w:rsidRDefault="001A3CAB" w:rsidP="001A3CAB">
            <w:pPr>
              <w:tabs>
                <w:tab w:val="clear" w:pos="567"/>
              </w:tabs>
              <w:spacing w:before="0" w:line="240" w:lineRule="auto"/>
              <w:ind w:firstLineChars="100" w:firstLine="160"/>
              <w:rPr>
                <w:rFonts w:eastAsia="Times New Roman" w:cs="Open Sans Light"/>
                <w:sz w:val="16"/>
                <w:szCs w:val="16"/>
                <w:lang w:val="en-AU" w:eastAsia="en-AU"/>
              </w:rPr>
            </w:pPr>
            <w:r w:rsidRPr="001A3CAB">
              <w:rPr>
                <w:rFonts w:eastAsia="Times New Roman" w:cs="Open Sans Light"/>
                <w:sz w:val="16"/>
                <w:szCs w:val="16"/>
                <w:lang w:val="en-AU" w:eastAsia="en-AU"/>
              </w:rPr>
              <w:t>State circumstances</w:t>
            </w:r>
          </w:p>
        </w:tc>
        <w:tc>
          <w:tcPr>
            <w:tcW w:w="2580" w:type="dxa"/>
            <w:tcBorders>
              <w:top w:val="nil"/>
              <w:left w:val="nil"/>
              <w:bottom w:val="single" w:sz="4" w:space="0" w:color="ADD6EA"/>
              <w:right w:val="nil"/>
            </w:tcBorders>
            <w:shd w:val="clear" w:color="auto" w:fill="auto"/>
            <w:noWrap/>
            <w:vAlign w:val="bottom"/>
            <w:hideMark/>
          </w:tcPr>
          <w:p w14:paraId="0E36E10B"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279</w:t>
            </w:r>
          </w:p>
        </w:tc>
        <w:tc>
          <w:tcPr>
            <w:tcW w:w="2480" w:type="dxa"/>
            <w:tcBorders>
              <w:top w:val="nil"/>
              <w:left w:val="nil"/>
              <w:bottom w:val="single" w:sz="4" w:space="0" w:color="ADD6EA"/>
              <w:right w:val="nil"/>
            </w:tcBorders>
            <w:shd w:val="clear" w:color="auto" w:fill="auto"/>
            <w:noWrap/>
            <w:vAlign w:val="bottom"/>
            <w:hideMark/>
          </w:tcPr>
          <w:p w14:paraId="6A642874" w14:textId="77777777" w:rsidR="001A3CAB" w:rsidRPr="001A3CAB" w:rsidRDefault="001A3CAB" w:rsidP="001A3CAB">
            <w:pPr>
              <w:tabs>
                <w:tab w:val="clear" w:pos="567"/>
              </w:tabs>
              <w:spacing w:before="0" w:line="240" w:lineRule="auto"/>
              <w:jc w:val="right"/>
              <w:rPr>
                <w:rFonts w:eastAsia="Times New Roman" w:cs="Open Sans Light"/>
                <w:sz w:val="16"/>
                <w:szCs w:val="16"/>
                <w:lang w:val="en-AU" w:eastAsia="en-AU"/>
              </w:rPr>
            </w:pPr>
            <w:r w:rsidRPr="001A3CAB">
              <w:rPr>
                <w:rFonts w:eastAsia="Times New Roman" w:cs="Open Sans Light"/>
                <w:sz w:val="16"/>
                <w:szCs w:val="16"/>
                <w:lang w:val="en-AU" w:eastAsia="en-AU"/>
              </w:rPr>
              <w:t>41</w:t>
            </w:r>
          </w:p>
        </w:tc>
      </w:tr>
      <w:tr w:rsidR="001A3CAB" w:rsidRPr="001A3CAB" w14:paraId="3BA25892" w14:textId="77777777" w:rsidTr="00500FBE">
        <w:trPr>
          <w:trHeight w:val="315"/>
        </w:trPr>
        <w:tc>
          <w:tcPr>
            <w:tcW w:w="4160" w:type="dxa"/>
            <w:tcBorders>
              <w:top w:val="nil"/>
              <w:left w:val="nil"/>
              <w:bottom w:val="single" w:sz="4" w:space="0" w:color="ADD6EA"/>
              <w:right w:val="nil"/>
            </w:tcBorders>
            <w:shd w:val="clear" w:color="000000" w:fill="D6E7F0"/>
            <w:noWrap/>
            <w:vAlign w:val="bottom"/>
            <w:hideMark/>
          </w:tcPr>
          <w:p w14:paraId="464BCCA3" w14:textId="77777777" w:rsidR="001A3CAB" w:rsidRPr="001A3CAB" w:rsidRDefault="001A3CAB" w:rsidP="001A3CA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1A3CAB">
              <w:rPr>
                <w:rFonts w:ascii="Open Sans SemiBold" w:eastAsia="Times New Roman" w:hAnsi="Open Sans SemiBold" w:cs="Open Sans SemiBold"/>
                <w:color w:val="000000"/>
                <w:sz w:val="16"/>
                <w:szCs w:val="16"/>
                <w:lang w:val="en-AU" w:eastAsia="en-AU"/>
              </w:rPr>
              <w:t>Total change</w:t>
            </w:r>
          </w:p>
        </w:tc>
        <w:tc>
          <w:tcPr>
            <w:tcW w:w="2580" w:type="dxa"/>
            <w:tcBorders>
              <w:top w:val="nil"/>
              <w:left w:val="nil"/>
              <w:bottom w:val="single" w:sz="4" w:space="0" w:color="ADD6EA"/>
              <w:right w:val="nil"/>
            </w:tcBorders>
            <w:shd w:val="clear" w:color="000000" w:fill="D6E7F0"/>
            <w:noWrap/>
            <w:vAlign w:val="bottom"/>
            <w:hideMark/>
          </w:tcPr>
          <w:p w14:paraId="64F664A0" w14:textId="77777777" w:rsidR="001A3CAB" w:rsidRPr="001A3CAB" w:rsidRDefault="001A3CAB" w:rsidP="001A3C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1A3CAB">
              <w:rPr>
                <w:rFonts w:ascii="Open Sans SemiBold" w:eastAsia="Times New Roman" w:hAnsi="Open Sans SemiBold" w:cs="Open Sans SemiBold"/>
                <w:color w:val="000000"/>
                <w:sz w:val="16"/>
                <w:szCs w:val="16"/>
                <w:lang w:val="en-AU" w:eastAsia="en-AU"/>
              </w:rPr>
              <w:t>269</w:t>
            </w:r>
          </w:p>
        </w:tc>
        <w:tc>
          <w:tcPr>
            <w:tcW w:w="2480" w:type="dxa"/>
            <w:tcBorders>
              <w:top w:val="nil"/>
              <w:left w:val="nil"/>
              <w:bottom w:val="single" w:sz="4" w:space="0" w:color="ADD6EA"/>
              <w:right w:val="nil"/>
            </w:tcBorders>
            <w:shd w:val="clear" w:color="000000" w:fill="D6E7F0"/>
            <w:noWrap/>
            <w:vAlign w:val="bottom"/>
            <w:hideMark/>
          </w:tcPr>
          <w:p w14:paraId="5B7F3F0A" w14:textId="77777777" w:rsidR="001A3CAB" w:rsidRPr="001A3CAB" w:rsidRDefault="001A3CAB" w:rsidP="001A3C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1A3CAB">
              <w:rPr>
                <w:rFonts w:ascii="Open Sans SemiBold" w:eastAsia="Times New Roman" w:hAnsi="Open Sans SemiBold" w:cs="Open Sans SemiBold"/>
                <w:color w:val="000000"/>
                <w:sz w:val="16"/>
                <w:szCs w:val="16"/>
                <w:lang w:val="en-AU" w:eastAsia="en-AU"/>
              </w:rPr>
              <w:t>39</w:t>
            </w:r>
          </w:p>
        </w:tc>
      </w:tr>
    </w:tbl>
    <w:p w14:paraId="66F8B00F" w14:textId="14718610" w:rsidR="00FC56D5" w:rsidRDefault="00FC56D5" w:rsidP="00FC56D5">
      <w:pPr>
        <w:pStyle w:val="CGCTablenote"/>
      </w:pPr>
      <w:r>
        <w:t>Note</w:t>
      </w:r>
      <w:r w:rsidR="00D90FF0">
        <w:t>:</w:t>
      </w:r>
      <w:r>
        <w:tab/>
        <w:t>Table may not add due to rounding.</w:t>
      </w:r>
    </w:p>
    <w:p w14:paraId="0244DC6F" w14:textId="4E47A550" w:rsidR="00FC56D5" w:rsidRDefault="00FC56D5" w:rsidP="00FC56D5">
      <w:pPr>
        <w:pStyle w:val="CGCTablenote"/>
      </w:pPr>
      <w:r>
        <w:t>Source:</w:t>
      </w:r>
      <w:r>
        <w:tab/>
      </w:r>
      <w:r w:rsidR="005438E4">
        <w:t>Commission calculation.</w:t>
      </w:r>
    </w:p>
    <w:p w14:paraId="6087B46C" w14:textId="56B32C20" w:rsidR="00AC018D" w:rsidRDefault="00AC018D" w:rsidP="00965779">
      <w:pPr>
        <w:pStyle w:val="Caption"/>
        <w:spacing w:before="120"/>
      </w:pPr>
      <w:r>
        <w:t xml:space="preserve">Figure </w:t>
      </w:r>
      <w:r w:rsidR="00D5059E">
        <w:t>3</w:t>
      </w:r>
      <w:r w:rsidR="00D5059E">
        <w:noBreakHyphen/>
      </w:r>
      <w:r>
        <w:fldChar w:fldCharType="begin"/>
      </w:r>
      <w:r>
        <w:instrText>SEQ Figure \* ARABIC</w:instrText>
      </w:r>
      <w:r>
        <w:fldChar w:fldCharType="separate"/>
      </w:r>
      <w:r w:rsidR="003D49C2">
        <w:rPr>
          <w:noProof/>
        </w:rPr>
        <w:t>3</w:t>
      </w:r>
      <w:r>
        <w:fldChar w:fldCharType="end"/>
      </w:r>
      <w:r>
        <w:tab/>
        <w:t>Main changes for Victoria, 2020 Review</w:t>
      </w:r>
    </w:p>
    <w:p w14:paraId="19EAE87B" w14:textId="078B3FA1" w:rsidR="00AC018D" w:rsidRDefault="00995933" w:rsidP="000D4468">
      <w:r>
        <w:rPr>
          <w:noProof/>
        </w:rPr>
        <w:drawing>
          <wp:inline distT="0" distB="0" distL="0" distR="0" wp14:anchorId="2190E7F4" wp14:editId="4F230EA7">
            <wp:extent cx="5663565" cy="4090670"/>
            <wp:effectExtent l="0" t="0" r="0" b="5080"/>
            <wp:docPr id="47" name="Picture 47" descr="-$485m Investment. -$261m Transport. -$207 Natural disaster relief. $205m Property sales. $509m Mining production. $209m Commonwealth payments. -$179m Property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3565" cy="4090670"/>
                    </a:xfrm>
                    <a:prstGeom prst="rect">
                      <a:avLst/>
                    </a:prstGeom>
                    <a:noFill/>
                  </pic:spPr>
                </pic:pic>
              </a:graphicData>
            </a:graphic>
          </wp:inline>
        </w:drawing>
      </w:r>
    </w:p>
    <w:p w14:paraId="2AB5D333" w14:textId="0F0B437F" w:rsidR="00AC018D" w:rsidRDefault="00AD212F" w:rsidP="005432F8">
      <w:pPr>
        <w:pStyle w:val="CGCTablenote"/>
        <w:ind w:left="0" w:firstLine="0"/>
      </w:pPr>
      <w:r>
        <w:t>Source:</w:t>
      </w:r>
      <w:r>
        <w:tab/>
        <w:t>Commission calculation</w:t>
      </w:r>
      <w:r w:rsidR="00071A56">
        <w:t>.</w:t>
      </w:r>
    </w:p>
    <w:p w14:paraId="7CEA0FBE" w14:textId="2DCD4958" w:rsidR="00AD212F" w:rsidRPr="00AD212F" w:rsidRDefault="00AD212F" w:rsidP="00AD212F">
      <w:pPr>
        <w:pStyle w:val="CGCTablenote"/>
        <w:sectPr w:rsidR="00AD212F" w:rsidRPr="00AD212F" w:rsidSect="00E22AA8">
          <w:pgSz w:w="11907" w:h="16840" w:code="9"/>
          <w:pgMar w:top="1418" w:right="1474" w:bottom="1418" w:left="1474" w:header="720" w:footer="567" w:gutter="0"/>
          <w:cols w:space="720"/>
          <w:titlePg/>
          <w:docGrid w:linePitch="360"/>
        </w:sectPr>
      </w:pPr>
    </w:p>
    <w:p w14:paraId="5A769498" w14:textId="43FE2E2F" w:rsidR="006032C3" w:rsidRDefault="006032C3" w:rsidP="0038169A">
      <w:pPr>
        <w:pStyle w:val="Heading3"/>
        <w:spacing w:before="120"/>
      </w:pPr>
      <w:bookmarkStart w:id="44" w:name="_Toc33600552"/>
      <w:r>
        <w:lastRenderedPageBreak/>
        <w:t>Queensland</w:t>
      </w:r>
      <w:bookmarkEnd w:id="44"/>
    </w:p>
    <w:p w14:paraId="74CBFBE4" w14:textId="2C0D2642" w:rsidR="00183EF1" w:rsidRDefault="002959A4" w:rsidP="00B306F7">
      <w:r w:rsidRPr="002959A4">
        <w:t xml:space="preserve">Queensland’s fiscal capacity has </w:t>
      </w:r>
      <w:r w:rsidR="00AB0578">
        <w:t>strengthened</w:t>
      </w:r>
      <w:r w:rsidR="00AE523A">
        <w:t xml:space="preserve"> due to</w:t>
      </w:r>
      <w:r w:rsidR="00567D0B">
        <w:t xml:space="preserve"> </w:t>
      </w:r>
      <w:r w:rsidR="00767D6A" w:rsidRPr="002959A4">
        <w:t xml:space="preserve">an increase </w:t>
      </w:r>
      <w:r w:rsidR="00534784">
        <w:t>in its capacity to raise coal</w:t>
      </w:r>
      <w:r w:rsidR="00534784" w:rsidRPr="00F91C34">
        <w:t xml:space="preserve"> royalties</w:t>
      </w:r>
      <w:r w:rsidR="00767D6A">
        <w:t xml:space="preserve">, </w:t>
      </w:r>
      <w:r w:rsidR="00636878">
        <w:t xml:space="preserve">lower assessed costs of providing </w:t>
      </w:r>
      <w:r w:rsidR="00153257">
        <w:t>urban</w:t>
      </w:r>
      <w:r w:rsidR="00636878">
        <w:t xml:space="preserve"> </w:t>
      </w:r>
      <w:r w:rsidR="00767D6A">
        <w:t>public</w:t>
      </w:r>
      <w:r w:rsidR="00636878">
        <w:t xml:space="preserve"> transport services and</w:t>
      </w:r>
      <w:r w:rsidR="00636878" w:rsidRPr="002959A4">
        <w:t xml:space="preserve"> a greater share of Commonwealth payments</w:t>
      </w:r>
      <w:r w:rsidR="00927E75">
        <w:t>. These</w:t>
      </w:r>
      <w:r w:rsidR="00C10073">
        <w:t xml:space="preserve"> </w:t>
      </w:r>
      <w:r w:rsidR="00BF190E">
        <w:t>changes were partly offset by</w:t>
      </w:r>
      <w:r w:rsidR="00C10073">
        <w:t xml:space="preserve"> </w:t>
      </w:r>
      <w:r w:rsidR="004C2BB8">
        <w:t>revisions to State</w:t>
      </w:r>
      <w:r w:rsidR="00567D0B">
        <w:t xml:space="preserve"> natural disaster relief expenses</w:t>
      </w:r>
      <w:r w:rsidR="009B630F">
        <w:t>,</w:t>
      </w:r>
      <w:r w:rsidR="00DE6C20">
        <w:t xml:space="preserve"> </w:t>
      </w:r>
      <w:r w:rsidR="00BA52C3">
        <w:t xml:space="preserve">an increase in assessed </w:t>
      </w:r>
      <w:r w:rsidR="00C75DFB">
        <w:t xml:space="preserve">rural road </w:t>
      </w:r>
      <w:r w:rsidR="00DE6C20">
        <w:t>investment</w:t>
      </w:r>
      <w:r w:rsidR="00D77329">
        <w:t xml:space="preserve">, </w:t>
      </w:r>
      <w:r w:rsidR="00B3757A">
        <w:t>a</w:t>
      </w:r>
      <w:r w:rsidR="005406D7">
        <w:t>nd changes to the scope of the stamp duty assessment</w:t>
      </w:r>
      <w:r w:rsidR="00B3757A">
        <w:t>.</w:t>
      </w:r>
      <w:r w:rsidR="00614730">
        <w:t xml:space="preserve"> </w:t>
      </w:r>
      <w:r w:rsidRPr="002959A4">
        <w:t>Compared with 201</w:t>
      </w:r>
      <w:r w:rsidR="00C36D2F">
        <w:t>9</w:t>
      </w:r>
      <w:r w:rsidR="00C36D2F">
        <w:noBreakHyphen/>
        <w:t>20</w:t>
      </w:r>
      <w:r w:rsidRPr="002959A4">
        <w:t xml:space="preserve">, the State’s GST share will </w:t>
      </w:r>
      <w:r w:rsidR="00BA6B32">
        <w:t>fall</w:t>
      </w:r>
      <w:r w:rsidR="00D61343">
        <w:t xml:space="preserve"> </w:t>
      </w:r>
      <w:r w:rsidR="00815DC8">
        <w:t xml:space="preserve">slightly </w:t>
      </w:r>
      <w:r w:rsidRPr="002959A4">
        <w:t>from 2</w:t>
      </w:r>
      <w:r w:rsidR="00EC5D9E">
        <w:t>1</w:t>
      </w:r>
      <w:r w:rsidRPr="002959A4">
        <w:t>.</w:t>
      </w:r>
      <w:r w:rsidR="00EC5D9E">
        <w:t>2</w:t>
      </w:r>
      <w:r w:rsidRPr="002959A4">
        <w:t>% to 21.</w:t>
      </w:r>
      <w:r w:rsidR="00961DF9">
        <w:t>1</w:t>
      </w:r>
      <w:r w:rsidRPr="002959A4">
        <w:t xml:space="preserve">%. </w:t>
      </w:r>
      <w:r w:rsidR="00AD244F" w:rsidRPr="00896666">
        <w:t>Combined with pool growth, its GST entitlement in 2020</w:t>
      </w:r>
      <w:r w:rsidR="00AD244F">
        <w:noBreakHyphen/>
        <w:t>21</w:t>
      </w:r>
      <w:r w:rsidR="00AD244F" w:rsidRPr="00896666">
        <w:t xml:space="preserve"> will rise by $</w:t>
      </w:r>
      <w:r w:rsidR="00F551A2">
        <w:t>41</w:t>
      </w:r>
      <w:r w:rsidR="005932A1">
        <w:t>8</w:t>
      </w:r>
      <w:r w:rsidR="00A072E5">
        <w:t> </w:t>
      </w:r>
      <w:r w:rsidR="00AD244F" w:rsidRPr="00896666">
        <w:t xml:space="preserve">million, or </w:t>
      </w:r>
      <w:r w:rsidR="004F5858">
        <w:t>3</w:t>
      </w:r>
      <w:r w:rsidR="00AD244F" w:rsidRPr="00896666">
        <w:t>.</w:t>
      </w:r>
      <w:r w:rsidR="004F5858">
        <w:t>0</w:t>
      </w:r>
      <w:r w:rsidR="00AD244F" w:rsidRPr="00896666">
        <w:t>%.</w:t>
      </w:r>
    </w:p>
    <w:p w14:paraId="57AA577E" w14:textId="0CC3946C" w:rsidR="00FC56D5" w:rsidRDefault="00FC56D5" w:rsidP="00965779">
      <w:pPr>
        <w:pStyle w:val="CGCTableHeading"/>
        <w:spacing w:before="120"/>
      </w:pPr>
      <w:r>
        <w:t xml:space="preserve">Table </w:t>
      </w:r>
      <w:r w:rsidR="00D5059E">
        <w:t>3</w:t>
      </w:r>
      <w:r w:rsidR="00D5059E">
        <w:noBreakHyphen/>
      </w:r>
      <w:r>
        <w:fldChar w:fldCharType="begin"/>
      </w:r>
      <w:r>
        <w:instrText>SEQ Table \* ARABIC</w:instrText>
      </w:r>
      <w:r>
        <w:fldChar w:fldCharType="separate"/>
      </w:r>
      <w:r w:rsidR="003D49C2">
        <w:rPr>
          <w:noProof/>
        </w:rPr>
        <w:t>3</w:t>
      </w:r>
      <w:r>
        <w:fldChar w:fldCharType="end"/>
      </w:r>
      <w:r>
        <w:tab/>
      </w:r>
      <w:r w:rsidR="00A37FAC">
        <w:t>Change in illustrative GST distribution since the 2019 Update, Queensland</w:t>
      </w:r>
    </w:p>
    <w:tbl>
      <w:tblPr>
        <w:tblW w:w="8940" w:type="dxa"/>
        <w:tblCellMar>
          <w:left w:w="0" w:type="dxa"/>
          <w:right w:w="28" w:type="dxa"/>
        </w:tblCellMar>
        <w:tblLook w:val="04A0" w:firstRow="1" w:lastRow="0" w:firstColumn="1" w:lastColumn="0" w:noHBand="0" w:noVBand="1"/>
      </w:tblPr>
      <w:tblGrid>
        <w:gridCol w:w="4045"/>
        <w:gridCol w:w="2507"/>
        <w:gridCol w:w="2407"/>
      </w:tblGrid>
      <w:tr w:rsidR="0081079E" w:rsidRPr="000D3EB3" w14:paraId="6EC18DBC" w14:textId="77777777" w:rsidTr="00500FBE">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56B2BAC7" w14:textId="77777777" w:rsidR="0081079E" w:rsidRPr="0081079E" w:rsidRDefault="0081079E" w:rsidP="0081079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1079E">
              <w:rPr>
                <w:rFonts w:ascii="Open Sans SemiBold" w:eastAsia="Times New Roman" w:hAnsi="Open Sans SemiBold" w:cs="Open Sans SemiBold"/>
                <w:color w:val="FFFFFF"/>
                <w:sz w:val="16"/>
                <w:szCs w:val="16"/>
                <w:lang w:val="en-AU"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21B4580F" w14:textId="77777777" w:rsidR="0081079E" w:rsidRPr="0081079E" w:rsidRDefault="0081079E" w:rsidP="0081079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1079E">
              <w:rPr>
                <w:rFonts w:ascii="Open Sans SemiBold" w:eastAsia="Times New Roman" w:hAnsi="Open Sans SemiBold" w:cs="Open Sans SemiBold"/>
                <w:color w:val="FFFFFF"/>
                <w:sz w:val="16"/>
                <w:szCs w:val="16"/>
                <w:lang w:val="en-AU"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1EA30347" w14:textId="77777777" w:rsidR="0081079E" w:rsidRPr="0081079E" w:rsidRDefault="0081079E" w:rsidP="0081079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81079E">
              <w:rPr>
                <w:rFonts w:ascii="Open Sans SemiBold" w:eastAsia="Times New Roman" w:hAnsi="Open Sans SemiBold" w:cs="Open Sans SemiBold"/>
                <w:color w:val="FFFFFF"/>
                <w:sz w:val="16"/>
                <w:szCs w:val="16"/>
                <w:lang w:val="en-AU" w:eastAsia="en-AU"/>
              </w:rPr>
              <w:t>$pc</w:t>
            </w:r>
          </w:p>
        </w:tc>
      </w:tr>
      <w:tr w:rsidR="0081079E" w:rsidRPr="000D3EB3" w14:paraId="7F2B42C9"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1267686D" w14:textId="77777777" w:rsidR="0081079E" w:rsidRPr="0081079E" w:rsidRDefault="0081079E" w:rsidP="0081079E">
            <w:pPr>
              <w:tabs>
                <w:tab w:val="clear" w:pos="567"/>
              </w:tabs>
              <w:spacing w:before="0" w:line="240" w:lineRule="auto"/>
              <w:rPr>
                <w:rFonts w:eastAsia="Times New Roman" w:cs="Open Sans Light"/>
                <w:sz w:val="16"/>
                <w:szCs w:val="16"/>
                <w:lang w:val="en-AU" w:eastAsia="en-AU"/>
              </w:rPr>
            </w:pPr>
            <w:r w:rsidRPr="0081079E">
              <w:rPr>
                <w:rFonts w:eastAsia="Times New Roman" w:cs="Open Sans Light"/>
                <w:sz w:val="16"/>
                <w:szCs w:val="16"/>
                <w:lang w:val="en-AU" w:eastAsia="en-AU"/>
              </w:rPr>
              <w:t>New population</w:t>
            </w:r>
          </w:p>
        </w:tc>
        <w:tc>
          <w:tcPr>
            <w:tcW w:w="2500" w:type="dxa"/>
            <w:tcBorders>
              <w:top w:val="nil"/>
              <w:left w:val="nil"/>
              <w:bottom w:val="single" w:sz="4" w:space="0" w:color="ADD6EA"/>
              <w:right w:val="nil"/>
            </w:tcBorders>
            <w:shd w:val="clear" w:color="auto" w:fill="auto"/>
            <w:noWrap/>
            <w:vAlign w:val="bottom"/>
            <w:hideMark/>
          </w:tcPr>
          <w:p w14:paraId="241DCC48"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18</w:t>
            </w:r>
          </w:p>
        </w:tc>
        <w:tc>
          <w:tcPr>
            <w:tcW w:w="2400" w:type="dxa"/>
            <w:tcBorders>
              <w:top w:val="nil"/>
              <w:left w:val="nil"/>
              <w:bottom w:val="single" w:sz="4" w:space="0" w:color="ADD6EA"/>
              <w:right w:val="nil"/>
            </w:tcBorders>
            <w:shd w:val="clear" w:color="auto" w:fill="auto"/>
            <w:noWrap/>
            <w:vAlign w:val="bottom"/>
            <w:hideMark/>
          </w:tcPr>
          <w:p w14:paraId="26329FDA"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3</w:t>
            </w:r>
          </w:p>
        </w:tc>
      </w:tr>
      <w:tr w:rsidR="0081079E" w:rsidRPr="000D3EB3" w14:paraId="6A4AD937"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39AE1BFF" w14:textId="77777777" w:rsidR="0081079E" w:rsidRPr="0081079E" w:rsidRDefault="0081079E" w:rsidP="0081079E">
            <w:pPr>
              <w:tabs>
                <w:tab w:val="clear" w:pos="567"/>
              </w:tabs>
              <w:spacing w:before="0" w:line="240" w:lineRule="auto"/>
              <w:rPr>
                <w:rFonts w:eastAsia="Times New Roman" w:cs="Open Sans Light"/>
                <w:sz w:val="16"/>
                <w:szCs w:val="16"/>
                <w:lang w:val="en-AU" w:eastAsia="en-AU"/>
              </w:rPr>
            </w:pPr>
            <w:r w:rsidRPr="0081079E">
              <w:rPr>
                <w:rFonts w:eastAsia="Times New Roman" w:cs="Open Sans Light"/>
                <w:sz w:val="16"/>
                <w:szCs w:val="16"/>
                <w:lang w:val="en-AU" w:eastAsia="en-AU"/>
              </w:rPr>
              <w:t>Growth in GST available</w:t>
            </w:r>
          </w:p>
        </w:tc>
        <w:tc>
          <w:tcPr>
            <w:tcW w:w="2500" w:type="dxa"/>
            <w:tcBorders>
              <w:top w:val="nil"/>
              <w:left w:val="nil"/>
              <w:bottom w:val="single" w:sz="4" w:space="0" w:color="ADD6EA"/>
              <w:right w:val="nil"/>
            </w:tcBorders>
            <w:shd w:val="clear" w:color="auto" w:fill="auto"/>
            <w:noWrap/>
            <w:vAlign w:val="bottom"/>
            <w:hideMark/>
          </w:tcPr>
          <w:p w14:paraId="6774CC97"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467</w:t>
            </w:r>
          </w:p>
        </w:tc>
        <w:tc>
          <w:tcPr>
            <w:tcW w:w="2400" w:type="dxa"/>
            <w:tcBorders>
              <w:top w:val="nil"/>
              <w:left w:val="nil"/>
              <w:bottom w:val="single" w:sz="4" w:space="0" w:color="ADD6EA"/>
              <w:right w:val="nil"/>
            </w:tcBorders>
            <w:shd w:val="clear" w:color="auto" w:fill="auto"/>
            <w:noWrap/>
            <w:vAlign w:val="bottom"/>
            <w:hideMark/>
          </w:tcPr>
          <w:p w14:paraId="06D9BD96"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89</w:t>
            </w:r>
          </w:p>
        </w:tc>
      </w:tr>
      <w:tr w:rsidR="0081079E" w:rsidRPr="000D3EB3" w14:paraId="65C4D43C"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547BF5E3" w14:textId="77777777" w:rsidR="0081079E" w:rsidRPr="0081079E" w:rsidRDefault="0081079E" w:rsidP="0081079E">
            <w:pPr>
              <w:tabs>
                <w:tab w:val="clear" w:pos="567"/>
              </w:tabs>
              <w:spacing w:before="0" w:line="240" w:lineRule="auto"/>
              <w:rPr>
                <w:rFonts w:eastAsia="Times New Roman" w:cs="Open Sans Light"/>
                <w:sz w:val="16"/>
                <w:szCs w:val="16"/>
                <w:lang w:val="en-AU" w:eastAsia="en-AU"/>
              </w:rPr>
            </w:pPr>
            <w:r w:rsidRPr="0081079E">
              <w:rPr>
                <w:rFonts w:eastAsia="Times New Roman" w:cs="Open Sans Light"/>
                <w:sz w:val="16"/>
                <w:szCs w:val="16"/>
                <w:lang w:val="en-AU"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3294D650"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-67</w:t>
            </w:r>
          </w:p>
        </w:tc>
        <w:tc>
          <w:tcPr>
            <w:tcW w:w="2400" w:type="dxa"/>
            <w:tcBorders>
              <w:top w:val="nil"/>
              <w:left w:val="nil"/>
              <w:bottom w:val="single" w:sz="4" w:space="0" w:color="ADD6EA"/>
              <w:right w:val="nil"/>
            </w:tcBorders>
            <w:shd w:val="clear" w:color="auto" w:fill="auto"/>
            <w:noWrap/>
            <w:vAlign w:val="bottom"/>
            <w:hideMark/>
          </w:tcPr>
          <w:p w14:paraId="12EE9488"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-13</w:t>
            </w:r>
          </w:p>
        </w:tc>
      </w:tr>
      <w:tr w:rsidR="0081079E" w:rsidRPr="000D3EB3" w14:paraId="0B982455"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4B0EEFCB" w14:textId="77777777" w:rsidR="0081079E" w:rsidRPr="0081079E" w:rsidRDefault="0081079E" w:rsidP="0081079E">
            <w:pPr>
              <w:tabs>
                <w:tab w:val="clear" w:pos="567"/>
              </w:tabs>
              <w:spacing w:before="0" w:line="240" w:lineRule="auto"/>
              <w:ind w:firstLineChars="100" w:firstLine="160"/>
              <w:rPr>
                <w:rFonts w:eastAsia="Times New Roman" w:cs="Open Sans Light"/>
                <w:sz w:val="16"/>
                <w:szCs w:val="16"/>
                <w:lang w:val="en-AU" w:eastAsia="en-AU"/>
              </w:rPr>
            </w:pPr>
            <w:r w:rsidRPr="0081079E">
              <w:rPr>
                <w:rFonts w:eastAsia="Times New Roman" w:cs="Open Sans Light"/>
                <w:sz w:val="16"/>
                <w:szCs w:val="16"/>
                <w:lang w:val="en-AU" w:eastAsia="en-AU"/>
              </w:rPr>
              <w:t>Method changes</w:t>
            </w:r>
          </w:p>
        </w:tc>
        <w:tc>
          <w:tcPr>
            <w:tcW w:w="2500" w:type="dxa"/>
            <w:tcBorders>
              <w:top w:val="nil"/>
              <w:left w:val="nil"/>
              <w:bottom w:val="single" w:sz="4" w:space="0" w:color="ADD6EA"/>
              <w:right w:val="nil"/>
            </w:tcBorders>
            <w:shd w:val="clear" w:color="auto" w:fill="auto"/>
            <w:noWrap/>
            <w:vAlign w:val="bottom"/>
            <w:hideMark/>
          </w:tcPr>
          <w:p w14:paraId="17120B1A"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139</w:t>
            </w:r>
          </w:p>
        </w:tc>
        <w:tc>
          <w:tcPr>
            <w:tcW w:w="2400" w:type="dxa"/>
            <w:tcBorders>
              <w:top w:val="nil"/>
              <w:left w:val="nil"/>
              <w:bottom w:val="single" w:sz="4" w:space="0" w:color="ADD6EA"/>
              <w:right w:val="nil"/>
            </w:tcBorders>
            <w:shd w:val="clear" w:color="auto" w:fill="auto"/>
            <w:noWrap/>
            <w:vAlign w:val="bottom"/>
            <w:hideMark/>
          </w:tcPr>
          <w:p w14:paraId="2A409B72"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27</w:t>
            </w:r>
          </w:p>
        </w:tc>
      </w:tr>
      <w:tr w:rsidR="0081079E" w:rsidRPr="000D3EB3" w14:paraId="63E83318"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66B68208" w14:textId="77777777" w:rsidR="0081079E" w:rsidRPr="0081079E" w:rsidRDefault="0081079E" w:rsidP="0081079E">
            <w:pPr>
              <w:tabs>
                <w:tab w:val="clear" w:pos="567"/>
              </w:tabs>
              <w:spacing w:before="0" w:line="240" w:lineRule="auto"/>
              <w:ind w:firstLineChars="100" w:firstLine="160"/>
              <w:rPr>
                <w:rFonts w:eastAsia="Times New Roman" w:cs="Open Sans Light"/>
                <w:sz w:val="16"/>
                <w:szCs w:val="16"/>
                <w:lang w:val="en-AU" w:eastAsia="en-AU"/>
              </w:rPr>
            </w:pPr>
            <w:r w:rsidRPr="0081079E">
              <w:rPr>
                <w:rFonts w:eastAsia="Times New Roman" w:cs="Open Sans Light"/>
                <w:sz w:val="16"/>
                <w:szCs w:val="16"/>
                <w:lang w:val="en-AU"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02A74CBE"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271</w:t>
            </w:r>
          </w:p>
        </w:tc>
        <w:tc>
          <w:tcPr>
            <w:tcW w:w="2400" w:type="dxa"/>
            <w:tcBorders>
              <w:top w:val="nil"/>
              <w:left w:val="nil"/>
              <w:bottom w:val="single" w:sz="4" w:space="0" w:color="ADD6EA"/>
              <w:right w:val="nil"/>
            </w:tcBorders>
            <w:shd w:val="clear" w:color="auto" w:fill="auto"/>
            <w:noWrap/>
            <w:vAlign w:val="bottom"/>
            <w:hideMark/>
          </w:tcPr>
          <w:p w14:paraId="6737D4B6"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52</w:t>
            </w:r>
          </w:p>
        </w:tc>
      </w:tr>
      <w:tr w:rsidR="0081079E" w:rsidRPr="000D3EB3" w14:paraId="37DF5B81"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5DFCFC8E" w14:textId="77777777" w:rsidR="0081079E" w:rsidRPr="0081079E" w:rsidRDefault="0081079E" w:rsidP="0081079E">
            <w:pPr>
              <w:tabs>
                <w:tab w:val="clear" w:pos="567"/>
              </w:tabs>
              <w:spacing w:before="0" w:line="240" w:lineRule="auto"/>
              <w:ind w:firstLineChars="100" w:firstLine="160"/>
              <w:rPr>
                <w:rFonts w:eastAsia="Times New Roman" w:cs="Open Sans Light"/>
                <w:sz w:val="16"/>
                <w:szCs w:val="16"/>
                <w:lang w:val="en-AU" w:eastAsia="en-AU"/>
              </w:rPr>
            </w:pPr>
            <w:r w:rsidRPr="0081079E">
              <w:rPr>
                <w:rFonts w:eastAsia="Times New Roman" w:cs="Open Sans Light"/>
                <w:sz w:val="16"/>
                <w:szCs w:val="16"/>
                <w:lang w:val="en-AU"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4D71AF73"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-477</w:t>
            </w:r>
          </w:p>
        </w:tc>
        <w:tc>
          <w:tcPr>
            <w:tcW w:w="2400" w:type="dxa"/>
            <w:tcBorders>
              <w:top w:val="nil"/>
              <w:left w:val="nil"/>
              <w:bottom w:val="single" w:sz="4" w:space="0" w:color="ADD6EA"/>
              <w:right w:val="nil"/>
            </w:tcBorders>
            <w:shd w:val="clear" w:color="auto" w:fill="auto"/>
            <w:noWrap/>
            <w:vAlign w:val="bottom"/>
            <w:hideMark/>
          </w:tcPr>
          <w:p w14:paraId="1D649CC8" w14:textId="77777777" w:rsidR="0081079E" w:rsidRPr="0081079E" w:rsidRDefault="0081079E" w:rsidP="0081079E">
            <w:pPr>
              <w:tabs>
                <w:tab w:val="clear" w:pos="567"/>
              </w:tabs>
              <w:spacing w:before="0" w:line="240" w:lineRule="auto"/>
              <w:jc w:val="right"/>
              <w:rPr>
                <w:rFonts w:eastAsia="Times New Roman" w:cs="Open Sans Light"/>
                <w:sz w:val="16"/>
                <w:szCs w:val="16"/>
                <w:lang w:val="en-AU" w:eastAsia="en-AU"/>
              </w:rPr>
            </w:pPr>
            <w:r w:rsidRPr="0081079E">
              <w:rPr>
                <w:rFonts w:eastAsia="Times New Roman" w:cs="Open Sans Light"/>
                <w:sz w:val="16"/>
                <w:szCs w:val="16"/>
                <w:lang w:val="en-AU" w:eastAsia="en-AU"/>
              </w:rPr>
              <w:t>-91</w:t>
            </w:r>
          </w:p>
        </w:tc>
      </w:tr>
      <w:tr w:rsidR="0081079E" w:rsidRPr="000D3EB3" w14:paraId="09A6CC10" w14:textId="77777777" w:rsidTr="00500FBE">
        <w:trPr>
          <w:trHeight w:val="315"/>
        </w:trPr>
        <w:tc>
          <w:tcPr>
            <w:tcW w:w="4040" w:type="dxa"/>
            <w:tcBorders>
              <w:top w:val="nil"/>
              <w:left w:val="nil"/>
              <w:bottom w:val="single" w:sz="4" w:space="0" w:color="ADD6EA"/>
              <w:right w:val="nil"/>
            </w:tcBorders>
            <w:shd w:val="clear" w:color="000000" w:fill="D6E7F0"/>
            <w:noWrap/>
            <w:vAlign w:val="bottom"/>
            <w:hideMark/>
          </w:tcPr>
          <w:p w14:paraId="0EC63C35" w14:textId="77777777" w:rsidR="0081079E" w:rsidRPr="0081079E" w:rsidRDefault="0081079E" w:rsidP="0081079E">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81079E">
              <w:rPr>
                <w:rFonts w:ascii="Open Sans SemiBold" w:eastAsia="Times New Roman" w:hAnsi="Open Sans SemiBold" w:cs="Open Sans SemiBold"/>
                <w:color w:val="000000"/>
                <w:sz w:val="16"/>
                <w:szCs w:val="16"/>
                <w:lang w:val="en-AU"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660076A6" w14:textId="77777777" w:rsidR="0081079E" w:rsidRPr="0081079E" w:rsidRDefault="0081079E" w:rsidP="0081079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1079E">
              <w:rPr>
                <w:rFonts w:ascii="Open Sans SemiBold" w:eastAsia="Times New Roman" w:hAnsi="Open Sans SemiBold" w:cs="Open Sans SemiBold"/>
                <w:color w:val="000000"/>
                <w:sz w:val="16"/>
                <w:szCs w:val="16"/>
                <w:lang w:val="en-AU" w:eastAsia="en-AU"/>
              </w:rPr>
              <w:t>418</w:t>
            </w:r>
          </w:p>
        </w:tc>
        <w:tc>
          <w:tcPr>
            <w:tcW w:w="2400" w:type="dxa"/>
            <w:tcBorders>
              <w:top w:val="nil"/>
              <w:left w:val="nil"/>
              <w:bottom w:val="single" w:sz="4" w:space="0" w:color="ADD6EA"/>
              <w:right w:val="nil"/>
            </w:tcBorders>
            <w:shd w:val="clear" w:color="000000" w:fill="D6E7F0"/>
            <w:noWrap/>
            <w:vAlign w:val="bottom"/>
            <w:hideMark/>
          </w:tcPr>
          <w:p w14:paraId="3AD49D64" w14:textId="77777777" w:rsidR="0081079E" w:rsidRPr="0081079E" w:rsidRDefault="0081079E" w:rsidP="0081079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81079E">
              <w:rPr>
                <w:rFonts w:ascii="Open Sans SemiBold" w:eastAsia="Times New Roman" w:hAnsi="Open Sans SemiBold" w:cs="Open Sans SemiBold"/>
                <w:color w:val="000000"/>
                <w:sz w:val="16"/>
                <w:szCs w:val="16"/>
                <w:lang w:val="en-AU" w:eastAsia="en-AU"/>
              </w:rPr>
              <w:t>80</w:t>
            </w:r>
          </w:p>
        </w:tc>
      </w:tr>
    </w:tbl>
    <w:p w14:paraId="3679386B" w14:textId="6230D9A5" w:rsidR="00FC56D5" w:rsidRDefault="00FC56D5" w:rsidP="00220009">
      <w:pPr>
        <w:pStyle w:val="CGCTablenote"/>
      </w:pPr>
      <w:r>
        <w:t>Note</w:t>
      </w:r>
      <w:r w:rsidR="00D90FF0">
        <w:t>:</w:t>
      </w:r>
      <w:r>
        <w:tab/>
        <w:t>Table may not add due to rounding.</w:t>
      </w:r>
    </w:p>
    <w:p w14:paraId="5FFB9074" w14:textId="645BB782" w:rsidR="00220009" w:rsidRDefault="00220009" w:rsidP="00220009">
      <w:pPr>
        <w:pStyle w:val="CGCTablenote"/>
      </w:pPr>
      <w:r>
        <w:t>Source:</w:t>
      </w:r>
      <w:r>
        <w:tab/>
      </w:r>
      <w:r w:rsidR="005438E4">
        <w:t>Commission calculation.</w:t>
      </w:r>
    </w:p>
    <w:p w14:paraId="1932D2D5" w14:textId="42F52AB4" w:rsidR="00AC018D" w:rsidRDefault="00AC018D" w:rsidP="00965779">
      <w:pPr>
        <w:pStyle w:val="Caption"/>
        <w:spacing w:before="120"/>
      </w:pPr>
      <w:r>
        <w:t xml:space="preserve">Figure </w:t>
      </w:r>
      <w:r w:rsidR="00D5059E">
        <w:t>3</w:t>
      </w:r>
      <w:r w:rsidR="00D5059E">
        <w:noBreakHyphen/>
      </w:r>
      <w:r>
        <w:fldChar w:fldCharType="begin"/>
      </w:r>
      <w:r>
        <w:instrText>SEQ Figure \* ARABIC</w:instrText>
      </w:r>
      <w:r>
        <w:fldChar w:fldCharType="separate"/>
      </w:r>
      <w:r w:rsidR="003D49C2">
        <w:rPr>
          <w:noProof/>
        </w:rPr>
        <w:t>4</w:t>
      </w:r>
      <w:r>
        <w:fldChar w:fldCharType="end"/>
      </w:r>
      <w:r>
        <w:tab/>
        <w:t>Main changes for Queensland, 2020 Review</w:t>
      </w:r>
    </w:p>
    <w:p w14:paraId="3E41E3B7" w14:textId="0307544A" w:rsidR="00AC018D" w:rsidRDefault="006250AC" w:rsidP="0014304F">
      <w:r>
        <w:rPr>
          <w:noProof/>
        </w:rPr>
        <w:drawing>
          <wp:inline distT="0" distB="0" distL="0" distR="0" wp14:anchorId="014A089C" wp14:editId="5737CCFE">
            <wp:extent cx="5681980" cy="4005580"/>
            <wp:effectExtent l="0" t="0" r="0" b="0"/>
            <wp:docPr id="10" name="Picture 10" descr="-$340m Transport. $287m Investment. $165m Stamp duty on conveyances. $342m Natural disaster relief. -$485m Mining production. $164m Commonwealth payments. $139m Taxable land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1980" cy="4005580"/>
                    </a:xfrm>
                    <a:prstGeom prst="rect">
                      <a:avLst/>
                    </a:prstGeom>
                    <a:noFill/>
                  </pic:spPr>
                </pic:pic>
              </a:graphicData>
            </a:graphic>
          </wp:inline>
        </w:drawing>
      </w:r>
    </w:p>
    <w:p w14:paraId="30E4569D" w14:textId="3E291F6D" w:rsidR="00A13D14" w:rsidRPr="00A13D14" w:rsidRDefault="00A13D14" w:rsidP="00A13D14">
      <w:pPr>
        <w:pStyle w:val="CGCTablenote"/>
        <w:sectPr w:rsidR="00A13D14" w:rsidRPr="00A13D14" w:rsidSect="00E22AA8">
          <w:pgSz w:w="11907" w:h="16840" w:code="9"/>
          <w:pgMar w:top="1418" w:right="1474" w:bottom="1418" w:left="1474" w:header="720" w:footer="567" w:gutter="0"/>
          <w:cols w:space="720"/>
          <w:titlePg/>
          <w:docGrid w:linePitch="360"/>
        </w:sectPr>
      </w:pPr>
      <w:r>
        <w:t>Source:</w:t>
      </w:r>
      <w:r>
        <w:tab/>
        <w:t>Commission calculation</w:t>
      </w:r>
      <w:r w:rsidR="00071A56">
        <w:t>.</w:t>
      </w:r>
    </w:p>
    <w:p w14:paraId="2E38948D" w14:textId="77777777" w:rsidR="00183EF1" w:rsidRDefault="006032C3" w:rsidP="0038169A">
      <w:pPr>
        <w:pStyle w:val="Heading3"/>
        <w:spacing w:before="120"/>
      </w:pPr>
      <w:bookmarkStart w:id="45" w:name="_Toc33600553"/>
      <w:r>
        <w:lastRenderedPageBreak/>
        <w:t>Western Australia</w:t>
      </w:r>
      <w:bookmarkEnd w:id="45"/>
    </w:p>
    <w:p w14:paraId="655438C4" w14:textId="4A4E0AE2" w:rsidR="006032C3" w:rsidRDefault="00F91C34" w:rsidP="00B306F7">
      <w:r w:rsidRPr="00F91C34">
        <w:t>Western</w:t>
      </w:r>
      <w:r w:rsidR="007D02AE">
        <w:t> </w:t>
      </w:r>
      <w:r w:rsidRPr="00F91C34">
        <w:t>Australia</w:t>
      </w:r>
      <w:r w:rsidR="00BA174F">
        <w:t>’s</w:t>
      </w:r>
      <w:r w:rsidRPr="00F91C34">
        <w:t xml:space="preserve"> fiscal capacity has </w:t>
      </w:r>
      <w:r w:rsidR="00BA174F">
        <w:t xml:space="preserve">strengthened due to </w:t>
      </w:r>
      <w:r w:rsidR="00F46962">
        <w:t>a</w:t>
      </w:r>
      <w:r w:rsidR="00B52921">
        <w:t xml:space="preserve"> further</w:t>
      </w:r>
      <w:r w:rsidR="00F46962">
        <w:t xml:space="preserve"> increase in its capacity to raise </w:t>
      </w:r>
      <w:r w:rsidR="00CA1CA7">
        <w:t>iron ore</w:t>
      </w:r>
      <w:r w:rsidR="00CA1CA7" w:rsidRPr="00F91C34">
        <w:t xml:space="preserve"> </w:t>
      </w:r>
      <w:r w:rsidRPr="00F91C34">
        <w:t xml:space="preserve">royalties, </w:t>
      </w:r>
      <w:r w:rsidR="00C173CF">
        <w:t xml:space="preserve">lower assessed costs of providing </w:t>
      </w:r>
      <w:r w:rsidR="00534784">
        <w:t xml:space="preserve">urban public </w:t>
      </w:r>
      <w:r w:rsidR="00C173CF">
        <w:t>transport services</w:t>
      </w:r>
      <w:r w:rsidR="00AB0C36">
        <w:t xml:space="preserve">, and </w:t>
      </w:r>
      <w:r w:rsidR="00B835B8">
        <w:t xml:space="preserve">revised data on </w:t>
      </w:r>
      <w:r w:rsidRPr="00F91C34">
        <w:t>the value of property sales</w:t>
      </w:r>
      <w:r w:rsidR="00AB0C36">
        <w:t>.</w:t>
      </w:r>
      <w:r w:rsidRPr="00F91C34">
        <w:t xml:space="preserve"> </w:t>
      </w:r>
      <w:r w:rsidR="003C0E74" w:rsidRPr="00F91C34">
        <w:t xml:space="preserve">These changes were </w:t>
      </w:r>
      <w:r w:rsidR="00985B5A">
        <w:t xml:space="preserve">partly </w:t>
      </w:r>
      <w:r w:rsidR="003C0E74" w:rsidRPr="00F91C34">
        <w:t xml:space="preserve">offset </w:t>
      </w:r>
      <w:r w:rsidR="00985B5A">
        <w:t xml:space="preserve">by </w:t>
      </w:r>
      <w:r w:rsidR="00302274">
        <w:t xml:space="preserve">below average growth </w:t>
      </w:r>
      <w:r w:rsidR="00C12F28">
        <w:t xml:space="preserve">in </w:t>
      </w:r>
      <w:r w:rsidR="00FC2CAD">
        <w:t>taxable land values</w:t>
      </w:r>
      <w:r w:rsidR="008D42BB">
        <w:t xml:space="preserve"> and taxable payrolls</w:t>
      </w:r>
      <w:r w:rsidR="001B0EFE">
        <w:t>,</w:t>
      </w:r>
      <w:r w:rsidR="00244927">
        <w:t xml:space="preserve"> </w:t>
      </w:r>
      <w:r w:rsidR="000765E1">
        <w:t>revisions to State</w:t>
      </w:r>
      <w:r w:rsidR="00022F0B">
        <w:t xml:space="preserve"> natural disaster relief expenses</w:t>
      </w:r>
      <w:r w:rsidR="000765E1">
        <w:t xml:space="preserve"> and </w:t>
      </w:r>
      <w:r w:rsidR="00AF7C4A">
        <w:t xml:space="preserve">above average </w:t>
      </w:r>
      <w:r w:rsidR="0002605F">
        <w:t>mining regulation expenses</w:t>
      </w:r>
      <w:r w:rsidR="004913CE">
        <w:t>.</w:t>
      </w:r>
      <w:r w:rsidR="003C0E74" w:rsidRPr="00F91C34">
        <w:t xml:space="preserve"> </w:t>
      </w:r>
      <w:r w:rsidR="0067526F" w:rsidRPr="00F91C34">
        <w:t>Western</w:t>
      </w:r>
      <w:r w:rsidR="007D02AE">
        <w:t> </w:t>
      </w:r>
      <w:r w:rsidR="0067526F" w:rsidRPr="00F91C34">
        <w:t xml:space="preserve">Australia’s </w:t>
      </w:r>
      <w:r w:rsidR="00494596">
        <w:t xml:space="preserve">stronger </w:t>
      </w:r>
      <w:r w:rsidR="00357637">
        <w:t xml:space="preserve">fiscal capacity will reduce its </w:t>
      </w:r>
      <w:r w:rsidR="0067526F" w:rsidRPr="00F91C34">
        <w:t xml:space="preserve">GST </w:t>
      </w:r>
      <w:r w:rsidR="00357637">
        <w:t xml:space="preserve">share </w:t>
      </w:r>
      <w:r w:rsidR="0067526F" w:rsidRPr="00F91C34">
        <w:t xml:space="preserve">from </w:t>
      </w:r>
      <w:r w:rsidR="0067526F">
        <w:t>5</w:t>
      </w:r>
      <w:r w:rsidR="0067526F" w:rsidRPr="00F91C34">
        <w:t>.</w:t>
      </w:r>
      <w:r w:rsidR="0067526F">
        <w:t>3</w:t>
      </w:r>
      <w:r w:rsidR="0067526F" w:rsidRPr="00F91C34">
        <w:t>% to 4</w:t>
      </w:r>
      <w:r w:rsidR="0067526F">
        <w:t>.</w:t>
      </w:r>
      <w:r w:rsidR="007179B5">
        <w:t>6</w:t>
      </w:r>
      <w:r w:rsidR="0067526F" w:rsidRPr="00F91C34">
        <w:t>%.</w:t>
      </w:r>
      <w:r w:rsidR="0067526F">
        <w:t xml:space="preserve"> </w:t>
      </w:r>
      <w:r w:rsidR="003C0E74">
        <w:t xml:space="preserve">Growth in the </w:t>
      </w:r>
      <w:r w:rsidRPr="00F91C34">
        <w:t xml:space="preserve">GST </w:t>
      </w:r>
      <w:r w:rsidR="003C0E74">
        <w:t xml:space="preserve">pool does not offset the impact of </w:t>
      </w:r>
      <w:r w:rsidR="004E6DE0">
        <w:t>the State’s</w:t>
      </w:r>
      <w:r w:rsidR="003C0E74">
        <w:t xml:space="preserve"> improved fiscal capacity</w:t>
      </w:r>
      <w:r w:rsidR="004E6DE0" w:rsidRPr="0058153C">
        <w:t>,</w:t>
      </w:r>
      <w:r w:rsidR="003C0E74">
        <w:t xml:space="preserve"> and </w:t>
      </w:r>
      <w:r w:rsidR="00A64D27">
        <w:t xml:space="preserve">its </w:t>
      </w:r>
      <w:r w:rsidR="00B13AD4">
        <w:t xml:space="preserve">GST entitlement </w:t>
      </w:r>
      <w:r w:rsidRPr="00F91C34">
        <w:t xml:space="preserve">will </w:t>
      </w:r>
      <w:r w:rsidR="00667AAB">
        <w:t xml:space="preserve">fall </w:t>
      </w:r>
      <w:r w:rsidRPr="00F91C34">
        <w:t>by $</w:t>
      </w:r>
      <w:r w:rsidR="004F4D5E">
        <w:t>385</w:t>
      </w:r>
      <w:r w:rsidR="00184313">
        <w:t> </w:t>
      </w:r>
      <w:r w:rsidRPr="00F91C34">
        <w:t>million, or 1</w:t>
      </w:r>
      <w:r w:rsidR="0014737E">
        <w:t>1</w:t>
      </w:r>
      <w:r w:rsidR="002733E1">
        <w:t>.</w:t>
      </w:r>
      <w:r w:rsidR="0014737E">
        <w:t>0</w:t>
      </w:r>
      <w:r w:rsidRPr="00F91C34">
        <w:t>%.</w:t>
      </w:r>
      <w:r w:rsidR="00625C30">
        <w:t xml:space="preserve"> (</w:t>
      </w:r>
      <w:r w:rsidR="003F4193">
        <w:t>The Commonwealth will be making supplementary payments to Western Australia to deliver an outcome equivalent to a relativity of 0.7</w:t>
      </w:r>
      <w:r w:rsidR="002578CB">
        <w:t>.</w:t>
      </w:r>
      <w:r w:rsidR="003F4193">
        <w:t xml:space="preserve"> </w:t>
      </w:r>
      <w:r w:rsidR="002578CB">
        <w:t>S</w:t>
      </w:r>
      <w:r w:rsidR="003F4193">
        <w:t>ee</w:t>
      </w:r>
      <w:r w:rsidR="002578CB">
        <w:t xml:space="preserve"> Chapter 1</w:t>
      </w:r>
      <w:r w:rsidR="003B6E77">
        <w:t>,</w:t>
      </w:r>
      <w:r w:rsidR="003F4193">
        <w:t xml:space="preserve"> paragraph </w:t>
      </w:r>
      <w:r w:rsidR="003F4193">
        <w:fldChar w:fldCharType="begin"/>
      </w:r>
      <w:r w:rsidR="003F4193">
        <w:instrText xml:space="preserve"> REF _Ref31355120 \w \h </w:instrText>
      </w:r>
      <w:r w:rsidR="003F4193">
        <w:fldChar w:fldCharType="separate"/>
      </w:r>
      <w:r w:rsidR="003D49C2">
        <w:t>2</w:t>
      </w:r>
      <w:r w:rsidR="003F4193">
        <w:fldChar w:fldCharType="end"/>
      </w:r>
      <w:r w:rsidR="003F4193">
        <w:t>).</w:t>
      </w:r>
    </w:p>
    <w:p w14:paraId="2C2B0EEB" w14:textId="291F5F30" w:rsidR="00220009" w:rsidRDefault="00220009" w:rsidP="00220009">
      <w:pPr>
        <w:pStyle w:val="CGCTableHeading"/>
      </w:pPr>
      <w:r>
        <w:t xml:space="preserve">Table </w:t>
      </w:r>
      <w:r w:rsidR="00D5059E">
        <w:t>3</w:t>
      </w:r>
      <w:r w:rsidR="00D5059E">
        <w:noBreakHyphen/>
      </w:r>
      <w:r>
        <w:fldChar w:fldCharType="begin"/>
      </w:r>
      <w:r>
        <w:instrText>SEQ Table \* ARABIC</w:instrText>
      </w:r>
      <w:r>
        <w:fldChar w:fldCharType="separate"/>
      </w:r>
      <w:r w:rsidR="003D49C2">
        <w:rPr>
          <w:noProof/>
        </w:rPr>
        <w:t>4</w:t>
      </w:r>
      <w:r>
        <w:fldChar w:fldCharType="end"/>
      </w:r>
      <w:r>
        <w:tab/>
      </w:r>
      <w:r w:rsidR="00A37FAC">
        <w:t>Change in illustrative GST distribution since the 2019 Update, Western Australia</w:t>
      </w:r>
    </w:p>
    <w:tbl>
      <w:tblPr>
        <w:tblW w:w="8940" w:type="dxa"/>
        <w:tblCellMar>
          <w:left w:w="0" w:type="dxa"/>
          <w:right w:w="28" w:type="dxa"/>
        </w:tblCellMar>
        <w:tblLook w:val="04A0" w:firstRow="1" w:lastRow="0" w:firstColumn="1" w:lastColumn="0" w:noHBand="0" w:noVBand="1"/>
      </w:tblPr>
      <w:tblGrid>
        <w:gridCol w:w="4045"/>
        <w:gridCol w:w="2507"/>
        <w:gridCol w:w="2407"/>
      </w:tblGrid>
      <w:tr w:rsidR="00574F9D" w:rsidRPr="00574F9D" w14:paraId="382E4170" w14:textId="77777777" w:rsidTr="00500FBE">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291F14C2" w14:textId="77777777" w:rsidR="00574F9D" w:rsidRPr="00574F9D" w:rsidRDefault="00574F9D" w:rsidP="00574F9D">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74F9D">
              <w:rPr>
                <w:rFonts w:ascii="Open Sans SemiBold" w:eastAsia="Times New Roman" w:hAnsi="Open Sans SemiBold" w:cs="Open Sans SemiBold"/>
                <w:color w:val="FFFFFF"/>
                <w:sz w:val="16"/>
                <w:szCs w:val="16"/>
                <w:lang w:val="en-AU"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286C0E13" w14:textId="77777777" w:rsidR="00574F9D" w:rsidRPr="00574F9D" w:rsidRDefault="00574F9D" w:rsidP="00574F9D">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74F9D">
              <w:rPr>
                <w:rFonts w:ascii="Open Sans SemiBold" w:eastAsia="Times New Roman" w:hAnsi="Open Sans SemiBold" w:cs="Open Sans SemiBold"/>
                <w:color w:val="FFFFFF"/>
                <w:sz w:val="16"/>
                <w:szCs w:val="16"/>
                <w:lang w:val="en-AU"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5464C033" w14:textId="77777777" w:rsidR="00574F9D" w:rsidRPr="00574F9D" w:rsidRDefault="00574F9D" w:rsidP="00574F9D">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74F9D">
              <w:rPr>
                <w:rFonts w:ascii="Open Sans SemiBold" w:eastAsia="Times New Roman" w:hAnsi="Open Sans SemiBold" w:cs="Open Sans SemiBold"/>
                <w:color w:val="FFFFFF"/>
                <w:sz w:val="16"/>
                <w:szCs w:val="16"/>
                <w:lang w:val="en-AU" w:eastAsia="en-AU"/>
              </w:rPr>
              <w:t>$pc</w:t>
            </w:r>
          </w:p>
        </w:tc>
      </w:tr>
      <w:tr w:rsidR="00574F9D" w:rsidRPr="00574F9D" w14:paraId="73AF8991"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61914884" w14:textId="77777777" w:rsidR="00574F9D" w:rsidRPr="00574F9D" w:rsidRDefault="00574F9D" w:rsidP="00574F9D">
            <w:pPr>
              <w:tabs>
                <w:tab w:val="clear" w:pos="567"/>
              </w:tabs>
              <w:spacing w:before="0" w:line="240" w:lineRule="auto"/>
              <w:rPr>
                <w:rFonts w:eastAsia="Times New Roman" w:cs="Open Sans Light"/>
                <w:sz w:val="16"/>
                <w:szCs w:val="16"/>
                <w:lang w:val="en-AU" w:eastAsia="en-AU"/>
              </w:rPr>
            </w:pPr>
            <w:r w:rsidRPr="00574F9D">
              <w:rPr>
                <w:rFonts w:eastAsia="Times New Roman" w:cs="Open Sans Light"/>
                <w:sz w:val="16"/>
                <w:szCs w:val="16"/>
                <w:lang w:val="en-AU" w:eastAsia="en-AU"/>
              </w:rPr>
              <w:t>New population</w:t>
            </w:r>
          </w:p>
        </w:tc>
        <w:tc>
          <w:tcPr>
            <w:tcW w:w="2500" w:type="dxa"/>
            <w:tcBorders>
              <w:top w:val="nil"/>
              <w:left w:val="nil"/>
              <w:bottom w:val="single" w:sz="4" w:space="0" w:color="ADD6EA"/>
              <w:right w:val="nil"/>
            </w:tcBorders>
            <w:shd w:val="clear" w:color="auto" w:fill="auto"/>
            <w:noWrap/>
            <w:vAlign w:val="bottom"/>
            <w:hideMark/>
          </w:tcPr>
          <w:p w14:paraId="1D97E033"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-26</w:t>
            </w:r>
          </w:p>
        </w:tc>
        <w:tc>
          <w:tcPr>
            <w:tcW w:w="2400" w:type="dxa"/>
            <w:tcBorders>
              <w:top w:val="nil"/>
              <w:left w:val="nil"/>
              <w:bottom w:val="single" w:sz="4" w:space="0" w:color="ADD6EA"/>
              <w:right w:val="nil"/>
            </w:tcBorders>
            <w:shd w:val="clear" w:color="auto" w:fill="auto"/>
            <w:noWrap/>
            <w:vAlign w:val="bottom"/>
            <w:hideMark/>
          </w:tcPr>
          <w:p w14:paraId="6680BBBF"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-10</w:t>
            </w:r>
          </w:p>
        </w:tc>
      </w:tr>
      <w:tr w:rsidR="00574F9D" w:rsidRPr="00574F9D" w14:paraId="2D948525"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303D7132" w14:textId="77777777" w:rsidR="00574F9D" w:rsidRPr="00574F9D" w:rsidRDefault="00574F9D" w:rsidP="00574F9D">
            <w:pPr>
              <w:tabs>
                <w:tab w:val="clear" w:pos="567"/>
              </w:tabs>
              <w:spacing w:before="0" w:line="240" w:lineRule="auto"/>
              <w:rPr>
                <w:rFonts w:eastAsia="Times New Roman" w:cs="Open Sans Light"/>
                <w:sz w:val="16"/>
                <w:szCs w:val="16"/>
                <w:lang w:val="en-AU" w:eastAsia="en-AU"/>
              </w:rPr>
            </w:pPr>
            <w:r w:rsidRPr="00574F9D">
              <w:rPr>
                <w:rFonts w:eastAsia="Times New Roman" w:cs="Open Sans Light"/>
                <w:sz w:val="16"/>
                <w:szCs w:val="16"/>
                <w:lang w:val="en-AU" w:eastAsia="en-AU"/>
              </w:rPr>
              <w:t>Growth in GST available</w:t>
            </w:r>
          </w:p>
        </w:tc>
        <w:tc>
          <w:tcPr>
            <w:tcW w:w="2500" w:type="dxa"/>
            <w:tcBorders>
              <w:top w:val="nil"/>
              <w:left w:val="nil"/>
              <w:bottom w:val="single" w:sz="4" w:space="0" w:color="ADD6EA"/>
              <w:right w:val="nil"/>
            </w:tcBorders>
            <w:shd w:val="clear" w:color="auto" w:fill="auto"/>
            <w:noWrap/>
            <w:vAlign w:val="bottom"/>
            <w:hideMark/>
          </w:tcPr>
          <w:p w14:paraId="402C45D5"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116</w:t>
            </w:r>
          </w:p>
        </w:tc>
        <w:tc>
          <w:tcPr>
            <w:tcW w:w="2400" w:type="dxa"/>
            <w:tcBorders>
              <w:top w:val="nil"/>
              <w:left w:val="nil"/>
              <w:bottom w:val="single" w:sz="4" w:space="0" w:color="ADD6EA"/>
              <w:right w:val="nil"/>
            </w:tcBorders>
            <w:shd w:val="clear" w:color="auto" w:fill="auto"/>
            <w:noWrap/>
            <w:vAlign w:val="bottom"/>
            <w:hideMark/>
          </w:tcPr>
          <w:p w14:paraId="7D7FDED5"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44</w:t>
            </w:r>
          </w:p>
        </w:tc>
      </w:tr>
      <w:tr w:rsidR="00574F9D" w:rsidRPr="00574F9D" w14:paraId="4952C54B"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35C4A858" w14:textId="77777777" w:rsidR="00574F9D" w:rsidRPr="00574F9D" w:rsidRDefault="00574F9D" w:rsidP="00574F9D">
            <w:pPr>
              <w:tabs>
                <w:tab w:val="clear" w:pos="567"/>
              </w:tabs>
              <w:spacing w:before="0" w:line="240" w:lineRule="auto"/>
              <w:rPr>
                <w:rFonts w:eastAsia="Times New Roman" w:cs="Open Sans Light"/>
                <w:sz w:val="16"/>
                <w:szCs w:val="16"/>
                <w:lang w:val="en-AU" w:eastAsia="en-AU"/>
              </w:rPr>
            </w:pPr>
            <w:r w:rsidRPr="00574F9D">
              <w:rPr>
                <w:rFonts w:eastAsia="Times New Roman" w:cs="Open Sans Light"/>
                <w:sz w:val="16"/>
                <w:szCs w:val="16"/>
                <w:lang w:val="en-AU"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547B11E2"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-475</w:t>
            </w:r>
          </w:p>
        </w:tc>
        <w:tc>
          <w:tcPr>
            <w:tcW w:w="2400" w:type="dxa"/>
            <w:tcBorders>
              <w:top w:val="nil"/>
              <w:left w:val="nil"/>
              <w:bottom w:val="single" w:sz="4" w:space="0" w:color="ADD6EA"/>
              <w:right w:val="nil"/>
            </w:tcBorders>
            <w:shd w:val="clear" w:color="auto" w:fill="auto"/>
            <w:noWrap/>
            <w:vAlign w:val="bottom"/>
            <w:hideMark/>
          </w:tcPr>
          <w:p w14:paraId="1069E3BF"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-179</w:t>
            </w:r>
          </w:p>
        </w:tc>
      </w:tr>
      <w:tr w:rsidR="00574F9D" w:rsidRPr="00574F9D" w14:paraId="19EFB59E"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07679CDA" w14:textId="77777777" w:rsidR="00574F9D" w:rsidRPr="00574F9D" w:rsidRDefault="00574F9D" w:rsidP="00574F9D">
            <w:pPr>
              <w:tabs>
                <w:tab w:val="clear" w:pos="567"/>
              </w:tabs>
              <w:spacing w:before="0" w:line="240" w:lineRule="auto"/>
              <w:ind w:firstLineChars="100" w:firstLine="160"/>
              <w:rPr>
                <w:rFonts w:eastAsia="Times New Roman" w:cs="Open Sans Light"/>
                <w:sz w:val="16"/>
                <w:szCs w:val="16"/>
                <w:lang w:val="en-AU" w:eastAsia="en-AU"/>
              </w:rPr>
            </w:pPr>
            <w:r w:rsidRPr="00574F9D">
              <w:rPr>
                <w:rFonts w:eastAsia="Times New Roman" w:cs="Open Sans Light"/>
                <w:sz w:val="16"/>
                <w:szCs w:val="16"/>
                <w:lang w:val="en-AU" w:eastAsia="en-AU"/>
              </w:rPr>
              <w:t>Method changes</w:t>
            </w:r>
          </w:p>
        </w:tc>
        <w:tc>
          <w:tcPr>
            <w:tcW w:w="2500" w:type="dxa"/>
            <w:tcBorders>
              <w:top w:val="nil"/>
              <w:left w:val="nil"/>
              <w:bottom w:val="single" w:sz="4" w:space="0" w:color="ADD6EA"/>
              <w:right w:val="nil"/>
            </w:tcBorders>
            <w:shd w:val="clear" w:color="auto" w:fill="auto"/>
            <w:noWrap/>
            <w:vAlign w:val="bottom"/>
            <w:hideMark/>
          </w:tcPr>
          <w:p w14:paraId="2CF8F910"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-114</w:t>
            </w:r>
          </w:p>
        </w:tc>
        <w:tc>
          <w:tcPr>
            <w:tcW w:w="2400" w:type="dxa"/>
            <w:tcBorders>
              <w:top w:val="nil"/>
              <w:left w:val="nil"/>
              <w:bottom w:val="single" w:sz="4" w:space="0" w:color="ADD6EA"/>
              <w:right w:val="nil"/>
            </w:tcBorders>
            <w:shd w:val="clear" w:color="auto" w:fill="auto"/>
            <w:noWrap/>
            <w:vAlign w:val="bottom"/>
            <w:hideMark/>
          </w:tcPr>
          <w:p w14:paraId="6677B88C"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-43</w:t>
            </w:r>
          </w:p>
        </w:tc>
      </w:tr>
      <w:tr w:rsidR="00574F9D" w:rsidRPr="00574F9D" w14:paraId="08206EC0"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1C173150" w14:textId="77777777" w:rsidR="00574F9D" w:rsidRPr="00574F9D" w:rsidRDefault="00574F9D" w:rsidP="00574F9D">
            <w:pPr>
              <w:tabs>
                <w:tab w:val="clear" w:pos="567"/>
              </w:tabs>
              <w:spacing w:before="0" w:line="240" w:lineRule="auto"/>
              <w:ind w:firstLineChars="100" w:firstLine="160"/>
              <w:rPr>
                <w:rFonts w:eastAsia="Times New Roman" w:cs="Open Sans Light"/>
                <w:sz w:val="16"/>
                <w:szCs w:val="16"/>
                <w:lang w:val="en-AU" w:eastAsia="en-AU"/>
              </w:rPr>
            </w:pPr>
            <w:r w:rsidRPr="00574F9D">
              <w:rPr>
                <w:rFonts w:eastAsia="Times New Roman" w:cs="Open Sans Light"/>
                <w:sz w:val="16"/>
                <w:szCs w:val="16"/>
                <w:lang w:val="en-AU"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40CB8568"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-31</w:t>
            </w:r>
          </w:p>
        </w:tc>
        <w:tc>
          <w:tcPr>
            <w:tcW w:w="2400" w:type="dxa"/>
            <w:tcBorders>
              <w:top w:val="nil"/>
              <w:left w:val="nil"/>
              <w:bottom w:val="single" w:sz="4" w:space="0" w:color="ADD6EA"/>
              <w:right w:val="nil"/>
            </w:tcBorders>
            <w:shd w:val="clear" w:color="auto" w:fill="auto"/>
            <w:noWrap/>
            <w:vAlign w:val="bottom"/>
            <w:hideMark/>
          </w:tcPr>
          <w:p w14:paraId="5AC9BB39"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-12</w:t>
            </w:r>
          </w:p>
        </w:tc>
      </w:tr>
      <w:tr w:rsidR="00574F9D" w:rsidRPr="00574F9D" w14:paraId="01E73AF2"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5F456496" w14:textId="77777777" w:rsidR="00574F9D" w:rsidRPr="00574F9D" w:rsidRDefault="00574F9D" w:rsidP="00574F9D">
            <w:pPr>
              <w:tabs>
                <w:tab w:val="clear" w:pos="567"/>
              </w:tabs>
              <w:spacing w:before="0" w:line="240" w:lineRule="auto"/>
              <w:ind w:firstLineChars="100" w:firstLine="160"/>
              <w:rPr>
                <w:rFonts w:eastAsia="Times New Roman" w:cs="Open Sans Light"/>
                <w:sz w:val="16"/>
                <w:szCs w:val="16"/>
                <w:lang w:val="en-AU" w:eastAsia="en-AU"/>
              </w:rPr>
            </w:pPr>
            <w:r w:rsidRPr="00574F9D">
              <w:rPr>
                <w:rFonts w:eastAsia="Times New Roman" w:cs="Open Sans Light"/>
                <w:sz w:val="16"/>
                <w:szCs w:val="16"/>
                <w:lang w:val="en-AU"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0430A81C"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-330</w:t>
            </w:r>
          </w:p>
        </w:tc>
        <w:tc>
          <w:tcPr>
            <w:tcW w:w="2400" w:type="dxa"/>
            <w:tcBorders>
              <w:top w:val="nil"/>
              <w:left w:val="nil"/>
              <w:bottom w:val="single" w:sz="4" w:space="0" w:color="ADD6EA"/>
              <w:right w:val="nil"/>
            </w:tcBorders>
            <w:shd w:val="clear" w:color="auto" w:fill="auto"/>
            <w:noWrap/>
            <w:vAlign w:val="bottom"/>
            <w:hideMark/>
          </w:tcPr>
          <w:p w14:paraId="59ADF6F0" w14:textId="77777777" w:rsidR="00574F9D" w:rsidRPr="00574F9D" w:rsidRDefault="00574F9D" w:rsidP="00574F9D">
            <w:pPr>
              <w:tabs>
                <w:tab w:val="clear" w:pos="567"/>
              </w:tabs>
              <w:spacing w:before="0" w:line="240" w:lineRule="auto"/>
              <w:jc w:val="right"/>
              <w:rPr>
                <w:rFonts w:eastAsia="Times New Roman" w:cs="Open Sans Light"/>
                <w:sz w:val="16"/>
                <w:szCs w:val="16"/>
                <w:lang w:val="en-AU" w:eastAsia="en-AU"/>
              </w:rPr>
            </w:pPr>
            <w:r w:rsidRPr="00574F9D">
              <w:rPr>
                <w:rFonts w:eastAsia="Times New Roman" w:cs="Open Sans Light"/>
                <w:sz w:val="16"/>
                <w:szCs w:val="16"/>
                <w:lang w:val="en-AU" w:eastAsia="en-AU"/>
              </w:rPr>
              <w:t>-124</w:t>
            </w:r>
          </w:p>
        </w:tc>
      </w:tr>
      <w:tr w:rsidR="00574F9D" w:rsidRPr="00574F9D" w14:paraId="5FB5C061" w14:textId="77777777" w:rsidTr="00500FBE">
        <w:trPr>
          <w:trHeight w:val="315"/>
        </w:trPr>
        <w:tc>
          <w:tcPr>
            <w:tcW w:w="4040" w:type="dxa"/>
            <w:tcBorders>
              <w:top w:val="nil"/>
              <w:left w:val="nil"/>
              <w:bottom w:val="single" w:sz="4" w:space="0" w:color="ADD6EA"/>
              <w:right w:val="nil"/>
            </w:tcBorders>
            <w:shd w:val="clear" w:color="000000" w:fill="D6E7F0"/>
            <w:noWrap/>
            <w:vAlign w:val="bottom"/>
            <w:hideMark/>
          </w:tcPr>
          <w:p w14:paraId="1ECCFCA8" w14:textId="77777777" w:rsidR="00574F9D" w:rsidRPr="00574F9D" w:rsidRDefault="00574F9D" w:rsidP="00574F9D">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74F9D">
              <w:rPr>
                <w:rFonts w:ascii="Open Sans SemiBold" w:eastAsia="Times New Roman" w:hAnsi="Open Sans SemiBold" w:cs="Open Sans SemiBold"/>
                <w:color w:val="000000"/>
                <w:sz w:val="16"/>
                <w:szCs w:val="16"/>
                <w:lang w:val="en-AU"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390568FD" w14:textId="77777777" w:rsidR="00574F9D" w:rsidRPr="00574F9D" w:rsidRDefault="00574F9D" w:rsidP="00574F9D">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74F9D">
              <w:rPr>
                <w:rFonts w:ascii="Open Sans SemiBold" w:eastAsia="Times New Roman" w:hAnsi="Open Sans SemiBold" w:cs="Open Sans SemiBold"/>
                <w:color w:val="000000"/>
                <w:sz w:val="16"/>
                <w:szCs w:val="16"/>
                <w:lang w:val="en-AU" w:eastAsia="en-AU"/>
              </w:rPr>
              <w:t>-385</w:t>
            </w:r>
          </w:p>
        </w:tc>
        <w:tc>
          <w:tcPr>
            <w:tcW w:w="2400" w:type="dxa"/>
            <w:tcBorders>
              <w:top w:val="nil"/>
              <w:left w:val="nil"/>
              <w:bottom w:val="single" w:sz="4" w:space="0" w:color="ADD6EA"/>
              <w:right w:val="nil"/>
            </w:tcBorders>
            <w:shd w:val="clear" w:color="000000" w:fill="D6E7F0"/>
            <w:noWrap/>
            <w:vAlign w:val="bottom"/>
            <w:hideMark/>
          </w:tcPr>
          <w:p w14:paraId="1F9985FB" w14:textId="77777777" w:rsidR="00574F9D" w:rsidRPr="00574F9D" w:rsidRDefault="00574F9D" w:rsidP="00574F9D">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74F9D">
              <w:rPr>
                <w:rFonts w:ascii="Open Sans SemiBold" w:eastAsia="Times New Roman" w:hAnsi="Open Sans SemiBold" w:cs="Open Sans SemiBold"/>
                <w:color w:val="000000"/>
                <w:sz w:val="16"/>
                <w:szCs w:val="16"/>
                <w:lang w:val="en-AU" w:eastAsia="en-AU"/>
              </w:rPr>
              <w:t>-145</w:t>
            </w:r>
          </w:p>
        </w:tc>
      </w:tr>
    </w:tbl>
    <w:p w14:paraId="7D9EF00A" w14:textId="29E682F1" w:rsidR="00220009" w:rsidRDefault="00220009" w:rsidP="00220009">
      <w:pPr>
        <w:pStyle w:val="CGCTablenote"/>
      </w:pPr>
      <w:r>
        <w:t>Note:</w:t>
      </w:r>
      <w:r>
        <w:tab/>
        <w:t>Table may not add due to rounding.</w:t>
      </w:r>
    </w:p>
    <w:p w14:paraId="074A63DE" w14:textId="49959DA4" w:rsidR="00220009" w:rsidRDefault="00220009" w:rsidP="00220009">
      <w:pPr>
        <w:pStyle w:val="CGCTablenote"/>
      </w:pPr>
      <w:r>
        <w:t>Source:</w:t>
      </w:r>
      <w:r>
        <w:tab/>
      </w:r>
      <w:r w:rsidR="005438E4">
        <w:t>Commission calculation.</w:t>
      </w:r>
    </w:p>
    <w:p w14:paraId="48CCE193" w14:textId="7F09EFA1" w:rsidR="00F502CE" w:rsidRDefault="00F502CE" w:rsidP="00F502CE">
      <w:pPr>
        <w:pStyle w:val="Caption"/>
      </w:pPr>
      <w:r>
        <w:t xml:space="preserve">Figure </w:t>
      </w:r>
      <w:r w:rsidR="00D5059E">
        <w:t>3</w:t>
      </w:r>
      <w:r w:rsidR="00D5059E">
        <w:noBreakHyphen/>
      </w:r>
      <w:r>
        <w:fldChar w:fldCharType="begin"/>
      </w:r>
      <w:r>
        <w:instrText>SEQ Figure \* ARABIC</w:instrText>
      </w:r>
      <w:r>
        <w:fldChar w:fldCharType="separate"/>
      </w:r>
      <w:r w:rsidR="003D49C2">
        <w:rPr>
          <w:noProof/>
        </w:rPr>
        <w:t>5</w:t>
      </w:r>
      <w:r>
        <w:fldChar w:fldCharType="end"/>
      </w:r>
      <w:r>
        <w:tab/>
        <w:t>Main changes for Western Australia, 2020 Review</w:t>
      </w:r>
    </w:p>
    <w:p w14:paraId="5CEB312D" w14:textId="5C92D7CC" w:rsidR="00F502CE" w:rsidRDefault="00A07BCA" w:rsidP="00B42FC9">
      <w:r>
        <w:rPr>
          <w:noProof/>
        </w:rPr>
        <w:drawing>
          <wp:inline distT="0" distB="0" distL="0" distR="0" wp14:anchorId="16784039" wp14:editId="3BF5076E">
            <wp:extent cx="5681980" cy="3736975"/>
            <wp:effectExtent l="0" t="0" r="0" b="0"/>
            <wp:docPr id="13" name="Picture 13" descr="-$230m Transport. $117m Services to industry. -$110m Property sales. $103m Natural disaster relief. -$515m Mining production. $157m Taxable land values. $108m Taxable payro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1980" cy="3736975"/>
                    </a:xfrm>
                    <a:prstGeom prst="rect">
                      <a:avLst/>
                    </a:prstGeom>
                    <a:noFill/>
                  </pic:spPr>
                </pic:pic>
              </a:graphicData>
            </a:graphic>
          </wp:inline>
        </w:drawing>
      </w:r>
    </w:p>
    <w:p w14:paraId="3E5FFF49" w14:textId="75FEFFE8" w:rsidR="00A13D14" w:rsidRPr="00A13D14" w:rsidRDefault="00A13D14" w:rsidP="00A13D14">
      <w:pPr>
        <w:pStyle w:val="CGCTablenote"/>
        <w:sectPr w:rsidR="00A13D14" w:rsidRPr="00A13D14" w:rsidSect="00E22AA8">
          <w:pgSz w:w="11907" w:h="16840" w:code="9"/>
          <w:pgMar w:top="1418" w:right="1474" w:bottom="1418" w:left="1474" w:header="720" w:footer="567" w:gutter="0"/>
          <w:cols w:space="720"/>
          <w:titlePg/>
          <w:docGrid w:linePitch="360"/>
        </w:sectPr>
      </w:pPr>
      <w:r>
        <w:t>Source:</w:t>
      </w:r>
      <w:r>
        <w:tab/>
        <w:t>Commission calculation.</w:t>
      </w:r>
    </w:p>
    <w:p w14:paraId="78504AD7" w14:textId="6F6F1404" w:rsidR="006032C3" w:rsidRDefault="006032C3" w:rsidP="0038169A">
      <w:pPr>
        <w:pStyle w:val="Heading3"/>
        <w:spacing w:before="120"/>
      </w:pPr>
      <w:bookmarkStart w:id="46" w:name="_Toc33600554"/>
      <w:r>
        <w:lastRenderedPageBreak/>
        <w:t>South Australia</w:t>
      </w:r>
      <w:bookmarkEnd w:id="46"/>
    </w:p>
    <w:p w14:paraId="62123605" w14:textId="7781A6BC" w:rsidR="00183EF1" w:rsidRDefault="00143170" w:rsidP="00B306F7">
      <w:r w:rsidRPr="00143170">
        <w:t>South</w:t>
      </w:r>
      <w:r w:rsidR="007D02AE">
        <w:t> </w:t>
      </w:r>
      <w:r w:rsidRPr="00143170">
        <w:t xml:space="preserve">Australia’s fiscal capacity has </w:t>
      </w:r>
      <w:r w:rsidR="002A58BD">
        <w:t>strength</w:t>
      </w:r>
      <w:r w:rsidR="001C4677">
        <w:t xml:space="preserve">ened </w:t>
      </w:r>
      <w:r w:rsidRPr="00143170">
        <w:t>due to an increase in its share of Commonwealth payments</w:t>
      </w:r>
      <w:r w:rsidR="004E4F76">
        <w:t xml:space="preserve">, lower assessed costs of providing </w:t>
      </w:r>
      <w:r w:rsidR="007D7734">
        <w:t xml:space="preserve">urban public </w:t>
      </w:r>
      <w:r w:rsidR="008A6B1D">
        <w:t>transport</w:t>
      </w:r>
      <w:r w:rsidRPr="00143170">
        <w:t xml:space="preserve"> and </w:t>
      </w:r>
      <w:r w:rsidR="004E4F76">
        <w:t>school</w:t>
      </w:r>
      <w:r w:rsidR="00D44836">
        <w:t xml:space="preserve"> services</w:t>
      </w:r>
      <w:r w:rsidR="00FC316F">
        <w:t xml:space="preserve">, </w:t>
      </w:r>
      <w:r w:rsidRPr="00143170">
        <w:t xml:space="preserve">a lower </w:t>
      </w:r>
      <w:r w:rsidR="00FC316F">
        <w:t>investment</w:t>
      </w:r>
      <w:r w:rsidRPr="00143170">
        <w:t xml:space="preserve"> requirement</w:t>
      </w:r>
      <w:r w:rsidR="00C749B7">
        <w:t>,</w:t>
      </w:r>
      <w:r w:rsidR="00FC316F">
        <w:t xml:space="preserve"> </w:t>
      </w:r>
      <w:r w:rsidR="003A60FF">
        <w:t xml:space="preserve">revisions to State </w:t>
      </w:r>
      <w:r w:rsidR="002654DB">
        <w:t>natural disaster relief expenses</w:t>
      </w:r>
      <w:r w:rsidR="00C749B7">
        <w:t xml:space="preserve"> </w:t>
      </w:r>
      <w:r w:rsidR="00184CE2">
        <w:t xml:space="preserve">and </w:t>
      </w:r>
      <w:r w:rsidR="00C749B7">
        <w:t>above average growth in property sales</w:t>
      </w:r>
      <w:r w:rsidRPr="00143170">
        <w:t xml:space="preserve">. These changes </w:t>
      </w:r>
      <w:r w:rsidR="004E3E38">
        <w:t>we</w:t>
      </w:r>
      <w:r w:rsidRPr="00143170">
        <w:t xml:space="preserve">re partially offset by a </w:t>
      </w:r>
      <w:r w:rsidR="0045283D">
        <w:t xml:space="preserve">reduced capacity to raise </w:t>
      </w:r>
      <w:r w:rsidRPr="00143170">
        <w:t xml:space="preserve">mining </w:t>
      </w:r>
      <w:r w:rsidR="007D1D38">
        <w:t>revenue</w:t>
      </w:r>
      <w:r w:rsidR="00637B11">
        <w:t xml:space="preserve"> relative to other States</w:t>
      </w:r>
      <w:r w:rsidRPr="00143170">
        <w:t>. Compared with 201</w:t>
      </w:r>
      <w:r w:rsidR="009B6289">
        <w:t>9</w:t>
      </w:r>
      <w:r w:rsidR="009B6289">
        <w:noBreakHyphen/>
        <w:t>20</w:t>
      </w:r>
      <w:r w:rsidRPr="00143170">
        <w:t>, the State’s share of GST will decrease from 10.</w:t>
      </w:r>
      <w:r w:rsidR="00663186">
        <w:t>1</w:t>
      </w:r>
      <w:r w:rsidRPr="00143170">
        <w:t xml:space="preserve">% to </w:t>
      </w:r>
      <w:r w:rsidR="00663186">
        <w:t>9</w:t>
      </w:r>
      <w:r w:rsidRPr="00143170">
        <w:t>.</w:t>
      </w:r>
      <w:r w:rsidR="00335B99">
        <w:t>3</w:t>
      </w:r>
      <w:r w:rsidRPr="00143170">
        <w:t>%</w:t>
      </w:r>
      <w:r w:rsidR="00AD20FC">
        <w:t>. G</w:t>
      </w:r>
      <w:r w:rsidRPr="00143170">
        <w:t>rowth</w:t>
      </w:r>
      <w:r w:rsidR="00AD20FC">
        <w:t xml:space="preserve"> in the GST pool</w:t>
      </w:r>
      <w:r w:rsidR="00DE68D2">
        <w:t xml:space="preserve"> does not offset </w:t>
      </w:r>
      <w:r w:rsidR="002A58BD">
        <w:t>the impact of South</w:t>
      </w:r>
      <w:r w:rsidR="00CB0B84">
        <w:t xml:space="preserve"> </w:t>
      </w:r>
      <w:r w:rsidR="002A58BD">
        <w:t>Australia’s improved fiscal capacity</w:t>
      </w:r>
      <w:r w:rsidRPr="00143170">
        <w:t xml:space="preserve">, </w:t>
      </w:r>
      <w:r w:rsidR="00B42D26">
        <w:t xml:space="preserve">and </w:t>
      </w:r>
      <w:r w:rsidRPr="00143170">
        <w:t xml:space="preserve">its GST entitlement will </w:t>
      </w:r>
      <w:r w:rsidR="00B42D26">
        <w:t xml:space="preserve">fall </w:t>
      </w:r>
      <w:r w:rsidRPr="00143170">
        <w:t>by $</w:t>
      </w:r>
      <w:r w:rsidR="00B40F69">
        <w:t>3</w:t>
      </w:r>
      <w:r w:rsidR="0075505B">
        <w:t>3</w:t>
      </w:r>
      <w:r w:rsidR="005932A1">
        <w:t>2</w:t>
      </w:r>
      <w:r w:rsidR="00327424">
        <w:t> </w:t>
      </w:r>
      <w:r w:rsidRPr="00143170">
        <w:t xml:space="preserve">million, or </w:t>
      </w:r>
      <w:r w:rsidR="00A47644">
        <w:t>5</w:t>
      </w:r>
      <w:r w:rsidRPr="00143170">
        <w:t>.</w:t>
      </w:r>
      <w:r w:rsidR="00402540">
        <w:t>0</w:t>
      </w:r>
      <w:r w:rsidRPr="00143170">
        <w:t>%</w:t>
      </w:r>
      <w:r w:rsidR="00AA0A5F">
        <w:t>.</w:t>
      </w:r>
    </w:p>
    <w:p w14:paraId="54D6058A" w14:textId="234B586E" w:rsidR="00220009" w:rsidRDefault="00220009" w:rsidP="00220009">
      <w:pPr>
        <w:pStyle w:val="CGCTableHeading"/>
      </w:pPr>
      <w:r>
        <w:t xml:space="preserve">Table </w:t>
      </w:r>
      <w:r w:rsidR="00D5059E">
        <w:t>3</w:t>
      </w:r>
      <w:r w:rsidR="00D5059E">
        <w:noBreakHyphen/>
      </w:r>
      <w:r>
        <w:fldChar w:fldCharType="begin"/>
      </w:r>
      <w:r>
        <w:instrText>SEQ Table \* ARABIC</w:instrText>
      </w:r>
      <w:r>
        <w:fldChar w:fldCharType="separate"/>
      </w:r>
      <w:r w:rsidR="003D49C2">
        <w:rPr>
          <w:noProof/>
        </w:rPr>
        <w:t>5</w:t>
      </w:r>
      <w:r>
        <w:fldChar w:fldCharType="end"/>
      </w:r>
      <w:r>
        <w:tab/>
      </w:r>
      <w:r w:rsidR="00A37FAC">
        <w:t>Change in illustrative GST distribution since the 2019 Update, South Australia</w:t>
      </w:r>
    </w:p>
    <w:tbl>
      <w:tblPr>
        <w:tblW w:w="8902" w:type="dxa"/>
        <w:tblCellMar>
          <w:left w:w="0" w:type="dxa"/>
          <w:right w:w="28" w:type="dxa"/>
        </w:tblCellMar>
        <w:tblLook w:val="04A0" w:firstRow="1" w:lastRow="0" w:firstColumn="1" w:lastColumn="0" w:noHBand="0" w:noVBand="1"/>
      </w:tblPr>
      <w:tblGrid>
        <w:gridCol w:w="4040"/>
        <w:gridCol w:w="2508"/>
        <w:gridCol w:w="2411"/>
      </w:tblGrid>
      <w:tr w:rsidR="00501058" w:rsidRPr="00501058" w14:paraId="3D39B93C" w14:textId="77777777" w:rsidTr="00500FBE">
        <w:trPr>
          <w:trHeight w:val="258"/>
        </w:trPr>
        <w:tc>
          <w:tcPr>
            <w:tcW w:w="4160" w:type="dxa"/>
            <w:tcBorders>
              <w:top w:val="single" w:sz="4" w:space="0" w:color="ADD6EA"/>
              <w:left w:val="nil"/>
              <w:bottom w:val="single" w:sz="4" w:space="0" w:color="ADD6EA"/>
              <w:right w:val="nil"/>
            </w:tcBorders>
            <w:shd w:val="clear" w:color="000000" w:fill="006991"/>
            <w:noWrap/>
            <w:vAlign w:val="center"/>
            <w:hideMark/>
          </w:tcPr>
          <w:p w14:paraId="25433A31" w14:textId="77777777" w:rsidR="00501058" w:rsidRPr="00501058" w:rsidRDefault="00501058" w:rsidP="0050105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01058">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noWrap/>
            <w:vAlign w:val="center"/>
            <w:hideMark/>
          </w:tcPr>
          <w:p w14:paraId="1F1C2931" w14:textId="77777777" w:rsidR="00501058" w:rsidRPr="00501058" w:rsidRDefault="00501058" w:rsidP="0050105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01058">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noWrap/>
            <w:vAlign w:val="center"/>
            <w:hideMark/>
          </w:tcPr>
          <w:p w14:paraId="166509E8" w14:textId="77777777" w:rsidR="00501058" w:rsidRPr="00501058" w:rsidRDefault="00501058" w:rsidP="0050105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501058">
              <w:rPr>
                <w:rFonts w:ascii="Open Sans SemiBold" w:eastAsia="Times New Roman" w:hAnsi="Open Sans SemiBold" w:cs="Open Sans SemiBold"/>
                <w:color w:val="FFFFFF"/>
                <w:sz w:val="16"/>
                <w:szCs w:val="16"/>
                <w:lang w:val="en-AU" w:eastAsia="en-AU"/>
              </w:rPr>
              <w:t>$pc</w:t>
            </w:r>
          </w:p>
        </w:tc>
      </w:tr>
      <w:tr w:rsidR="00501058" w:rsidRPr="00501058" w14:paraId="4921ECBD"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6A841639" w14:textId="77777777" w:rsidR="00501058" w:rsidRPr="00501058" w:rsidRDefault="00501058" w:rsidP="00501058">
            <w:pPr>
              <w:tabs>
                <w:tab w:val="clear" w:pos="567"/>
              </w:tabs>
              <w:spacing w:before="0" w:line="240" w:lineRule="auto"/>
              <w:rPr>
                <w:rFonts w:eastAsia="Times New Roman" w:cs="Open Sans Light"/>
                <w:sz w:val="16"/>
                <w:szCs w:val="16"/>
                <w:lang w:val="en-AU" w:eastAsia="en-AU"/>
              </w:rPr>
            </w:pPr>
            <w:r w:rsidRPr="00501058">
              <w:rPr>
                <w:rFonts w:eastAsia="Times New Roman" w:cs="Open Sans Light"/>
                <w:sz w:val="16"/>
                <w:szCs w:val="16"/>
                <w:lang w:val="en-AU" w:eastAsia="en-AU"/>
              </w:rPr>
              <w:t>New population</w:t>
            </w:r>
          </w:p>
        </w:tc>
        <w:tc>
          <w:tcPr>
            <w:tcW w:w="2580" w:type="dxa"/>
            <w:tcBorders>
              <w:top w:val="nil"/>
              <w:left w:val="nil"/>
              <w:bottom w:val="single" w:sz="4" w:space="0" w:color="ADD6EA"/>
              <w:right w:val="nil"/>
            </w:tcBorders>
            <w:shd w:val="clear" w:color="auto" w:fill="auto"/>
            <w:noWrap/>
            <w:vAlign w:val="bottom"/>
            <w:hideMark/>
          </w:tcPr>
          <w:p w14:paraId="68558A55"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-53</w:t>
            </w:r>
          </w:p>
        </w:tc>
        <w:tc>
          <w:tcPr>
            <w:tcW w:w="2480" w:type="dxa"/>
            <w:tcBorders>
              <w:top w:val="nil"/>
              <w:left w:val="nil"/>
              <w:bottom w:val="single" w:sz="4" w:space="0" w:color="ADD6EA"/>
              <w:right w:val="nil"/>
            </w:tcBorders>
            <w:shd w:val="clear" w:color="auto" w:fill="auto"/>
            <w:noWrap/>
            <w:vAlign w:val="bottom"/>
            <w:hideMark/>
          </w:tcPr>
          <w:p w14:paraId="34A8C1DC"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-30</w:t>
            </w:r>
          </w:p>
        </w:tc>
      </w:tr>
      <w:tr w:rsidR="00501058" w:rsidRPr="00501058" w14:paraId="4B01F9EF"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3583E401" w14:textId="77777777" w:rsidR="00501058" w:rsidRPr="00501058" w:rsidRDefault="00501058" w:rsidP="00501058">
            <w:pPr>
              <w:tabs>
                <w:tab w:val="clear" w:pos="567"/>
              </w:tabs>
              <w:spacing w:before="0" w:line="240" w:lineRule="auto"/>
              <w:rPr>
                <w:rFonts w:eastAsia="Times New Roman" w:cs="Open Sans Light"/>
                <w:sz w:val="16"/>
                <w:szCs w:val="16"/>
                <w:lang w:val="en-AU" w:eastAsia="en-AU"/>
              </w:rPr>
            </w:pPr>
            <w:r w:rsidRPr="00501058">
              <w:rPr>
                <w:rFonts w:eastAsia="Times New Roman" w:cs="Open Sans Light"/>
                <w:sz w:val="16"/>
                <w:szCs w:val="16"/>
                <w:lang w:val="en-AU" w:eastAsia="en-AU"/>
              </w:rPr>
              <w:t>Growth in GST available</w:t>
            </w:r>
          </w:p>
        </w:tc>
        <w:tc>
          <w:tcPr>
            <w:tcW w:w="2580" w:type="dxa"/>
            <w:tcBorders>
              <w:top w:val="nil"/>
              <w:left w:val="nil"/>
              <w:bottom w:val="single" w:sz="4" w:space="0" w:color="ADD6EA"/>
              <w:right w:val="nil"/>
            </w:tcBorders>
            <w:shd w:val="clear" w:color="auto" w:fill="auto"/>
            <w:noWrap/>
            <w:vAlign w:val="bottom"/>
            <w:hideMark/>
          </w:tcPr>
          <w:p w14:paraId="1FCECFEF"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220</w:t>
            </w:r>
          </w:p>
        </w:tc>
        <w:tc>
          <w:tcPr>
            <w:tcW w:w="2480" w:type="dxa"/>
            <w:tcBorders>
              <w:top w:val="nil"/>
              <w:left w:val="nil"/>
              <w:bottom w:val="single" w:sz="4" w:space="0" w:color="ADD6EA"/>
              <w:right w:val="nil"/>
            </w:tcBorders>
            <w:shd w:val="clear" w:color="auto" w:fill="auto"/>
            <w:noWrap/>
            <w:vAlign w:val="bottom"/>
            <w:hideMark/>
          </w:tcPr>
          <w:p w14:paraId="5C0BC7EF"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124</w:t>
            </w:r>
          </w:p>
        </w:tc>
      </w:tr>
      <w:tr w:rsidR="00501058" w:rsidRPr="00501058" w14:paraId="1AD53886"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25DE250F" w14:textId="77777777" w:rsidR="00501058" w:rsidRPr="00501058" w:rsidRDefault="00501058" w:rsidP="00501058">
            <w:pPr>
              <w:tabs>
                <w:tab w:val="clear" w:pos="567"/>
              </w:tabs>
              <w:spacing w:before="0" w:line="240" w:lineRule="auto"/>
              <w:rPr>
                <w:rFonts w:eastAsia="Times New Roman" w:cs="Open Sans Light"/>
                <w:sz w:val="16"/>
                <w:szCs w:val="16"/>
                <w:lang w:val="en-AU" w:eastAsia="en-AU"/>
              </w:rPr>
            </w:pPr>
            <w:r w:rsidRPr="00501058">
              <w:rPr>
                <w:rFonts w:eastAsia="Times New Roman" w:cs="Open Sans Light"/>
                <w:sz w:val="16"/>
                <w:szCs w:val="16"/>
                <w:lang w:val="en-AU" w:eastAsia="en-AU"/>
              </w:rPr>
              <w:t>Changes in relative fiscal capacity</w:t>
            </w:r>
          </w:p>
        </w:tc>
        <w:tc>
          <w:tcPr>
            <w:tcW w:w="2580" w:type="dxa"/>
            <w:tcBorders>
              <w:top w:val="nil"/>
              <w:left w:val="nil"/>
              <w:bottom w:val="single" w:sz="4" w:space="0" w:color="ADD6EA"/>
              <w:right w:val="nil"/>
            </w:tcBorders>
            <w:shd w:val="clear" w:color="auto" w:fill="auto"/>
            <w:noWrap/>
            <w:vAlign w:val="bottom"/>
            <w:hideMark/>
          </w:tcPr>
          <w:p w14:paraId="5640851E"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-499</w:t>
            </w:r>
          </w:p>
        </w:tc>
        <w:tc>
          <w:tcPr>
            <w:tcW w:w="2480" w:type="dxa"/>
            <w:tcBorders>
              <w:top w:val="nil"/>
              <w:left w:val="nil"/>
              <w:bottom w:val="single" w:sz="4" w:space="0" w:color="ADD6EA"/>
              <w:right w:val="nil"/>
            </w:tcBorders>
            <w:shd w:val="clear" w:color="auto" w:fill="auto"/>
            <w:noWrap/>
            <w:vAlign w:val="bottom"/>
            <w:hideMark/>
          </w:tcPr>
          <w:p w14:paraId="043FB37B"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-282</w:t>
            </w:r>
          </w:p>
        </w:tc>
      </w:tr>
      <w:tr w:rsidR="00501058" w:rsidRPr="00501058" w14:paraId="2C56EA51"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00E6210F" w14:textId="77777777" w:rsidR="00501058" w:rsidRPr="00501058" w:rsidRDefault="00501058" w:rsidP="00501058">
            <w:pPr>
              <w:tabs>
                <w:tab w:val="clear" w:pos="567"/>
              </w:tabs>
              <w:spacing w:before="0" w:line="240" w:lineRule="auto"/>
              <w:ind w:firstLineChars="100" w:firstLine="160"/>
              <w:rPr>
                <w:rFonts w:eastAsia="Times New Roman" w:cs="Open Sans Light"/>
                <w:sz w:val="16"/>
                <w:szCs w:val="16"/>
                <w:lang w:val="en-AU" w:eastAsia="en-AU"/>
              </w:rPr>
            </w:pPr>
            <w:r w:rsidRPr="00501058">
              <w:rPr>
                <w:rFonts w:eastAsia="Times New Roman" w:cs="Open Sans Light"/>
                <w:sz w:val="16"/>
                <w:szCs w:val="16"/>
                <w:lang w:val="en-AU" w:eastAsia="en-AU"/>
              </w:rPr>
              <w:t>Method changes</w:t>
            </w:r>
          </w:p>
        </w:tc>
        <w:tc>
          <w:tcPr>
            <w:tcW w:w="2580" w:type="dxa"/>
            <w:tcBorders>
              <w:top w:val="nil"/>
              <w:left w:val="nil"/>
              <w:bottom w:val="single" w:sz="4" w:space="0" w:color="ADD6EA"/>
              <w:right w:val="nil"/>
            </w:tcBorders>
            <w:shd w:val="clear" w:color="auto" w:fill="auto"/>
            <w:noWrap/>
            <w:vAlign w:val="bottom"/>
            <w:hideMark/>
          </w:tcPr>
          <w:p w14:paraId="178EEEA7"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-274</w:t>
            </w:r>
          </w:p>
        </w:tc>
        <w:tc>
          <w:tcPr>
            <w:tcW w:w="2480" w:type="dxa"/>
            <w:tcBorders>
              <w:top w:val="nil"/>
              <w:left w:val="nil"/>
              <w:bottom w:val="single" w:sz="4" w:space="0" w:color="ADD6EA"/>
              <w:right w:val="nil"/>
            </w:tcBorders>
            <w:shd w:val="clear" w:color="auto" w:fill="auto"/>
            <w:noWrap/>
            <w:vAlign w:val="bottom"/>
            <w:hideMark/>
          </w:tcPr>
          <w:p w14:paraId="61664AF8"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-154</w:t>
            </w:r>
          </w:p>
        </w:tc>
      </w:tr>
      <w:tr w:rsidR="00501058" w:rsidRPr="00501058" w14:paraId="29443ECE"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1D67FBE5" w14:textId="77777777" w:rsidR="00501058" w:rsidRPr="00501058" w:rsidRDefault="00501058" w:rsidP="00501058">
            <w:pPr>
              <w:tabs>
                <w:tab w:val="clear" w:pos="567"/>
              </w:tabs>
              <w:spacing w:before="0" w:line="240" w:lineRule="auto"/>
              <w:ind w:firstLineChars="100" w:firstLine="160"/>
              <w:rPr>
                <w:rFonts w:eastAsia="Times New Roman" w:cs="Open Sans Light"/>
                <w:sz w:val="16"/>
                <w:szCs w:val="16"/>
                <w:lang w:val="en-AU" w:eastAsia="en-AU"/>
              </w:rPr>
            </w:pPr>
            <w:r w:rsidRPr="00501058">
              <w:rPr>
                <w:rFonts w:eastAsia="Times New Roman" w:cs="Open Sans Light"/>
                <w:sz w:val="16"/>
                <w:szCs w:val="16"/>
                <w:lang w:val="en-AU" w:eastAsia="en-AU"/>
              </w:rPr>
              <w:t>Data revisions</w:t>
            </w:r>
          </w:p>
        </w:tc>
        <w:tc>
          <w:tcPr>
            <w:tcW w:w="2580" w:type="dxa"/>
            <w:tcBorders>
              <w:top w:val="nil"/>
              <w:left w:val="nil"/>
              <w:bottom w:val="single" w:sz="4" w:space="0" w:color="ADD6EA"/>
              <w:right w:val="nil"/>
            </w:tcBorders>
            <w:shd w:val="clear" w:color="auto" w:fill="auto"/>
            <w:noWrap/>
            <w:vAlign w:val="bottom"/>
            <w:hideMark/>
          </w:tcPr>
          <w:p w14:paraId="39374B32"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-53</w:t>
            </w:r>
          </w:p>
        </w:tc>
        <w:tc>
          <w:tcPr>
            <w:tcW w:w="2480" w:type="dxa"/>
            <w:tcBorders>
              <w:top w:val="nil"/>
              <w:left w:val="nil"/>
              <w:bottom w:val="single" w:sz="4" w:space="0" w:color="ADD6EA"/>
              <w:right w:val="nil"/>
            </w:tcBorders>
            <w:shd w:val="clear" w:color="auto" w:fill="auto"/>
            <w:noWrap/>
            <w:vAlign w:val="bottom"/>
            <w:hideMark/>
          </w:tcPr>
          <w:p w14:paraId="194C9030"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-30</w:t>
            </w:r>
          </w:p>
        </w:tc>
      </w:tr>
      <w:tr w:rsidR="00501058" w:rsidRPr="00501058" w14:paraId="2F7CB472"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3A2A359C" w14:textId="77777777" w:rsidR="00501058" w:rsidRPr="00501058" w:rsidRDefault="00501058" w:rsidP="00501058">
            <w:pPr>
              <w:tabs>
                <w:tab w:val="clear" w:pos="567"/>
              </w:tabs>
              <w:spacing w:before="0" w:line="240" w:lineRule="auto"/>
              <w:ind w:firstLineChars="100" w:firstLine="160"/>
              <w:rPr>
                <w:rFonts w:eastAsia="Times New Roman" w:cs="Open Sans Light"/>
                <w:sz w:val="16"/>
                <w:szCs w:val="16"/>
                <w:lang w:val="en-AU" w:eastAsia="en-AU"/>
              </w:rPr>
            </w:pPr>
            <w:r w:rsidRPr="00501058">
              <w:rPr>
                <w:rFonts w:eastAsia="Times New Roman" w:cs="Open Sans Light"/>
                <w:sz w:val="16"/>
                <w:szCs w:val="16"/>
                <w:lang w:val="en-AU" w:eastAsia="en-AU"/>
              </w:rPr>
              <w:t>State circumstances</w:t>
            </w:r>
          </w:p>
        </w:tc>
        <w:tc>
          <w:tcPr>
            <w:tcW w:w="2580" w:type="dxa"/>
            <w:tcBorders>
              <w:top w:val="nil"/>
              <w:left w:val="nil"/>
              <w:bottom w:val="single" w:sz="4" w:space="0" w:color="ADD6EA"/>
              <w:right w:val="nil"/>
            </w:tcBorders>
            <w:shd w:val="clear" w:color="auto" w:fill="auto"/>
            <w:noWrap/>
            <w:vAlign w:val="bottom"/>
            <w:hideMark/>
          </w:tcPr>
          <w:p w14:paraId="0057742C"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-172</w:t>
            </w:r>
          </w:p>
        </w:tc>
        <w:tc>
          <w:tcPr>
            <w:tcW w:w="2480" w:type="dxa"/>
            <w:tcBorders>
              <w:top w:val="nil"/>
              <w:left w:val="nil"/>
              <w:bottom w:val="single" w:sz="4" w:space="0" w:color="ADD6EA"/>
              <w:right w:val="nil"/>
            </w:tcBorders>
            <w:shd w:val="clear" w:color="auto" w:fill="auto"/>
            <w:noWrap/>
            <w:vAlign w:val="bottom"/>
            <w:hideMark/>
          </w:tcPr>
          <w:p w14:paraId="36106EF0" w14:textId="77777777" w:rsidR="00501058" w:rsidRPr="00501058" w:rsidRDefault="00501058" w:rsidP="00501058">
            <w:pPr>
              <w:tabs>
                <w:tab w:val="clear" w:pos="567"/>
              </w:tabs>
              <w:spacing w:before="0" w:line="240" w:lineRule="auto"/>
              <w:jc w:val="right"/>
              <w:rPr>
                <w:rFonts w:eastAsia="Times New Roman" w:cs="Open Sans Light"/>
                <w:sz w:val="16"/>
                <w:szCs w:val="16"/>
                <w:lang w:val="en-AU" w:eastAsia="en-AU"/>
              </w:rPr>
            </w:pPr>
            <w:r w:rsidRPr="00501058">
              <w:rPr>
                <w:rFonts w:eastAsia="Times New Roman" w:cs="Open Sans Light"/>
                <w:sz w:val="16"/>
                <w:szCs w:val="16"/>
                <w:lang w:val="en-AU" w:eastAsia="en-AU"/>
              </w:rPr>
              <w:t>-97</w:t>
            </w:r>
          </w:p>
        </w:tc>
      </w:tr>
      <w:tr w:rsidR="00501058" w:rsidRPr="00501058" w14:paraId="33121FD6" w14:textId="77777777" w:rsidTr="00500FBE">
        <w:trPr>
          <w:trHeight w:val="315"/>
        </w:trPr>
        <w:tc>
          <w:tcPr>
            <w:tcW w:w="4160" w:type="dxa"/>
            <w:tcBorders>
              <w:top w:val="nil"/>
              <w:left w:val="nil"/>
              <w:bottom w:val="single" w:sz="4" w:space="0" w:color="ADD6EA"/>
              <w:right w:val="nil"/>
            </w:tcBorders>
            <w:shd w:val="clear" w:color="000000" w:fill="D6E7F0"/>
            <w:noWrap/>
            <w:vAlign w:val="bottom"/>
            <w:hideMark/>
          </w:tcPr>
          <w:p w14:paraId="5E2357AC" w14:textId="77777777" w:rsidR="00501058" w:rsidRPr="00501058" w:rsidRDefault="00501058" w:rsidP="00501058">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01058">
              <w:rPr>
                <w:rFonts w:ascii="Open Sans SemiBold" w:eastAsia="Times New Roman" w:hAnsi="Open Sans SemiBold" w:cs="Open Sans SemiBold"/>
                <w:color w:val="000000"/>
                <w:sz w:val="16"/>
                <w:szCs w:val="16"/>
                <w:lang w:val="en-AU" w:eastAsia="en-AU"/>
              </w:rPr>
              <w:t>Total change</w:t>
            </w:r>
          </w:p>
        </w:tc>
        <w:tc>
          <w:tcPr>
            <w:tcW w:w="2580" w:type="dxa"/>
            <w:tcBorders>
              <w:top w:val="nil"/>
              <w:left w:val="nil"/>
              <w:bottom w:val="single" w:sz="4" w:space="0" w:color="ADD6EA"/>
              <w:right w:val="nil"/>
            </w:tcBorders>
            <w:shd w:val="clear" w:color="000000" w:fill="D6E7F0"/>
            <w:noWrap/>
            <w:vAlign w:val="bottom"/>
            <w:hideMark/>
          </w:tcPr>
          <w:p w14:paraId="0CE74EA9" w14:textId="77777777" w:rsidR="00501058" w:rsidRPr="00501058" w:rsidRDefault="00501058" w:rsidP="00501058">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01058">
              <w:rPr>
                <w:rFonts w:ascii="Open Sans SemiBold" w:eastAsia="Times New Roman" w:hAnsi="Open Sans SemiBold" w:cs="Open Sans SemiBold"/>
                <w:color w:val="000000"/>
                <w:sz w:val="16"/>
                <w:szCs w:val="16"/>
                <w:lang w:val="en-AU" w:eastAsia="en-AU"/>
              </w:rPr>
              <w:t>-332</w:t>
            </w:r>
          </w:p>
        </w:tc>
        <w:tc>
          <w:tcPr>
            <w:tcW w:w="2480" w:type="dxa"/>
            <w:tcBorders>
              <w:top w:val="nil"/>
              <w:left w:val="nil"/>
              <w:bottom w:val="single" w:sz="4" w:space="0" w:color="ADD6EA"/>
              <w:right w:val="nil"/>
            </w:tcBorders>
            <w:shd w:val="clear" w:color="000000" w:fill="D6E7F0"/>
            <w:noWrap/>
            <w:vAlign w:val="bottom"/>
            <w:hideMark/>
          </w:tcPr>
          <w:p w14:paraId="20C14F76" w14:textId="77777777" w:rsidR="00501058" w:rsidRPr="00501058" w:rsidRDefault="00501058" w:rsidP="00501058">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01058">
              <w:rPr>
                <w:rFonts w:ascii="Open Sans SemiBold" w:eastAsia="Times New Roman" w:hAnsi="Open Sans SemiBold" w:cs="Open Sans SemiBold"/>
                <w:color w:val="000000"/>
                <w:sz w:val="16"/>
                <w:szCs w:val="16"/>
                <w:lang w:val="en-AU" w:eastAsia="en-AU"/>
              </w:rPr>
              <w:t>-188</w:t>
            </w:r>
          </w:p>
        </w:tc>
      </w:tr>
    </w:tbl>
    <w:p w14:paraId="667C7135" w14:textId="3543766B" w:rsidR="00220009" w:rsidRDefault="00220009" w:rsidP="00220009">
      <w:pPr>
        <w:pStyle w:val="CGCTablenote"/>
      </w:pPr>
      <w:r>
        <w:t>Note:</w:t>
      </w:r>
      <w:r>
        <w:tab/>
      </w:r>
      <w:r w:rsidR="005438E4">
        <w:t>Table may not add due to rounding.</w:t>
      </w:r>
    </w:p>
    <w:p w14:paraId="35C84B40" w14:textId="2ECD4E76" w:rsidR="00C25E8D" w:rsidRDefault="00220009" w:rsidP="00001ABB">
      <w:pPr>
        <w:pStyle w:val="CGCTablenote"/>
      </w:pPr>
      <w:r>
        <w:t>Source:</w:t>
      </w:r>
      <w:r>
        <w:tab/>
      </w:r>
      <w:r w:rsidR="005438E4">
        <w:t>Commission calculation.</w:t>
      </w:r>
    </w:p>
    <w:p w14:paraId="2C8A2466" w14:textId="10742F01" w:rsidR="00D66DAF" w:rsidRDefault="00D66DAF" w:rsidP="00965779">
      <w:pPr>
        <w:pStyle w:val="Caption"/>
        <w:spacing w:before="120"/>
      </w:pPr>
      <w:r>
        <w:t xml:space="preserve">Figure </w:t>
      </w:r>
      <w:r w:rsidR="00D5059E">
        <w:t>3</w:t>
      </w:r>
      <w:r w:rsidR="00D5059E">
        <w:noBreakHyphen/>
      </w:r>
      <w:r>
        <w:fldChar w:fldCharType="begin"/>
      </w:r>
      <w:r>
        <w:instrText>SEQ Figure \* ARABIC</w:instrText>
      </w:r>
      <w:r>
        <w:fldChar w:fldCharType="separate"/>
      </w:r>
      <w:r w:rsidR="003D49C2">
        <w:rPr>
          <w:noProof/>
        </w:rPr>
        <w:t>6</w:t>
      </w:r>
      <w:r>
        <w:fldChar w:fldCharType="end"/>
      </w:r>
      <w:r>
        <w:tab/>
        <w:t>Main changes for South Australia, 2020 Review</w:t>
      </w:r>
    </w:p>
    <w:p w14:paraId="50D8E6A0" w14:textId="01CD0B78" w:rsidR="00D66DAF" w:rsidRDefault="00D4002A" w:rsidP="00F46C20">
      <w:r>
        <w:rPr>
          <w:noProof/>
        </w:rPr>
        <w:drawing>
          <wp:inline distT="0" distB="0" distL="0" distR="0" wp14:anchorId="25D3D7C0" wp14:editId="59695767">
            <wp:extent cx="5681980" cy="3944620"/>
            <wp:effectExtent l="0" t="0" r="0" b="0"/>
            <wp:docPr id="14" name="Picture 14" descr="-$103m Transport. -$81m School education. -$70m Investment. -$68m Natural disaster relief. -$174m Commonwealth payments. $117m Mining production. -$84m Property s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980" cy="3944620"/>
                    </a:xfrm>
                    <a:prstGeom prst="rect">
                      <a:avLst/>
                    </a:prstGeom>
                    <a:noFill/>
                  </pic:spPr>
                </pic:pic>
              </a:graphicData>
            </a:graphic>
          </wp:inline>
        </w:drawing>
      </w:r>
    </w:p>
    <w:p w14:paraId="126BEA78" w14:textId="7A5133B5" w:rsidR="00C25E8D" w:rsidRPr="00C25E8D" w:rsidRDefault="00C25E8D" w:rsidP="00C25E8D">
      <w:pPr>
        <w:pStyle w:val="CGCTablenote"/>
        <w:sectPr w:rsidR="00C25E8D" w:rsidRPr="00C25E8D" w:rsidSect="00E22AA8">
          <w:pgSz w:w="11907" w:h="16840" w:code="9"/>
          <w:pgMar w:top="1418" w:right="1474" w:bottom="1418" w:left="1474" w:header="720" w:footer="567" w:gutter="0"/>
          <w:cols w:space="720"/>
          <w:titlePg/>
          <w:docGrid w:linePitch="360"/>
        </w:sectPr>
      </w:pPr>
      <w:r>
        <w:t>Source:</w:t>
      </w:r>
      <w:r>
        <w:tab/>
        <w:t>Commission calculation.</w:t>
      </w:r>
    </w:p>
    <w:p w14:paraId="5CE1A925" w14:textId="21FA1FDC" w:rsidR="006032C3" w:rsidRDefault="006032C3" w:rsidP="0038169A">
      <w:pPr>
        <w:pStyle w:val="Heading3"/>
        <w:spacing w:before="120"/>
      </w:pPr>
      <w:bookmarkStart w:id="47" w:name="_Toc33600555"/>
      <w:r>
        <w:lastRenderedPageBreak/>
        <w:t>Tasmania</w:t>
      </w:r>
      <w:bookmarkEnd w:id="47"/>
    </w:p>
    <w:p w14:paraId="49B663DB" w14:textId="6E48B16F" w:rsidR="00183EF1" w:rsidRDefault="001C0876" w:rsidP="00B306F7">
      <w:r w:rsidRPr="001C0876">
        <w:t xml:space="preserve">Tasmania’s fiscal capacity </w:t>
      </w:r>
      <w:r w:rsidR="00A1438B">
        <w:t xml:space="preserve">has </w:t>
      </w:r>
      <w:r w:rsidR="003B1BB4">
        <w:t>weakened</w:t>
      </w:r>
      <w:r w:rsidR="00211A00">
        <w:t xml:space="preserve"> due to </w:t>
      </w:r>
      <w:r w:rsidR="005662F4">
        <w:t xml:space="preserve">higher </w:t>
      </w:r>
      <w:r w:rsidR="00DC78C5">
        <w:t xml:space="preserve">assessed </w:t>
      </w:r>
      <w:r w:rsidR="001840F6">
        <w:t>administrative scale</w:t>
      </w:r>
      <w:r w:rsidR="008E2C88">
        <w:t xml:space="preserve"> </w:t>
      </w:r>
      <w:r w:rsidR="00E446F6">
        <w:t>costs</w:t>
      </w:r>
      <w:r w:rsidR="008E2C88">
        <w:t>,</w:t>
      </w:r>
      <w:r w:rsidR="00FF774D">
        <w:t xml:space="preserve"> an increase in </w:t>
      </w:r>
      <w:r w:rsidR="000A79F7">
        <w:t>the cost of admitted patient</w:t>
      </w:r>
      <w:r w:rsidR="00EB0073">
        <w:t xml:space="preserve">, </w:t>
      </w:r>
      <w:r w:rsidR="0025196E">
        <w:t xml:space="preserve">police </w:t>
      </w:r>
      <w:r w:rsidR="00EB0073">
        <w:t>and other</w:t>
      </w:r>
      <w:r w:rsidR="000A79F7">
        <w:t xml:space="preserve"> services in </w:t>
      </w:r>
      <w:r w:rsidR="005147D6">
        <w:t>regional areas,</w:t>
      </w:r>
      <w:r w:rsidR="009C6593">
        <w:t xml:space="preserve"> </w:t>
      </w:r>
      <w:r w:rsidR="00530217">
        <w:t xml:space="preserve">and </w:t>
      </w:r>
      <w:r w:rsidR="0097719C">
        <w:t xml:space="preserve">a lower </w:t>
      </w:r>
      <w:r w:rsidR="00C80442">
        <w:t xml:space="preserve">relative </w:t>
      </w:r>
      <w:r w:rsidR="0097719C">
        <w:t>capacity to raise min</w:t>
      </w:r>
      <w:r w:rsidR="004F2C7F">
        <w:t xml:space="preserve">ing </w:t>
      </w:r>
      <w:r w:rsidR="003C1F71">
        <w:t>revenue</w:t>
      </w:r>
      <w:r w:rsidR="004F2C7F">
        <w:t xml:space="preserve"> and land tax</w:t>
      </w:r>
      <w:r w:rsidRPr="001C0876">
        <w:t xml:space="preserve">. These changes </w:t>
      </w:r>
      <w:r w:rsidR="004F5BBF">
        <w:t>were</w:t>
      </w:r>
      <w:r w:rsidRPr="001C0876">
        <w:t xml:space="preserve"> </w:t>
      </w:r>
      <w:r w:rsidR="004E3E38">
        <w:t xml:space="preserve">partly </w:t>
      </w:r>
      <w:r w:rsidRPr="001C0876">
        <w:t xml:space="preserve">offset by </w:t>
      </w:r>
      <w:r w:rsidR="0016789E">
        <w:t xml:space="preserve">above average </w:t>
      </w:r>
      <w:r w:rsidRPr="001C0876">
        <w:t>growth in the value of property sales</w:t>
      </w:r>
      <w:r w:rsidR="00A17FCA">
        <w:t>.</w:t>
      </w:r>
      <w:r w:rsidRPr="001C0876">
        <w:t xml:space="preserve"> Tasmania’s </w:t>
      </w:r>
      <w:r w:rsidR="00A17FCA">
        <w:t xml:space="preserve">weaker fiscal capacity will see its </w:t>
      </w:r>
      <w:r w:rsidRPr="001C0876">
        <w:t xml:space="preserve">GST share </w:t>
      </w:r>
      <w:r w:rsidR="00A17FCA">
        <w:t xml:space="preserve">rise </w:t>
      </w:r>
      <w:r w:rsidRPr="001C0876">
        <w:t xml:space="preserve">from 3.7% to </w:t>
      </w:r>
      <w:r w:rsidR="007E3119">
        <w:t>4</w:t>
      </w:r>
      <w:r w:rsidRPr="001C0876">
        <w:t>.</w:t>
      </w:r>
      <w:r w:rsidR="007E3119">
        <w:t>0</w:t>
      </w:r>
      <w:r w:rsidRPr="001C0876">
        <w:t>%</w:t>
      </w:r>
      <w:r w:rsidR="00FC53BB">
        <w:t>. Combined with pool growth, i</w:t>
      </w:r>
      <w:r w:rsidRPr="001C0876">
        <w:t>ts GST entitlement in 2020</w:t>
      </w:r>
      <w:r w:rsidR="00FC53BB">
        <w:noBreakHyphen/>
        <w:t>21</w:t>
      </w:r>
      <w:r w:rsidRPr="001C0876">
        <w:t xml:space="preserve"> will rise by $</w:t>
      </w:r>
      <w:r w:rsidR="009458BB">
        <w:t>2</w:t>
      </w:r>
      <w:r w:rsidR="00600DC0">
        <w:t>7</w:t>
      </w:r>
      <w:r w:rsidR="005932A1">
        <w:t>1</w:t>
      </w:r>
      <w:r w:rsidR="00EC0D4C">
        <w:t> </w:t>
      </w:r>
      <w:r w:rsidRPr="001C0876">
        <w:t xml:space="preserve">million, or </w:t>
      </w:r>
      <w:r w:rsidR="009458BB">
        <w:t>1</w:t>
      </w:r>
      <w:r w:rsidR="00A15E73">
        <w:t>1</w:t>
      </w:r>
      <w:r w:rsidRPr="001C0876">
        <w:t>.</w:t>
      </w:r>
      <w:r w:rsidR="00A15E73">
        <w:t>2</w:t>
      </w:r>
      <w:r w:rsidRPr="001C0876">
        <w:t>%.</w:t>
      </w:r>
    </w:p>
    <w:p w14:paraId="1CA1D58F" w14:textId="49BA9F23" w:rsidR="00220009" w:rsidRDefault="00220009" w:rsidP="00220009">
      <w:pPr>
        <w:pStyle w:val="CGCTableHeading"/>
      </w:pPr>
      <w:r>
        <w:t xml:space="preserve">Table </w:t>
      </w:r>
      <w:r w:rsidR="00D5059E">
        <w:t>3</w:t>
      </w:r>
      <w:r w:rsidR="00D5059E">
        <w:noBreakHyphen/>
      </w:r>
      <w:r>
        <w:fldChar w:fldCharType="begin"/>
      </w:r>
      <w:r>
        <w:instrText>SEQ Table \* ARABIC</w:instrText>
      </w:r>
      <w:r>
        <w:fldChar w:fldCharType="separate"/>
      </w:r>
      <w:r w:rsidR="003D49C2">
        <w:rPr>
          <w:noProof/>
        </w:rPr>
        <w:t>6</w:t>
      </w:r>
      <w:r>
        <w:fldChar w:fldCharType="end"/>
      </w:r>
      <w:r>
        <w:tab/>
      </w:r>
      <w:r w:rsidR="00A37FAC">
        <w:t>Change in illustrative GST distribution since the 2019 Update, Tasmania</w:t>
      </w:r>
    </w:p>
    <w:tbl>
      <w:tblPr>
        <w:tblW w:w="8902" w:type="dxa"/>
        <w:tblCellMar>
          <w:left w:w="0" w:type="dxa"/>
          <w:right w:w="28" w:type="dxa"/>
        </w:tblCellMar>
        <w:tblLook w:val="04A0" w:firstRow="1" w:lastRow="0" w:firstColumn="1" w:lastColumn="0" w:noHBand="0" w:noVBand="1"/>
      </w:tblPr>
      <w:tblGrid>
        <w:gridCol w:w="4040"/>
        <w:gridCol w:w="2508"/>
        <w:gridCol w:w="2411"/>
      </w:tblGrid>
      <w:tr w:rsidR="00DB0BF7" w:rsidRPr="00DB0BF7" w14:paraId="371C234B" w14:textId="77777777" w:rsidTr="00500FBE">
        <w:trPr>
          <w:trHeight w:val="258"/>
        </w:trPr>
        <w:tc>
          <w:tcPr>
            <w:tcW w:w="4160" w:type="dxa"/>
            <w:tcBorders>
              <w:top w:val="single" w:sz="4" w:space="0" w:color="ADD6EA"/>
              <w:left w:val="nil"/>
              <w:bottom w:val="single" w:sz="4" w:space="0" w:color="ADD6EA"/>
              <w:right w:val="nil"/>
            </w:tcBorders>
            <w:shd w:val="clear" w:color="000000" w:fill="006991"/>
            <w:noWrap/>
            <w:vAlign w:val="center"/>
            <w:hideMark/>
          </w:tcPr>
          <w:p w14:paraId="3E5B9C55" w14:textId="77777777" w:rsidR="00DB0BF7" w:rsidRPr="00DB0BF7" w:rsidRDefault="00DB0BF7" w:rsidP="00DB0BF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B0BF7">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noWrap/>
            <w:vAlign w:val="center"/>
            <w:hideMark/>
          </w:tcPr>
          <w:p w14:paraId="5B893BE6" w14:textId="77777777" w:rsidR="00DB0BF7" w:rsidRPr="00DB0BF7" w:rsidRDefault="00DB0BF7" w:rsidP="00DB0BF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B0BF7">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noWrap/>
            <w:vAlign w:val="center"/>
            <w:hideMark/>
          </w:tcPr>
          <w:p w14:paraId="3ACBCA49" w14:textId="77777777" w:rsidR="00DB0BF7" w:rsidRPr="00DB0BF7" w:rsidRDefault="00DB0BF7" w:rsidP="00DB0BF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DB0BF7">
              <w:rPr>
                <w:rFonts w:ascii="Open Sans SemiBold" w:eastAsia="Times New Roman" w:hAnsi="Open Sans SemiBold" w:cs="Open Sans SemiBold"/>
                <w:color w:val="FFFFFF"/>
                <w:sz w:val="16"/>
                <w:szCs w:val="16"/>
                <w:lang w:val="en-AU" w:eastAsia="en-AU"/>
              </w:rPr>
              <w:t>$pc</w:t>
            </w:r>
          </w:p>
        </w:tc>
      </w:tr>
      <w:tr w:rsidR="00DB0BF7" w:rsidRPr="00DB0BF7" w14:paraId="2BA7BE29"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4D82C6BE" w14:textId="77777777" w:rsidR="00DB0BF7" w:rsidRPr="00DB0BF7" w:rsidRDefault="00DB0BF7" w:rsidP="00DB0BF7">
            <w:pPr>
              <w:tabs>
                <w:tab w:val="clear" w:pos="567"/>
              </w:tabs>
              <w:spacing w:before="0" w:line="240" w:lineRule="auto"/>
              <w:rPr>
                <w:rFonts w:eastAsia="Times New Roman" w:cs="Open Sans Light"/>
                <w:sz w:val="16"/>
                <w:szCs w:val="16"/>
                <w:lang w:val="en-AU" w:eastAsia="en-AU"/>
              </w:rPr>
            </w:pPr>
            <w:r w:rsidRPr="00DB0BF7">
              <w:rPr>
                <w:rFonts w:eastAsia="Times New Roman" w:cs="Open Sans Light"/>
                <w:sz w:val="16"/>
                <w:szCs w:val="16"/>
                <w:lang w:val="en-AU" w:eastAsia="en-AU"/>
              </w:rPr>
              <w:t>New population</w:t>
            </w:r>
          </w:p>
        </w:tc>
        <w:tc>
          <w:tcPr>
            <w:tcW w:w="2580" w:type="dxa"/>
            <w:tcBorders>
              <w:top w:val="nil"/>
              <w:left w:val="nil"/>
              <w:bottom w:val="single" w:sz="4" w:space="0" w:color="ADD6EA"/>
              <w:right w:val="nil"/>
            </w:tcBorders>
            <w:shd w:val="clear" w:color="auto" w:fill="auto"/>
            <w:noWrap/>
            <w:vAlign w:val="bottom"/>
            <w:hideMark/>
          </w:tcPr>
          <w:p w14:paraId="2D0F4057"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-10</w:t>
            </w:r>
          </w:p>
        </w:tc>
        <w:tc>
          <w:tcPr>
            <w:tcW w:w="2480" w:type="dxa"/>
            <w:tcBorders>
              <w:top w:val="nil"/>
              <w:left w:val="nil"/>
              <w:bottom w:val="single" w:sz="4" w:space="0" w:color="ADD6EA"/>
              <w:right w:val="nil"/>
            </w:tcBorders>
            <w:shd w:val="clear" w:color="auto" w:fill="auto"/>
            <w:noWrap/>
            <w:vAlign w:val="bottom"/>
            <w:hideMark/>
          </w:tcPr>
          <w:p w14:paraId="3D2410DD"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-19</w:t>
            </w:r>
          </w:p>
        </w:tc>
      </w:tr>
      <w:tr w:rsidR="00DB0BF7" w:rsidRPr="00DB0BF7" w14:paraId="6843ACBF"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5D36F67F" w14:textId="77777777" w:rsidR="00DB0BF7" w:rsidRPr="00DB0BF7" w:rsidRDefault="00DB0BF7" w:rsidP="00DB0BF7">
            <w:pPr>
              <w:tabs>
                <w:tab w:val="clear" w:pos="567"/>
              </w:tabs>
              <w:spacing w:before="0" w:line="240" w:lineRule="auto"/>
              <w:rPr>
                <w:rFonts w:eastAsia="Times New Roman" w:cs="Open Sans Light"/>
                <w:sz w:val="16"/>
                <w:szCs w:val="16"/>
                <w:lang w:val="en-AU" w:eastAsia="en-AU"/>
              </w:rPr>
            </w:pPr>
            <w:r w:rsidRPr="00DB0BF7">
              <w:rPr>
                <w:rFonts w:eastAsia="Times New Roman" w:cs="Open Sans Light"/>
                <w:sz w:val="16"/>
                <w:szCs w:val="16"/>
                <w:lang w:val="en-AU" w:eastAsia="en-AU"/>
              </w:rPr>
              <w:t>Growth in GST available</w:t>
            </w:r>
          </w:p>
        </w:tc>
        <w:tc>
          <w:tcPr>
            <w:tcW w:w="2580" w:type="dxa"/>
            <w:tcBorders>
              <w:top w:val="nil"/>
              <w:left w:val="nil"/>
              <w:bottom w:val="single" w:sz="4" w:space="0" w:color="ADD6EA"/>
              <w:right w:val="nil"/>
            </w:tcBorders>
            <w:shd w:val="clear" w:color="auto" w:fill="auto"/>
            <w:noWrap/>
            <w:vAlign w:val="bottom"/>
            <w:hideMark/>
          </w:tcPr>
          <w:p w14:paraId="209B4A8B"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81</w:t>
            </w:r>
          </w:p>
        </w:tc>
        <w:tc>
          <w:tcPr>
            <w:tcW w:w="2480" w:type="dxa"/>
            <w:tcBorders>
              <w:top w:val="nil"/>
              <w:left w:val="nil"/>
              <w:bottom w:val="single" w:sz="4" w:space="0" w:color="ADD6EA"/>
              <w:right w:val="nil"/>
            </w:tcBorders>
            <w:shd w:val="clear" w:color="auto" w:fill="auto"/>
            <w:noWrap/>
            <w:vAlign w:val="bottom"/>
            <w:hideMark/>
          </w:tcPr>
          <w:p w14:paraId="00877943"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149</w:t>
            </w:r>
          </w:p>
        </w:tc>
      </w:tr>
      <w:tr w:rsidR="00DB0BF7" w:rsidRPr="00DB0BF7" w14:paraId="265C86B6"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0746F814" w14:textId="77777777" w:rsidR="00DB0BF7" w:rsidRPr="00DB0BF7" w:rsidRDefault="00DB0BF7" w:rsidP="00DB0BF7">
            <w:pPr>
              <w:tabs>
                <w:tab w:val="clear" w:pos="567"/>
              </w:tabs>
              <w:spacing w:before="0" w:line="240" w:lineRule="auto"/>
              <w:rPr>
                <w:rFonts w:eastAsia="Times New Roman" w:cs="Open Sans Light"/>
                <w:sz w:val="16"/>
                <w:szCs w:val="16"/>
                <w:lang w:val="en-AU" w:eastAsia="en-AU"/>
              </w:rPr>
            </w:pPr>
            <w:r w:rsidRPr="00DB0BF7">
              <w:rPr>
                <w:rFonts w:eastAsia="Times New Roman" w:cs="Open Sans Light"/>
                <w:sz w:val="16"/>
                <w:szCs w:val="16"/>
                <w:lang w:val="en-AU" w:eastAsia="en-AU"/>
              </w:rPr>
              <w:t>Changes in relative fiscal capacity</w:t>
            </w:r>
          </w:p>
        </w:tc>
        <w:tc>
          <w:tcPr>
            <w:tcW w:w="2580" w:type="dxa"/>
            <w:tcBorders>
              <w:top w:val="nil"/>
              <w:left w:val="nil"/>
              <w:bottom w:val="single" w:sz="4" w:space="0" w:color="ADD6EA"/>
              <w:right w:val="nil"/>
            </w:tcBorders>
            <w:shd w:val="clear" w:color="auto" w:fill="auto"/>
            <w:noWrap/>
            <w:vAlign w:val="bottom"/>
            <w:hideMark/>
          </w:tcPr>
          <w:p w14:paraId="48A7CA4B"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200</w:t>
            </w:r>
          </w:p>
        </w:tc>
        <w:tc>
          <w:tcPr>
            <w:tcW w:w="2480" w:type="dxa"/>
            <w:tcBorders>
              <w:top w:val="nil"/>
              <w:left w:val="nil"/>
              <w:bottom w:val="single" w:sz="4" w:space="0" w:color="ADD6EA"/>
              <w:right w:val="nil"/>
            </w:tcBorders>
            <w:shd w:val="clear" w:color="auto" w:fill="auto"/>
            <w:noWrap/>
            <w:vAlign w:val="bottom"/>
            <w:hideMark/>
          </w:tcPr>
          <w:p w14:paraId="68086D78"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367</w:t>
            </w:r>
          </w:p>
        </w:tc>
      </w:tr>
      <w:tr w:rsidR="00DB0BF7" w:rsidRPr="00DB0BF7" w14:paraId="7329B3DF"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46A8C018" w14:textId="77777777" w:rsidR="00DB0BF7" w:rsidRPr="00DB0BF7" w:rsidRDefault="00DB0BF7" w:rsidP="00DB0BF7">
            <w:pPr>
              <w:tabs>
                <w:tab w:val="clear" w:pos="567"/>
              </w:tabs>
              <w:spacing w:before="0" w:line="240" w:lineRule="auto"/>
              <w:ind w:firstLineChars="100" w:firstLine="160"/>
              <w:rPr>
                <w:rFonts w:eastAsia="Times New Roman" w:cs="Open Sans Light"/>
                <w:sz w:val="16"/>
                <w:szCs w:val="16"/>
                <w:lang w:val="en-AU" w:eastAsia="en-AU"/>
              </w:rPr>
            </w:pPr>
            <w:r w:rsidRPr="00DB0BF7">
              <w:rPr>
                <w:rFonts w:eastAsia="Times New Roman" w:cs="Open Sans Light"/>
                <w:sz w:val="16"/>
                <w:szCs w:val="16"/>
                <w:lang w:val="en-AU" w:eastAsia="en-AU"/>
              </w:rPr>
              <w:t>Method changes</w:t>
            </w:r>
          </w:p>
        </w:tc>
        <w:tc>
          <w:tcPr>
            <w:tcW w:w="2580" w:type="dxa"/>
            <w:tcBorders>
              <w:top w:val="nil"/>
              <w:left w:val="nil"/>
              <w:bottom w:val="single" w:sz="4" w:space="0" w:color="ADD6EA"/>
              <w:right w:val="nil"/>
            </w:tcBorders>
            <w:shd w:val="clear" w:color="auto" w:fill="auto"/>
            <w:noWrap/>
            <w:vAlign w:val="bottom"/>
            <w:hideMark/>
          </w:tcPr>
          <w:p w14:paraId="52DE399A"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141</w:t>
            </w:r>
          </w:p>
        </w:tc>
        <w:tc>
          <w:tcPr>
            <w:tcW w:w="2480" w:type="dxa"/>
            <w:tcBorders>
              <w:top w:val="nil"/>
              <w:left w:val="nil"/>
              <w:bottom w:val="single" w:sz="4" w:space="0" w:color="ADD6EA"/>
              <w:right w:val="nil"/>
            </w:tcBorders>
            <w:shd w:val="clear" w:color="auto" w:fill="auto"/>
            <w:noWrap/>
            <w:vAlign w:val="bottom"/>
            <w:hideMark/>
          </w:tcPr>
          <w:p w14:paraId="32549D77"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259</w:t>
            </w:r>
          </w:p>
        </w:tc>
      </w:tr>
      <w:tr w:rsidR="00DB0BF7" w:rsidRPr="00DB0BF7" w14:paraId="13108A84"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21E66375" w14:textId="77777777" w:rsidR="00DB0BF7" w:rsidRPr="00DB0BF7" w:rsidRDefault="00DB0BF7" w:rsidP="00DB0BF7">
            <w:pPr>
              <w:tabs>
                <w:tab w:val="clear" w:pos="567"/>
              </w:tabs>
              <w:spacing w:before="0" w:line="240" w:lineRule="auto"/>
              <w:ind w:firstLineChars="100" w:firstLine="160"/>
              <w:rPr>
                <w:rFonts w:eastAsia="Times New Roman" w:cs="Open Sans Light"/>
                <w:sz w:val="16"/>
                <w:szCs w:val="16"/>
                <w:lang w:val="en-AU" w:eastAsia="en-AU"/>
              </w:rPr>
            </w:pPr>
            <w:r w:rsidRPr="00DB0BF7">
              <w:rPr>
                <w:rFonts w:eastAsia="Times New Roman" w:cs="Open Sans Light"/>
                <w:sz w:val="16"/>
                <w:szCs w:val="16"/>
                <w:lang w:val="en-AU" w:eastAsia="en-AU"/>
              </w:rPr>
              <w:t>Data revisions</w:t>
            </w:r>
          </w:p>
        </w:tc>
        <w:tc>
          <w:tcPr>
            <w:tcW w:w="2580" w:type="dxa"/>
            <w:tcBorders>
              <w:top w:val="nil"/>
              <w:left w:val="nil"/>
              <w:bottom w:val="single" w:sz="4" w:space="0" w:color="ADD6EA"/>
              <w:right w:val="nil"/>
            </w:tcBorders>
            <w:shd w:val="clear" w:color="auto" w:fill="auto"/>
            <w:noWrap/>
            <w:vAlign w:val="bottom"/>
            <w:hideMark/>
          </w:tcPr>
          <w:p w14:paraId="1E823348"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14</w:t>
            </w:r>
          </w:p>
        </w:tc>
        <w:tc>
          <w:tcPr>
            <w:tcW w:w="2480" w:type="dxa"/>
            <w:tcBorders>
              <w:top w:val="nil"/>
              <w:left w:val="nil"/>
              <w:bottom w:val="single" w:sz="4" w:space="0" w:color="ADD6EA"/>
              <w:right w:val="nil"/>
            </w:tcBorders>
            <w:shd w:val="clear" w:color="auto" w:fill="auto"/>
            <w:noWrap/>
            <w:vAlign w:val="bottom"/>
            <w:hideMark/>
          </w:tcPr>
          <w:p w14:paraId="03F61858"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25</w:t>
            </w:r>
          </w:p>
        </w:tc>
      </w:tr>
      <w:tr w:rsidR="00DB0BF7" w:rsidRPr="00DB0BF7" w14:paraId="5CB2D33F"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7C9E934F" w14:textId="77777777" w:rsidR="00DB0BF7" w:rsidRPr="00DB0BF7" w:rsidRDefault="00DB0BF7" w:rsidP="00DB0BF7">
            <w:pPr>
              <w:tabs>
                <w:tab w:val="clear" w:pos="567"/>
              </w:tabs>
              <w:spacing w:before="0" w:line="240" w:lineRule="auto"/>
              <w:ind w:firstLineChars="100" w:firstLine="160"/>
              <w:rPr>
                <w:rFonts w:eastAsia="Times New Roman" w:cs="Open Sans Light"/>
                <w:sz w:val="16"/>
                <w:szCs w:val="16"/>
                <w:lang w:val="en-AU" w:eastAsia="en-AU"/>
              </w:rPr>
            </w:pPr>
            <w:r w:rsidRPr="00DB0BF7">
              <w:rPr>
                <w:rFonts w:eastAsia="Times New Roman" w:cs="Open Sans Light"/>
                <w:sz w:val="16"/>
                <w:szCs w:val="16"/>
                <w:lang w:val="en-AU" w:eastAsia="en-AU"/>
              </w:rPr>
              <w:t>State circumstances</w:t>
            </w:r>
          </w:p>
        </w:tc>
        <w:tc>
          <w:tcPr>
            <w:tcW w:w="2580" w:type="dxa"/>
            <w:tcBorders>
              <w:top w:val="nil"/>
              <w:left w:val="nil"/>
              <w:bottom w:val="single" w:sz="4" w:space="0" w:color="ADD6EA"/>
              <w:right w:val="nil"/>
            </w:tcBorders>
            <w:shd w:val="clear" w:color="auto" w:fill="auto"/>
            <w:noWrap/>
            <w:vAlign w:val="bottom"/>
            <w:hideMark/>
          </w:tcPr>
          <w:p w14:paraId="6A864817"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45</w:t>
            </w:r>
          </w:p>
        </w:tc>
        <w:tc>
          <w:tcPr>
            <w:tcW w:w="2480" w:type="dxa"/>
            <w:tcBorders>
              <w:top w:val="nil"/>
              <w:left w:val="nil"/>
              <w:bottom w:val="single" w:sz="4" w:space="0" w:color="ADD6EA"/>
              <w:right w:val="nil"/>
            </w:tcBorders>
            <w:shd w:val="clear" w:color="auto" w:fill="auto"/>
            <w:noWrap/>
            <w:vAlign w:val="bottom"/>
            <w:hideMark/>
          </w:tcPr>
          <w:p w14:paraId="3C888714" w14:textId="77777777" w:rsidR="00DB0BF7" w:rsidRPr="00DB0BF7" w:rsidRDefault="00DB0BF7" w:rsidP="00DB0BF7">
            <w:pPr>
              <w:tabs>
                <w:tab w:val="clear" w:pos="567"/>
              </w:tabs>
              <w:spacing w:before="0" w:line="240" w:lineRule="auto"/>
              <w:jc w:val="right"/>
              <w:rPr>
                <w:rFonts w:eastAsia="Times New Roman" w:cs="Open Sans Light"/>
                <w:sz w:val="16"/>
                <w:szCs w:val="16"/>
                <w:lang w:val="en-AU" w:eastAsia="en-AU"/>
              </w:rPr>
            </w:pPr>
            <w:r w:rsidRPr="00DB0BF7">
              <w:rPr>
                <w:rFonts w:eastAsia="Times New Roman" w:cs="Open Sans Light"/>
                <w:sz w:val="16"/>
                <w:szCs w:val="16"/>
                <w:lang w:val="en-AU" w:eastAsia="en-AU"/>
              </w:rPr>
              <w:t>83</w:t>
            </w:r>
          </w:p>
        </w:tc>
      </w:tr>
      <w:tr w:rsidR="00DB0BF7" w:rsidRPr="00DB0BF7" w14:paraId="0DAA1BCC" w14:textId="77777777" w:rsidTr="00500FBE">
        <w:trPr>
          <w:trHeight w:val="315"/>
        </w:trPr>
        <w:tc>
          <w:tcPr>
            <w:tcW w:w="4160" w:type="dxa"/>
            <w:tcBorders>
              <w:top w:val="nil"/>
              <w:left w:val="nil"/>
              <w:bottom w:val="single" w:sz="4" w:space="0" w:color="ADD6EA"/>
              <w:right w:val="nil"/>
            </w:tcBorders>
            <w:shd w:val="clear" w:color="000000" w:fill="D6E7F0"/>
            <w:noWrap/>
            <w:vAlign w:val="bottom"/>
            <w:hideMark/>
          </w:tcPr>
          <w:p w14:paraId="535EEE94" w14:textId="77777777" w:rsidR="00DB0BF7" w:rsidRPr="00DB0BF7" w:rsidRDefault="00DB0BF7" w:rsidP="00DB0BF7">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DB0BF7">
              <w:rPr>
                <w:rFonts w:ascii="Open Sans SemiBold" w:eastAsia="Times New Roman" w:hAnsi="Open Sans SemiBold" w:cs="Open Sans SemiBold"/>
                <w:color w:val="000000"/>
                <w:sz w:val="16"/>
                <w:szCs w:val="16"/>
                <w:lang w:val="en-AU" w:eastAsia="en-AU"/>
              </w:rPr>
              <w:t>Total change</w:t>
            </w:r>
          </w:p>
        </w:tc>
        <w:tc>
          <w:tcPr>
            <w:tcW w:w="2580" w:type="dxa"/>
            <w:tcBorders>
              <w:top w:val="nil"/>
              <w:left w:val="nil"/>
              <w:bottom w:val="single" w:sz="4" w:space="0" w:color="ADD6EA"/>
              <w:right w:val="nil"/>
            </w:tcBorders>
            <w:shd w:val="clear" w:color="000000" w:fill="D6E7F0"/>
            <w:noWrap/>
            <w:vAlign w:val="bottom"/>
            <w:hideMark/>
          </w:tcPr>
          <w:p w14:paraId="7BF383AC" w14:textId="77777777" w:rsidR="00DB0BF7" w:rsidRPr="00DB0BF7" w:rsidRDefault="00DB0BF7" w:rsidP="00DB0BF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DB0BF7">
              <w:rPr>
                <w:rFonts w:ascii="Open Sans SemiBold" w:eastAsia="Times New Roman" w:hAnsi="Open Sans SemiBold" w:cs="Open Sans SemiBold"/>
                <w:color w:val="000000"/>
                <w:sz w:val="16"/>
                <w:szCs w:val="16"/>
                <w:lang w:val="en-AU" w:eastAsia="en-AU"/>
              </w:rPr>
              <w:t>271</w:t>
            </w:r>
          </w:p>
        </w:tc>
        <w:tc>
          <w:tcPr>
            <w:tcW w:w="2480" w:type="dxa"/>
            <w:tcBorders>
              <w:top w:val="nil"/>
              <w:left w:val="nil"/>
              <w:bottom w:val="single" w:sz="4" w:space="0" w:color="ADD6EA"/>
              <w:right w:val="nil"/>
            </w:tcBorders>
            <w:shd w:val="clear" w:color="000000" w:fill="D6E7F0"/>
            <w:noWrap/>
            <w:vAlign w:val="bottom"/>
            <w:hideMark/>
          </w:tcPr>
          <w:p w14:paraId="480F4A81" w14:textId="77777777" w:rsidR="00DB0BF7" w:rsidRPr="00DB0BF7" w:rsidRDefault="00DB0BF7" w:rsidP="00DB0BF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DB0BF7">
              <w:rPr>
                <w:rFonts w:ascii="Open Sans SemiBold" w:eastAsia="Times New Roman" w:hAnsi="Open Sans SemiBold" w:cs="Open Sans SemiBold"/>
                <w:color w:val="000000"/>
                <w:sz w:val="16"/>
                <w:szCs w:val="16"/>
                <w:lang w:val="en-AU" w:eastAsia="en-AU"/>
              </w:rPr>
              <w:t>497</w:t>
            </w:r>
          </w:p>
        </w:tc>
      </w:tr>
    </w:tbl>
    <w:p w14:paraId="39625694" w14:textId="0CA04622" w:rsidR="00220009" w:rsidRDefault="00220009" w:rsidP="00220009">
      <w:pPr>
        <w:pStyle w:val="CGCTablenote"/>
      </w:pPr>
      <w:r>
        <w:t>Note:</w:t>
      </w:r>
      <w:r>
        <w:tab/>
        <w:t>Table may not add due to rounding.</w:t>
      </w:r>
    </w:p>
    <w:p w14:paraId="44748253" w14:textId="3066FEFE" w:rsidR="00220009" w:rsidRDefault="00220009" w:rsidP="00220009">
      <w:pPr>
        <w:pStyle w:val="CGCTablenote"/>
      </w:pPr>
      <w:r>
        <w:t>Source:</w:t>
      </w:r>
      <w:r>
        <w:tab/>
      </w:r>
      <w:r w:rsidR="005438E4">
        <w:t>Commission calculation.</w:t>
      </w:r>
    </w:p>
    <w:p w14:paraId="2C0ED5F7" w14:textId="5D086ACF" w:rsidR="00096518" w:rsidRPr="00096518" w:rsidRDefault="006A73E7" w:rsidP="00096518">
      <w:pPr>
        <w:pStyle w:val="Caption"/>
      </w:pPr>
      <w:r>
        <w:t xml:space="preserve">Figure </w:t>
      </w:r>
      <w:r w:rsidR="00D5059E">
        <w:t>3</w:t>
      </w:r>
      <w:r w:rsidR="00D5059E">
        <w:noBreakHyphen/>
      </w:r>
      <w:r>
        <w:fldChar w:fldCharType="begin"/>
      </w:r>
      <w:r>
        <w:instrText>SEQ Figure \* ARABIC</w:instrText>
      </w:r>
      <w:r>
        <w:fldChar w:fldCharType="separate"/>
      </w:r>
      <w:r w:rsidR="003D49C2">
        <w:rPr>
          <w:noProof/>
        </w:rPr>
        <w:t>7</w:t>
      </w:r>
      <w:r>
        <w:fldChar w:fldCharType="end"/>
      </w:r>
      <w:r>
        <w:tab/>
        <w:t>Main changes for Tasmania, 2020 Review</w:t>
      </w:r>
    </w:p>
    <w:p w14:paraId="2DCC3EF8" w14:textId="17080EDC" w:rsidR="00366DDB" w:rsidRPr="00366DDB" w:rsidRDefault="00EC7648" w:rsidP="00366DDB">
      <w:r>
        <w:rPr>
          <w:noProof/>
        </w:rPr>
        <w:drawing>
          <wp:inline distT="0" distB="0" distL="0" distR="0" wp14:anchorId="46A7A18C" wp14:editId="5B7E1EA5">
            <wp:extent cx="5791835" cy="3865245"/>
            <wp:effectExtent l="0" t="0" r="0" b="1905"/>
            <wp:docPr id="15" name="Picture 15" descr="$60m Administrative scale. $42m Location adjustment. $33m Justice. $18m Land tax. $30m Mining production. $−24m Property sales. $22m Population disp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835" cy="3865245"/>
                    </a:xfrm>
                    <a:prstGeom prst="rect">
                      <a:avLst/>
                    </a:prstGeom>
                    <a:noFill/>
                  </pic:spPr>
                </pic:pic>
              </a:graphicData>
            </a:graphic>
          </wp:inline>
        </w:drawing>
      </w:r>
    </w:p>
    <w:p w14:paraId="3EF60B52" w14:textId="1E57FBE3" w:rsidR="00C25E8D" w:rsidRPr="00C25E8D" w:rsidRDefault="00C25E8D" w:rsidP="00C25E8D">
      <w:pPr>
        <w:pStyle w:val="CGCTablenote"/>
        <w:sectPr w:rsidR="00C25E8D" w:rsidRPr="00C25E8D" w:rsidSect="00E22AA8">
          <w:pgSz w:w="11907" w:h="16840" w:code="9"/>
          <w:pgMar w:top="1418" w:right="1474" w:bottom="1418" w:left="1474" w:header="720" w:footer="567" w:gutter="0"/>
          <w:cols w:space="720"/>
          <w:titlePg/>
          <w:docGrid w:linePitch="360"/>
        </w:sectPr>
      </w:pPr>
      <w:r>
        <w:t>Source:</w:t>
      </w:r>
      <w:r>
        <w:tab/>
        <w:t>Commission calculation.</w:t>
      </w:r>
    </w:p>
    <w:p w14:paraId="177CAE2F" w14:textId="3660F2E6" w:rsidR="006032C3" w:rsidRDefault="006032C3" w:rsidP="0038169A">
      <w:pPr>
        <w:pStyle w:val="Heading3"/>
        <w:spacing w:before="120"/>
      </w:pPr>
      <w:bookmarkStart w:id="48" w:name="_Toc33600556"/>
      <w:r>
        <w:lastRenderedPageBreak/>
        <w:t>Australian Capital Territory</w:t>
      </w:r>
      <w:bookmarkEnd w:id="48"/>
    </w:p>
    <w:p w14:paraId="0CA087D0" w14:textId="50E75711" w:rsidR="00183EF1" w:rsidRDefault="0058153C" w:rsidP="00B306F7">
      <w:r w:rsidRPr="0058153C">
        <w:t xml:space="preserve">The ACT’s fiscal capacity has </w:t>
      </w:r>
      <w:r>
        <w:t>str</w:t>
      </w:r>
      <w:r w:rsidRPr="0058153C">
        <w:t>en</w:t>
      </w:r>
      <w:r>
        <w:t>gthen</w:t>
      </w:r>
      <w:r w:rsidRPr="0058153C">
        <w:t>ed</w:t>
      </w:r>
      <w:r w:rsidR="00C82203">
        <w:t xml:space="preserve"> due to</w:t>
      </w:r>
      <w:r w:rsidR="00E54B93">
        <w:t xml:space="preserve"> lower assessed investment needs</w:t>
      </w:r>
      <w:r w:rsidR="005E1C2B">
        <w:t xml:space="preserve">, lower assessed costs of providing health and justice services and </w:t>
      </w:r>
      <w:r w:rsidR="00996781">
        <w:t xml:space="preserve">revisions to State </w:t>
      </w:r>
      <w:r w:rsidR="005E1C2B">
        <w:t>natural disaster relief expenses</w:t>
      </w:r>
      <w:r w:rsidRPr="0058153C">
        <w:t xml:space="preserve">. These changes were partly offset by </w:t>
      </w:r>
      <w:r w:rsidR="00FD73D7">
        <w:t xml:space="preserve">an increase in </w:t>
      </w:r>
      <w:r w:rsidR="00996781">
        <w:t>assessed</w:t>
      </w:r>
      <w:r w:rsidR="00FD73D7">
        <w:t xml:space="preserve"> administrative scale </w:t>
      </w:r>
      <w:r w:rsidR="00996781">
        <w:t>costs</w:t>
      </w:r>
      <w:r w:rsidR="00FD73D7">
        <w:t xml:space="preserve"> and </w:t>
      </w:r>
      <w:r w:rsidR="00093E40">
        <w:t xml:space="preserve">growth in </w:t>
      </w:r>
      <w:r w:rsidR="00C773F1">
        <w:t xml:space="preserve">the value of </w:t>
      </w:r>
      <w:r w:rsidR="00093E40">
        <w:t>mining prod</w:t>
      </w:r>
      <w:r w:rsidR="00B622A4">
        <w:t>u</w:t>
      </w:r>
      <w:r w:rsidR="00093E40">
        <w:t>cti</w:t>
      </w:r>
      <w:r w:rsidR="00B622A4">
        <w:t xml:space="preserve">on in other States </w:t>
      </w:r>
      <w:r w:rsidR="005D06C5">
        <w:t xml:space="preserve">that </w:t>
      </w:r>
      <w:r w:rsidR="00B622A4">
        <w:t>reduc</w:t>
      </w:r>
      <w:r w:rsidR="005D06C5">
        <w:t>ed</w:t>
      </w:r>
      <w:r w:rsidR="00B622A4">
        <w:t xml:space="preserve"> i</w:t>
      </w:r>
      <w:r w:rsidR="00FD73D7">
        <w:t xml:space="preserve">ts </w:t>
      </w:r>
      <w:r w:rsidR="00BC667B">
        <w:t xml:space="preserve">relative capacity to </w:t>
      </w:r>
      <w:r w:rsidR="00305374">
        <w:t>raise revenue</w:t>
      </w:r>
      <w:r w:rsidRPr="0058153C">
        <w:t xml:space="preserve">. </w:t>
      </w:r>
      <w:r w:rsidR="00305374">
        <w:t>Compared with 2019</w:t>
      </w:r>
      <w:r w:rsidR="00305374">
        <w:noBreakHyphen/>
        <w:t xml:space="preserve">20, the ACT’s </w:t>
      </w:r>
      <w:r w:rsidRPr="0058153C">
        <w:t xml:space="preserve">GST share </w:t>
      </w:r>
      <w:r w:rsidR="00305374">
        <w:t xml:space="preserve">will </w:t>
      </w:r>
      <w:r w:rsidR="00A505BA">
        <w:t>fall</w:t>
      </w:r>
      <w:r w:rsidRPr="0058153C">
        <w:t xml:space="preserve"> from 2.</w:t>
      </w:r>
      <w:r w:rsidR="001C7AA5">
        <w:t>1</w:t>
      </w:r>
      <w:r w:rsidRPr="0058153C">
        <w:t>% to 2.</w:t>
      </w:r>
      <w:r w:rsidR="001C7AA5">
        <w:t>0</w:t>
      </w:r>
      <w:r w:rsidRPr="0058153C">
        <w:t xml:space="preserve">%. </w:t>
      </w:r>
      <w:r w:rsidR="00180BE0">
        <w:t>G</w:t>
      </w:r>
      <w:r w:rsidRPr="0058153C">
        <w:t>rowth</w:t>
      </w:r>
      <w:r w:rsidR="00180BE0">
        <w:t xml:space="preserve"> in the GST pool </w:t>
      </w:r>
      <w:r w:rsidR="00BF2D78">
        <w:t xml:space="preserve">does not offset the </w:t>
      </w:r>
      <w:r w:rsidR="007167FB">
        <w:t>impact of the ACT’s improved fiscal capacity</w:t>
      </w:r>
      <w:r w:rsidRPr="0058153C">
        <w:t xml:space="preserve">, </w:t>
      </w:r>
      <w:r w:rsidR="000F172D">
        <w:t xml:space="preserve">and </w:t>
      </w:r>
      <w:r w:rsidRPr="0058153C">
        <w:t>its GST entitlement in 2020</w:t>
      </w:r>
      <w:r w:rsidR="000F172D">
        <w:noBreakHyphen/>
        <w:t>21</w:t>
      </w:r>
      <w:r w:rsidRPr="0058153C">
        <w:t xml:space="preserve"> will </w:t>
      </w:r>
      <w:r w:rsidR="000F172D">
        <w:t xml:space="preserve">fall </w:t>
      </w:r>
      <w:r w:rsidRPr="0058153C">
        <w:t>by $</w:t>
      </w:r>
      <w:r w:rsidR="00C3059E">
        <w:t>4</w:t>
      </w:r>
      <w:r w:rsidR="00EE7FA5">
        <w:t>9</w:t>
      </w:r>
      <w:r w:rsidR="00C3059E">
        <w:t> </w:t>
      </w:r>
      <w:r w:rsidRPr="0058153C">
        <w:t xml:space="preserve">million, or </w:t>
      </w:r>
      <w:r w:rsidR="00260A4B">
        <w:t>3</w:t>
      </w:r>
      <w:r w:rsidRPr="0058153C">
        <w:t>.</w:t>
      </w:r>
      <w:r w:rsidR="006C59B7">
        <w:t>6</w:t>
      </w:r>
      <w:r w:rsidRPr="0058153C">
        <w:t>%.</w:t>
      </w:r>
    </w:p>
    <w:p w14:paraId="196F5E77" w14:textId="5F808520" w:rsidR="00220009" w:rsidRDefault="00220009" w:rsidP="00220009">
      <w:pPr>
        <w:pStyle w:val="CGCTableHeading"/>
      </w:pPr>
      <w:r>
        <w:t xml:space="preserve">Table </w:t>
      </w:r>
      <w:r w:rsidR="00D5059E">
        <w:t>3</w:t>
      </w:r>
      <w:r w:rsidR="00D5059E">
        <w:noBreakHyphen/>
      </w:r>
      <w:r>
        <w:fldChar w:fldCharType="begin"/>
      </w:r>
      <w:r>
        <w:instrText>SEQ Table \* ARABIC</w:instrText>
      </w:r>
      <w:r>
        <w:fldChar w:fldCharType="separate"/>
      </w:r>
      <w:r w:rsidR="003D49C2">
        <w:rPr>
          <w:noProof/>
        </w:rPr>
        <w:t>7</w:t>
      </w:r>
      <w:r>
        <w:fldChar w:fldCharType="end"/>
      </w:r>
      <w:r>
        <w:tab/>
      </w:r>
      <w:r w:rsidR="00A37FAC">
        <w:t xml:space="preserve">Change in illustrative GST distribution since the 2019 Update, </w:t>
      </w:r>
      <w:r w:rsidR="00613D31">
        <w:t>ACT</w:t>
      </w:r>
    </w:p>
    <w:tbl>
      <w:tblPr>
        <w:tblW w:w="8940" w:type="dxa"/>
        <w:tblCellMar>
          <w:left w:w="0" w:type="dxa"/>
          <w:right w:w="28" w:type="dxa"/>
        </w:tblCellMar>
        <w:tblLook w:val="04A0" w:firstRow="1" w:lastRow="0" w:firstColumn="1" w:lastColumn="0" w:noHBand="0" w:noVBand="1"/>
      </w:tblPr>
      <w:tblGrid>
        <w:gridCol w:w="4045"/>
        <w:gridCol w:w="2507"/>
        <w:gridCol w:w="2407"/>
      </w:tblGrid>
      <w:tr w:rsidR="00491418" w:rsidRPr="00491418" w14:paraId="1C33A38D" w14:textId="77777777" w:rsidTr="00500FBE">
        <w:trPr>
          <w:trHeight w:val="259"/>
        </w:trPr>
        <w:tc>
          <w:tcPr>
            <w:tcW w:w="4040" w:type="dxa"/>
            <w:tcBorders>
              <w:top w:val="single" w:sz="4" w:space="0" w:color="ADD6EA"/>
              <w:left w:val="nil"/>
              <w:bottom w:val="single" w:sz="4" w:space="0" w:color="ADD6EA"/>
              <w:right w:val="nil"/>
            </w:tcBorders>
            <w:shd w:val="clear" w:color="000000" w:fill="006991"/>
            <w:noWrap/>
            <w:vAlign w:val="center"/>
            <w:hideMark/>
          </w:tcPr>
          <w:p w14:paraId="2910EE03" w14:textId="77777777" w:rsidR="00491418" w:rsidRPr="00491418" w:rsidRDefault="00491418" w:rsidP="0049141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91418">
              <w:rPr>
                <w:rFonts w:ascii="Open Sans SemiBold" w:eastAsia="Times New Roman" w:hAnsi="Open Sans SemiBold" w:cs="Open Sans SemiBold"/>
                <w:color w:val="FFFFFF"/>
                <w:sz w:val="16"/>
                <w:szCs w:val="16"/>
                <w:lang w:val="en-AU" w:eastAsia="en-AU"/>
              </w:rPr>
              <w:t> </w:t>
            </w:r>
          </w:p>
        </w:tc>
        <w:tc>
          <w:tcPr>
            <w:tcW w:w="2500" w:type="dxa"/>
            <w:tcBorders>
              <w:top w:val="single" w:sz="4" w:space="0" w:color="ADD6EA"/>
              <w:left w:val="nil"/>
              <w:bottom w:val="single" w:sz="4" w:space="0" w:color="ADD6EA"/>
              <w:right w:val="nil"/>
            </w:tcBorders>
            <w:shd w:val="clear" w:color="000000" w:fill="006991"/>
            <w:noWrap/>
            <w:vAlign w:val="center"/>
            <w:hideMark/>
          </w:tcPr>
          <w:p w14:paraId="0987BAD7" w14:textId="77777777" w:rsidR="00491418" w:rsidRPr="00491418" w:rsidRDefault="00491418" w:rsidP="0049141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91418">
              <w:rPr>
                <w:rFonts w:ascii="Open Sans SemiBold" w:eastAsia="Times New Roman" w:hAnsi="Open Sans SemiBold" w:cs="Open Sans SemiBold"/>
                <w:color w:val="FFFFFF"/>
                <w:sz w:val="16"/>
                <w:szCs w:val="16"/>
                <w:lang w:val="en-AU" w:eastAsia="en-AU"/>
              </w:rPr>
              <w:t>$m</w:t>
            </w:r>
          </w:p>
        </w:tc>
        <w:tc>
          <w:tcPr>
            <w:tcW w:w="2400" w:type="dxa"/>
            <w:tcBorders>
              <w:top w:val="single" w:sz="4" w:space="0" w:color="ADD6EA"/>
              <w:left w:val="nil"/>
              <w:bottom w:val="single" w:sz="4" w:space="0" w:color="ADD6EA"/>
              <w:right w:val="nil"/>
            </w:tcBorders>
            <w:shd w:val="clear" w:color="000000" w:fill="006991"/>
            <w:noWrap/>
            <w:vAlign w:val="center"/>
            <w:hideMark/>
          </w:tcPr>
          <w:p w14:paraId="3717841A" w14:textId="77777777" w:rsidR="00491418" w:rsidRPr="00491418" w:rsidRDefault="00491418" w:rsidP="00491418">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91418">
              <w:rPr>
                <w:rFonts w:ascii="Open Sans SemiBold" w:eastAsia="Times New Roman" w:hAnsi="Open Sans SemiBold" w:cs="Open Sans SemiBold"/>
                <w:color w:val="FFFFFF"/>
                <w:sz w:val="16"/>
                <w:szCs w:val="16"/>
                <w:lang w:val="en-AU" w:eastAsia="en-AU"/>
              </w:rPr>
              <w:t>$pc</w:t>
            </w:r>
          </w:p>
        </w:tc>
      </w:tr>
      <w:tr w:rsidR="00491418" w:rsidRPr="00491418" w14:paraId="695B60CE"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0416245B" w14:textId="77777777" w:rsidR="00491418" w:rsidRPr="00491418" w:rsidRDefault="00491418" w:rsidP="00491418">
            <w:pPr>
              <w:tabs>
                <w:tab w:val="clear" w:pos="567"/>
              </w:tabs>
              <w:spacing w:before="0" w:line="240" w:lineRule="auto"/>
              <w:rPr>
                <w:rFonts w:eastAsia="Times New Roman" w:cs="Open Sans Light"/>
                <w:sz w:val="16"/>
                <w:szCs w:val="16"/>
                <w:lang w:val="en-AU" w:eastAsia="en-AU"/>
              </w:rPr>
            </w:pPr>
            <w:r w:rsidRPr="00491418">
              <w:rPr>
                <w:rFonts w:eastAsia="Times New Roman" w:cs="Open Sans Light"/>
                <w:sz w:val="16"/>
                <w:szCs w:val="16"/>
                <w:lang w:val="en-AU" w:eastAsia="en-AU"/>
              </w:rPr>
              <w:t>New population</w:t>
            </w:r>
          </w:p>
        </w:tc>
        <w:tc>
          <w:tcPr>
            <w:tcW w:w="2500" w:type="dxa"/>
            <w:tcBorders>
              <w:top w:val="nil"/>
              <w:left w:val="nil"/>
              <w:bottom w:val="single" w:sz="4" w:space="0" w:color="ADD6EA"/>
              <w:right w:val="nil"/>
            </w:tcBorders>
            <w:shd w:val="clear" w:color="auto" w:fill="auto"/>
            <w:noWrap/>
            <w:vAlign w:val="bottom"/>
            <w:hideMark/>
          </w:tcPr>
          <w:p w14:paraId="607D5926"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5</w:t>
            </w:r>
          </w:p>
        </w:tc>
        <w:tc>
          <w:tcPr>
            <w:tcW w:w="2400" w:type="dxa"/>
            <w:tcBorders>
              <w:top w:val="nil"/>
              <w:left w:val="nil"/>
              <w:bottom w:val="single" w:sz="4" w:space="0" w:color="ADD6EA"/>
              <w:right w:val="nil"/>
            </w:tcBorders>
            <w:shd w:val="clear" w:color="auto" w:fill="auto"/>
            <w:noWrap/>
            <w:vAlign w:val="bottom"/>
            <w:hideMark/>
          </w:tcPr>
          <w:p w14:paraId="43D1F972"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11</w:t>
            </w:r>
          </w:p>
        </w:tc>
      </w:tr>
      <w:tr w:rsidR="00491418" w:rsidRPr="00491418" w14:paraId="79037BA8" w14:textId="77777777" w:rsidTr="00500FBE">
        <w:trPr>
          <w:trHeight w:val="315"/>
        </w:trPr>
        <w:tc>
          <w:tcPr>
            <w:tcW w:w="4040" w:type="dxa"/>
            <w:tcBorders>
              <w:top w:val="nil"/>
              <w:left w:val="nil"/>
              <w:bottom w:val="single" w:sz="4" w:space="0" w:color="ADD6EA"/>
              <w:right w:val="nil"/>
            </w:tcBorders>
            <w:shd w:val="clear" w:color="auto" w:fill="auto"/>
            <w:noWrap/>
            <w:vAlign w:val="bottom"/>
            <w:hideMark/>
          </w:tcPr>
          <w:p w14:paraId="719DA93B" w14:textId="77777777" w:rsidR="00491418" w:rsidRPr="00491418" w:rsidRDefault="00491418" w:rsidP="00491418">
            <w:pPr>
              <w:tabs>
                <w:tab w:val="clear" w:pos="567"/>
              </w:tabs>
              <w:spacing w:before="0" w:line="240" w:lineRule="auto"/>
              <w:rPr>
                <w:rFonts w:eastAsia="Times New Roman" w:cs="Open Sans Light"/>
                <w:sz w:val="16"/>
                <w:szCs w:val="16"/>
                <w:lang w:val="en-AU" w:eastAsia="en-AU"/>
              </w:rPr>
            </w:pPr>
            <w:r w:rsidRPr="00491418">
              <w:rPr>
                <w:rFonts w:eastAsia="Times New Roman" w:cs="Open Sans Light"/>
                <w:sz w:val="16"/>
                <w:szCs w:val="16"/>
                <w:lang w:val="en-AU" w:eastAsia="en-AU"/>
              </w:rPr>
              <w:t>Growth in GST available</w:t>
            </w:r>
          </w:p>
        </w:tc>
        <w:tc>
          <w:tcPr>
            <w:tcW w:w="2500" w:type="dxa"/>
            <w:tcBorders>
              <w:top w:val="nil"/>
              <w:left w:val="nil"/>
              <w:bottom w:val="single" w:sz="4" w:space="0" w:color="ADD6EA"/>
              <w:right w:val="nil"/>
            </w:tcBorders>
            <w:shd w:val="clear" w:color="auto" w:fill="auto"/>
            <w:noWrap/>
            <w:vAlign w:val="bottom"/>
            <w:hideMark/>
          </w:tcPr>
          <w:p w14:paraId="487239F0"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46</w:t>
            </w:r>
          </w:p>
        </w:tc>
        <w:tc>
          <w:tcPr>
            <w:tcW w:w="2400" w:type="dxa"/>
            <w:tcBorders>
              <w:top w:val="nil"/>
              <w:left w:val="nil"/>
              <w:bottom w:val="single" w:sz="4" w:space="0" w:color="ADD6EA"/>
              <w:right w:val="nil"/>
            </w:tcBorders>
            <w:shd w:val="clear" w:color="auto" w:fill="auto"/>
            <w:noWrap/>
            <w:vAlign w:val="bottom"/>
            <w:hideMark/>
          </w:tcPr>
          <w:p w14:paraId="61258F9E"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105</w:t>
            </w:r>
          </w:p>
        </w:tc>
      </w:tr>
      <w:tr w:rsidR="00491418" w:rsidRPr="00491418" w14:paraId="5CB00B66"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15ABE561" w14:textId="77777777" w:rsidR="00491418" w:rsidRPr="00491418" w:rsidRDefault="00491418" w:rsidP="00491418">
            <w:pPr>
              <w:tabs>
                <w:tab w:val="clear" w:pos="567"/>
              </w:tabs>
              <w:spacing w:before="0" w:line="240" w:lineRule="auto"/>
              <w:rPr>
                <w:rFonts w:eastAsia="Times New Roman" w:cs="Open Sans Light"/>
                <w:sz w:val="16"/>
                <w:szCs w:val="16"/>
                <w:lang w:val="en-AU" w:eastAsia="en-AU"/>
              </w:rPr>
            </w:pPr>
            <w:r w:rsidRPr="00491418">
              <w:rPr>
                <w:rFonts w:eastAsia="Times New Roman" w:cs="Open Sans Light"/>
                <w:sz w:val="16"/>
                <w:szCs w:val="16"/>
                <w:lang w:val="en-AU" w:eastAsia="en-AU"/>
              </w:rPr>
              <w:t>Changes in relative fiscal capacity</w:t>
            </w:r>
          </w:p>
        </w:tc>
        <w:tc>
          <w:tcPr>
            <w:tcW w:w="2500" w:type="dxa"/>
            <w:tcBorders>
              <w:top w:val="nil"/>
              <w:left w:val="nil"/>
              <w:bottom w:val="single" w:sz="4" w:space="0" w:color="ADD6EA"/>
              <w:right w:val="nil"/>
            </w:tcBorders>
            <w:shd w:val="clear" w:color="auto" w:fill="auto"/>
            <w:noWrap/>
            <w:vAlign w:val="bottom"/>
            <w:hideMark/>
          </w:tcPr>
          <w:p w14:paraId="7E8B6BC3"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-99</w:t>
            </w:r>
          </w:p>
        </w:tc>
        <w:tc>
          <w:tcPr>
            <w:tcW w:w="2400" w:type="dxa"/>
            <w:tcBorders>
              <w:top w:val="nil"/>
              <w:left w:val="nil"/>
              <w:bottom w:val="single" w:sz="4" w:space="0" w:color="ADD6EA"/>
              <w:right w:val="nil"/>
            </w:tcBorders>
            <w:shd w:val="clear" w:color="auto" w:fill="auto"/>
            <w:noWrap/>
            <w:vAlign w:val="bottom"/>
            <w:hideMark/>
          </w:tcPr>
          <w:p w14:paraId="45B21A84"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-226</w:t>
            </w:r>
          </w:p>
        </w:tc>
      </w:tr>
      <w:tr w:rsidR="00491418" w:rsidRPr="00491418" w14:paraId="248CEB1A"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68B232E6" w14:textId="77777777" w:rsidR="00491418" w:rsidRPr="00491418" w:rsidRDefault="00491418" w:rsidP="00491418">
            <w:pPr>
              <w:tabs>
                <w:tab w:val="clear" w:pos="567"/>
              </w:tabs>
              <w:spacing w:before="0" w:line="240" w:lineRule="auto"/>
              <w:ind w:firstLineChars="100" w:firstLine="160"/>
              <w:rPr>
                <w:rFonts w:eastAsia="Times New Roman" w:cs="Open Sans Light"/>
                <w:sz w:val="16"/>
                <w:szCs w:val="16"/>
                <w:lang w:val="en-AU" w:eastAsia="en-AU"/>
              </w:rPr>
            </w:pPr>
            <w:r w:rsidRPr="00491418">
              <w:rPr>
                <w:rFonts w:eastAsia="Times New Roman" w:cs="Open Sans Light"/>
                <w:sz w:val="16"/>
                <w:szCs w:val="16"/>
                <w:lang w:val="en-AU" w:eastAsia="en-AU"/>
              </w:rPr>
              <w:t>Method changes</w:t>
            </w:r>
          </w:p>
        </w:tc>
        <w:tc>
          <w:tcPr>
            <w:tcW w:w="2500" w:type="dxa"/>
            <w:tcBorders>
              <w:top w:val="nil"/>
              <w:left w:val="nil"/>
              <w:bottom w:val="single" w:sz="4" w:space="0" w:color="ADD6EA"/>
              <w:right w:val="nil"/>
            </w:tcBorders>
            <w:shd w:val="clear" w:color="auto" w:fill="auto"/>
            <w:noWrap/>
            <w:vAlign w:val="bottom"/>
            <w:hideMark/>
          </w:tcPr>
          <w:p w14:paraId="1757A282"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-74</w:t>
            </w:r>
          </w:p>
        </w:tc>
        <w:tc>
          <w:tcPr>
            <w:tcW w:w="2400" w:type="dxa"/>
            <w:tcBorders>
              <w:top w:val="nil"/>
              <w:left w:val="nil"/>
              <w:bottom w:val="single" w:sz="4" w:space="0" w:color="ADD6EA"/>
              <w:right w:val="nil"/>
            </w:tcBorders>
            <w:shd w:val="clear" w:color="auto" w:fill="auto"/>
            <w:noWrap/>
            <w:vAlign w:val="bottom"/>
            <w:hideMark/>
          </w:tcPr>
          <w:p w14:paraId="18021FDC"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-168</w:t>
            </w:r>
          </w:p>
        </w:tc>
      </w:tr>
      <w:tr w:rsidR="00491418" w:rsidRPr="00491418" w14:paraId="1768F5BD"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4D24166B" w14:textId="77777777" w:rsidR="00491418" w:rsidRPr="00491418" w:rsidRDefault="00491418" w:rsidP="00491418">
            <w:pPr>
              <w:tabs>
                <w:tab w:val="clear" w:pos="567"/>
              </w:tabs>
              <w:spacing w:before="0" w:line="240" w:lineRule="auto"/>
              <w:ind w:firstLineChars="100" w:firstLine="160"/>
              <w:rPr>
                <w:rFonts w:eastAsia="Times New Roman" w:cs="Open Sans Light"/>
                <w:sz w:val="16"/>
                <w:szCs w:val="16"/>
                <w:lang w:val="en-AU" w:eastAsia="en-AU"/>
              </w:rPr>
            </w:pPr>
            <w:r w:rsidRPr="00491418">
              <w:rPr>
                <w:rFonts w:eastAsia="Times New Roman" w:cs="Open Sans Light"/>
                <w:sz w:val="16"/>
                <w:szCs w:val="16"/>
                <w:lang w:val="en-AU"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7C7CD5C4"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-19</w:t>
            </w:r>
          </w:p>
        </w:tc>
        <w:tc>
          <w:tcPr>
            <w:tcW w:w="2400" w:type="dxa"/>
            <w:tcBorders>
              <w:top w:val="nil"/>
              <w:left w:val="nil"/>
              <w:bottom w:val="single" w:sz="4" w:space="0" w:color="ADD6EA"/>
              <w:right w:val="nil"/>
            </w:tcBorders>
            <w:shd w:val="clear" w:color="auto" w:fill="auto"/>
            <w:noWrap/>
            <w:vAlign w:val="bottom"/>
            <w:hideMark/>
          </w:tcPr>
          <w:p w14:paraId="5C21CAAB"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-44</w:t>
            </w:r>
          </w:p>
        </w:tc>
      </w:tr>
      <w:tr w:rsidR="00491418" w:rsidRPr="00491418" w14:paraId="5F514377" w14:textId="77777777" w:rsidTr="00500FBE">
        <w:trPr>
          <w:trHeight w:val="315"/>
        </w:trPr>
        <w:tc>
          <w:tcPr>
            <w:tcW w:w="4040" w:type="dxa"/>
            <w:tcBorders>
              <w:top w:val="nil"/>
              <w:left w:val="nil"/>
              <w:bottom w:val="single" w:sz="4" w:space="0" w:color="ADD6EA"/>
              <w:right w:val="nil"/>
            </w:tcBorders>
            <w:shd w:val="clear" w:color="auto" w:fill="auto"/>
            <w:vAlign w:val="bottom"/>
            <w:hideMark/>
          </w:tcPr>
          <w:p w14:paraId="30A8118D" w14:textId="77777777" w:rsidR="00491418" w:rsidRPr="00491418" w:rsidRDefault="00491418" w:rsidP="00491418">
            <w:pPr>
              <w:tabs>
                <w:tab w:val="clear" w:pos="567"/>
              </w:tabs>
              <w:spacing w:before="0" w:line="240" w:lineRule="auto"/>
              <w:ind w:firstLineChars="100" w:firstLine="160"/>
              <w:rPr>
                <w:rFonts w:eastAsia="Times New Roman" w:cs="Open Sans Light"/>
                <w:sz w:val="16"/>
                <w:szCs w:val="16"/>
                <w:lang w:val="en-AU" w:eastAsia="en-AU"/>
              </w:rPr>
            </w:pPr>
            <w:r w:rsidRPr="00491418">
              <w:rPr>
                <w:rFonts w:eastAsia="Times New Roman" w:cs="Open Sans Light"/>
                <w:sz w:val="16"/>
                <w:szCs w:val="16"/>
                <w:lang w:val="en-AU"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AB62969"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-6</w:t>
            </w:r>
          </w:p>
        </w:tc>
        <w:tc>
          <w:tcPr>
            <w:tcW w:w="2400" w:type="dxa"/>
            <w:tcBorders>
              <w:top w:val="nil"/>
              <w:left w:val="nil"/>
              <w:bottom w:val="single" w:sz="4" w:space="0" w:color="ADD6EA"/>
              <w:right w:val="nil"/>
            </w:tcBorders>
            <w:shd w:val="clear" w:color="auto" w:fill="auto"/>
            <w:noWrap/>
            <w:vAlign w:val="bottom"/>
            <w:hideMark/>
          </w:tcPr>
          <w:p w14:paraId="795F7D27" w14:textId="77777777" w:rsidR="00491418" w:rsidRPr="00491418" w:rsidRDefault="00491418" w:rsidP="00491418">
            <w:pPr>
              <w:tabs>
                <w:tab w:val="clear" w:pos="567"/>
              </w:tabs>
              <w:spacing w:before="0" w:line="240" w:lineRule="auto"/>
              <w:jc w:val="right"/>
              <w:rPr>
                <w:rFonts w:eastAsia="Times New Roman" w:cs="Open Sans Light"/>
                <w:sz w:val="16"/>
                <w:szCs w:val="16"/>
                <w:lang w:val="en-AU" w:eastAsia="en-AU"/>
              </w:rPr>
            </w:pPr>
            <w:r w:rsidRPr="00491418">
              <w:rPr>
                <w:rFonts w:eastAsia="Times New Roman" w:cs="Open Sans Light"/>
                <w:sz w:val="16"/>
                <w:szCs w:val="16"/>
                <w:lang w:val="en-AU" w:eastAsia="en-AU"/>
              </w:rPr>
              <w:t>-14</w:t>
            </w:r>
          </w:p>
        </w:tc>
      </w:tr>
      <w:tr w:rsidR="00491418" w:rsidRPr="00491418" w14:paraId="233BC4CB" w14:textId="77777777" w:rsidTr="00500FBE">
        <w:trPr>
          <w:trHeight w:val="315"/>
        </w:trPr>
        <w:tc>
          <w:tcPr>
            <w:tcW w:w="4040" w:type="dxa"/>
            <w:tcBorders>
              <w:top w:val="nil"/>
              <w:left w:val="nil"/>
              <w:bottom w:val="single" w:sz="4" w:space="0" w:color="ADD6EA"/>
              <w:right w:val="nil"/>
            </w:tcBorders>
            <w:shd w:val="clear" w:color="000000" w:fill="D6E7F0"/>
            <w:noWrap/>
            <w:vAlign w:val="bottom"/>
            <w:hideMark/>
          </w:tcPr>
          <w:p w14:paraId="4B9627A3" w14:textId="77777777" w:rsidR="00491418" w:rsidRPr="00491418" w:rsidRDefault="00491418" w:rsidP="00491418">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491418">
              <w:rPr>
                <w:rFonts w:ascii="Open Sans SemiBold" w:eastAsia="Times New Roman" w:hAnsi="Open Sans SemiBold" w:cs="Open Sans SemiBold"/>
                <w:color w:val="000000"/>
                <w:sz w:val="16"/>
                <w:szCs w:val="16"/>
                <w:lang w:val="en-AU"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5A7B7846" w14:textId="77777777" w:rsidR="00491418" w:rsidRPr="00491418" w:rsidRDefault="00491418" w:rsidP="00491418">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91418">
              <w:rPr>
                <w:rFonts w:ascii="Open Sans SemiBold" w:eastAsia="Times New Roman" w:hAnsi="Open Sans SemiBold" w:cs="Open Sans SemiBold"/>
                <w:color w:val="000000"/>
                <w:sz w:val="16"/>
                <w:szCs w:val="16"/>
                <w:lang w:val="en-AU" w:eastAsia="en-AU"/>
              </w:rPr>
              <w:t>-49</w:t>
            </w:r>
          </w:p>
        </w:tc>
        <w:tc>
          <w:tcPr>
            <w:tcW w:w="2400" w:type="dxa"/>
            <w:tcBorders>
              <w:top w:val="nil"/>
              <w:left w:val="nil"/>
              <w:bottom w:val="single" w:sz="4" w:space="0" w:color="ADD6EA"/>
              <w:right w:val="nil"/>
            </w:tcBorders>
            <w:shd w:val="clear" w:color="000000" w:fill="D6E7F0"/>
            <w:noWrap/>
            <w:vAlign w:val="bottom"/>
            <w:hideMark/>
          </w:tcPr>
          <w:p w14:paraId="4DC1EA06" w14:textId="77777777" w:rsidR="00491418" w:rsidRPr="00491418" w:rsidRDefault="00491418" w:rsidP="00491418">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91418">
              <w:rPr>
                <w:rFonts w:ascii="Open Sans SemiBold" w:eastAsia="Times New Roman" w:hAnsi="Open Sans SemiBold" w:cs="Open Sans SemiBold"/>
                <w:color w:val="000000"/>
                <w:sz w:val="16"/>
                <w:szCs w:val="16"/>
                <w:lang w:val="en-AU" w:eastAsia="en-AU"/>
              </w:rPr>
              <w:t>-110</w:t>
            </w:r>
          </w:p>
        </w:tc>
      </w:tr>
    </w:tbl>
    <w:p w14:paraId="264325AA" w14:textId="4AC1E26F" w:rsidR="00220009" w:rsidRDefault="00220009" w:rsidP="00220009">
      <w:pPr>
        <w:pStyle w:val="CGCTablenote"/>
      </w:pPr>
      <w:r>
        <w:t>Note</w:t>
      </w:r>
      <w:r w:rsidR="00092521">
        <w:t>s</w:t>
      </w:r>
      <w:r>
        <w:t>:</w:t>
      </w:r>
      <w:r>
        <w:tab/>
        <w:t>Table may not add due to rounding.</w:t>
      </w:r>
    </w:p>
    <w:p w14:paraId="59832666" w14:textId="66D59F85" w:rsidR="005C66A7" w:rsidRPr="005C66A7" w:rsidRDefault="000F79F3" w:rsidP="000F79F3">
      <w:pPr>
        <w:pStyle w:val="CGCTableFootnote"/>
        <w:ind w:left="709" w:hanging="596"/>
      </w:pPr>
      <w:r>
        <w:tab/>
      </w:r>
      <w:r w:rsidR="00700F71">
        <w:t>N</w:t>
      </w:r>
      <w:r w:rsidR="000D5B58">
        <w:t>umerous small changes to the ACT</w:t>
      </w:r>
      <w:r w:rsidR="00377538">
        <w:t xml:space="preserve">’s </w:t>
      </w:r>
      <w:r w:rsidR="00D26793">
        <w:t>circumstances</w:t>
      </w:r>
      <w:r w:rsidR="00700F71">
        <w:t xml:space="preserve"> more than offset </w:t>
      </w:r>
      <w:r w:rsidR="005B71CB">
        <w:t>the</w:t>
      </w:r>
      <w:r w:rsidR="00700F71">
        <w:t xml:space="preserve"> increase </w:t>
      </w:r>
      <w:r w:rsidR="005B71CB">
        <w:t xml:space="preserve">in </w:t>
      </w:r>
      <w:r w:rsidR="00D024DB">
        <w:t>its</w:t>
      </w:r>
      <w:r w:rsidR="00700F71">
        <w:t xml:space="preserve"> GST share due to mining production </w:t>
      </w:r>
      <w:r w:rsidR="00BE0AF1">
        <w:t xml:space="preserve">in other States </w:t>
      </w:r>
      <w:r w:rsidR="00700F71">
        <w:t xml:space="preserve">(shown in </w:t>
      </w:r>
      <w:r w:rsidR="00700F71">
        <w:fldChar w:fldCharType="begin"/>
      </w:r>
      <w:r w:rsidR="00700F71">
        <w:instrText xml:space="preserve"> REF _Ref32852906 \h </w:instrText>
      </w:r>
      <w:r w:rsidR="00700F71">
        <w:fldChar w:fldCharType="separate"/>
      </w:r>
      <w:r w:rsidR="003D49C2">
        <w:t>Figure 3</w:t>
      </w:r>
      <w:r w:rsidR="003D49C2">
        <w:noBreakHyphen/>
      </w:r>
      <w:r w:rsidR="003D49C2">
        <w:rPr>
          <w:noProof/>
        </w:rPr>
        <w:t>8</w:t>
      </w:r>
      <w:r w:rsidR="00700F71">
        <w:fldChar w:fldCharType="end"/>
      </w:r>
      <w:r w:rsidR="00700F71">
        <w:t>)</w:t>
      </w:r>
      <w:r w:rsidR="00D26793">
        <w:t>.</w:t>
      </w:r>
    </w:p>
    <w:p w14:paraId="1289B6DA" w14:textId="786D33CA" w:rsidR="00220009" w:rsidRDefault="00220009" w:rsidP="00220009">
      <w:pPr>
        <w:pStyle w:val="CGCTablenote"/>
      </w:pPr>
      <w:r>
        <w:t>Source:</w:t>
      </w:r>
      <w:r>
        <w:tab/>
      </w:r>
      <w:r w:rsidR="005438E4">
        <w:t>Commission calculation.</w:t>
      </w:r>
    </w:p>
    <w:p w14:paraId="0A1926DB" w14:textId="02BADC51" w:rsidR="006A73E7" w:rsidRDefault="006A73E7" w:rsidP="006A73E7">
      <w:pPr>
        <w:pStyle w:val="Caption"/>
      </w:pPr>
      <w:bookmarkStart w:id="49" w:name="_Ref32852906"/>
      <w:r>
        <w:t xml:space="preserve">Figure </w:t>
      </w:r>
      <w:r w:rsidR="00D5059E">
        <w:t>3</w:t>
      </w:r>
      <w:r w:rsidR="00D5059E">
        <w:noBreakHyphen/>
      </w:r>
      <w:r>
        <w:fldChar w:fldCharType="begin"/>
      </w:r>
      <w:r>
        <w:instrText>SEQ Figure \* ARABIC</w:instrText>
      </w:r>
      <w:r>
        <w:fldChar w:fldCharType="separate"/>
      </w:r>
      <w:r w:rsidR="003D49C2">
        <w:rPr>
          <w:noProof/>
        </w:rPr>
        <w:t>8</w:t>
      </w:r>
      <w:r>
        <w:fldChar w:fldCharType="end"/>
      </w:r>
      <w:bookmarkEnd w:id="49"/>
      <w:r>
        <w:t xml:space="preserve"> </w:t>
      </w:r>
      <w:r>
        <w:tab/>
        <w:t>Main changes for the ACT, 2020 Review</w:t>
      </w:r>
    </w:p>
    <w:p w14:paraId="0EA57F6D" w14:textId="2B2C01E9" w:rsidR="006A73E7" w:rsidRDefault="009B75FD" w:rsidP="00B11869">
      <w:r>
        <w:rPr>
          <w:noProof/>
        </w:rPr>
        <w:drawing>
          <wp:inline distT="0" distB="0" distL="0" distR="0" wp14:anchorId="1D9AD540" wp14:editId="20A0492A">
            <wp:extent cx="5681980" cy="3736975"/>
            <wp:effectExtent l="0" t="0" r="0" b="0"/>
            <wp:docPr id="17" name="Picture 17" descr="$64m Administrative scale. -$42m Location adjustment. -$30m investment. -$30m Health. -$23m Justice. -$21m Natural disaster relief. $35m Mining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1980" cy="3736975"/>
                    </a:xfrm>
                    <a:prstGeom prst="rect">
                      <a:avLst/>
                    </a:prstGeom>
                    <a:noFill/>
                  </pic:spPr>
                </pic:pic>
              </a:graphicData>
            </a:graphic>
          </wp:inline>
        </w:drawing>
      </w:r>
    </w:p>
    <w:p w14:paraId="75FA8C5C" w14:textId="1068C4F1" w:rsidR="001814BA" w:rsidRPr="001814BA" w:rsidRDefault="001814BA" w:rsidP="00613D31">
      <w:pPr>
        <w:pStyle w:val="CGCTablenote"/>
        <w:sectPr w:rsidR="001814BA" w:rsidRPr="001814BA" w:rsidSect="00E22AA8">
          <w:pgSz w:w="11907" w:h="16840" w:code="9"/>
          <w:pgMar w:top="1418" w:right="1474" w:bottom="1418" w:left="1474" w:header="720" w:footer="567" w:gutter="0"/>
          <w:cols w:space="720"/>
          <w:titlePg/>
          <w:docGrid w:linePitch="360"/>
        </w:sectPr>
      </w:pPr>
      <w:r>
        <w:t>Source:</w:t>
      </w:r>
      <w:r>
        <w:tab/>
        <w:t>Commission calculation.</w:t>
      </w:r>
    </w:p>
    <w:p w14:paraId="0AA5B9C9" w14:textId="77777777" w:rsidR="00244B6D" w:rsidRDefault="006032C3" w:rsidP="0038169A">
      <w:pPr>
        <w:pStyle w:val="Heading3"/>
        <w:spacing w:before="120"/>
      </w:pPr>
      <w:bookmarkStart w:id="50" w:name="_Toc33600557"/>
      <w:r>
        <w:lastRenderedPageBreak/>
        <w:t>Northern Territory</w:t>
      </w:r>
      <w:bookmarkEnd w:id="50"/>
    </w:p>
    <w:p w14:paraId="201EB56D" w14:textId="700FB269" w:rsidR="00183EF1" w:rsidRDefault="00E9694F" w:rsidP="00B306F7">
      <w:r w:rsidRPr="00E9694F">
        <w:t>The Northern</w:t>
      </w:r>
      <w:r w:rsidR="00442CF7">
        <w:t> </w:t>
      </w:r>
      <w:r w:rsidRPr="00E9694F">
        <w:t xml:space="preserve">Territory’s fiscal capacity has </w:t>
      </w:r>
      <w:r w:rsidR="005A4CD6">
        <w:t>weakened due to</w:t>
      </w:r>
      <w:r w:rsidR="00D655C7">
        <w:t xml:space="preserve"> </w:t>
      </w:r>
      <w:r w:rsidR="00A5213B">
        <w:t xml:space="preserve">higher assessed </w:t>
      </w:r>
      <w:r w:rsidR="00796D60">
        <w:t xml:space="preserve">investment </w:t>
      </w:r>
      <w:r w:rsidR="0095601D">
        <w:t>needs for health and rural roads</w:t>
      </w:r>
      <w:r w:rsidR="0031364A">
        <w:t>, an increase</w:t>
      </w:r>
      <w:r w:rsidRPr="00E9694F">
        <w:t xml:space="preserve"> in </w:t>
      </w:r>
      <w:r w:rsidR="00A00310">
        <w:t>assessed</w:t>
      </w:r>
      <w:r w:rsidR="0031364A">
        <w:t xml:space="preserve"> administrative scale</w:t>
      </w:r>
      <w:r w:rsidR="005F519C">
        <w:t xml:space="preserve"> </w:t>
      </w:r>
      <w:r w:rsidR="00A00310">
        <w:t xml:space="preserve">costs </w:t>
      </w:r>
      <w:r w:rsidR="005F519C">
        <w:t xml:space="preserve">and a </w:t>
      </w:r>
      <w:r w:rsidR="00791897">
        <w:t>relative increase</w:t>
      </w:r>
      <w:r w:rsidRPr="00E9694F">
        <w:t xml:space="preserve"> in the </w:t>
      </w:r>
      <w:r w:rsidR="00791897">
        <w:t>cost</w:t>
      </w:r>
      <w:r w:rsidRPr="00E9694F">
        <w:t xml:space="preserve"> of </w:t>
      </w:r>
      <w:r w:rsidR="00791897">
        <w:t xml:space="preserve">providing services to Indigenous </w:t>
      </w:r>
      <w:r w:rsidR="004B6CD6">
        <w:t>people</w:t>
      </w:r>
      <w:r w:rsidRPr="00E9694F">
        <w:t xml:space="preserve">. These changes were </w:t>
      </w:r>
      <w:r w:rsidR="005F519C">
        <w:t>partly</w:t>
      </w:r>
      <w:r w:rsidRPr="00E9694F">
        <w:t xml:space="preserve"> offset by </w:t>
      </w:r>
      <w:r w:rsidR="005E6F21">
        <w:t xml:space="preserve">a </w:t>
      </w:r>
      <w:r w:rsidR="00C63E11">
        <w:t xml:space="preserve">decrease </w:t>
      </w:r>
      <w:r w:rsidR="007B220C">
        <w:t xml:space="preserve">in its assessed </w:t>
      </w:r>
      <w:r w:rsidR="00CA6CA2">
        <w:t xml:space="preserve">utility </w:t>
      </w:r>
      <w:r w:rsidR="00DD12F8">
        <w:t xml:space="preserve">subsidies </w:t>
      </w:r>
      <w:r w:rsidR="00D6184A">
        <w:t>and In</w:t>
      </w:r>
      <w:r w:rsidR="00351F20">
        <w:t>digenous community development expenses</w:t>
      </w:r>
      <w:r w:rsidRPr="00E9694F">
        <w:t xml:space="preserve">. </w:t>
      </w:r>
      <w:r w:rsidR="007B220C">
        <w:t>The Northern</w:t>
      </w:r>
      <w:r w:rsidR="00106698">
        <w:t> </w:t>
      </w:r>
      <w:r w:rsidR="007B220C">
        <w:t xml:space="preserve">Territory’s </w:t>
      </w:r>
      <w:r w:rsidR="00643107">
        <w:t>weake</w:t>
      </w:r>
      <w:r w:rsidR="007B220C">
        <w:t>r</w:t>
      </w:r>
      <w:r w:rsidR="00643107">
        <w:t xml:space="preserve"> fiscal capacity will </w:t>
      </w:r>
      <w:r w:rsidR="0007690D">
        <w:t xml:space="preserve">see </w:t>
      </w:r>
      <w:r w:rsidR="007B220C">
        <w:t xml:space="preserve">its </w:t>
      </w:r>
      <w:r w:rsidRPr="00E9694F">
        <w:t xml:space="preserve">GST share </w:t>
      </w:r>
      <w:r w:rsidR="0007690D">
        <w:t xml:space="preserve">increase </w:t>
      </w:r>
      <w:r w:rsidRPr="00E9694F">
        <w:t>from 4.</w:t>
      </w:r>
      <w:r w:rsidR="005F3C55">
        <w:t>1</w:t>
      </w:r>
      <w:r w:rsidRPr="00E9694F">
        <w:t>% to 4.</w:t>
      </w:r>
      <w:r w:rsidR="005F3C55">
        <w:t>5</w:t>
      </w:r>
      <w:r w:rsidRPr="00E9694F">
        <w:t xml:space="preserve">%. </w:t>
      </w:r>
      <w:r w:rsidR="005F3C55">
        <w:t>Combined with pool growth, its</w:t>
      </w:r>
      <w:r w:rsidRPr="00E9694F">
        <w:t xml:space="preserve"> GST entitlement will rise by $</w:t>
      </w:r>
      <w:r w:rsidR="003C6E83">
        <w:t>3</w:t>
      </w:r>
      <w:r w:rsidR="004F5A9B">
        <w:t>68</w:t>
      </w:r>
      <w:r w:rsidR="00306225">
        <w:t> </w:t>
      </w:r>
      <w:r w:rsidRPr="00E9694F">
        <w:t xml:space="preserve">million, or </w:t>
      </w:r>
      <w:r w:rsidR="00B02FCC">
        <w:t>1</w:t>
      </w:r>
      <w:r w:rsidR="00BF7D4E">
        <w:t>3</w:t>
      </w:r>
      <w:r w:rsidRPr="00E9694F">
        <w:t>.</w:t>
      </w:r>
      <w:r w:rsidR="00BF7D4E">
        <w:t>7</w:t>
      </w:r>
      <w:r w:rsidRPr="00E9694F">
        <w:t>%.</w:t>
      </w:r>
    </w:p>
    <w:p w14:paraId="7D2F6C71" w14:textId="45988C05" w:rsidR="00220009" w:rsidRDefault="00220009" w:rsidP="00220009">
      <w:pPr>
        <w:pStyle w:val="CGCTableHeading"/>
      </w:pPr>
      <w:r>
        <w:t xml:space="preserve">Table </w:t>
      </w:r>
      <w:r w:rsidR="00D5059E">
        <w:t>3</w:t>
      </w:r>
      <w:r w:rsidR="00D5059E">
        <w:noBreakHyphen/>
      </w:r>
      <w:r>
        <w:fldChar w:fldCharType="begin"/>
      </w:r>
      <w:r>
        <w:instrText>SEQ Table \* ARABIC</w:instrText>
      </w:r>
      <w:r>
        <w:fldChar w:fldCharType="separate"/>
      </w:r>
      <w:r w:rsidR="003D49C2">
        <w:rPr>
          <w:noProof/>
        </w:rPr>
        <w:t>8</w:t>
      </w:r>
      <w:r>
        <w:fldChar w:fldCharType="end"/>
      </w:r>
      <w:r>
        <w:tab/>
      </w:r>
      <w:r w:rsidR="00A37FAC">
        <w:t>Change in illustrative GST distribution since the 2019 Update, Northern</w:t>
      </w:r>
      <w:r w:rsidR="00DB0BF7">
        <w:t> </w:t>
      </w:r>
      <w:r w:rsidR="00A37FAC">
        <w:t>Territory</w:t>
      </w:r>
    </w:p>
    <w:tbl>
      <w:tblPr>
        <w:tblW w:w="8902" w:type="dxa"/>
        <w:tblCellMar>
          <w:left w:w="0" w:type="dxa"/>
          <w:right w:w="28" w:type="dxa"/>
        </w:tblCellMar>
        <w:tblLook w:val="04A0" w:firstRow="1" w:lastRow="0" w:firstColumn="1" w:lastColumn="0" w:noHBand="0" w:noVBand="1"/>
      </w:tblPr>
      <w:tblGrid>
        <w:gridCol w:w="4040"/>
        <w:gridCol w:w="2508"/>
        <w:gridCol w:w="2411"/>
      </w:tblGrid>
      <w:tr w:rsidR="0013743A" w:rsidRPr="0013743A" w14:paraId="1ABD9863" w14:textId="77777777" w:rsidTr="00500FBE">
        <w:trPr>
          <w:trHeight w:val="258"/>
        </w:trPr>
        <w:tc>
          <w:tcPr>
            <w:tcW w:w="4160" w:type="dxa"/>
            <w:tcBorders>
              <w:top w:val="single" w:sz="4" w:space="0" w:color="ADD6EA"/>
              <w:left w:val="nil"/>
              <w:bottom w:val="single" w:sz="4" w:space="0" w:color="ADD6EA"/>
              <w:right w:val="nil"/>
            </w:tcBorders>
            <w:shd w:val="clear" w:color="000000" w:fill="006991"/>
            <w:noWrap/>
            <w:vAlign w:val="center"/>
            <w:hideMark/>
          </w:tcPr>
          <w:p w14:paraId="167D5FFE" w14:textId="77777777" w:rsidR="0013743A" w:rsidRPr="0013743A" w:rsidRDefault="0013743A" w:rsidP="0013743A">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3743A">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noWrap/>
            <w:vAlign w:val="center"/>
            <w:hideMark/>
          </w:tcPr>
          <w:p w14:paraId="62D85D87" w14:textId="77777777" w:rsidR="0013743A" w:rsidRPr="0013743A" w:rsidRDefault="0013743A" w:rsidP="0013743A">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3743A">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noWrap/>
            <w:vAlign w:val="center"/>
            <w:hideMark/>
          </w:tcPr>
          <w:p w14:paraId="2188DE1C" w14:textId="77777777" w:rsidR="0013743A" w:rsidRPr="0013743A" w:rsidRDefault="0013743A" w:rsidP="0013743A">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13743A">
              <w:rPr>
                <w:rFonts w:ascii="Open Sans SemiBold" w:eastAsia="Times New Roman" w:hAnsi="Open Sans SemiBold" w:cs="Open Sans SemiBold"/>
                <w:color w:val="FFFFFF"/>
                <w:sz w:val="16"/>
                <w:szCs w:val="16"/>
                <w:lang w:val="en-AU" w:eastAsia="en-AU"/>
              </w:rPr>
              <w:t>$pc</w:t>
            </w:r>
          </w:p>
        </w:tc>
      </w:tr>
      <w:tr w:rsidR="0013743A" w:rsidRPr="0013743A" w14:paraId="76D4FFE5"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768BDAFD" w14:textId="77777777" w:rsidR="0013743A" w:rsidRPr="0013743A" w:rsidRDefault="0013743A" w:rsidP="0013743A">
            <w:pPr>
              <w:tabs>
                <w:tab w:val="clear" w:pos="567"/>
              </w:tabs>
              <w:spacing w:before="0" w:line="240" w:lineRule="auto"/>
              <w:rPr>
                <w:rFonts w:eastAsia="Times New Roman" w:cs="Open Sans Light"/>
                <w:sz w:val="16"/>
                <w:szCs w:val="16"/>
                <w:lang w:val="en-AU" w:eastAsia="en-AU"/>
              </w:rPr>
            </w:pPr>
            <w:r w:rsidRPr="0013743A">
              <w:rPr>
                <w:rFonts w:eastAsia="Times New Roman" w:cs="Open Sans Light"/>
                <w:sz w:val="16"/>
                <w:szCs w:val="16"/>
                <w:lang w:val="en-AU" w:eastAsia="en-AU"/>
              </w:rPr>
              <w:t>New population</w:t>
            </w:r>
          </w:p>
        </w:tc>
        <w:tc>
          <w:tcPr>
            <w:tcW w:w="2580" w:type="dxa"/>
            <w:tcBorders>
              <w:top w:val="nil"/>
              <w:left w:val="nil"/>
              <w:bottom w:val="single" w:sz="4" w:space="0" w:color="ADD6EA"/>
              <w:right w:val="nil"/>
            </w:tcBorders>
            <w:shd w:val="clear" w:color="auto" w:fill="auto"/>
            <w:noWrap/>
            <w:vAlign w:val="bottom"/>
            <w:hideMark/>
          </w:tcPr>
          <w:p w14:paraId="6E5D119F"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-42</w:t>
            </w:r>
          </w:p>
        </w:tc>
        <w:tc>
          <w:tcPr>
            <w:tcW w:w="2480" w:type="dxa"/>
            <w:tcBorders>
              <w:top w:val="nil"/>
              <w:left w:val="nil"/>
              <w:bottom w:val="single" w:sz="4" w:space="0" w:color="ADD6EA"/>
              <w:right w:val="nil"/>
            </w:tcBorders>
            <w:shd w:val="clear" w:color="auto" w:fill="auto"/>
            <w:noWrap/>
            <w:vAlign w:val="bottom"/>
            <w:hideMark/>
          </w:tcPr>
          <w:p w14:paraId="0379E864"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-169</w:t>
            </w:r>
          </w:p>
        </w:tc>
      </w:tr>
      <w:tr w:rsidR="0013743A" w:rsidRPr="0013743A" w14:paraId="2D0E2F83" w14:textId="77777777" w:rsidTr="00500FBE">
        <w:trPr>
          <w:trHeight w:val="315"/>
        </w:trPr>
        <w:tc>
          <w:tcPr>
            <w:tcW w:w="4160" w:type="dxa"/>
            <w:tcBorders>
              <w:top w:val="nil"/>
              <w:left w:val="nil"/>
              <w:bottom w:val="single" w:sz="4" w:space="0" w:color="ADD6EA"/>
              <w:right w:val="nil"/>
            </w:tcBorders>
            <w:shd w:val="clear" w:color="auto" w:fill="auto"/>
            <w:noWrap/>
            <w:vAlign w:val="bottom"/>
            <w:hideMark/>
          </w:tcPr>
          <w:p w14:paraId="6469DD8A" w14:textId="77777777" w:rsidR="0013743A" w:rsidRPr="0013743A" w:rsidRDefault="0013743A" w:rsidP="0013743A">
            <w:pPr>
              <w:tabs>
                <w:tab w:val="clear" w:pos="567"/>
              </w:tabs>
              <w:spacing w:before="0" w:line="240" w:lineRule="auto"/>
              <w:rPr>
                <w:rFonts w:eastAsia="Times New Roman" w:cs="Open Sans Light"/>
                <w:sz w:val="16"/>
                <w:szCs w:val="16"/>
                <w:lang w:val="en-AU" w:eastAsia="en-AU"/>
              </w:rPr>
            </w:pPr>
            <w:r w:rsidRPr="0013743A">
              <w:rPr>
                <w:rFonts w:eastAsia="Times New Roman" w:cs="Open Sans Light"/>
                <w:sz w:val="16"/>
                <w:szCs w:val="16"/>
                <w:lang w:val="en-AU" w:eastAsia="en-AU"/>
              </w:rPr>
              <w:t>Growth in GST available</w:t>
            </w:r>
          </w:p>
        </w:tc>
        <w:tc>
          <w:tcPr>
            <w:tcW w:w="2580" w:type="dxa"/>
            <w:tcBorders>
              <w:top w:val="nil"/>
              <w:left w:val="nil"/>
              <w:bottom w:val="single" w:sz="4" w:space="0" w:color="ADD6EA"/>
              <w:right w:val="nil"/>
            </w:tcBorders>
            <w:shd w:val="clear" w:color="auto" w:fill="auto"/>
            <w:noWrap/>
            <w:vAlign w:val="bottom"/>
            <w:hideMark/>
          </w:tcPr>
          <w:p w14:paraId="4C64DFF5"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89</w:t>
            </w:r>
          </w:p>
        </w:tc>
        <w:tc>
          <w:tcPr>
            <w:tcW w:w="2480" w:type="dxa"/>
            <w:tcBorders>
              <w:top w:val="nil"/>
              <w:left w:val="nil"/>
              <w:bottom w:val="single" w:sz="4" w:space="0" w:color="ADD6EA"/>
              <w:right w:val="nil"/>
            </w:tcBorders>
            <w:shd w:val="clear" w:color="auto" w:fill="auto"/>
            <w:noWrap/>
            <w:vAlign w:val="bottom"/>
            <w:hideMark/>
          </w:tcPr>
          <w:p w14:paraId="54F09843"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361</w:t>
            </w:r>
          </w:p>
        </w:tc>
      </w:tr>
      <w:tr w:rsidR="0013743A" w:rsidRPr="0013743A" w14:paraId="3108DF74"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14418105" w14:textId="77777777" w:rsidR="0013743A" w:rsidRPr="0013743A" w:rsidRDefault="0013743A" w:rsidP="0013743A">
            <w:pPr>
              <w:tabs>
                <w:tab w:val="clear" w:pos="567"/>
              </w:tabs>
              <w:spacing w:before="0" w:line="240" w:lineRule="auto"/>
              <w:rPr>
                <w:rFonts w:eastAsia="Times New Roman" w:cs="Open Sans Light"/>
                <w:sz w:val="16"/>
                <w:szCs w:val="16"/>
                <w:lang w:val="en-AU" w:eastAsia="en-AU"/>
              </w:rPr>
            </w:pPr>
            <w:r w:rsidRPr="0013743A">
              <w:rPr>
                <w:rFonts w:eastAsia="Times New Roman" w:cs="Open Sans Light"/>
                <w:sz w:val="16"/>
                <w:szCs w:val="16"/>
                <w:lang w:val="en-AU" w:eastAsia="en-AU"/>
              </w:rPr>
              <w:t>Changes in relative fiscal capacity</w:t>
            </w:r>
          </w:p>
        </w:tc>
        <w:tc>
          <w:tcPr>
            <w:tcW w:w="2580" w:type="dxa"/>
            <w:tcBorders>
              <w:top w:val="nil"/>
              <w:left w:val="nil"/>
              <w:bottom w:val="single" w:sz="4" w:space="0" w:color="ADD6EA"/>
              <w:right w:val="nil"/>
            </w:tcBorders>
            <w:shd w:val="clear" w:color="auto" w:fill="auto"/>
            <w:noWrap/>
            <w:vAlign w:val="bottom"/>
            <w:hideMark/>
          </w:tcPr>
          <w:p w14:paraId="2FFF5AC9"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320</w:t>
            </w:r>
          </w:p>
        </w:tc>
        <w:tc>
          <w:tcPr>
            <w:tcW w:w="2480" w:type="dxa"/>
            <w:tcBorders>
              <w:top w:val="nil"/>
              <w:left w:val="nil"/>
              <w:bottom w:val="single" w:sz="4" w:space="0" w:color="ADD6EA"/>
              <w:right w:val="nil"/>
            </w:tcBorders>
            <w:shd w:val="clear" w:color="auto" w:fill="auto"/>
            <w:noWrap/>
            <w:vAlign w:val="bottom"/>
            <w:hideMark/>
          </w:tcPr>
          <w:p w14:paraId="724A8CCF"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1,302</w:t>
            </w:r>
          </w:p>
        </w:tc>
      </w:tr>
      <w:tr w:rsidR="0013743A" w:rsidRPr="0013743A" w14:paraId="1A9B3566"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3C714187" w14:textId="77777777" w:rsidR="0013743A" w:rsidRPr="0013743A" w:rsidRDefault="0013743A" w:rsidP="0013743A">
            <w:pPr>
              <w:tabs>
                <w:tab w:val="clear" w:pos="567"/>
              </w:tabs>
              <w:spacing w:before="0" w:line="240" w:lineRule="auto"/>
              <w:ind w:firstLineChars="100" w:firstLine="160"/>
              <w:rPr>
                <w:rFonts w:eastAsia="Times New Roman" w:cs="Open Sans Light"/>
                <w:sz w:val="16"/>
                <w:szCs w:val="16"/>
                <w:lang w:val="en-AU" w:eastAsia="en-AU"/>
              </w:rPr>
            </w:pPr>
            <w:r w:rsidRPr="0013743A">
              <w:rPr>
                <w:rFonts w:eastAsia="Times New Roman" w:cs="Open Sans Light"/>
                <w:sz w:val="16"/>
                <w:szCs w:val="16"/>
                <w:lang w:val="en-AU" w:eastAsia="en-AU"/>
              </w:rPr>
              <w:t>Method changes</w:t>
            </w:r>
          </w:p>
        </w:tc>
        <w:tc>
          <w:tcPr>
            <w:tcW w:w="2580" w:type="dxa"/>
            <w:tcBorders>
              <w:top w:val="nil"/>
              <w:left w:val="nil"/>
              <w:bottom w:val="single" w:sz="4" w:space="0" w:color="ADD6EA"/>
              <w:right w:val="nil"/>
            </w:tcBorders>
            <w:shd w:val="clear" w:color="auto" w:fill="auto"/>
            <w:noWrap/>
            <w:vAlign w:val="bottom"/>
            <w:hideMark/>
          </w:tcPr>
          <w:p w14:paraId="5FEBB075"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272</w:t>
            </w:r>
          </w:p>
        </w:tc>
        <w:tc>
          <w:tcPr>
            <w:tcW w:w="2480" w:type="dxa"/>
            <w:tcBorders>
              <w:top w:val="nil"/>
              <w:left w:val="nil"/>
              <w:bottom w:val="single" w:sz="4" w:space="0" w:color="ADD6EA"/>
              <w:right w:val="nil"/>
            </w:tcBorders>
            <w:shd w:val="clear" w:color="auto" w:fill="auto"/>
            <w:noWrap/>
            <w:vAlign w:val="bottom"/>
            <w:hideMark/>
          </w:tcPr>
          <w:p w14:paraId="6FDD5F3A"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1,108</w:t>
            </w:r>
          </w:p>
        </w:tc>
      </w:tr>
      <w:tr w:rsidR="0013743A" w:rsidRPr="0013743A" w14:paraId="70D764C9"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4F5C5150" w14:textId="77777777" w:rsidR="0013743A" w:rsidRPr="0013743A" w:rsidRDefault="0013743A" w:rsidP="0013743A">
            <w:pPr>
              <w:tabs>
                <w:tab w:val="clear" w:pos="567"/>
              </w:tabs>
              <w:spacing w:before="0" w:line="240" w:lineRule="auto"/>
              <w:ind w:firstLineChars="100" w:firstLine="160"/>
              <w:rPr>
                <w:rFonts w:eastAsia="Times New Roman" w:cs="Open Sans Light"/>
                <w:sz w:val="16"/>
                <w:szCs w:val="16"/>
                <w:lang w:val="en-AU" w:eastAsia="en-AU"/>
              </w:rPr>
            </w:pPr>
            <w:r w:rsidRPr="0013743A">
              <w:rPr>
                <w:rFonts w:eastAsia="Times New Roman" w:cs="Open Sans Light"/>
                <w:sz w:val="16"/>
                <w:szCs w:val="16"/>
                <w:lang w:val="en-AU" w:eastAsia="en-AU"/>
              </w:rPr>
              <w:t>Data revisions</w:t>
            </w:r>
          </w:p>
        </w:tc>
        <w:tc>
          <w:tcPr>
            <w:tcW w:w="2580" w:type="dxa"/>
            <w:tcBorders>
              <w:top w:val="nil"/>
              <w:left w:val="nil"/>
              <w:bottom w:val="single" w:sz="4" w:space="0" w:color="ADD6EA"/>
              <w:right w:val="nil"/>
            </w:tcBorders>
            <w:shd w:val="clear" w:color="auto" w:fill="auto"/>
            <w:noWrap/>
            <w:vAlign w:val="bottom"/>
            <w:hideMark/>
          </w:tcPr>
          <w:p w14:paraId="23A839F0"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-18</w:t>
            </w:r>
          </w:p>
        </w:tc>
        <w:tc>
          <w:tcPr>
            <w:tcW w:w="2480" w:type="dxa"/>
            <w:tcBorders>
              <w:top w:val="nil"/>
              <w:left w:val="nil"/>
              <w:bottom w:val="single" w:sz="4" w:space="0" w:color="ADD6EA"/>
              <w:right w:val="nil"/>
            </w:tcBorders>
            <w:shd w:val="clear" w:color="auto" w:fill="auto"/>
            <w:noWrap/>
            <w:vAlign w:val="bottom"/>
            <w:hideMark/>
          </w:tcPr>
          <w:p w14:paraId="07C377CB"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-73</w:t>
            </w:r>
          </w:p>
        </w:tc>
      </w:tr>
      <w:tr w:rsidR="0013743A" w:rsidRPr="0013743A" w14:paraId="35EEEF27" w14:textId="77777777" w:rsidTr="00500FBE">
        <w:trPr>
          <w:trHeight w:val="315"/>
        </w:trPr>
        <w:tc>
          <w:tcPr>
            <w:tcW w:w="4160" w:type="dxa"/>
            <w:tcBorders>
              <w:top w:val="nil"/>
              <w:left w:val="nil"/>
              <w:bottom w:val="single" w:sz="4" w:space="0" w:color="ADD6EA"/>
              <w:right w:val="nil"/>
            </w:tcBorders>
            <w:shd w:val="clear" w:color="auto" w:fill="auto"/>
            <w:vAlign w:val="bottom"/>
            <w:hideMark/>
          </w:tcPr>
          <w:p w14:paraId="12425C26" w14:textId="77777777" w:rsidR="0013743A" w:rsidRPr="0013743A" w:rsidRDefault="0013743A" w:rsidP="0013743A">
            <w:pPr>
              <w:tabs>
                <w:tab w:val="clear" w:pos="567"/>
              </w:tabs>
              <w:spacing w:before="0" w:line="240" w:lineRule="auto"/>
              <w:ind w:firstLineChars="100" w:firstLine="160"/>
              <w:rPr>
                <w:rFonts w:eastAsia="Times New Roman" w:cs="Open Sans Light"/>
                <w:sz w:val="16"/>
                <w:szCs w:val="16"/>
                <w:lang w:val="en-AU" w:eastAsia="en-AU"/>
              </w:rPr>
            </w:pPr>
            <w:r w:rsidRPr="0013743A">
              <w:rPr>
                <w:rFonts w:eastAsia="Times New Roman" w:cs="Open Sans Light"/>
                <w:sz w:val="16"/>
                <w:szCs w:val="16"/>
                <w:lang w:val="en-AU" w:eastAsia="en-AU"/>
              </w:rPr>
              <w:t>State circumstances</w:t>
            </w:r>
          </w:p>
        </w:tc>
        <w:tc>
          <w:tcPr>
            <w:tcW w:w="2580" w:type="dxa"/>
            <w:tcBorders>
              <w:top w:val="nil"/>
              <w:left w:val="nil"/>
              <w:bottom w:val="single" w:sz="4" w:space="0" w:color="ADD6EA"/>
              <w:right w:val="nil"/>
            </w:tcBorders>
            <w:shd w:val="clear" w:color="auto" w:fill="auto"/>
            <w:noWrap/>
            <w:vAlign w:val="bottom"/>
            <w:hideMark/>
          </w:tcPr>
          <w:p w14:paraId="16D5CB4A"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66</w:t>
            </w:r>
          </w:p>
        </w:tc>
        <w:tc>
          <w:tcPr>
            <w:tcW w:w="2480" w:type="dxa"/>
            <w:tcBorders>
              <w:top w:val="nil"/>
              <w:left w:val="nil"/>
              <w:bottom w:val="single" w:sz="4" w:space="0" w:color="ADD6EA"/>
              <w:right w:val="nil"/>
            </w:tcBorders>
            <w:shd w:val="clear" w:color="auto" w:fill="auto"/>
            <w:noWrap/>
            <w:vAlign w:val="bottom"/>
            <w:hideMark/>
          </w:tcPr>
          <w:p w14:paraId="22E4932D" w14:textId="77777777" w:rsidR="0013743A" w:rsidRPr="0013743A" w:rsidRDefault="0013743A" w:rsidP="0013743A">
            <w:pPr>
              <w:tabs>
                <w:tab w:val="clear" w:pos="567"/>
              </w:tabs>
              <w:spacing w:before="0" w:line="240" w:lineRule="auto"/>
              <w:jc w:val="right"/>
              <w:rPr>
                <w:rFonts w:eastAsia="Times New Roman" w:cs="Open Sans Light"/>
                <w:sz w:val="16"/>
                <w:szCs w:val="16"/>
                <w:lang w:val="en-AU" w:eastAsia="en-AU"/>
              </w:rPr>
            </w:pPr>
            <w:r w:rsidRPr="0013743A">
              <w:rPr>
                <w:rFonts w:eastAsia="Times New Roman" w:cs="Open Sans Light"/>
                <w:sz w:val="16"/>
                <w:szCs w:val="16"/>
                <w:lang w:val="en-AU" w:eastAsia="en-AU"/>
              </w:rPr>
              <w:t>268</w:t>
            </w:r>
          </w:p>
        </w:tc>
      </w:tr>
      <w:tr w:rsidR="0013743A" w:rsidRPr="0013743A" w14:paraId="44AAEBEC" w14:textId="77777777" w:rsidTr="00500FBE">
        <w:trPr>
          <w:trHeight w:val="315"/>
        </w:trPr>
        <w:tc>
          <w:tcPr>
            <w:tcW w:w="4160" w:type="dxa"/>
            <w:tcBorders>
              <w:top w:val="nil"/>
              <w:left w:val="nil"/>
              <w:bottom w:val="single" w:sz="4" w:space="0" w:color="ADD6EA"/>
              <w:right w:val="nil"/>
            </w:tcBorders>
            <w:shd w:val="clear" w:color="000000" w:fill="D6E7F0"/>
            <w:noWrap/>
            <w:vAlign w:val="bottom"/>
            <w:hideMark/>
          </w:tcPr>
          <w:p w14:paraId="2A5981C9" w14:textId="77777777" w:rsidR="0013743A" w:rsidRPr="0013743A" w:rsidRDefault="0013743A" w:rsidP="0013743A">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13743A">
              <w:rPr>
                <w:rFonts w:ascii="Open Sans SemiBold" w:eastAsia="Times New Roman" w:hAnsi="Open Sans SemiBold" w:cs="Open Sans SemiBold"/>
                <w:color w:val="000000"/>
                <w:sz w:val="16"/>
                <w:szCs w:val="16"/>
                <w:lang w:val="en-AU" w:eastAsia="en-AU"/>
              </w:rPr>
              <w:t>Total change</w:t>
            </w:r>
          </w:p>
        </w:tc>
        <w:tc>
          <w:tcPr>
            <w:tcW w:w="2580" w:type="dxa"/>
            <w:tcBorders>
              <w:top w:val="nil"/>
              <w:left w:val="nil"/>
              <w:bottom w:val="single" w:sz="4" w:space="0" w:color="ADD6EA"/>
              <w:right w:val="nil"/>
            </w:tcBorders>
            <w:shd w:val="clear" w:color="000000" w:fill="D6E7F0"/>
            <w:noWrap/>
            <w:vAlign w:val="bottom"/>
            <w:hideMark/>
          </w:tcPr>
          <w:p w14:paraId="46D4D4F6" w14:textId="77777777" w:rsidR="0013743A" w:rsidRPr="0013743A" w:rsidRDefault="0013743A" w:rsidP="0013743A">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13743A">
              <w:rPr>
                <w:rFonts w:ascii="Open Sans SemiBold" w:eastAsia="Times New Roman" w:hAnsi="Open Sans SemiBold" w:cs="Open Sans SemiBold"/>
                <w:color w:val="000000"/>
                <w:sz w:val="16"/>
                <w:szCs w:val="16"/>
                <w:lang w:val="en-AU" w:eastAsia="en-AU"/>
              </w:rPr>
              <w:t>368</w:t>
            </w:r>
          </w:p>
        </w:tc>
        <w:tc>
          <w:tcPr>
            <w:tcW w:w="2480" w:type="dxa"/>
            <w:tcBorders>
              <w:top w:val="nil"/>
              <w:left w:val="nil"/>
              <w:bottom w:val="single" w:sz="4" w:space="0" w:color="ADD6EA"/>
              <w:right w:val="nil"/>
            </w:tcBorders>
            <w:shd w:val="clear" w:color="000000" w:fill="D6E7F0"/>
            <w:noWrap/>
            <w:vAlign w:val="bottom"/>
            <w:hideMark/>
          </w:tcPr>
          <w:p w14:paraId="6DFAAC25" w14:textId="77777777" w:rsidR="0013743A" w:rsidRPr="0013743A" w:rsidRDefault="0013743A" w:rsidP="0013743A">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13743A">
              <w:rPr>
                <w:rFonts w:ascii="Open Sans SemiBold" w:eastAsia="Times New Roman" w:hAnsi="Open Sans SemiBold" w:cs="Open Sans SemiBold"/>
                <w:color w:val="000000"/>
                <w:sz w:val="16"/>
                <w:szCs w:val="16"/>
                <w:lang w:val="en-AU" w:eastAsia="en-AU"/>
              </w:rPr>
              <w:t>1,495</w:t>
            </w:r>
          </w:p>
        </w:tc>
      </w:tr>
    </w:tbl>
    <w:p w14:paraId="24071B60" w14:textId="0B1886CE" w:rsidR="00220009" w:rsidRDefault="00220009" w:rsidP="00220009">
      <w:pPr>
        <w:pStyle w:val="CGCTablenote"/>
      </w:pPr>
      <w:r>
        <w:t>Note</w:t>
      </w:r>
      <w:r w:rsidR="00092521">
        <w:t>s</w:t>
      </w:r>
      <w:r>
        <w:t>:</w:t>
      </w:r>
      <w:r>
        <w:tab/>
        <w:t>Table may not add due to rounding.</w:t>
      </w:r>
    </w:p>
    <w:p w14:paraId="4E1D87D8" w14:textId="11F740C4" w:rsidR="00AC5B98" w:rsidRPr="00AC5B98" w:rsidRDefault="009B7283" w:rsidP="009B7283">
      <w:pPr>
        <w:pStyle w:val="CGCTableFootnote"/>
        <w:ind w:left="709" w:hanging="454"/>
      </w:pPr>
      <w:r>
        <w:tab/>
        <w:t>The change in GST shown</w:t>
      </w:r>
      <w:r w:rsidR="00F17B1D">
        <w:t xml:space="preserve"> here does not take into account </w:t>
      </w:r>
      <w:r w:rsidR="00925ACD">
        <w:t xml:space="preserve">supplementary payments made </w:t>
      </w:r>
      <w:r w:rsidR="00286474">
        <w:t>to the Northern</w:t>
      </w:r>
      <w:r w:rsidR="0015023E">
        <w:t> </w:t>
      </w:r>
      <w:r w:rsidR="00286474">
        <w:t>Territory by the Commonwealth in 2019</w:t>
      </w:r>
      <w:r w:rsidR="00286474">
        <w:noBreakHyphen/>
        <w:t>20.</w:t>
      </w:r>
    </w:p>
    <w:p w14:paraId="58365496" w14:textId="258D082F" w:rsidR="00220009" w:rsidRDefault="00220009" w:rsidP="00220009">
      <w:pPr>
        <w:pStyle w:val="CGCTablenote"/>
      </w:pPr>
      <w:r>
        <w:t>Source:</w:t>
      </w:r>
      <w:r>
        <w:tab/>
      </w:r>
      <w:r w:rsidR="005438E4">
        <w:t>Commission calculation.</w:t>
      </w:r>
    </w:p>
    <w:p w14:paraId="7C5B8283" w14:textId="24CA361D" w:rsidR="008E6477" w:rsidRDefault="008E6477" w:rsidP="008E6477">
      <w:pPr>
        <w:pStyle w:val="Caption"/>
      </w:pPr>
      <w:r>
        <w:t xml:space="preserve">Figure </w:t>
      </w:r>
      <w:r w:rsidR="00D5059E">
        <w:t>3</w:t>
      </w:r>
      <w:r w:rsidR="00D5059E">
        <w:noBreakHyphen/>
      </w:r>
      <w:r>
        <w:fldChar w:fldCharType="begin"/>
      </w:r>
      <w:r>
        <w:instrText>SEQ Figure \* ARABIC</w:instrText>
      </w:r>
      <w:r>
        <w:fldChar w:fldCharType="separate"/>
      </w:r>
      <w:r w:rsidR="003D49C2">
        <w:rPr>
          <w:noProof/>
        </w:rPr>
        <w:t>9</w:t>
      </w:r>
      <w:r>
        <w:fldChar w:fldCharType="end"/>
      </w:r>
      <w:r>
        <w:tab/>
        <w:t>Main changes for the Northern Territory, 2020 Review</w:t>
      </w:r>
    </w:p>
    <w:p w14:paraId="7A21C9B8" w14:textId="1DA2971E" w:rsidR="00A4620F" w:rsidRDefault="00C262DD" w:rsidP="00A4620F">
      <w:r>
        <w:rPr>
          <w:noProof/>
        </w:rPr>
        <w:drawing>
          <wp:inline distT="0" distB="0" distL="0" distR="0" wp14:anchorId="697C36B1" wp14:editId="410D4B0D">
            <wp:extent cx="5681980" cy="3755390"/>
            <wp:effectExtent l="0" t="0" r="0" b="0"/>
            <wp:docPr id="18" name="Picture 18" descr="$176m Investment. -$150m Services to communities. $79m Health. $67m Location adjustment. $56m Administrative scale. $35m Indigenous status. $35m Capital impro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1980" cy="3755390"/>
                    </a:xfrm>
                    <a:prstGeom prst="rect">
                      <a:avLst/>
                    </a:prstGeom>
                    <a:noFill/>
                  </pic:spPr>
                </pic:pic>
              </a:graphicData>
            </a:graphic>
          </wp:inline>
        </w:drawing>
      </w:r>
    </w:p>
    <w:p w14:paraId="4FD2AC59" w14:textId="2E7FA8A6" w:rsidR="00133C31" w:rsidRPr="00133C31" w:rsidRDefault="003D3051" w:rsidP="003D3051">
      <w:pPr>
        <w:pStyle w:val="CGCTablenote"/>
        <w:sectPr w:rsidR="00133C31" w:rsidRPr="00133C31" w:rsidSect="00E22AA8">
          <w:pgSz w:w="11907" w:h="16840" w:code="9"/>
          <w:pgMar w:top="1418" w:right="1474" w:bottom="1418" w:left="1474" w:header="720" w:footer="567" w:gutter="0"/>
          <w:cols w:space="720"/>
          <w:titlePg/>
          <w:docGrid w:linePitch="360"/>
        </w:sectPr>
      </w:pPr>
      <w:r>
        <w:t>Source:</w:t>
      </w:r>
      <w:r>
        <w:tab/>
        <w:t>Commission calculation.</w:t>
      </w:r>
    </w:p>
    <w:p w14:paraId="602AB7DC" w14:textId="73F8BA9F" w:rsidR="001D6D17" w:rsidRDefault="006D087D" w:rsidP="006D087D">
      <w:pPr>
        <w:pStyle w:val="Heading2"/>
      </w:pPr>
      <w:bookmarkStart w:id="51" w:name="_Toc33600558"/>
      <w:r>
        <w:lastRenderedPageBreak/>
        <w:t>4</w:t>
      </w:r>
      <w:r w:rsidR="00954E97">
        <w:tab/>
      </w:r>
      <w:r w:rsidR="001D6D17">
        <w:t>Why State relative fiscal capacities differ</w:t>
      </w:r>
      <w:bookmarkEnd w:id="51"/>
    </w:p>
    <w:p w14:paraId="61DC517B" w14:textId="63205BF0" w:rsidR="004D2749" w:rsidRDefault="004D2749" w:rsidP="004D2749">
      <w:pPr>
        <w:pStyle w:val="Heading3"/>
      </w:pPr>
      <w:bookmarkStart w:id="52" w:name="_Toc33600559"/>
      <w:r>
        <w:t>Differences in State fiscal capacities</w:t>
      </w:r>
      <w:bookmarkEnd w:id="52"/>
    </w:p>
    <w:p w14:paraId="4C0470CA" w14:textId="28A64363" w:rsidR="00405051" w:rsidRPr="00405051" w:rsidRDefault="003550C8" w:rsidP="00E22AA8">
      <w:pPr>
        <w:pStyle w:val="CGCParaNumber"/>
        <w:numPr>
          <w:ilvl w:val="0"/>
          <w:numId w:val="31"/>
        </w:numPr>
        <w:ind w:left="567" w:hanging="567"/>
      </w:pPr>
      <w:r w:rsidRPr="003550C8">
        <w:t xml:space="preserve">Differences between the States in economic, social and demographic characteristics affect their expenditures and revenues, and contribute to differences in </w:t>
      </w:r>
      <w:r w:rsidR="00917EEC">
        <w:t>fiscal capacities</w:t>
      </w:r>
      <w:r w:rsidRPr="003550C8">
        <w:t>.</w:t>
      </w:r>
      <w:r w:rsidR="00DE268B">
        <w:rPr>
          <w:rStyle w:val="FootnoteReference"/>
        </w:rPr>
        <w:footnoteReference w:id="10"/>
      </w:r>
      <w:r w:rsidR="006507A9">
        <w:t xml:space="preserve"> </w:t>
      </w:r>
      <w:r w:rsidR="00BF0D95">
        <w:fldChar w:fldCharType="begin"/>
      </w:r>
      <w:r w:rsidR="00BF0D95">
        <w:instrText xml:space="preserve"> REF _Ref32934048 \h </w:instrText>
      </w:r>
      <w:r w:rsidR="00BF0D95">
        <w:fldChar w:fldCharType="separate"/>
      </w:r>
      <w:r w:rsidR="003D49C2">
        <w:t>Table 4</w:t>
      </w:r>
      <w:r w:rsidR="003D49C2">
        <w:noBreakHyphen/>
      </w:r>
      <w:r w:rsidR="003D49C2">
        <w:rPr>
          <w:noProof/>
        </w:rPr>
        <w:t>1</w:t>
      </w:r>
      <w:r w:rsidR="00BF0D95">
        <w:fldChar w:fldCharType="end"/>
      </w:r>
      <w:r w:rsidR="007E0E6D">
        <w:t xml:space="preserve"> </w:t>
      </w:r>
      <w:r w:rsidR="006507A9" w:rsidRPr="00356051">
        <w:t xml:space="preserve">shows how these differences contribute to differences in the </w:t>
      </w:r>
      <w:r w:rsidR="006507A9" w:rsidRPr="00321157">
        <w:t>recommended GST distribution.</w:t>
      </w:r>
    </w:p>
    <w:p w14:paraId="1F454704" w14:textId="01846E7A" w:rsidR="00E847FA" w:rsidRDefault="003A6002" w:rsidP="003A6002">
      <w:pPr>
        <w:pStyle w:val="CGCTableHeading"/>
      </w:pPr>
      <w:bookmarkStart w:id="53" w:name="_Ref30604727"/>
      <w:bookmarkStart w:id="54" w:name="_Ref32934048"/>
      <w:r>
        <w:t>Table</w:t>
      </w:r>
      <w:r w:rsidR="00D5059E">
        <w:t> 4</w:t>
      </w:r>
      <w:r w:rsidR="00D5059E">
        <w:noBreakHyphen/>
      </w:r>
      <w:bookmarkEnd w:id="53"/>
      <w:r w:rsidR="00BF0D95">
        <w:fldChar w:fldCharType="begin"/>
      </w:r>
      <w:r w:rsidR="00BF0D95">
        <w:instrText xml:space="preserve"> SEQ Table \* ARABIC\r 1 </w:instrText>
      </w:r>
      <w:r w:rsidR="00BF0D95">
        <w:fldChar w:fldCharType="separate"/>
      </w:r>
      <w:r w:rsidR="003D49C2">
        <w:rPr>
          <w:noProof/>
        </w:rPr>
        <w:t>1</w:t>
      </w:r>
      <w:r w:rsidR="00BF0D95">
        <w:fldChar w:fldCharType="end"/>
      </w:r>
      <w:bookmarkEnd w:id="54"/>
      <w:r>
        <w:tab/>
        <w:t>Difference from an equal per capita distribution</w:t>
      </w:r>
      <w:r w:rsidR="004871C8">
        <w:t xml:space="preserve"> of GST, 2020</w:t>
      </w:r>
      <w:r w:rsidR="004871C8">
        <w:noBreakHyphen/>
        <w:t>21</w:t>
      </w:r>
    </w:p>
    <w:tbl>
      <w:tblPr>
        <w:tblW w:w="8902" w:type="dxa"/>
        <w:tblCellMar>
          <w:left w:w="0" w:type="dxa"/>
          <w:right w:w="28" w:type="dxa"/>
        </w:tblCellMar>
        <w:tblLook w:val="04A0" w:firstRow="1" w:lastRow="0" w:firstColumn="1" w:lastColumn="0" w:noHBand="0" w:noVBand="1"/>
      </w:tblPr>
      <w:tblGrid>
        <w:gridCol w:w="2443"/>
        <w:gridCol w:w="718"/>
        <w:gridCol w:w="718"/>
        <w:gridCol w:w="718"/>
        <w:gridCol w:w="718"/>
        <w:gridCol w:w="718"/>
        <w:gridCol w:w="718"/>
        <w:gridCol w:w="710"/>
        <w:gridCol w:w="718"/>
        <w:gridCol w:w="723"/>
      </w:tblGrid>
      <w:tr w:rsidR="00C35316" w:rsidRPr="00C35316" w14:paraId="1BD2064A" w14:textId="77777777" w:rsidTr="00500FBE">
        <w:trPr>
          <w:trHeight w:val="375"/>
        </w:trPr>
        <w:tc>
          <w:tcPr>
            <w:tcW w:w="2540" w:type="dxa"/>
            <w:tcBorders>
              <w:top w:val="single" w:sz="4" w:space="0" w:color="ADD6EA"/>
              <w:left w:val="nil"/>
              <w:bottom w:val="single" w:sz="4" w:space="0" w:color="ADD6EA"/>
              <w:right w:val="nil"/>
            </w:tcBorders>
            <w:shd w:val="clear" w:color="000000" w:fill="006991"/>
            <w:vAlign w:val="center"/>
            <w:hideMark/>
          </w:tcPr>
          <w:p w14:paraId="2AE2AE4A"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 </w:t>
            </w:r>
          </w:p>
        </w:tc>
        <w:tc>
          <w:tcPr>
            <w:tcW w:w="740" w:type="dxa"/>
            <w:tcBorders>
              <w:top w:val="single" w:sz="4" w:space="0" w:color="ADD6EA"/>
              <w:left w:val="nil"/>
              <w:bottom w:val="single" w:sz="4" w:space="0" w:color="ADD6EA"/>
              <w:right w:val="nil"/>
            </w:tcBorders>
            <w:shd w:val="clear" w:color="000000" w:fill="006991"/>
            <w:vAlign w:val="center"/>
            <w:hideMark/>
          </w:tcPr>
          <w:p w14:paraId="5545175C"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NSW</w:t>
            </w:r>
          </w:p>
        </w:tc>
        <w:tc>
          <w:tcPr>
            <w:tcW w:w="740" w:type="dxa"/>
            <w:tcBorders>
              <w:top w:val="single" w:sz="4" w:space="0" w:color="ADD6EA"/>
              <w:left w:val="nil"/>
              <w:bottom w:val="single" w:sz="4" w:space="0" w:color="ADD6EA"/>
              <w:right w:val="nil"/>
            </w:tcBorders>
            <w:shd w:val="clear" w:color="000000" w:fill="006991"/>
            <w:vAlign w:val="center"/>
            <w:hideMark/>
          </w:tcPr>
          <w:p w14:paraId="569E1364"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Vic</w:t>
            </w:r>
          </w:p>
        </w:tc>
        <w:tc>
          <w:tcPr>
            <w:tcW w:w="740" w:type="dxa"/>
            <w:tcBorders>
              <w:top w:val="single" w:sz="4" w:space="0" w:color="ADD6EA"/>
              <w:left w:val="nil"/>
              <w:bottom w:val="single" w:sz="4" w:space="0" w:color="ADD6EA"/>
              <w:right w:val="nil"/>
            </w:tcBorders>
            <w:shd w:val="clear" w:color="000000" w:fill="006991"/>
            <w:vAlign w:val="center"/>
            <w:hideMark/>
          </w:tcPr>
          <w:p w14:paraId="095ABD8C"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Qld</w:t>
            </w:r>
          </w:p>
        </w:tc>
        <w:tc>
          <w:tcPr>
            <w:tcW w:w="740" w:type="dxa"/>
            <w:tcBorders>
              <w:top w:val="single" w:sz="4" w:space="0" w:color="ADD6EA"/>
              <w:left w:val="nil"/>
              <w:bottom w:val="single" w:sz="4" w:space="0" w:color="ADD6EA"/>
              <w:right w:val="nil"/>
            </w:tcBorders>
            <w:shd w:val="clear" w:color="000000" w:fill="006991"/>
            <w:vAlign w:val="center"/>
            <w:hideMark/>
          </w:tcPr>
          <w:p w14:paraId="79264BA5"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WA</w:t>
            </w:r>
          </w:p>
        </w:tc>
        <w:tc>
          <w:tcPr>
            <w:tcW w:w="740" w:type="dxa"/>
            <w:tcBorders>
              <w:top w:val="single" w:sz="4" w:space="0" w:color="ADD6EA"/>
              <w:left w:val="nil"/>
              <w:bottom w:val="single" w:sz="4" w:space="0" w:color="ADD6EA"/>
              <w:right w:val="nil"/>
            </w:tcBorders>
            <w:shd w:val="clear" w:color="000000" w:fill="006991"/>
            <w:vAlign w:val="center"/>
            <w:hideMark/>
          </w:tcPr>
          <w:p w14:paraId="4D30E417"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SA</w:t>
            </w:r>
          </w:p>
        </w:tc>
        <w:tc>
          <w:tcPr>
            <w:tcW w:w="740" w:type="dxa"/>
            <w:tcBorders>
              <w:top w:val="single" w:sz="4" w:space="0" w:color="ADD6EA"/>
              <w:left w:val="nil"/>
              <w:bottom w:val="single" w:sz="4" w:space="0" w:color="ADD6EA"/>
              <w:right w:val="nil"/>
            </w:tcBorders>
            <w:shd w:val="clear" w:color="000000" w:fill="006991"/>
            <w:vAlign w:val="center"/>
            <w:hideMark/>
          </w:tcPr>
          <w:p w14:paraId="67AB169A"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Tas</w:t>
            </w:r>
          </w:p>
        </w:tc>
        <w:tc>
          <w:tcPr>
            <w:tcW w:w="740" w:type="dxa"/>
            <w:tcBorders>
              <w:top w:val="single" w:sz="4" w:space="0" w:color="ADD6EA"/>
              <w:left w:val="nil"/>
              <w:bottom w:val="single" w:sz="4" w:space="0" w:color="ADD6EA"/>
              <w:right w:val="nil"/>
            </w:tcBorders>
            <w:shd w:val="clear" w:color="000000" w:fill="006991"/>
            <w:vAlign w:val="center"/>
            <w:hideMark/>
          </w:tcPr>
          <w:p w14:paraId="298F0064"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ACT</w:t>
            </w:r>
          </w:p>
        </w:tc>
        <w:tc>
          <w:tcPr>
            <w:tcW w:w="740" w:type="dxa"/>
            <w:tcBorders>
              <w:top w:val="single" w:sz="4" w:space="0" w:color="ADD6EA"/>
              <w:left w:val="nil"/>
              <w:bottom w:val="single" w:sz="4" w:space="0" w:color="ADD6EA"/>
              <w:right w:val="nil"/>
            </w:tcBorders>
            <w:shd w:val="clear" w:color="000000" w:fill="006991"/>
            <w:vAlign w:val="center"/>
            <w:hideMark/>
          </w:tcPr>
          <w:p w14:paraId="6E0ECC20"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NT</w:t>
            </w:r>
          </w:p>
        </w:tc>
        <w:tc>
          <w:tcPr>
            <w:tcW w:w="740" w:type="dxa"/>
            <w:tcBorders>
              <w:top w:val="single" w:sz="4" w:space="0" w:color="ADD6EA"/>
              <w:left w:val="nil"/>
              <w:bottom w:val="single" w:sz="4" w:space="0" w:color="ADD6EA"/>
              <w:right w:val="nil"/>
            </w:tcBorders>
            <w:shd w:val="clear" w:color="000000" w:fill="006991"/>
            <w:vAlign w:val="center"/>
            <w:hideMark/>
          </w:tcPr>
          <w:p w14:paraId="48B9D29F"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35316">
              <w:rPr>
                <w:rFonts w:ascii="Open Sans SemiBold" w:eastAsia="Times New Roman" w:hAnsi="Open Sans SemiBold" w:cs="Open Sans SemiBold"/>
                <w:color w:val="FFFFFF"/>
                <w:sz w:val="16"/>
                <w:szCs w:val="16"/>
                <w:lang w:val="en-AU" w:eastAsia="en-AU"/>
              </w:rPr>
              <w:t>Redist</w:t>
            </w:r>
          </w:p>
        </w:tc>
      </w:tr>
      <w:tr w:rsidR="00C35316" w:rsidRPr="00C35316" w14:paraId="19776C8A" w14:textId="77777777" w:rsidTr="00500FBE">
        <w:trPr>
          <w:trHeight w:val="258"/>
        </w:trPr>
        <w:tc>
          <w:tcPr>
            <w:tcW w:w="2540" w:type="dxa"/>
            <w:tcBorders>
              <w:top w:val="nil"/>
              <w:left w:val="nil"/>
              <w:bottom w:val="single" w:sz="4" w:space="0" w:color="ADD6EA"/>
              <w:right w:val="nil"/>
            </w:tcBorders>
            <w:shd w:val="clear" w:color="000000" w:fill="B6D5E4"/>
            <w:vAlign w:val="bottom"/>
            <w:hideMark/>
          </w:tcPr>
          <w:p w14:paraId="63480744"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 </w:t>
            </w:r>
          </w:p>
        </w:tc>
        <w:tc>
          <w:tcPr>
            <w:tcW w:w="740" w:type="dxa"/>
            <w:tcBorders>
              <w:top w:val="nil"/>
              <w:left w:val="nil"/>
              <w:bottom w:val="single" w:sz="4" w:space="0" w:color="ADD6EA"/>
              <w:right w:val="nil"/>
            </w:tcBorders>
            <w:shd w:val="clear" w:color="000000" w:fill="B6D5E4"/>
            <w:vAlign w:val="center"/>
            <w:hideMark/>
          </w:tcPr>
          <w:p w14:paraId="5D4BB95B"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3D12C95A"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14C34DC0"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238A803D"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13667490"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5C9267F7"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77AB5CA6"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040E380E"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c>
          <w:tcPr>
            <w:tcW w:w="740" w:type="dxa"/>
            <w:tcBorders>
              <w:top w:val="nil"/>
              <w:left w:val="nil"/>
              <w:bottom w:val="single" w:sz="4" w:space="0" w:color="ADD6EA"/>
              <w:right w:val="nil"/>
            </w:tcBorders>
            <w:shd w:val="clear" w:color="000000" w:fill="B6D5E4"/>
            <w:vAlign w:val="center"/>
            <w:hideMark/>
          </w:tcPr>
          <w:p w14:paraId="30892C5B"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$m</w:t>
            </w:r>
          </w:p>
        </w:tc>
      </w:tr>
      <w:tr w:rsidR="00C35316" w:rsidRPr="00C35316" w14:paraId="66BD25C1" w14:textId="77777777" w:rsidTr="00500FBE">
        <w:trPr>
          <w:trHeight w:val="315"/>
        </w:trPr>
        <w:tc>
          <w:tcPr>
            <w:tcW w:w="2540" w:type="dxa"/>
            <w:tcBorders>
              <w:top w:val="nil"/>
              <w:left w:val="nil"/>
              <w:bottom w:val="single" w:sz="4" w:space="0" w:color="ADD6EA"/>
              <w:right w:val="nil"/>
            </w:tcBorders>
            <w:shd w:val="clear" w:color="auto" w:fill="auto"/>
            <w:vAlign w:val="bottom"/>
            <w:hideMark/>
          </w:tcPr>
          <w:p w14:paraId="158B9691"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Expense requirement</w:t>
            </w:r>
          </w:p>
        </w:tc>
        <w:tc>
          <w:tcPr>
            <w:tcW w:w="740" w:type="dxa"/>
            <w:tcBorders>
              <w:top w:val="nil"/>
              <w:left w:val="nil"/>
              <w:bottom w:val="single" w:sz="4" w:space="0" w:color="ADD6EA"/>
              <w:right w:val="nil"/>
            </w:tcBorders>
            <w:shd w:val="clear" w:color="auto" w:fill="auto"/>
            <w:vAlign w:val="bottom"/>
            <w:hideMark/>
          </w:tcPr>
          <w:p w14:paraId="271C0781"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-1,144</w:t>
            </w:r>
          </w:p>
        </w:tc>
        <w:tc>
          <w:tcPr>
            <w:tcW w:w="740" w:type="dxa"/>
            <w:tcBorders>
              <w:top w:val="nil"/>
              <w:left w:val="nil"/>
              <w:bottom w:val="single" w:sz="4" w:space="0" w:color="ADD6EA"/>
              <w:right w:val="nil"/>
            </w:tcBorders>
            <w:shd w:val="clear" w:color="auto" w:fill="auto"/>
            <w:vAlign w:val="bottom"/>
            <w:hideMark/>
          </w:tcPr>
          <w:p w14:paraId="795896A2"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-4,689</w:t>
            </w:r>
          </w:p>
        </w:tc>
        <w:tc>
          <w:tcPr>
            <w:tcW w:w="740" w:type="dxa"/>
            <w:tcBorders>
              <w:top w:val="nil"/>
              <w:left w:val="nil"/>
              <w:bottom w:val="single" w:sz="4" w:space="0" w:color="ADD6EA"/>
              <w:right w:val="nil"/>
            </w:tcBorders>
            <w:shd w:val="clear" w:color="auto" w:fill="auto"/>
            <w:vAlign w:val="bottom"/>
            <w:hideMark/>
          </w:tcPr>
          <w:p w14:paraId="5697BC96"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1,295</w:t>
            </w:r>
          </w:p>
        </w:tc>
        <w:tc>
          <w:tcPr>
            <w:tcW w:w="740" w:type="dxa"/>
            <w:tcBorders>
              <w:top w:val="nil"/>
              <w:left w:val="nil"/>
              <w:bottom w:val="single" w:sz="4" w:space="0" w:color="ADD6EA"/>
              <w:right w:val="nil"/>
            </w:tcBorders>
            <w:shd w:val="clear" w:color="auto" w:fill="auto"/>
            <w:vAlign w:val="bottom"/>
            <w:hideMark/>
          </w:tcPr>
          <w:p w14:paraId="162AAA86"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1,412</w:t>
            </w:r>
          </w:p>
        </w:tc>
        <w:tc>
          <w:tcPr>
            <w:tcW w:w="740" w:type="dxa"/>
            <w:tcBorders>
              <w:top w:val="nil"/>
              <w:left w:val="nil"/>
              <w:bottom w:val="single" w:sz="4" w:space="0" w:color="ADD6EA"/>
              <w:right w:val="nil"/>
            </w:tcBorders>
            <w:shd w:val="clear" w:color="auto" w:fill="auto"/>
            <w:vAlign w:val="bottom"/>
            <w:hideMark/>
          </w:tcPr>
          <w:p w14:paraId="7DDC9CF5"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181</w:t>
            </w:r>
          </w:p>
        </w:tc>
        <w:tc>
          <w:tcPr>
            <w:tcW w:w="740" w:type="dxa"/>
            <w:tcBorders>
              <w:top w:val="nil"/>
              <w:left w:val="nil"/>
              <w:bottom w:val="single" w:sz="4" w:space="0" w:color="ADD6EA"/>
              <w:right w:val="nil"/>
            </w:tcBorders>
            <w:shd w:val="clear" w:color="auto" w:fill="auto"/>
            <w:vAlign w:val="bottom"/>
            <w:hideMark/>
          </w:tcPr>
          <w:p w14:paraId="137E71BF"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725</w:t>
            </w:r>
          </w:p>
        </w:tc>
        <w:tc>
          <w:tcPr>
            <w:tcW w:w="740" w:type="dxa"/>
            <w:tcBorders>
              <w:top w:val="nil"/>
              <w:left w:val="nil"/>
              <w:bottom w:val="single" w:sz="4" w:space="0" w:color="ADD6EA"/>
              <w:right w:val="nil"/>
            </w:tcBorders>
            <w:shd w:val="clear" w:color="auto" w:fill="auto"/>
            <w:vAlign w:val="bottom"/>
            <w:hideMark/>
          </w:tcPr>
          <w:p w14:paraId="74DE60E9"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-195</w:t>
            </w:r>
          </w:p>
        </w:tc>
        <w:tc>
          <w:tcPr>
            <w:tcW w:w="740" w:type="dxa"/>
            <w:tcBorders>
              <w:top w:val="nil"/>
              <w:left w:val="nil"/>
              <w:bottom w:val="single" w:sz="4" w:space="0" w:color="ADD6EA"/>
              <w:right w:val="nil"/>
            </w:tcBorders>
            <w:shd w:val="clear" w:color="auto" w:fill="auto"/>
            <w:vAlign w:val="bottom"/>
            <w:hideMark/>
          </w:tcPr>
          <w:p w14:paraId="1238B126"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2,415</w:t>
            </w:r>
          </w:p>
        </w:tc>
        <w:tc>
          <w:tcPr>
            <w:tcW w:w="740" w:type="dxa"/>
            <w:tcBorders>
              <w:top w:val="nil"/>
              <w:left w:val="nil"/>
              <w:bottom w:val="single" w:sz="4" w:space="0" w:color="ADD6EA"/>
              <w:right w:val="nil"/>
            </w:tcBorders>
            <w:shd w:val="clear" w:color="auto" w:fill="auto"/>
            <w:vAlign w:val="bottom"/>
            <w:hideMark/>
          </w:tcPr>
          <w:p w14:paraId="23F0C4DD"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6,028</w:t>
            </w:r>
          </w:p>
        </w:tc>
      </w:tr>
      <w:tr w:rsidR="00C35316" w:rsidRPr="00C35316" w14:paraId="108EDD2B" w14:textId="77777777" w:rsidTr="00500FBE">
        <w:trPr>
          <w:trHeight w:val="315"/>
        </w:trPr>
        <w:tc>
          <w:tcPr>
            <w:tcW w:w="2540" w:type="dxa"/>
            <w:tcBorders>
              <w:top w:val="nil"/>
              <w:left w:val="nil"/>
              <w:bottom w:val="single" w:sz="4" w:space="0" w:color="ADD6EA"/>
              <w:right w:val="nil"/>
            </w:tcBorders>
            <w:shd w:val="clear" w:color="auto" w:fill="auto"/>
            <w:vAlign w:val="bottom"/>
            <w:hideMark/>
          </w:tcPr>
          <w:p w14:paraId="015E444B"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Investment requirement</w:t>
            </w:r>
          </w:p>
        </w:tc>
        <w:tc>
          <w:tcPr>
            <w:tcW w:w="740" w:type="dxa"/>
            <w:tcBorders>
              <w:top w:val="nil"/>
              <w:left w:val="nil"/>
              <w:bottom w:val="single" w:sz="4" w:space="0" w:color="ADD6EA"/>
              <w:right w:val="nil"/>
            </w:tcBorders>
            <w:shd w:val="clear" w:color="auto" w:fill="auto"/>
            <w:vAlign w:val="bottom"/>
            <w:hideMark/>
          </w:tcPr>
          <w:p w14:paraId="186EA94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89</w:t>
            </w:r>
          </w:p>
        </w:tc>
        <w:tc>
          <w:tcPr>
            <w:tcW w:w="740" w:type="dxa"/>
            <w:tcBorders>
              <w:top w:val="nil"/>
              <w:left w:val="nil"/>
              <w:bottom w:val="single" w:sz="4" w:space="0" w:color="ADD6EA"/>
              <w:right w:val="nil"/>
            </w:tcBorders>
            <w:shd w:val="clear" w:color="auto" w:fill="auto"/>
            <w:vAlign w:val="bottom"/>
            <w:hideMark/>
          </w:tcPr>
          <w:p w14:paraId="686176FD"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263</w:t>
            </w:r>
          </w:p>
        </w:tc>
        <w:tc>
          <w:tcPr>
            <w:tcW w:w="740" w:type="dxa"/>
            <w:tcBorders>
              <w:top w:val="nil"/>
              <w:left w:val="nil"/>
              <w:bottom w:val="single" w:sz="4" w:space="0" w:color="ADD6EA"/>
              <w:right w:val="nil"/>
            </w:tcBorders>
            <w:shd w:val="clear" w:color="auto" w:fill="auto"/>
            <w:vAlign w:val="bottom"/>
            <w:hideMark/>
          </w:tcPr>
          <w:p w14:paraId="7E1EBDF5"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15</w:t>
            </w:r>
          </w:p>
        </w:tc>
        <w:tc>
          <w:tcPr>
            <w:tcW w:w="740" w:type="dxa"/>
            <w:tcBorders>
              <w:top w:val="nil"/>
              <w:left w:val="nil"/>
              <w:bottom w:val="single" w:sz="4" w:space="0" w:color="ADD6EA"/>
              <w:right w:val="nil"/>
            </w:tcBorders>
            <w:shd w:val="clear" w:color="auto" w:fill="auto"/>
            <w:vAlign w:val="bottom"/>
            <w:hideMark/>
          </w:tcPr>
          <w:p w14:paraId="7C6A53B1"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-136</w:t>
            </w:r>
          </w:p>
        </w:tc>
        <w:tc>
          <w:tcPr>
            <w:tcW w:w="740" w:type="dxa"/>
            <w:tcBorders>
              <w:top w:val="nil"/>
              <w:left w:val="nil"/>
              <w:bottom w:val="single" w:sz="4" w:space="0" w:color="ADD6EA"/>
              <w:right w:val="nil"/>
            </w:tcBorders>
            <w:shd w:val="clear" w:color="auto" w:fill="auto"/>
            <w:vAlign w:val="bottom"/>
            <w:hideMark/>
          </w:tcPr>
          <w:p w14:paraId="16199887"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-405</w:t>
            </w:r>
          </w:p>
        </w:tc>
        <w:tc>
          <w:tcPr>
            <w:tcW w:w="740" w:type="dxa"/>
            <w:tcBorders>
              <w:top w:val="nil"/>
              <w:left w:val="nil"/>
              <w:bottom w:val="single" w:sz="4" w:space="0" w:color="ADD6EA"/>
              <w:right w:val="nil"/>
            </w:tcBorders>
            <w:shd w:val="clear" w:color="auto" w:fill="auto"/>
            <w:vAlign w:val="bottom"/>
            <w:hideMark/>
          </w:tcPr>
          <w:p w14:paraId="6EFD23D2"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-129</w:t>
            </w:r>
          </w:p>
        </w:tc>
        <w:tc>
          <w:tcPr>
            <w:tcW w:w="740" w:type="dxa"/>
            <w:tcBorders>
              <w:top w:val="nil"/>
              <w:left w:val="nil"/>
              <w:bottom w:val="single" w:sz="4" w:space="0" w:color="ADD6EA"/>
              <w:right w:val="nil"/>
            </w:tcBorders>
            <w:shd w:val="clear" w:color="auto" w:fill="auto"/>
            <w:vAlign w:val="bottom"/>
            <w:hideMark/>
          </w:tcPr>
          <w:p w14:paraId="005412A6"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-92</w:t>
            </w:r>
          </w:p>
        </w:tc>
        <w:tc>
          <w:tcPr>
            <w:tcW w:w="740" w:type="dxa"/>
            <w:tcBorders>
              <w:top w:val="nil"/>
              <w:left w:val="nil"/>
              <w:bottom w:val="single" w:sz="4" w:space="0" w:color="ADD6EA"/>
              <w:right w:val="nil"/>
            </w:tcBorders>
            <w:shd w:val="clear" w:color="auto" w:fill="auto"/>
            <w:vAlign w:val="bottom"/>
            <w:hideMark/>
          </w:tcPr>
          <w:p w14:paraId="345C1863"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394</w:t>
            </w:r>
          </w:p>
        </w:tc>
        <w:tc>
          <w:tcPr>
            <w:tcW w:w="740" w:type="dxa"/>
            <w:tcBorders>
              <w:top w:val="nil"/>
              <w:left w:val="nil"/>
              <w:bottom w:val="single" w:sz="4" w:space="0" w:color="ADD6EA"/>
              <w:right w:val="nil"/>
            </w:tcBorders>
            <w:shd w:val="clear" w:color="auto" w:fill="auto"/>
            <w:vAlign w:val="bottom"/>
            <w:hideMark/>
          </w:tcPr>
          <w:p w14:paraId="4C205CA4"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762</w:t>
            </w:r>
          </w:p>
        </w:tc>
      </w:tr>
      <w:tr w:rsidR="00C35316" w:rsidRPr="00C35316" w14:paraId="0258E2AF" w14:textId="77777777" w:rsidTr="00500FBE">
        <w:trPr>
          <w:trHeight w:val="315"/>
        </w:trPr>
        <w:tc>
          <w:tcPr>
            <w:tcW w:w="2540" w:type="dxa"/>
            <w:tcBorders>
              <w:top w:val="nil"/>
              <w:left w:val="nil"/>
              <w:bottom w:val="single" w:sz="4" w:space="0" w:color="ADD6EA"/>
              <w:right w:val="nil"/>
            </w:tcBorders>
            <w:shd w:val="clear" w:color="auto" w:fill="auto"/>
            <w:vAlign w:val="bottom"/>
            <w:hideMark/>
          </w:tcPr>
          <w:p w14:paraId="53C76913"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Net borrowing</w:t>
            </w:r>
          </w:p>
        </w:tc>
        <w:tc>
          <w:tcPr>
            <w:tcW w:w="740" w:type="dxa"/>
            <w:tcBorders>
              <w:top w:val="nil"/>
              <w:left w:val="nil"/>
              <w:bottom w:val="single" w:sz="4" w:space="0" w:color="ADD6EA"/>
              <w:right w:val="nil"/>
            </w:tcBorders>
            <w:shd w:val="clear" w:color="auto" w:fill="auto"/>
            <w:vAlign w:val="bottom"/>
            <w:hideMark/>
          </w:tcPr>
          <w:p w14:paraId="2416EF6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22</w:t>
            </w:r>
          </w:p>
        </w:tc>
        <w:tc>
          <w:tcPr>
            <w:tcW w:w="740" w:type="dxa"/>
            <w:tcBorders>
              <w:top w:val="nil"/>
              <w:left w:val="nil"/>
              <w:bottom w:val="single" w:sz="4" w:space="0" w:color="ADD6EA"/>
              <w:right w:val="nil"/>
            </w:tcBorders>
            <w:shd w:val="clear" w:color="auto" w:fill="auto"/>
            <w:vAlign w:val="bottom"/>
            <w:hideMark/>
          </w:tcPr>
          <w:p w14:paraId="1EEBBCD5"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-174</w:t>
            </w:r>
          </w:p>
        </w:tc>
        <w:tc>
          <w:tcPr>
            <w:tcW w:w="740" w:type="dxa"/>
            <w:tcBorders>
              <w:top w:val="nil"/>
              <w:left w:val="nil"/>
              <w:bottom w:val="single" w:sz="4" w:space="0" w:color="ADD6EA"/>
              <w:right w:val="nil"/>
            </w:tcBorders>
            <w:shd w:val="clear" w:color="auto" w:fill="auto"/>
            <w:vAlign w:val="bottom"/>
            <w:hideMark/>
          </w:tcPr>
          <w:p w14:paraId="54B7EC81"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-14</w:t>
            </w:r>
          </w:p>
        </w:tc>
        <w:tc>
          <w:tcPr>
            <w:tcW w:w="740" w:type="dxa"/>
            <w:tcBorders>
              <w:top w:val="nil"/>
              <w:left w:val="nil"/>
              <w:bottom w:val="single" w:sz="4" w:space="0" w:color="ADD6EA"/>
              <w:right w:val="nil"/>
            </w:tcBorders>
            <w:shd w:val="clear" w:color="auto" w:fill="auto"/>
            <w:vAlign w:val="bottom"/>
            <w:hideMark/>
          </w:tcPr>
          <w:p w14:paraId="2EF8E263"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86</w:t>
            </w:r>
          </w:p>
        </w:tc>
        <w:tc>
          <w:tcPr>
            <w:tcW w:w="740" w:type="dxa"/>
            <w:tcBorders>
              <w:top w:val="nil"/>
              <w:left w:val="nil"/>
              <w:bottom w:val="single" w:sz="4" w:space="0" w:color="ADD6EA"/>
              <w:right w:val="nil"/>
            </w:tcBorders>
            <w:shd w:val="clear" w:color="auto" w:fill="auto"/>
            <w:vAlign w:val="bottom"/>
            <w:hideMark/>
          </w:tcPr>
          <w:p w14:paraId="1D11BB6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60</w:t>
            </w:r>
          </w:p>
        </w:tc>
        <w:tc>
          <w:tcPr>
            <w:tcW w:w="740" w:type="dxa"/>
            <w:tcBorders>
              <w:top w:val="nil"/>
              <w:left w:val="nil"/>
              <w:bottom w:val="single" w:sz="4" w:space="0" w:color="ADD6EA"/>
              <w:right w:val="nil"/>
            </w:tcBorders>
            <w:shd w:val="clear" w:color="auto" w:fill="auto"/>
            <w:vAlign w:val="bottom"/>
            <w:hideMark/>
          </w:tcPr>
          <w:p w14:paraId="4C4FCE57"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11</w:t>
            </w:r>
          </w:p>
        </w:tc>
        <w:tc>
          <w:tcPr>
            <w:tcW w:w="740" w:type="dxa"/>
            <w:tcBorders>
              <w:top w:val="nil"/>
              <w:left w:val="nil"/>
              <w:bottom w:val="single" w:sz="4" w:space="0" w:color="ADD6EA"/>
              <w:right w:val="nil"/>
            </w:tcBorders>
            <w:shd w:val="clear" w:color="auto" w:fill="auto"/>
            <w:vAlign w:val="bottom"/>
            <w:hideMark/>
          </w:tcPr>
          <w:p w14:paraId="2CABAA9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-6</w:t>
            </w:r>
          </w:p>
        </w:tc>
        <w:tc>
          <w:tcPr>
            <w:tcW w:w="740" w:type="dxa"/>
            <w:tcBorders>
              <w:top w:val="nil"/>
              <w:left w:val="nil"/>
              <w:bottom w:val="single" w:sz="4" w:space="0" w:color="ADD6EA"/>
              <w:right w:val="nil"/>
            </w:tcBorders>
            <w:shd w:val="clear" w:color="auto" w:fill="auto"/>
            <w:vAlign w:val="bottom"/>
            <w:hideMark/>
          </w:tcPr>
          <w:p w14:paraId="50BCF5B1"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15</w:t>
            </w:r>
          </w:p>
        </w:tc>
        <w:tc>
          <w:tcPr>
            <w:tcW w:w="740" w:type="dxa"/>
            <w:tcBorders>
              <w:top w:val="nil"/>
              <w:left w:val="nil"/>
              <w:bottom w:val="single" w:sz="4" w:space="0" w:color="ADD6EA"/>
              <w:right w:val="nil"/>
            </w:tcBorders>
            <w:shd w:val="clear" w:color="auto" w:fill="auto"/>
            <w:vAlign w:val="bottom"/>
            <w:hideMark/>
          </w:tcPr>
          <w:p w14:paraId="7C2A6B07"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194</w:t>
            </w:r>
          </w:p>
        </w:tc>
      </w:tr>
      <w:tr w:rsidR="00C35316" w:rsidRPr="00C35316" w14:paraId="17C73F67" w14:textId="77777777" w:rsidTr="00500FBE">
        <w:trPr>
          <w:trHeight w:val="315"/>
        </w:trPr>
        <w:tc>
          <w:tcPr>
            <w:tcW w:w="2540" w:type="dxa"/>
            <w:tcBorders>
              <w:top w:val="nil"/>
              <w:left w:val="nil"/>
              <w:bottom w:val="single" w:sz="4" w:space="0" w:color="ADD6EA"/>
              <w:right w:val="nil"/>
            </w:tcBorders>
            <w:shd w:val="clear" w:color="auto" w:fill="auto"/>
            <w:vAlign w:val="bottom"/>
            <w:hideMark/>
          </w:tcPr>
          <w:p w14:paraId="26FCFFDC"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Revenue capacity</w:t>
            </w:r>
          </w:p>
        </w:tc>
        <w:tc>
          <w:tcPr>
            <w:tcW w:w="740" w:type="dxa"/>
            <w:tcBorders>
              <w:top w:val="nil"/>
              <w:left w:val="nil"/>
              <w:bottom w:val="single" w:sz="4" w:space="0" w:color="ADD6EA"/>
              <w:right w:val="nil"/>
            </w:tcBorders>
            <w:shd w:val="clear" w:color="auto" w:fill="auto"/>
            <w:vAlign w:val="bottom"/>
            <w:hideMark/>
          </w:tcPr>
          <w:p w14:paraId="52F05BD0"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-1,079</w:t>
            </w:r>
          </w:p>
        </w:tc>
        <w:tc>
          <w:tcPr>
            <w:tcW w:w="740" w:type="dxa"/>
            <w:tcBorders>
              <w:top w:val="nil"/>
              <w:left w:val="nil"/>
              <w:bottom w:val="single" w:sz="4" w:space="0" w:color="ADD6EA"/>
              <w:right w:val="nil"/>
            </w:tcBorders>
            <w:shd w:val="clear" w:color="auto" w:fill="auto"/>
            <w:vAlign w:val="bottom"/>
            <w:hideMark/>
          </w:tcPr>
          <w:p w14:paraId="69FF1094"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2,763</w:t>
            </w:r>
          </w:p>
        </w:tc>
        <w:tc>
          <w:tcPr>
            <w:tcW w:w="740" w:type="dxa"/>
            <w:tcBorders>
              <w:top w:val="nil"/>
              <w:left w:val="nil"/>
              <w:bottom w:val="single" w:sz="4" w:space="0" w:color="ADD6EA"/>
              <w:right w:val="nil"/>
            </w:tcBorders>
            <w:shd w:val="clear" w:color="auto" w:fill="auto"/>
            <w:vAlign w:val="bottom"/>
            <w:hideMark/>
          </w:tcPr>
          <w:p w14:paraId="792BEBAF"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276</w:t>
            </w:r>
          </w:p>
        </w:tc>
        <w:tc>
          <w:tcPr>
            <w:tcW w:w="740" w:type="dxa"/>
            <w:tcBorders>
              <w:top w:val="nil"/>
              <w:left w:val="nil"/>
              <w:bottom w:val="single" w:sz="4" w:space="0" w:color="ADD6EA"/>
              <w:right w:val="nil"/>
            </w:tcBorders>
            <w:shd w:val="clear" w:color="auto" w:fill="auto"/>
            <w:vAlign w:val="bottom"/>
            <w:hideMark/>
          </w:tcPr>
          <w:p w14:paraId="24FD8453"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-5,149</w:t>
            </w:r>
          </w:p>
        </w:tc>
        <w:tc>
          <w:tcPr>
            <w:tcW w:w="740" w:type="dxa"/>
            <w:tcBorders>
              <w:top w:val="nil"/>
              <w:left w:val="nil"/>
              <w:bottom w:val="single" w:sz="4" w:space="0" w:color="ADD6EA"/>
              <w:right w:val="nil"/>
            </w:tcBorders>
            <w:shd w:val="clear" w:color="auto" w:fill="auto"/>
            <w:vAlign w:val="bottom"/>
            <w:hideMark/>
          </w:tcPr>
          <w:p w14:paraId="2CCA1F6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2,057</w:t>
            </w:r>
          </w:p>
        </w:tc>
        <w:tc>
          <w:tcPr>
            <w:tcW w:w="740" w:type="dxa"/>
            <w:tcBorders>
              <w:top w:val="nil"/>
              <w:left w:val="nil"/>
              <w:bottom w:val="single" w:sz="4" w:space="0" w:color="ADD6EA"/>
              <w:right w:val="nil"/>
            </w:tcBorders>
            <w:shd w:val="clear" w:color="auto" w:fill="auto"/>
            <w:vAlign w:val="bottom"/>
            <w:hideMark/>
          </w:tcPr>
          <w:p w14:paraId="61243FB5"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755</w:t>
            </w:r>
          </w:p>
        </w:tc>
        <w:tc>
          <w:tcPr>
            <w:tcW w:w="740" w:type="dxa"/>
            <w:tcBorders>
              <w:top w:val="nil"/>
              <w:left w:val="nil"/>
              <w:bottom w:val="single" w:sz="4" w:space="0" w:color="ADD6EA"/>
              <w:right w:val="nil"/>
            </w:tcBorders>
            <w:shd w:val="clear" w:color="auto" w:fill="auto"/>
            <w:vAlign w:val="bottom"/>
            <w:hideMark/>
          </w:tcPr>
          <w:p w14:paraId="46ACFBEA"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376</w:t>
            </w:r>
          </w:p>
        </w:tc>
        <w:tc>
          <w:tcPr>
            <w:tcW w:w="740" w:type="dxa"/>
            <w:tcBorders>
              <w:top w:val="nil"/>
              <w:left w:val="nil"/>
              <w:bottom w:val="single" w:sz="4" w:space="0" w:color="ADD6EA"/>
              <w:right w:val="nil"/>
            </w:tcBorders>
            <w:shd w:val="clear" w:color="auto" w:fill="auto"/>
            <w:vAlign w:val="bottom"/>
            <w:hideMark/>
          </w:tcPr>
          <w:p w14:paraId="75490ED4"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w:t>
            </w:r>
          </w:p>
        </w:tc>
        <w:tc>
          <w:tcPr>
            <w:tcW w:w="740" w:type="dxa"/>
            <w:tcBorders>
              <w:top w:val="nil"/>
              <w:left w:val="nil"/>
              <w:bottom w:val="single" w:sz="4" w:space="0" w:color="ADD6EA"/>
              <w:right w:val="nil"/>
            </w:tcBorders>
            <w:shd w:val="clear" w:color="auto" w:fill="auto"/>
            <w:vAlign w:val="bottom"/>
            <w:hideMark/>
          </w:tcPr>
          <w:p w14:paraId="0ECADE85"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6,229</w:t>
            </w:r>
          </w:p>
        </w:tc>
      </w:tr>
      <w:tr w:rsidR="00C35316" w:rsidRPr="00C35316" w14:paraId="71560127" w14:textId="77777777" w:rsidTr="00500FBE">
        <w:trPr>
          <w:trHeight w:val="315"/>
        </w:trPr>
        <w:tc>
          <w:tcPr>
            <w:tcW w:w="2540" w:type="dxa"/>
            <w:tcBorders>
              <w:top w:val="nil"/>
              <w:left w:val="nil"/>
              <w:bottom w:val="single" w:sz="4" w:space="0" w:color="ADD6EA"/>
              <w:right w:val="nil"/>
            </w:tcBorders>
            <w:shd w:val="clear" w:color="auto" w:fill="auto"/>
            <w:vAlign w:val="bottom"/>
            <w:hideMark/>
          </w:tcPr>
          <w:p w14:paraId="51D816E7" w14:textId="77777777" w:rsidR="00C35316" w:rsidRPr="00C35316" w:rsidRDefault="00C35316" w:rsidP="00C35316">
            <w:pPr>
              <w:tabs>
                <w:tab w:val="clear" w:pos="567"/>
              </w:tabs>
              <w:spacing w:before="0" w:line="240" w:lineRule="auto"/>
              <w:rPr>
                <w:rFonts w:eastAsia="Times New Roman" w:cs="Open Sans Light"/>
                <w:sz w:val="16"/>
                <w:szCs w:val="16"/>
                <w:lang w:val="en-AU" w:eastAsia="en-AU"/>
              </w:rPr>
            </w:pPr>
            <w:r w:rsidRPr="00C35316">
              <w:rPr>
                <w:rFonts w:eastAsia="Times New Roman" w:cs="Open Sans Light"/>
                <w:sz w:val="16"/>
                <w:szCs w:val="16"/>
                <w:lang w:val="en-AU" w:eastAsia="en-AU"/>
              </w:rPr>
              <w:t>Commonwealth payments (a)</w:t>
            </w:r>
          </w:p>
        </w:tc>
        <w:tc>
          <w:tcPr>
            <w:tcW w:w="740" w:type="dxa"/>
            <w:tcBorders>
              <w:top w:val="nil"/>
              <w:left w:val="nil"/>
              <w:bottom w:val="single" w:sz="4" w:space="0" w:color="ADD6EA"/>
              <w:right w:val="nil"/>
            </w:tcBorders>
            <w:shd w:val="clear" w:color="auto" w:fill="auto"/>
            <w:vAlign w:val="bottom"/>
            <w:hideMark/>
          </w:tcPr>
          <w:p w14:paraId="69F37681"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376</w:t>
            </w:r>
          </w:p>
        </w:tc>
        <w:tc>
          <w:tcPr>
            <w:tcW w:w="740" w:type="dxa"/>
            <w:tcBorders>
              <w:top w:val="nil"/>
              <w:left w:val="nil"/>
              <w:bottom w:val="single" w:sz="4" w:space="0" w:color="ADD6EA"/>
              <w:right w:val="nil"/>
            </w:tcBorders>
            <w:shd w:val="clear" w:color="auto" w:fill="auto"/>
            <w:vAlign w:val="bottom"/>
            <w:hideMark/>
          </w:tcPr>
          <w:p w14:paraId="3C1623DB"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1,152</w:t>
            </w:r>
          </w:p>
        </w:tc>
        <w:tc>
          <w:tcPr>
            <w:tcW w:w="740" w:type="dxa"/>
            <w:tcBorders>
              <w:top w:val="nil"/>
              <w:left w:val="nil"/>
              <w:bottom w:val="single" w:sz="4" w:space="0" w:color="ADD6EA"/>
              <w:right w:val="nil"/>
            </w:tcBorders>
            <w:shd w:val="clear" w:color="auto" w:fill="auto"/>
            <w:vAlign w:val="bottom"/>
            <w:hideMark/>
          </w:tcPr>
          <w:p w14:paraId="386A5F1A"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-882</w:t>
            </w:r>
          </w:p>
        </w:tc>
        <w:tc>
          <w:tcPr>
            <w:tcW w:w="740" w:type="dxa"/>
            <w:tcBorders>
              <w:top w:val="nil"/>
              <w:left w:val="nil"/>
              <w:bottom w:val="single" w:sz="4" w:space="0" w:color="ADD6EA"/>
              <w:right w:val="nil"/>
            </w:tcBorders>
            <w:shd w:val="clear" w:color="auto" w:fill="auto"/>
            <w:vAlign w:val="bottom"/>
            <w:hideMark/>
          </w:tcPr>
          <w:p w14:paraId="63CF3A6A"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0</w:t>
            </w:r>
          </w:p>
        </w:tc>
        <w:tc>
          <w:tcPr>
            <w:tcW w:w="740" w:type="dxa"/>
            <w:tcBorders>
              <w:top w:val="nil"/>
              <w:left w:val="nil"/>
              <w:bottom w:val="single" w:sz="4" w:space="0" w:color="ADD6EA"/>
              <w:right w:val="nil"/>
            </w:tcBorders>
            <w:shd w:val="clear" w:color="auto" w:fill="auto"/>
            <w:vAlign w:val="bottom"/>
            <w:hideMark/>
          </w:tcPr>
          <w:p w14:paraId="2000E9C6"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-236</w:t>
            </w:r>
          </w:p>
        </w:tc>
        <w:tc>
          <w:tcPr>
            <w:tcW w:w="740" w:type="dxa"/>
            <w:tcBorders>
              <w:top w:val="nil"/>
              <w:left w:val="nil"/>
              <w:bottom w:val="single" w:sz="4" w:space="0" w:color="ADD6EA"/>
              <w:right w:val="nil"/>
            </w:tcBorders>
            <w:shd w:val="clear" w:color="auto" w:fill="auto"/>
            <w:vAlign w:val="bottom"/>
            <w:hideMark/>
          </w:tcPr>
          <w:p w14:paraId="5E150EAB"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-89</w:t>
            </w:r>
          </w:p>
        </w:tc>
        <w:tc>
          <w:tcPr>
            <w:tcW w:w="740" w:type="dxa"/>
            <w:tcBorders>
              <w:top w:val="nil"/>
              <w:left w:val="nil"/>
              <w:bottom w:val="single" w:sz="4" w:space="0" w:color="ADD6EA"/>
              <w:right w:val="nil"/>
            </w:tcBorders>
            <w:shd w:val="clear" w:color="auto" w:fill="auto"/>
            <w:vAlign w:val="bottom"/>
            <w:hideMark/>
          </w:tcPr>
          <w:p w14:paraId="68E0A9BC"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91</w:t>
            </w:r>
          </w:p>
        </w:tc>
        <w:tc>
          <w:tcPr>
            <w:tcW w:w="740" w:type="dxa"/>
            <w:tcBorders>
              <w:top w:val="nil"/>
              <w:left w:val="nil"/>
              <w:bottom w:val="single" w:sz="4" w:space="0" w:color="ADD6EA"/>
              <w:right w:val="nil"/>
            </w:tcBorders>
            <w:shd w:val="clear" w:color="auto" w:fill="auto"/>
            <w:vAlign w:val="bottom"/>
            <w:hideMark/>
          </w:tcPr>
          <w:p w14:paraId="0DDC758E"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-412</w:t>
            </w:r>
          </w:p>
        </w:tc>
        <w:tc>
          <w:tcPr>
            <w:tcW w:w="740" w:type="dxa"/>
            <w:tcBorders>
              <w:top w:val="nil"/>
              <w:left w:val="nil"/>
              <w:bottom w:val="single" w:sz="4" w:space="0" w:color="ADD6EA"/>
              <w:right w:val="nil"/>
            </w:tcBorders>
            <w:shd w:val="clear" w:color="auto" w:fill="auto"/>
            <w:vAlign w:val="bottom"/>
            <w:hideMark/>
          </w:tcPr>
          <w:p w14:paraId="5D967D69" w14:textId="77777777" w:rsidR="00C35316" w:rsidRPr="00C35316" w:rsidRDefault="00C35316" w:rsidP="00C35316">
            <w:pPr>
              <w:tabs>
                <w:tab w:val="clear" w:pos="567"/>
              </w:tabs>
              <w:spacing w:before="0" w:line="240" w:lineRule="auto"/>
              <w:jc w:val="right"/>
              <w:rPr>
                <w:rFonts w:eastAsia="Times New Roman" w:cs="Open Sans Light"/>
                <w:sz w:val="16"/>
                <w:szCs w:val="16"/>
                <w:lang w:val="en-AU" w:eastAsia="en-AU"/>
              </w:rPr>
            </w:pPr>
            <w:r w:rsidRPr="00C35316">
              <w:rPr>
                <w:rFonts w:eastAsia="Times New Roman" w:cs="Open Sans Light"/>
                <w:sz w:val="16"/>
                <w:szCs w:val="16"/>
                <w:lang w:val="en-AU" w:eastAsia="en-AU"/>
              </w:rPr>
              <w:t>1,619</w:t>
            </w:r>
          </w:p>
        </w:tc>
      </w:tr>
      <w:tr w:rsidR="00C35316" w:rsidRPr="00C35316" w14:paraId="6C9F9B79" w14:textId="77777777" w:rsidTr="00500FBE">
        <w:trPr>
          <w:trHeight w:val="315"/>
        </w:trPr>
        <w:tc>
          <w:tcPr>
            <w:tcW w:w="2540" w:type="dxa"/>
            <w:tcBorders>
              <w:top w:val="nil"/>
              <w:left w:val="nil"/>
              <w:bottom w:val="single" w:sz="4" w:space="0" w:color="ADD6EA"/>
              <w:right w:val="nil"/>
            </w:tcBorders>
            <w:shd w:val="clear" w:color="000000" w:fill="D6E7F0"/>
            <w:vAlign w:val="bottom"/>
            <w:hideMark/>
          </w:tcPr>
          <w:p w14:paraId="0B773779" w14:textId="77777777" w:rsidR="00C35316" w:rsidRPr="00C35316" w:rsidRDefault="00C35316" w:rsidP="00C35316">
            <w:pPr>
              <w:tabs>
                <w:tab w:val="clear" w:pos="567"/>
              </w:tabs>
              <w:spacing w:before="0" w:line="240" w:lineRule="auto"/>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Total</w:t>
            </w:r>
          </w:p>
        </w:tc>
        <w:tc>
          <w:tcPr>
            <w:tcW w:w="740" w:type="dxa"/>
            <w:tcBorders>
              <w:top w:val="nil"/>
              <w:left w:val="nil"/>
              <w:bottom w:val="single" w:sz="4" w:space="0" w:color="ADD6EA"/>
              <w:right w:val="nil"/>
            </w:tcBorders>
            <w:shd w:val="clear" w:color="000000" w:fill="D6E7F0"/>
            <w:vAlign w:val="bottom"/>
            <w:hideMark/>
          </w:tcPr>
          <w:p w14:paraId="7797CBA2"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-1,736</w:t>
            </w:r>
          </w:p>
        </w:tc>
        <w:tc>
          <w:tcPr>
            <w:tcW w:w="740" w:type="dxa"/>
            <w:tcBorders>
              <w:top w:val="nil"/>
              <w:left w:val="nil"/>
              <w:bottom w:val="single" w:sz="4" w:space="0" w:color="ADD6EA"/>
              <w:right w:val="nil"/>
            </w:tcBorders>
            <w:shd w:val="clear" w:color="000000" w:fill="D6E7F0"/>
            <w:vAlign w:val="bottom"/>
            <w:hideMark/>
          </w:tcPr>
          <w:p w14:paraId="156C0C47"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-685</w:t>
            </w:r>
          </w:p>
        </w:tc>
        <w:tc>
          <w:tcPr>
            <w:tcW w:w="740" w:type="dxa"/>
            <w:tcBorders>
              <w:top w:val="nil"/>
              <w:left w:val="nil"/>
              <w:bottom w:val="single" w:sz="4" w:space="0" w:color="ADD6EA"/>
              <w:right w:val="nil"/>
            </w:tcBorders>
            <w:shd w:val="clear" w:color="000000" w:fill="D6E7F0"/>
            <w:vAlign w:val="bottom"/>
            <w:hideMark/>
          </w:tcPr>
          <w:p w14:paraId="6D1FAE2C"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690</w:t>
            </w:r>
          </w:p>
        </w:tc>
        <w:tc>
          <w:tcPr>
            <w:tcW w:w="740" w:type="dxa"/>
            <w:tcBorders>
              <w:top w:val="nil"/>
              <w:left w:val="nil"/>
              <w:bottom w:val="single" w:sz="4" w:space="0" w:color="ADD6EA"/>
              <w:right w:val="nil"/>
            </w:tcBorders>
            <w:shd w:val="clear" w:color="000000" w:fill="D6E7F0"/>
            <w:vAlign w:val="bottom"/>
            <w:hideMark/>
          </w:tcPr>
          <w:p w14:paraId="7369B888"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-3,788</w:t>
            </w:r>
          </w:p>
        </w:tc>
        <w:tc>
          <w:tcPr>
            <w:tcW w:w="740" w:type="dxa"/>
            <w:tcBorders>
              <w:top w:val="nil"/>
              <w:left w:val="nil"/>
              <w:bottom w:val="single" w:sz="4" w:space="0" w:color="ADD6EA"/>
              <w:right w:val="nil"/>
            </w:tcBorders>
            <w:shd w:val="clear" w:color="000000" w:fill="D6E7F0"/>
            <w:vAlign w:val="bottom"/>
            <w:hideMark/>
          </w:tcPr>
          <w:p w14:paraId="39D91EA3"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1,656</w:t>
            </w:r>
          </w:p>
        </w:tc>
        <w:tc>
          <w:tcPr>
            <w:tcW w:w="740" w:type="dxa"/>
            <w:tcBorders>
              <w:top w:val="nil"/>
              <w:left w:val="nil"/>
              <w:bottom w:val="single" w:sz="4" w:space="0" w:color="ADD6EA"/>
              <w:right w:val="nil"/>
            </w:tcBorders>
            <w:shd w:val="clear" w:color="000000" w:fill="D6E7F0"/>
            <w:vAlign w:val="bottom"/>
            <w:hideMark/>
          </w:tcPr>
          <w:p w14:paraId="597915FA"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1,274</w:t>
            </w:r>
          </w:p>
        </w:tc>
        <w:tc>
          <w:tcPr>
            <w:tcW w:w="740" w:type="dxa"/>
            <w:tcBorders>
              <w:top w:val="nil"/>
              <w:left w:val="nil"/>
              <w:bottom w:val="single" w:sz="4" w:space="0" w:color="ADD6EA"/>
              <w:right w:val="nil"/>
            </w:tcBorders>
            <w:shd w:val="clear" w:color="000000" w:fill="D6E7F0"/>
            <w:vAlign w:val="bottom"/>
            <w:hideMark/>
          </w:tcPr>
          <w:p w14:paraId="154CEB98"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175</w:t>
            </w:r>
          </w:p>
        </w:tc>
        <w:tc>
          <w:tcPr>
            <w:tcW w:w="740" w:type="dxa"/>
            <w:tcBorders>
              <w:top w:val="nil"/>
              <w:left w:val="nil"/>
              <w:bottom w:val="single" w:sz="4" w:space="0" w:color="ADD6EA"/>
              <w:right w:val="nil"/>
            </w:tcBorders>
            <w:shd w:val="clear" w:color="000000" w:fill="D6E7F0"/>
            <w:vAlign w:val="bottom"/>
            <w:hideMark/>
          </w:tcPr>
          <w:p w14:paraId="42F6DC8B"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2,414</w:t>
            </w:r>
          </w:p>
        </w:tc>
        <w:tc>
          <w:tcPr>
            <w:tcW w:w="740" w:type="dxa"/>
            <w:tcBorders>
              <w:top w:val="nil"/>
              <w:left w:val="nil"/>
              <w:bottom w:val="single" w:sz="4" w:space="0" w:color="ADD6EA"/>
              <w:right w:val="nil"/>
            </w:tcBorders>
            <w:shd w:val="clear" w:color="000000" w:fill="D6E7F0"/>
            <w:vAlign w:val="bottom"/>
            <w:hideMark/>
          </w:tcPr>
          <w:p w14:paraId="13778E6D" w14:textId="77777777" w:rsidR="00C35316" w:rsidRPr="00C35316" w:rsidRDefault="00C35316" w:rsidP="00C35316">
            <w:pPr>
              <w:tabs>
                <w:tab w:val="clear" w:pos="567"/>
              </w:tabs>
              <w:spacing w:before="0" w:line="240" w:lineRule="auto"/>
              <w:jc w:val="right"/>
              <w:rPr>
                <w:rFonts w:ascii="Open Sans SemiBold" w:eastAsia="Times New Roman" w:hAnsi="Open Sans SemiBold" w:cs="Open Sans SemiBold"/>
                <w:sz w:val="16"/>
                <w:szCs w:val="16"/>
                <w:lang w:val="en-AU" w:eastAsia="en-AU"/>
              </w:rPr>
            </w:pPr>
            <w:r w:rsidRPr="00C35316">
              <w:rPr>
                <w:rFonts w:ascii="Open Sans SemiBold" w:eastAsia="Times New Roman" w:hAnsi="Open Sans SemiBold" w:cs="Open Sans SemiBold"/>
                <w:sz w:val="16"/>
                <w:szCs w:val="16"/>
                <w:lang w:val="en-AU" w:eastAsia="en-AU"/>
              </w:rPr>
              <w:t>6,208</w:t>
            </w:r>
          </w:p>
        </w:tc>
      </w:tr>
    </w:tbl>
    <w:p w14:paraId="02DCFE20" w14:textId="144BDC51" w:rsidR="004871C8" w:rsidRPr="00556773" w:rsidRDefault="00556773" w:rsidP="00DE36E6">
      <w:pPr>
        <w:pStyle w:val="CGCTablenote"/>
      </w:pPr>
      <w:r w:rsidRPr="00556773">
        <w:t>(a)</w:t>
      </w:r>
      <w:r w:rsidRPr="00556773">
        <w:tab/>
      </w:r>
      <w:r w:rsidR="004871C8" w:rsidRPr="00556773">
        <w:t>Includes the impact on the revenue side only</w:t>
      </w:r>
      <w:r w:rsidR="00C13568" w:rsidRPr="00556773">
        <w:t xml:space="preserve">. The impact on the expense side is incorporated in the expense requirement </w:t>
      </w:r>
      <w:r w:rsidR="00670371">
        <w:t xml:space="preserve">and investment </w:t>
      </w:r>
      <w:r w:rsidR="00C13568" w:rsidRPr="00556773">
        <w:t>requirement line</w:t>
      </w:r>
      <w:r w:rsidR="00670371">
        <w:t>s</w:t>
      </w:r>
      <w:r w:rsidR="00C13568" w:rsidRPr="00556773">
        <w:t>.</w:t>
      </w:r>
    </w:p>
    <w:p w14:paraId="0AA9181E" w14:textId="7275BD45" w:rsidR="004871C8" w:rsidRPr="004871C8" w:rsidRDefault="004871C8" w:rsidP="004871C8">
      <w:pPr>
        <w:pStyle w:val="CGCTablenote"/>
      </w:pPr>
      <w:r>
        <w:t>Source:</w:t>
      </w:r>
      <w:r>
        <w:tab/>
        <w:t>Commission calculation.</w:t>
      </w:r>
    </w:p>
    <w:p w14:paraId="402F8F08" w14:textId="0EC308D6" w:rsidR="00734FFB" w:rsidRPr="00AC0435" w:rsidRDefault="00734FFB" w:rsidP="00734FFB">
      <w:pPr>
        <w:pStyle w:val="CGCParaNumber"/>
      </w:pPr>
      <w:r w:rsidRPr="00734FFB">
        <w:t xml:space="preserve">The main economic and demographic factors causing differences in State fiscal capacities are shown in </w:t>
      </w:r>
      <w:r w:rsidR="00637A25">
        <w:fldChar w:fldCharType="begin"/>
      </w:r>
      <w:r w:rsidR="00637A25">
        <w:instrText xml:space="preserve"> REF _Ref30526286 \h </w:instrText>
      </w:r>
      <w:r w:rsidR="00637A25">
        <w:fldChar w:fldCharType="separate"/>
      </w:r>
      <w:r w:rsidR="003D49C2">
        <w:t>Table 4</w:t>
      </w:r>
      <w:r w:rsidR="003D49C2">
        <w:noBreakHyphen/>
      </w:r>
      <w:r w:rsidR="003D49C2">
        <w:rPr>
          <w:noProof/>
        </w:rPr>
        <w:t>2</w:t>
      </w:r>
      <w:r w:rsidR="00637A25">
        <w:fldChar w:fldCharType="end"/>
      </w:r>
      <w:r w:rsidRPr="00734FFB">
        <w:t xml:space="preserve">. </w:t>
      </w:r>
      <w:r w:rsidRPr="002D7087">
        <w:t>It shows, for example, that Victoria needs an additional $3</w:t>
      </w:r>
      <w:r w:rsidR="00DC486C" w:rsidRPr="002D7087">
        <w:t>,</w:t>
      </w:r>
      <w:r w:rsidRPr="002D7087">
        <w:t>5</w:t>
      </w:r>
      <w:r w:rsidR="00DC486C" w:rsidRPr="002D7087">
        <w:t>31</w:t>
      </w:r>
      <w:r w:rsidR="002D7087">
        <w:t> </w:t>
      </w:r>
      <w:r w:rsidRPr="002D7087">
        <w:t xml:space="preserve">million in GST above an EPC share to </w:t>
      </w:r>
      <w:r w:rsidRPr="00AD5D99">
        <w:rPr>
          <w:lang w:val="en-AU"/>
        </w:rPr>
        <w:t>recognise</w:t>
      </w:r>
      <w:r w:rsidRPr="002D7087">
        <w:t xml:space="preserve"> its below average capacity to raise revenue from mining, while Western Australia needs $</w:t>
      </w:r>
      <w:r w:rsidR="002D7087">
        <w:t>5,</w:t>
      </w:r>
      <w:r w:rsidR="002D7087" w:rsidRPr="00AC0435">
        <w:t>319 </w:t>
      </w:r>
      <w:r w:rsidRPr="00AC0435">
        <w:t xml:space="preserve">million </w:t>
      </w:r>
      <w:r w:rsidR="00EB1F19">
        <w:t xml:space="preserve">less than an </w:t>
      </w:r>
      <w:r w:rsidR="0046315E">
        <w:t xml:space="preserve">EPC share of </w:t>
      </w:r>
      <w:r w:rsidRPr="00AC0435">
        <w:t xml:space="preserve">GST </w:t>
      </w:r>
      <w:r w:rsidR="0046315E">
        <w:t>due to</w:t>
      </w:r>
      <w:r w:rsidRPr="00AC0435">
        <w:t xml:space="preserve"> its high capacity to raise mining revenue.</w:t>
      </w:r>
      <w:r w:rsidR="004A3FA0" w:rsidRPr="00AC0435">
        <w:t xml:space="preserve"> Th</w:t>
      </w:r>
      <w:r w:rsidR="00060DA8" w:rsidRPr="00AC0435">
        <w:t>is chapter describes the</w:t>
      </w:r>
      <w:r w:rsidR="004A3FA0" w:rsidRPr="00AC0435">
        <w:t xml:space="preserve"> main influences</w:t>
      </w:r>
      <w:r w:rsidR="00FC7CB6" w:rsidRPr="00AC0435">
        <w:t xml:space="preserve"> that cause differences in </w:t>
      </w:r>
      <w:r w:rsidR="00060DA8" w:rsidRPr="00AC0435">
        <w:t xml:space="preserve">States’ </w:t>
      </w:r>
      <w:r w:rsidR="00AC1D30" w:rsidRPr="00AC0435">
        <w:t xml:space="preserve">relative </w:t>
      </w:r>
      <w:r w:rsidR="00060DA8" w:rsidRPr="00AC0435">
        <w:t>fiscal capacities</w:t>
      </w:r>
      <w:r w:rsidRPr="00AC0435">
        <w:t>.</w:t>
      </w:r>
    </w:p>
    <w:p w14:paraId="524B1CE0" w14:textId="75A56F0B" w:rsidR="00734FFB" w:rsidRDefault="00734FFB" w:rsidP="004B6BBD">
      <w:pPr>
        <w:pStyle w:val="CGCTableHeading"/>
        <w:spacing w:before="0"/>
      </w:pPr>
      <w:bookmarkStart w:id="55" w:name="_Ref30526286"/>
      <w:r>
        <w:lastRenderedPageBreak/>
        <w:t xml:space="preserve">Table </w:t>
      </w:r>
      <w:r w:rsidR="00D5059E">
        <w:t>4</w:t>
      </w:r>
      <w:r w:rsidR="00D5059E">
        <w:noBreakHyphen/>
      </w:r>
      <w:r>
        <w:fldChar w:fldCharType="begin"/>
      </w:r>
      <w:r>
        <w:instrText>SEQ Table \* ARABIC</w:instrText>
      </w:r>
      <w:r>
        <w:fldChar w:fldCharType="separate"/>
      </w:r>
      <w:r w:rsidR="003D49C2">
        <w:rPr>
          <w:noProof/>
        </w:rPr>
        <w:t>2</w:t>
      </w:r>
      <w:r>
        <w:fldChar w:fldCharType="end"/>
      </w:r>
      <w:bookmarkEnd w:id="55"/>
      <w:r>
        <w:tab/>
      </w:r>
      <w:r w:rsidR="00B83F83">
        <w:t>Drivers of difference from an equal per capita distribution of GST, 2020</w:t>
      </w:r>
      <w:r w:rsidR="00B83F83">
        <w:noBreakHyphen/>
        <w:t>21</w:t>
      </w:r>
    </w:p>
    <w:tbl>
      <w:tblPr>
        <w:tblW w:w="8902" w:type="dxa"/>
        <w:tblCellMar>
          <w:left w:w="0" w:type="dxa"/>
          <w:right w:w="28" w:type="dxa"/>
        </w:tblCellMar>
        <w:tblLook w:val="04A0" w:firstRow="1" w:lastRow="0" w:firstColumn="1" w:lastColumn="0" w:noHBand="0" w:noVBand="1"/>
      </w:tblPr>
      <w:tblGrid>
        <w:gridCol w:w="2590"/>
        <w:gridCol w:w="707"/>
        <w:gridCol w:w="707"/>
        <w:gridCol w:w="707"/>
        <w:gridCol w:w="708"/>
        <w:gridCol w:w="708"/>
        <w:gridCol w:w="708"/>
        <w:gridCol w:w="708"/>
        <w:gridCol w:w="708"/>
        <w:gridCol w:w="708"/>
      </w:tblGrid>
      <w:tr w:rsidR="00593C33" w:rsidRPr="00593C33" w14:paraId="65601E45" w14:textId="77777777" w:rsidTr="00500FBE">
        <w:trPr>
          <w:trHeight w:val="375"/>
        </w:trPr>
        <w:tc>
          <w:tcPr>
            <w:tcW w:w="2660" w:type="dxa"/>
            <w:tcBorders>
              <w:top w:val="single" w:sz="4" w:space="0" w:color="ADD6EA"/>
              <w:left w:val="nil"/>
              <w:bottom w:val="single" w:sz="4" w:space="0" w:color="ADD6EA"/>
              <w:right w:val="nil"/>
            </w:tcBorders>
            <w:shd w:val="clear" w:color="000000" w:fill="006991"/>
            <w:noWrap/>
            <w:vAlign w:val="center"/>
            <w:hideMark/>
          </w:tcPr>
          <w:p w14:paraId="2AD01C0D" w14:textId="77777777" w:rsidR="00593C33" w:rsidRPr="00593C33" w:rsidRDefault="00593C33" w:rsidP="00593C33">
            <w:pPr>
              <w:keepNext/>
              <w:tabs>
                <w:tab w:val="clear" w:pos="567"/>
              </w:tabs>
              <w:spacing w:before="0" w:line="240" w:lineRule="auto"/>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0CD0DD84"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43CECCAC"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6F8EB368"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50857D37"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2C217821"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1B0A58F7"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7703C070"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ACT</w:t>
            </w:r>
          </w:p>
        </w:tc>
        <w:tc>
          <w:tcPr>
            <w:tcW w:w="720" w:type="dxa"/>
            <w:tcBorders>
              <w:top w:val="single" w:sz="4" w:space="0" w:color="ADD6EA"/>
              <w:left w:val="nil"/>
              <w:bottom w:val="single" w:sz="4" w:space="0" w:color="ADD6EA"/>
              <w:right w:val="nil"/>
            </w:tcBorders>
            <w:shd w:val="clear" w:color="000000" w:fill="006991"/>
            <w:noWrap/>
            <w:vAlign w:val="center"/>
            <w:hideMark/>
          </w:tcPr>
          <w:p w14:paraId="65FA782E"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NT</w:t>
            </w:r>
          </w:p>
        </w:tc>
        <w:tc>
          <w:tcPr>
            <w:tcW w:w="720" w:type="dxa"/>
            <w:tcBorders>
              <w:top w:val="single" w:sz="4" w:space="0" w:color="ADD6EA"/>
              <w:left w:val="nil"/>
              <w:bottom w:val="single" w:sz="4" w:space="0" w:color="ADD6EA"/>
              <w:right w:val="nil"/>
            </w:tcBorders>
            <w:shd w:val="clear" w:color="000000" w:fill="006991"/>
            <w:noWrap/>
            <w:vAlign w:val="center"/>
            <w:hideMark/>
          </w:tcPr>
          <w:p w14:paraId="54E16157" w14:textId="77777777" w:rsidR="00593C33" w:rsidRPr="00593C33" w:rsidRDefault="00593C33" w:rsidP="00593C33">
            <w:pPr>
              <w:keepNext/>
              <w:tabs>
                <w:tab w:val="clear" w:pos="567"/>
              </w:tabs>
              <w:spacing w:before="0" w:line="240" w:lineRule="auto"/>
              <w:jc w:val="right"/>
              <w:rPr>
                <w:rFonts w:ascii="Open Sans" w:eastAsia="Times New Roman" w:hAnsi="Open Sans" w:cs="Open Sans"/>
                <w:b/>
                <w:bCs/>
                <w:color w:val="FFFFFF"/>
                <w:sz w:val="16"/>
                <w:szCs w:val="16"/>
                <w:lang w:val="en-AU" w:eastAsia="en-AU"/>
              </w:rPr>
            </w:pPr>
            <w:r w:rsidRPr="00593C33">
              <w:rPr>
                <w:rFonts w:ascii="Open Sans" w:eastAsia="Times New Roman" w:hAnsi="Open Sans" w:cs="Open Sans"/>
                <w:b/>
                <w:bCs/>
                <w:color w:val="FFFFFF"/>
                <w:sz w:val="16"/>
                <w:szCs w:val="16"/>
                <w:lang w:val="en-AU" w:eastAsia="en-AU"/>
              </w:rPr>
              <w:t>Redist</w:t>
            </w:r>
          </w:p>
        </w:tc>
      </w:tr>
      <w:tr w:rsidR="00593C33" w:rsidRPr="00593C33" w14:paraId="4037B3D4" w14:textId="77777777" w:rsidTr="00500FBE">
        <w:trPr>
          <w:trHeight w:val="258"/>
        </w:trPr>
        <w:tc>
          <w:tcPr>
            <w:tcW w:w="2660" w:type="dxa"/>
            <w:tcBorders>
              <w:top w:val="nil"/>
              <w:left w:val="nil"/>
              <w:bottom w:val="single" w:sz="4" w:space="0" w:color="ADD6EA"/>
              <w:right w:val="nil"/>
            </w:tcBorders>
            <w:shd w:val="clear" w:color="000000" w:fill="B6D5E4"/>
            <w:noWrap/>
            <w:vAlign w:val="bottom"/>
            <w:hideMark/>
          </w:tcPr>
          <w:p w14:paraId="33762AD6" w14:textId="77777777" w:rsidR="00593C33" w:rsidRPr="00593C33" w:rsidRDefault="00593C33" w:rsidP="00593C33">
            <w:pPr>
              <w:keepNext/>
              <w:tabs>
                <w:tab w:val="clear" w:pos="567"/>
              </w:tabs>
              <w:spacing w:before="0" w:line="240" w:lineRule="auto"/>
              <w:rPr>
                <w:rFonts w:ascii="Calibri" w:eastAsia="Times New Roman" w:hAnsi="Calibri" w:cs="Calibri"/>
                <w:sz w:val="22"/>
                <w:lang w:val="en-AU" w:eastAsia="en-AU"/>
              </w:rPr>
            </w:pPr>
            <w:r w:rsidRPr="00593C33">
              <w:rPr>
                <w:rFonts w:ascii="Calibri" w:eastAsia="Times New Roman" w:hAnsi="Calibri" w:cs="Calibri"/>
                <w:sz w:val="22"/>
                <w:lang w:val="en-AU" w:eastAsia="en-AU"/>
              </w:rPr>
              <w:t> </w:t>
            </w:r>
          </w:p>
        </w:tc>
        <w:tc>
          <w:tcPr>
            <w:tcW w:w="720" w:type="dxa"/>
            <w:tcBorders>
              <w:top w:val="nil"/>
              <w:left w:val="nil"/>
              <w:bottom w:val="single" w:sz="4" w:space="0" w:color="ADD6EA"/>
              <w:right w:val="nil"/>
            </w:tcBorders>
            <w:shd w:val="clear" w:color="000000" w:fill="B6D5E4"/>
            <w:noWrap/>
            <w:vAlign w:val="center"/>
            <w:hideMark/>
          </w:tcPr>
          <w:p w14:paraId="5756318D"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20B7D7F3"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47E44411"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1B142242"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6E730EE6"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4F0F6DFD"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1DFB540F"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4DD4926C"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c>
          <w:tcPr>
            <w:tcW w:w="720" w:type="dxa"/>
            <w:tcBorders>
              <w:top w:val="nil"/>
              <w:left w:val="nil"/>
              <w:bottom w:val="single" w:sz="4" w:space="0" w:color="ADD6EA"/>
              <w:right w:val="nil"/>
            </w:tcBorders>
            <w:shd w:val="clear" w:color="000000" w:fill="B6D5E4"/>
            <w:noWrap/>
            <w:vAlign w:val="center"/>
            <w:hideMark/>
          </w:tcPr>
          <w:p w14:paraId="6F02244E"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$m</w:t>
            </w:r>
          </w:p>
        </w:tc>
      </w:tr>
      <w:tr w:rsidR="00593C33" w:rsidRPr="00593C33" w14:paraId="3357819C" w14:textId="77777777" w:rsidTr="00500FBE">
        <w:trPr>
          <w:trHeight w:val="315"/>
        </w:trPr>
        <w:tc>
          <w:tcPr>
            <w:tcW w:w="9140" w:type="dxa"/>
            <w:gridSpan w:val="10"/>
            <w:tcBorders>
              <w:top w:val="single" w:sz="4" w:space="0" w:color="ADD6EA"/>
              <w:left w:val="nil"/>
              <w:bottom w:val="single" w:sz="4" w:space="0" w:color="ADD6EA"/>
              <w:right w:val="nil"/>
            </w:tcBorders>
            <w:shd w:val="clear" w:color="auto" w:fill="auto"/>
            <w:vAlign w:val="bottom"/>
            <w:hideMark/>
          </w:tcPr>
          <w:p w14:paraId="33FAB0A5" w14:textId="77777777" w:rsidR="00593C33" w:rsidRPr="00593C33" w:rsidRDefault="00593C33" w:rsidP="00593C33">
            <w:pPr>
              <w:keepNext/>
              <w:tabs>
                <w:tab w:val="clear" w:pos="567"/>
              </w:tabs>
              <w:spacing w:before="0" w:line="240" w:lineRule="auto"/>
              <w:rPr>
                <w:rFonts w:ascii="Open Sans SemiBold" w:eastAsia="Times New Roman" w:hAnsi="Open Sans SemiBold" w:cs="Open Sans SemiBold"/>
                <w:sz w:val="16"/>
                <w:szCs w:val="16"/>
                <w:lang w:val="en-AU" w:eastAsia="en-AU"/>
              </w:rPr>
            </w:pPr>
            <w:r w:rsidRPr="00593C33">
              <w:rPr>
                <w:rFonts w:ascii="Open Sans SemiBold" w:eastAsia="Times New Roman" w:hAnsi="Open Sans SemiBold" w:cs="Open Sans SemiBold"/>
                <w:sz w:val="16"/>
                <w:szCs w:val="16"/>
                <w:lang w:val="en-AU" w:eastAsia="en-AU"/>
              </w:rPr>
              <w:t>EFFECTS OF REVENUE RAISING CAPACITY</w:t>
            </w:r>
          </w:p>
        </w:tc>
      </w:tr>
      <w:tr w:rsidR="00593C33" w:rsidRPr="00593C33" w14:paraId="0ADA553A"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3F140514"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Mining production</w:t>
            </w:r>
          </w:p>
        </w:tc>
        <w:tc>
          <w:tcPr>
            <w:tcW w:w="720" w:type="dxa"/>
            <w:tcBorders>
              <w:top w:val="nil"/>
              <w:left w:val="nil"/>
              <w:bottom w:val="single" w:sz="4" w:space="0" w:color="ADD6EA"/>
              <w:right w:val="nil"/>
            </w:tcBorders>
            <w:shd w:val="clear" w:color="auto" w:fill="auto"/>
            <w:vAlign w:val="bottom"/>
            <w:hideMark/>
          </w:tcPr>
          <w:p w14:paraId="7E13AE1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2,346</w:t>
            </w:r>
          </w:p>
        </w:tc>
        <w:tc>
          <w:tcPr>
            <w:tcW w:w="720" w:type="dxa"/>
            <w:tcBorders>
              <w:top w:val="nil"/>
              <w:left w:val="nil"/>
              <w:bottom w:val="single" w:sz="4" w:space="0" w:color="ADD6EA"/>
              <w:right w:val="nil"/>
            </w:tcBorders>
            <w:shd w:val="clear" w:color="auto" w:fill="auto"/>
            <w:vAlign w:val="bottom"/>
            <w:hideMark/>
          </w:tcPr>
          <w:p w14:paraId="5409F8A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3,531</w:t>
            </w:r>
          </w:p>
        </w:tc>
        <w:tc>
          <w:tcPr>
            <w:tcW w:w="720" w:type="dxa"/>
            <w:tcBorders>
              <w:top w:val="nil"/>
              <w:left w:val="nil"/>
              <w:bottom w:val="single" w:sz="4" w:space="0" w:color="ADD6EA"/>
              <w:right w:val="nil"/>
            </w:tcBorders>
            <w:shd w:val="clear" w:color="auto" w:fill="auto"/>
            <w:vAlign w:val="bottom"/>
            <w:hideMark/>
          </w:tcPr>
          <w:p w14:paraId="1D93F75B"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-1,629</w:t>
            </w:r>
          </w:p>
        </w:tc>
        <w:tc>
          <w:tcPr>
            <w:tcW w:w="720" w:type="dxa"/>
            <w:tcBorders>
              <w:top w:val="nil"/>
              <w:left w:val="nil"/>
              <w:bottom w:val="single" w:sz="4" w:space="0" w:color="ADD6EA"/>
              <w:right w:val="nil"/>
            </w:tcBorders>
            <w:shd w:val="clear" w:color="auto" w:fill="auto"/>
            <w:vAlign w:val="bottom"/>
            <w:hideMark/>
          </w:tcPr>
          <w:p w14:paraId="508520BE"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-5,319</w:t>
            </w:r>
          </w:p>
        </w:tc>
        <w:tc>
          <w:tcPr>
            <w:tcW w:w="720" w:type="dxa"/>
            <w:tcBorders>
              <w:top w:val="nil"/>
              <w:left w:val="nil"/>
              <w:bottom w:val="single" w:sz="4" w:space="0" w:color="ADD6EA"/>
              <w:right w:val="nil"/>
            </w:tcBorders>
            <w:shd w:val="clear" w:color="auto" w:fill="auto"/>
            <w:vAlign w:val="bottom"/>
            <w:hideMark/>
          </w:tcPr>
          <w:p w14:paraId="1E460C31"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675</w:t>
            </w:r>
          </w:p>
        </w:tc>
        <w:tc>
          <w:tcPr>
            <w:tcW w:w="720" w:type="dxa"/>
            <w:tcBorders>
              <w:top w:val="nil"/>
              <w:left w:val="nil"/>
              <w:bottom w:val="single" w:sz="4" w:space="0" w:color="ADD6EA"/>
              <w:right w:val="nil"/>
            </w:tcBorders>
            <w:shd w:val="clear" w:color="auto" w:fill="auto"/>
            <w:vAlign w:val="bottom"/>
            <w:hideMark/>
          </w:tcPr>
          <w:p w14:paraId="004E6E4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224</w:t>
            </w:r>
          </w:p>
        </w:tc>
        <w:tc>
          <w:tcPr>
            <w:tcW w:w="720" w:type="dxa"/>
            <w:tcBorders>
              <w:top w:val="nil"/>
              <w:left w:val="nil"/>
              <w:bottom w:val="single" w:sz="4" w:space="0" w:color="ADD6EA"/>
              <w:right w:val="nil"/>
            </w:tcBorders>
            <w:shd w:val="clear" w:color="auto" w:fill="auto"/>
            <w:vAlign w:val="bottom"/>
            <w:hideMark/>
          </w:tcPr>
          <w:p w14:paraId="5BE8347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241</w:t>
            </w:r>
          </w:p>
        </w:tc>
        <w:tc>
          <w:tcPr>
            <w:tcW w:w="720" w:type="dxa"/>
            <w:tcBorders>
              <w:top w:val="nil"/>
              <w:left w:val="nil"/>
              <w:bottom w:val="single" w:sz="4" w:space="0" w:color="ADD6EA"/>
              <w:right w:val="nil"/>
            </w:tcBorders>
            <w:shd w:val="clear" w:color="auto" w:fill="auto"/>
            <w:vAlign w:val="bottom"/>
            <w:hideMark/>
          </w:tcPr>
          <w:p w14:paraId="7630867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-69</w:t>
            </w:r>
          </w:p>
        </w:tc>
        <w:tc>
          <w:tcPr>
            <w:tcW w:w="720" w:type="dxa"/>
            <w:tcBorders>
              <w:top w:val="nil"/>
              <w:left w:val="nil"/>
              <w:bottom w:val="single" w:sz="4" w:space="0" w:color="ADD6EA"/>
              <w:right w:val="nil"/>
            </w:tcBorders>
            <w:shd w:val="clear" w:color="auto" w:fill="auto"/>
            <w:vAlign w:val="bottom"/>
            <w:hideMark/>
          </w:tcPr>
          <w:p w14:paraId="3EA2E93B"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7,017</w:t>
            </w:r>
          </w:p>
        </w:tc>
      </w:tr>
      <w:tr w:rsidR="00593C33" w:rsidRPr="00593C33" w14:paraId="4D5D53BB"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75044EE9"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Property sales</w:t>
            </w:r>
          </w:p>
        </w:tc>
        <w:tc>
          <w:tcPr>
            <w:tcW w:w="720" w:type="dxa"/>
            <w:tcBorders>
              <w:top w:val="nil"/>
              <w:left w:val="nil"/>
              <w:bottom w:val="single" w:sz="4" w:space="0" w:color="ADD6EA"/>
              <w:right w:val="nil"/>
            </w:tcBorders>
            <w:shd w:val="clear" w:color="auto" w:fill="auto"/>
            <w:vAlign w:val="bottom"/>
            <w:hideMark/>
          </w:tcPr>
          <w:p w14:paraId="41542D5E"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-1,926</w:t>
            </w:r>
          </w:p>
        </w:tc>
        <w:tc>
          <w:tcPr>
            <w:tcW w:w="720" w:type="dxa"/>
            <w:tcBorders>
              <w:top w:val="nil"/>
              <w:left w:val="nil"/>
              <w:bottom w:val="single" w:sz="4" w:space="0" w:color="ADD6EA"/>
              <w:right w:val="nil"/>
            </w:tcBorders>
            <w:shd w:val="clear" w:color="auto" w:fill="auto"/>
            <w:vAlign w:val="bottom"/>
            <w:hideMark/>
          </w:tcPr>
          <w:p w14:paraId="555D3834"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-730</w:t>
            </w:r>
          </w:p>
        </w:tc>
        <w:tc>
          <w:tcPr>
            <w:tcW w:w="720" w:type="dxa"/>
            <w:tcBorders>
              <w:top w:val="nil"/>
              <w:left w:val="nil"/>
              <w:bottom w:val="single" w:sz="4" w:space="0" w:color="ADD6EA"/>
              <w:right w:val="nil"/>
            </w:tcBorders>
            <w:shd w:val="clear" w:color="auto" w:fill="auto"/>
            <w:vAlign w:val="bottom"/>
            <w:hideMark/>
          </w:tcPr>
          <w:p w14:paraId="7442008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749</w:t>
            </w:r>
          </w:p>
        </w:tc>
        <w:tc>
          <w:tcPr>
            <w:tcW w:w="720" w:type="dxa"/>
            <w:tcBorders>
              <w:top w:val="nil"/>
              <w:left w:val="nil"/>
              <w:bottom w:val="single" w:sz="4" w:space="0" w:color="ADD6EA"/>
              <w:right w:val="nil"/>
            </w:tcBorders>
            <w:shd w:val="clear" w:color="auto" w:fill="auto"/>
            <w:vAlign w:val="bottom"/>
            <w:hideMark/>
          </w:tcPr>
          <w:p w14:paraId="231BFD0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934</w:t>
            </w:r>
          </w:p>
        </w:tc>
        <w:tc>
          <w:tcPr>
            <w:tcW w:w="720" w:type="dxa"/>
            <w:tcBorders>
              <w:top w:val="nil"/>
              <w:left w:val="nil"/>
              <w:bottom w:val="single" w:sz="4" w:space="0" w:color="ADD6EA"/>
              <w:right w:val="nil"/>
            </w:tcBorders>
            <w:shd w:val="clear" w:color="auto" w:fill="auto"/>
            <w:vAlign w:val="bottom"/>
            <w:hideMark/>
          </w:tcPr>
          <w:p w14:paraId="03C6233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665</w:t>
            </w:r>
          </w:p>
        </w:tc>
        <w:tc>
          <w:tcPr>
            <w:tcW w:w="720" w:type="dxa"/>
            <w:tcBorders>
              <w:top w:val="nil"/>
              <w:left w:val="nil"/>
              <w:bottom w:val="single" w:sz="4" w:space="0" w:color="ADD6EA"/>
              <w:right w:val="nil"/>
            </w:tcBorders>
            <w:shd w:val="clear" w:color="auto" w:fill="auto"/>
            <w:vAlign w:val="bottom"/>
            <w:hideMark/>
          </w:tcPr>
          <w:p w14:paraId="63411D76"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206</w:t>
            </w:r>
          </w:p>
        </w:tc>
        <w:tc>
          <w:tcPr>
            <w:tcW w:w="720" w:type="dxa"/>
            <w:tcBorders>
              <w:top w:val="nil"/>
              <w:left w:val="nil"/>
              <w:bottom w:val="single" w:sz="4" w:space="0" w:color="ADD6EA"/>
              <w:right w:val="nil"/>
            </w:tcBorders>
            <w:shd w:val="clear" w:color="auto" w:fill="auto"/>
            <w:vAlign w:val="bottom"/>
            <w:hideMark/>
          </w:tcPr>
          <w:p w14:paraId="5414321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w:t>
            </w:r>
          </w:p>
        </w:tc>
        <w:tc>
          <w:tcPr>
            <w:tcW w:w="720" w:type="dxa"/>
            <w:tcBorders>
              <w:top w:val="nil"/>
              <w:left w:val="nil"/>
              <w:bottom w:val="single" w:sz="4" w:space="0" w:color="ADD6EA"/>
              <w:right w:val="nil"/>
            </w:tcBorders>
            <w:shd w:val="clear" w:color="auto" w:fill="auto"/>
            <w:vAlign w:val="bottom"/>
            <w:hideMark/>
          </w:tcPr>
          <w:p w14:paraId="25D1E68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98</w:t>
            </w:r>
          </w:p>
        </w:tc>
        <w:tc>
          <w:tcPr>
            <w:tcW w:w="720" w:type="dxa"/>
            <w:tcBorders>
              <w:top w:val="nil"/>
              <w:left w:val="nil"/>
              <w:bottom w:val="single" w:sz="4" w:space="0" w:color="ADD6EA"/>
              <w:right w:val="nil"/>
            </w:tcBorders>
            <w:shd w:val="clear" w:color="auto" w:fill="auto"/>
            <w:vAlign w:val="bottom"/>
            <w:hideMark/>
          </w:tcPr>
          <w:p w14:paraId="0086C5C2"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2,656</w:t>
            </w:r>
          </w:p>
        </w:tc>
      </w:tr>
      <w:tr w:rsidR="00593C33" w:rsidRPr="00593C33" w14:paraId="4F63AD31"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106205E1"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Taxable payrolls</w:t>
            </w:r>
          </w:p>
        </w:tc>
        <w:tc>
          <w:tcPr>
            <w:tcW w:w="720" w:type="dxa"/>
            <w:tcBorders>
              <w:top w:val="nil"/>
              <w:left w:val="nil"/>
              <w:bottom w:val="single" w:sz="4" w:space="0" w:color="ADD6EA"/>
              <w:right w:val="nil"/>
            </w:tcBorders>
            <w:shd w:val="clear" w:color="auto" w:fill="auto"/>
            <w:vAlign w:val="bottom"/>
            <w:hideMark/>
          </w:tcPr>
          <w:p w14:paraId="1B88389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-705</w:t>
            </w:r>
          </w:p>
        </w:tc>
        <w:tc>
          <w:tcPr>
            <w:tcW w:w="720" w:type="dxa"/>
            <w:tcBorders>
              <w:top w:val="nil"/>
              <w:left w:val="nil"/>
              <w:bottom w:val="single" w:sz="4" w:space="0" w:color="ADD6EA"/>
              <w:right w:val="nil"/>
            </w:tcBorders>
            <w:shd w:val="clear" w:color="auto" w:fill="auto"/>
            <w:vAlign w:val="bottom"/>
            <w:hideMark/>
          </w:tcPr>
          <w:p w14:paraId="53F0E1D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334</w:t>
            </w:r>
          </w:p>
        </w:tc>
        <w:tc>
          <w:tcPr>
            <w:tcW w:w="720" w:type="dxa"/>
            <w:tcBorders>
              <w:top w:val="nil"/>
              <w:left w:val="nil"/>
              <w:bottom w:val="single" w:sz="4" w:space="0" w:color="ADD6EA"/>
              <w:right w:val="nil"/>
            </w:tcBorders>
            <w:shd w:val="clear" w:color="auto" w:fill="auto"/>
            <w:vAlign w:val="bottom"/>
            <w:hideMark/>
          </w:tcPr>
          <w:p w14:paraId="5B15944E"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501</w:t>
            </w:r>
          </w:p>
        </w:tc>
        <w:tc>
          <w:tcPr>
            <w:tcW w:w="720" w:type="dxa"/>
            <w:tcBorders>
              <w:top w:val="nil"/>
              <w:left w:val="nil"/>
              <w:bottom w:val="single" w:sz="4" w:space="0" w:color="ADD6EA"/>
              <w:right w:val="nil"/>
            </w:tcBorders>
            <w:shd w:val="clear" w:color="auto" w:fill="auto"/>
            <w:vAlign w:val="bottom"/>
            <w:hideMark/>
          </w:tcPr>
          <w:p w14:paraId="65E756F1"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-710</w:t>
            </w:r>
          </w:p>
        </w:tc>
        <w:tc>
          <w:tcPr>
            <w:tcW w:w="720" w:type="dxa"/>
            <w:tcBorders>
              <w:top w:val="nil"/>
              <w:left w:val="nil"/>
              <w:bottom w:val="single" w:sz="4" w:space="0" w:color="ADD6EA"/>
              <w:right w:val="nil"/>
            </w:tcBorders>
            <w:shd w:val="clear" w:color="auto" w:fill="auto"/>
            <w:vAlign w:val="bottom"/>
            <w:hideMark/>
          </w:tcPr>
          <w:p w14:paraId="76FF36E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434</w:t>
            </w:r>
          </w:p>
        </w:tc>
        <w:tc>
          <w:tcPr>
            <w:tcW w:w="720" w:type="dxa"/>
            <w:tcBorders>
              <w:top w:val="nil"/>
              <w:left w:val="nil"/>
              <w:bottom w:val="single" w:sz="4" w:space="0" w:color="ADD6EA"/>
              <w:right w:val="nil"/>
            </w:tcBorders>
            <w:shd w:val="clear" w:color="auto" w:fill="auto"/>
            <w:vAlign w:val="bottom"/>
            <w:hideMark/>
          </w:tcPr>
          <w:p w14:paraId="37E98C6A"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193</w:t>
            </w:r>
          </w:p>
        </w:tc>
        <w:tc>
          <w:tcPr>
            <w:tcW w:w="720" w:type="dxa"/>
            <w:tcBorders>
              <w:top w:val="nil"/>
              <w:left w:val="nil"/>
              <w:bottom w:val="single" w:sz="4" w:space="0" w:color="ADD6EA"/>
              <w:right w:val="nil"/>
            </w:tcBorders>
            <w:shd w:val="clear" w:color="auto" w:fill="auto"/>
            <w:vAlign w:val="bottom"/>
            <w:hideMark/>
          </w:tcPr>
          <w:p w14:paraId="15BC925B"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w:t>
            </w:r>
          </w:p>
        </w:tc>
        <w:tc>
          <w:tcPr>
            <w:tcW w:w="720" w:type="dxa"/>
            <w:tcBorders>
              <w:top w:val="nil"/>
              <w:left w:val="nil"/>
              <w:bottom w:val="single" w:sz="4" w:space="0" w:color="ADD6EA"/>
              <w:right w:val="nil"/>
            </w:tcBorders>
            <w:shd w:val="clear" w:color="auto" w:fill="auto"/>
            <w:vAlign w:val="bottom"/>
            <w:hideMark/>
          </w:tcPr>
          <w:p w14:paraId="7E476A5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-49</w:t>
            </w:r>
          </w:p>
        </w:tc>
        <w:tc>
          <w:tcPr>
            <w:tcW w:w="720" w:type="dxa"/>
            <w:tcBorders>
              <w:top w:val="nil"/>
              <w:left w:val="nil"/>
              <w:bottom w:val="single" w:sz="4" w:space="0" w:color="ADD6EA"/>
              <w:right w:val="nil"/>
            </w:tcBorders>
            <w:shd w:val="clear" w:color="auto" w:fill="auto"/>
            <w:vAlign w:val="bottom"/>
            <w:hideMark/>
          </w:tcPr>
          <w:p w14:paraId="14C7C881"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1,464</w:t>
            </w:r>
          </w:p>
        </w:tc>
      </w:tr>
      <w:tr w:rsidR="00593C33" w:rsidRPr="00593C33" w14:paraId="327E4156"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3DF810B6"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Taxable land values</w:t>
            </w:r>
          </w:p>
        </w:tc>
        <w:tc>
          <w:tcPr>
            <w:tcW w:w="720" w:type="dxa"/>
            <w:tcBorders>
              <w:top w:val="nil"/>
              <w:left w:val="nil"/>
              <w:bottom w:val="single" w:sz="4" w:space="0" w:color="ADD6EA"/>
              <w:right w:val="nil"/>
            </w:tcBorders>
            <w:shd w:val="clear" w:color="auto" w:fill="auto"/>
            <w:vAlign w:val="bottom"/>
            <w:hideMark/>
          </w:tcPr>
          <w:p w14:paraId="70A5DCC6"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-919</w:t>
            </w:r>
          </w:p>
        </w:tc>
        <w:tc>
          <w:tcPr>
            <w:tcW w:w="720" w:type="dxa"/>
            <w:tcBorders>
              <w:top w:val="nil"/>
              <w:left w:val="nil"/>
              <w:bottom w:val="single" w:sz="4" w:space="0" w:color="ADD6EA"/>
              <w:right w:val="nil"/>
            </w:tcBorders>
            <w:shd w:val="clear" w:color="auto" w:fill="auto"/>
            <w:vAlign w:val="bottom"/>
            <w:hideMark/>
          </w:tcPr>
          <w:p w14:paraId="26137CC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-493</w:t>
            </w:r>
          </w:p>
        </w:tc>
        <w:tc>
          <w:tcPr>
            <w:tcW w:w="720" w:type="dxa"/>
            <w:tcBorders>
              <w:top w:val="nil"/>
              <w:left w:val="nil"/>
              <w:bottom w:val="single" w:sz="4" w:space="0" w:color="ADD6EA"/>
              <w:right w:val="nil"/>
            </w:tcBorders>
            <w:shd w:val="clear" w:color="auto" w:fill="auto"/>
            <w:vAlign w:val="bottom"/>
            <w:hideMark/>
          </w:tcPr>
          <w:p w14:paraId="54A6F16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718</w:t>
            </w:r>
          </w:p>
        </w:tc>
        <w:tc>
          <w:tcPr>
            <w:tcW w:w="720" w:type="dxa"/>
            <w:tcBorders>
              <w:top w:val="nil"/>
              <w:left w:val="nil"/>
              <w:bottom w:val="single" w:sz="4" w:space="0" w:color="ADD6EA"/>
              <w:right w:val="nil"/>
            </w:tcBorders>
            <w:shd w:val="clear" w:color="auto" w:fill="auto"/>
            <w:vAlign w:val="bottom"/>
            <w:hideMark/>
          </w:tcPr>
          <w:p w14:paraId="2386DF38"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65</w:t>
            </w:r>
          </w:p>
        </w:tc>
        <w:tc>
          <w:tcPr>
            <w:tcW w:w="720" w:type="dxa"/>
            <w:tcBorders>
              <w:top w:val="nil"/>
              <w:left w:val="nil"/>
              <w:bottom w:val="single" w:sz="4" w:space="0" w:color="ADD6EA"/>
              <w:right w:val="nil"/>
            </w:tcBorders>
            <w:shd w:val="clear" w:color="auto" w:fill="auto"/>
            <w:vAlign w:val="bottom"/>
            <w:hideMark/>
          </w:tcPr>
          <w:p w14:paraId="082E3E0A"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378</w:t>
            </w:r>
          </w:p>
        </w:tc>
        <w:tc>
          <w:tcPr>
            <w:tcW w:w="720" w:type="dxa"/>
            <w:tcBorders>
              <w:top w:val="nil"/>
              <w:left w:val="nil"/>
              <w:bottom w:val="single" w:sz="4" w:space="0" w:color="ADD6EA"/>
              <w:right w:val="nil"/>
            </w:tcBorders>
            <w:shd w:val="clear" w:color="auto" w:fill="auto"/>
            <w:vAlign w:val="bottom"/>
            <w:hideMark/>
          </w:tcPr>
          <w:p w14:paraId="710EBF2D"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140</w:t>
            </w:r>
          </w:p>
        </w:tc>
        <w:tc>
          <w:tcPr>
            <w:tcW w:w="720" w:type="dxa"/>
            <w:tcBorders>
              <w:top w:val="nil"/>
              <w:left w:val="nil"/>
              <w:bottom w:val="single" w:sz="4" w:space="0" w:color="ADD6EA"/>
              <w:right w:val="nil"/>
            </w:tcBorders>
            <w:shd w:val="clear" w:color="auto" w:fill="auto"/>
            <w:vAlign w:val="bottom"/>
            <w:hideMark/>
          </w:tcPr>
          <w:p w14:paraId="5DC90E5E"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94</w:t>
            </w:r>
          </w:p>
        </w:tc>
        <w:tc>
          <w:tcPr>
            <w:tcW w:w="720" w:type="dxa"/>
            <w:tcBorders>
              <w:top w:val="nil"/>
              <w:left w:val="nil"/>
              <w:bottom w:val="single" w:sz="4" w:space="0" w:color="ADD6EA"/>
              <w:right w:val="nil"/>
            </w:tcBorders>
            <w:shd w:val="clear" w:color="auto" w:fill="auto"/>
            <w:vAlign w:val="bottom"/>
            <w:hideMark/>
          </w:tcPr>
          <w:p w14:paraId="05391115"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w:t>
            </w:r>
          </w:p>
        </w:tc>
        <w:tc>
          <w:tcPr>
            <w:tcW w:w="720" w:type="dxa"/>
            <w:tcBorders>
              <w:top w:val="nil"/>
              <w:left w:val="nil"/>
              <w:bottom w:val="single" w:sz="4" w:space="0" w:color="ADD6EA"/>
              <w:right w:val="nil"/>
            </w:tcBorders>
            <w:shd w:val="clear" w:color="auto" w:fill="auto"/>
            <w:vAlign w:val="bottom"/>
            <w:hideMark/>
          </w:tcPr>
          <w:p w14:paraId="7950F97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1,412</w:t>
            </w:r>
          </w:p>
        </w:tc>
      </w:tr>
      <w:tr w:rsidR="00593C33" w:rsidRPr="00593C33" w14:paraId="7E01C6C6"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309D5FA1"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Other revenue effects</w:t>
            </w:r>
          </w:p>
        </w:tc>
        <w:tc>
          <w:tcPr>
            <w:tcW w:w="720" w:type="dxa"/>
            <w:tcBorders>
              <w:top w:val="nil"/>
              <w:left w:val="nil"/>
              <w:bottom w:val="single" w:sz="4" w:space="0" w:color="ADD6EA"/>
              <w:right w:val="nil"/>
            </w:tcBorders>
            <w:shd w:val="clear" w:color="auto" w:fill="auto"/>
            <w:vAlign w:val="bottom"/>
            <w:hideMark/>
          </w:tcPr>
          <w:p w14:paraId="206A5FB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125</w:t>
            </w:r>
          </w:p>
        </w:tc>
        <w:tc>
          <w:tcPr>
            <w:tcW w:w="720" w:type="dxa"/>
            <w:tcBorders>
              <w:top w:val="nil"/>
              <w:left w:val="nil"/>
              <w:bottom w:val="single" w:sz="4" w:space="0" w:color="ADD6EA"/>
              <w:right w:val="nil"/>
            </w:tcBorders>
            <w:shd w:val="clear" w:color="auto" w:fill="auto"/>
            <w:vAlign w:val="bottom"/>
            <w:hideMark/>
          </w:tcPr>
          <w:p w14:paraId="2BE76446"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121</w:t>
            </w:r>
          </w:p>
        </w:tc>
        <w:tc>
          <w:tcPr>
            <w:tcW w:w="720" w:type="dxa"/>
            <w:tcBorders>
              <w:top w:val="nil"/>
              <w:left w:val="nil"/>
              <w:bottom w:val="single" w:sz="4" w:space="0" w:color="ADD6EA"/>
              <w:right w:val="nil"/>
            </w:tcBorders>
            <w:shd w:val="clear" w:color="auto" w:fill="auto"/>
            <w:vAlign w:val="bottom"/>
            <w:hideMark/>
          </w:tcPr>
          <w:p w14:paraId="66FE950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-64</w:t>
            </w:r>
          </w:p>
        </w:tc>
        <w:tc>
          <w:tcPr>
            <w:tcW w:w="720" w:type="dxa"/>
            <w:tcBorders>
              <w:top w:val="nil"/>
              <w:left w:val="nil"/>
              <w:bottom w:val="single" w:sz="4" w:space="0" w:color="ADD6EA"/>
              <w:right w:val="nil"/>
            </w:tcBorders>
            <w:shd w:val="clear" w:color="auto" w:fill="auto"/>
            <w:vAlign w:val="bottom"/>
            <w:hideMark/>
          </w:tcPr>
          <w:p w14:paraId="4FA78E26"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-119</w:t>
            </w:r>
          </w:p>
        </w:tc>
        <w:tc>
          <w:tcPr>
            <w:tcW w:w="720" w:type="dxa"/>
            <w:tcBorders>
              <w:top w:val="nil"/>
              <w:left w:val="nil"/>
              <w:bottom w:val="single" w:sz="4" w:space="0" w:color="ADD6EA"/>
              <w:right w:val="nil"/>
            </w:tcBorders>
            <w:shd w:val="clear" w:color="auto" w:fill="auto"/>
            <w:vAlign w:val="bottom"/>
            <w:hideMark/>
          </w:tcPr>
          <w:p w14:paraId="6A051D85"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-96</w:t>
            </w:r>
          </w:p>
        </w:tc>
        <w:tc>
          <w:tcPr>
            <w:tcW w:w="720" w:type="dxa"/>
            <w:tcBorders>
              <w:top w:val="nil"/>
              <w:left w:val="nil"/>
              <w:bottom w:val="single" w:sz="4" w:space="0" w:color="ADD6EA"/>
              <w:right w:val="nil"/>
            </w:tcBorders>
            <w:shd w:val="clear" w:color="auto" w:fill="auto"/>
            <w:vAlign w:val="bottom"/>
            <w:hideMark/>
          </w:tcPr>
          <w:p w14:paraId="614A6FB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w:t>
            </w:r>
          </w:p>
        </w:tc>
        <w:tc>
          <w:tcPr>
            <w:tcW w:w="720" w:type="dxa"/>
            <w:tcBorders>
              <w:top w:val="nil"/>
              <w:left w:val="nil"/>
              <w:bottom w:val="single" w:sz="4" w:space="0" w:color="ADD6EA"/>
              <w:right w:val="nil"/>
            </w:tcBorders>
            <w:shd w:val="clear" w:color="auto" w:fill="auto"/>
            <w:vAlign w:val="bottom"/>
            <w:hideMark/>
          </w:tcPr>
          <w:p w14:paraId="7FAD086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35</w:t>
            </w:r>
          </w:p>
        </w:tc>
        <w:tc>
          <w:tcPr>
            <w:tcW w:w="720" w:type="dxa"/>
            <w:tcBorders>
              <w:top w:val="nil"/>
              <w:left w:val="nil"/>
              <w:bottom w:val="single" w:sz="4" w:space="0" w:color="ADD6EA"/>
              <w:right w:val="nil"/>
            </w:tcBorders>
            <w:shd w:val="clear" w:color="auto" w:fill="auto"/>
            <w:vAlign w:val="bottom"/>
            <w:hideMark/>
          </w:tcPr>
          <w:p w14:paraId="2C2990A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w:t>
            </w:r>
          </w:p>
        </w:tc>
        <w:tc>
          <w:tcPr>
            <w:tcW w:w="720" w:type="dxa"/>
            <w:tcBorders>
              <w:top w:val="nil"/>
              <w:left w:val="nil"/>
              <w:bottom w:val="single" w:sz="4" w:space="0" w:color="ADD6EA"/>
              <w:right w:val="nil"/>
            </w:tcBorders>
            <w:shd w:val="clear" w:color="auto" w:fill="auto"/>
            <w:vAlign w:val="bottom"/>
            <w:hideMark/>
          </w:tcPr>
          <w:p w14:paraId="519FE42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287</w:t>
            </w:r>
          </w:p>
        </w:tc>
      </w:tr>
      <w:tr w:rsidR="00593C33" w:rsidRPr="00593C33" w14:paraId="49931B57" w14:textId="77777777" w:rsidTr="00500FBE">
        <w:trPr>
          <w:trHeight w:val="315"/>
        </w:trPr>
        <w:tc>
          <w:tcPr>
            <w:tcW w:w="2660" w:type="dxa"/>
            <w:tcBorders>
              <w:top w:val="nil"/>
              <w:left w:val="nil"/>
              <w:bottom w:val="single" w:sz="4" w:space="0" w:color="ADD6EA"/>
              <w:right w:val="nil"/>
            </w:tcBorders>
            <w:shd w:val="clear" w:color="000000" w:fill="D6E7F0"/>
            <w:vAlign w:val="bottom"/>
            <w:hideMark/>
          </w:tcPr>
          <w:p w14:paraId="253382C2" w14:textId="77777777" w:rsidR="00593C33" w:rsidRPr="00593C33" w:rsidRDefault="00593C33" w:rsidP="00593C33">
            <w:pPr>
              <w:keepNext/>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 REVENUE</w:t>
            </w:r>
          </w:p>
        </w:tc>
        <w:tc>
          <w:tcPr>
            <w:tcW w:w="720" w:type="dxa"/>
            <w:tcBorders>
              <w:top w:val="nil"/>
              <w:left w:val="nil"/>
              <w:bottom w:val="single" w:sz="4" w:space="0" w:color="ADD6EA"/>
              <w:right w:val="nil"/>
            </w:tcBorders>
            <w:shd w:val="clear" w:color="000000" w:fill="D6E7F0"/>
            <w:vAlign w:val="bottom"/>
            <w:hideMark/>
          </w:tcPr>
          <w:p w14:paraId="442C0473"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-1,079</w:t>
            </w:r>
          </w:p>
        </w:tc>
        <w:tc>
          <w:tcPr>
            <w:tcW w:w="720" w:type="dxa"/>
            <w:tcBorders>
              <w:top w:val="nil"/>
              <w:left w:val="nil"/>
              <w:bottom w:val="single" w:sz="4" w:space="0" w:color="ADD6EA"/>
              <w:right w:val="nil"/>
            </w:tcBorders>
            <w:shd w:val="clear" w:color="000000" w:fill="D6E7F0"/>
            <w:vAlign w:val="bottom"/>
            <w:hideMark/>
          </w:tcPr>
          <w:p w14:paraId="67B37D8D"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2,763</w:t>
            </w:r>
          </w:p>
        </w:tc>
        <w:tc>
          <w:tcPr>
            <w:tcW w:w="720" w:type="dxa"/>
            <w:tcBorders>
              <w:top w:val="nil"/>
              <w:left w:val="nil"/>
              <w:bottom w:val="single" w:sz="4" w:space="0" w:color="ADD6EA"/>
              <w:right w:val="nil"/>
            </w:tcBorders>
            <w:shd w:val="clear" w:color="000000" w:fill="D6E7F0"/>
            <w:vAlign w:val="bottom"/>
            <w:hideMark/>
          </w:tcPr>
          <w:p w14:paraId="6BE478E4"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276</w:t>
            </w:r>
          </w:p>
        </w:tc>
        <w:tc>
          <w:tcPr>
            <w:tcW w:w="720" w:type="dxa"/>
            <w:tcBorders>
              <w:top w:val="nil"/>
              <w:left w:val="nil"/>
              <w:bottom w:val="single" w:sz="4" w:space="0" w:color="ADD6EA"/>
              <w:right w:val="nil"/>
            </w:tcBorders>
            <w:shd w:val="clear" w:color="000000" w:fill="D6E7F0"/>
            <w:vAlign w:val="bottom"/>
            <w:hideMark/>
          </w:tcPr>
          <w:p w14:paraId="36FEA788"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-5,149</w:t>
            </w:r>
          </w:p>
        </w:tc>
        <w:tc>
          <w:tcPr>
            <w:tcW w:w="720" w:type="dxa"/>
            <w:tcBorders>
              <w:top w:val="nil"/>
              <w:left w:val="nil"/>
              <w:bottom w:val="single" w:sz="4" w:space="0" w:color="ADD6EA"/>
              <w:right w:val="nil"/>
            </w:tcBorders>
            <w:shd w:val="clear" w:color="000000" w:fill="D6E7F0"/>
            <w:vAlign w:val="bottom"/>
            <w:hideMark/>
          </w:tcPr>
          <w:p w14:paraId="626DEB0A"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2,057</w:t>
            </w:r>
          </w:p>
        </w:tc>
        <w:tc>
          <w:tcPr>
            <w:tcW w:w="720" w:type="dxa"/>
            <w:tcBorders>
              <w:top w:val="nil"/>
              <w:left w:val="nil"/>
              <w:bottom w:val="single" w:sz="4" w:space="0" w:color="ADD6EA"/>
              <w:right w:val="nil"/>
            </w:tcBorders>
            <w:shd w:val="clear" w:color="000000" w:fill="D6E7F0"/>
            <w:vAlign w:val="bottom"/>
            <w:hideMark/>
          </w:tcPr>
          <w:p w14:paraId="2DDEC848"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755</w:t>
            </w:r>
          </w:p>
        </w:tc>
        <w:tc>
          <w:tcPr>
            <w:tcW w:w="720" w:type="dxa"/>
            <w:tcBorders>
              <w:top w:val="nil"/>
              <w:left w:val="nil"/>
              <w:bottom w:val="single" w:sz="4" w:space="0" w:color="ADD6EA"/>
              <w:right w:val="nil"/>
            </w:tcBorders>
            <w:shd w:val="clear" w:color="000000" w:fill="D6E7F0"/>
            <w:vAlign w:val="bottom"/>
            <w:hideMark/>
          </w:tcPr>
          <w:p w14:paraId="56B65057"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376</w:t>
            </w:r>
          </w:p>
        </w:tc>
        <w:tc>
          <w:tcPr>
            <w:tcW w:w="720" w:type="dxa"/>
            <w:tcBorders>
              <w:top w:val="nil"/>
              <w:left w:val="nil"/>
              <w:bottom w:val="single" w:sz="4" w:space="0" w:color="ADD6EA"/>
              <w:right w:val="nil"/>
            </w:tcBorders>
            <w:shd w:val="clear" w:color="000000" w:fill="D6E7F0"/>
            <w:vAlign w:val="bottom"/>
            <w:hideMark/>
          </w:tcPr>
          <w:p w14:paraId="2B34FFCF"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w:t>
            </w:r>
          </w:p>
        </w:tc>
        <w:tc>
          <w:tcPr>
            <w:tcW w:w="720" w:type="dxa"/>
            <w:tcBorders>
              <w:top w:val="nil"/>
              <w:left w:val="nil"/>
              <w:bottom w:val="single" w:sz="4" w:space="0" w:color="ADD6EA"/>
              <w:right w:val="nil"/>
            </w:tcBorders>
            <w:shd w:val="clear" w:color="000000" w:fill="D6E7F0"/>
            <w:vAlign w:val="bottom"/>
            <w:hideMark/>
          </w:tcPr>
          <w:p w14:paraId="2B4678C0" w14:textId="77777777" w:rsidR="00593C33" w:rsidRPr="00593C33" w:rsidRDefault="00593C33" w:rsidP="00593C33">
            <w:pPr>
              <w:keepNext/>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6,229</w:t>
            </w:r>
          </w:p>
        </w:tc>
      </w:tr>
      <w:tr w:rsidR="00593C33" w:rsidRPr="00593C33" w14:paraId="516CBCA7" w14:textId="77777777" w:rsidTr="00500FBE">
        <w:trPr>
          <w:trHeight w:val="315"/>
        </w:trPr>
        <w:tc>
          <w:tcPr>
            <w:tcW w:w="9140" w:type="dxa"/>
            <w:gridSpan w:val="10"/>
            <w:tcBorders>
              <w:top w:val="single" w:sz="4" w:space="0" w:color="ADD6EA"/>
              <w:left w:val="nil"/>
              <w:bottom w:val="single" w:sz="4" w:space="0" w:color="ADD6EA"/>
              <w:right w:val="nil"/>
            </w:tcBorders>
            <w:shd w:val="clear" w:color="auto" w:fill="auto"/>
            <w:vAlign w:val="bottom"/>
            <w:hideMark/>
          </w:tcPr>
          <w:p w14:paraId="2B8CBE49" w14:textId="77777777" w:rsidR="00593C33" w:rsidRPr="00593C33" w:rsidRDefault="00593C33" w:rsidP="00593C33">
            <w:pPr>
              <w:keepNext/>
              <w:tabs>
                <w:tab w:val="clear" w:pos="567"/>
              </w:tabs>
              <w:spacing w:before="0" w:line="240" w:lineRule="auto"/>
              <w:rPr>
                <w:rFonts w:ascii="Open Sans SemiBold" w:eastAsia="Times New Roman" w:hAnsi="Open Sans SemiBold" w:cs="Open Sans SemiBold"/>
                <w:sz w:val="16"/>
                <w:szCs w:val="16"/>
                <w:lang w:val="en-AU" w:eastAsia="en-AU"/>
              </w:rPr>
            </w:pPr>
            <w:r w:rsidRPr="00593C33">
              <w:rPr>
                <w:rFonts w:ascii="Open Sans SemiBold" w:eastAsia="Times New Roman" w:hAnsi="Open Sans SemiBold" w:cs="Open Sans SemiBold"/>
                <w:sz w:val="16"/>
                <w:szCs w:val="16"/>
                <w:lang w:val="en-AU" w:eastAsia="en-AU"/>
              </w:rPr>
              <w:t>EFFECTS OF EXPENSE REQUIREMENTS</w:t>
            </w:r>
          </w:p>
        </w:tc>
      </w:tr>
      <w:tr w:rsidR="00593C33" w:rsidRPr="00593C33" w14:paraId="7363FD2F" w14:textId="77777777" w:rsidTr="00500FBE">
        <w:trPr>
          <w:trHeight w:val="315"/>
        </w:trPr>
        <w:tc>
          <w:tcPr>
            <w:tcW w:w="2660" w:type="dxa"/>
            <w:tcBorders>
              <w:top w:val="nil"/>
              <w:left w:val="nil"/>
              <w:bottom w:val="single" w:sz="4" w:space="0" w:color="ADD6EA"/>
              <w:right w:val="nil"/>
            </w:tcBorders>
            <w:shd w:val="clear" w:color="auto" w:fill="auto"/>
            <w:noWrap/>
            <w:vAlign w:val="bottom"/>
            <w:hideMark/>
          </w:tcPr>
          <w:p w14:paraId="538E2D1B"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Socio-demographic characteristics</w:t>
            </w:r>
          </w:p>
        </w:tc>
        <w:tc>
          <w:tcPr>
            <w:tcW w:w="720" w:type="dxa"/>
            <w:tcBorders>
              <w:top w:val="nil"/>
              <w:left w:val="nil"/>
              <w:bottom w:val="single" w:sz="4" w:space="0" w:color="ADD6EA"/>
              <w:right w:val="nil"/>
            </w:tcBorders>
            <w:shd w:val="clear" w:color="auto" w:fill="auto"/>
            <w:noWrap/>
            <w:vAlign w:val="bottom"/>
            <w:hideMark/>
          </w:tcPr>
          <w:p w14:paraId="106547DE"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1882C812"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6C422BC2"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4195ADC8"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2638B8AF"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6911E20C"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6E19C358"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6D67F0C4"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c>
          <w:tcPr>
            <w:tcW w:w="720" w:type="dxa"/>
            <w:tcBorders>
              <w:top w:val="nil"/>
              <w:left w:val="nil"/>
              <w:bottom w:val="single" w:sz="4" w:space="0" w:color="ADD6EA"/>
              <w:right w:val="nil"/>
            </w:tcBorders>
            <w:shd w:val="clear" w:color="auto" w:fill="auto"/>
            <w:noWrap/>
            <w:vAlign w:val="bottom"/>
            <w:hideMark/>
          </w:tcPr>
          <w:p w14:paraId="478C7B53"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 </w:t>
            </w:r>
          </w:p>
        </w:tc>
      </w:tr>
      <w:tr w:rsidR="00593C33" w:rsidRPr="00593C33" w14:paraId="45A42CC8"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5DF4F2B4"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Population dispersion</w:t>
            </w:r>
          </w:p>
        </w:tc>
        <w:tc>
          <w:tcPr>
            <w:tcW w:w="720" w:type="dxa"/>
            <w:tcBorders>
              <w:top w:val="nil"/>
              <w:left w:val="nil"/>
              <w:bottom w:val="single" w:sz="4" w:space="0" w:color="ADD6EA"/>
              <w:right w:val="nil"/>
            </w:tcBorders>
            <w:shd w:val="clear" w:color="auto" w:fill="auto"/>
            <w:vAlign w:val="bottom"/>
            <w:hideMark/>
          </w:tcPr>
          <w:p w14:paraId="190FBC55"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-1,559</w:t>
            </w:r>
          </w:p>
        </w:tc>
        <w:tc>
          <w:tcPr>
            <w:tcW w:w="720" w:type="dxa"/>
            <w:tcBorders>
              <w:top w:val="nil"/>
              <w:left w:val="nil"/>
              <w:bottom w:val="single" w:sz="4" w:space="0" w:color="ADD6EA"/>
              <w:right w:val="nil"/>
            </w:tcBorders>
            <w:shd w:val="clear" w:color="auto" w:fill="auto"/>
            <w:vAlign w:val="bottom"/>
            <w:hideMark/>
          </w:tcPr>
          <w:p w14:paraId="0BB8D3A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-1,339</w:t>
            </w:r>
          </w:p>
        </w:tc>
        <w:tc>
          <w:tcPr>
            <w:tcW w:w="720" w:type="dxa"/>
            <w:tcBorders>
              <w:top w:val="nil"/>
              <w:left w:val="nil"/>
              <w:bottom w:val="single" w:sz="4" w:space="0" w:color="ADD6EA"/>
              <w:right w:val="nil"/>
            </w:tcBorders>
            <w:shd w:val="clear" w:color="auto" w:fill="auto"/>
            <w:vAlign w:val="bottom"/>
            <w:hideMark/>
          </w:tcPr>
          <w:p w14:paraId="4C9CB882"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824</w:t>
            </w:r>
          </w:p>
        </w:tc>
        <w:tc>
          <w:tcPr>
            <w:tcW w:w="720" w:type="dxa"/>
            <w:tcBorders>
              <w:top w:val="nil"/>
              <w:left w:val="nil"/>
              <w:bottom w:val="single" w:sz="4" w:space="0" w:color="ADD6EA"/>
              <w:right w:val="nil"/>
            </w:tcBorders>
            <w:shd w:val="clear" w:color="auto" w:fill="auto"/>
            <w:vAlign w:val="bottom"/>
            <w:hideMark/>
          </w:tcPr>
          <w:p w14:paraId="335F4352"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547</w:t>
            </w:r>
          </w:p>
        </w:tc>
        <w:tc>
          <w:tcPr>
            <w:tcW w:w="720" w:type="dxa"/>
            <w:tcBorders>
              <w:top w:val="nil"/>
              <w:left w:val="nil"/>
              <w:bottom w:val="single" w:sz="4" w:space="0" w:color="ADD6EA"/>
              <w:right w:val="nil"/>
            </w:tcBorders>
            <w:shd w:val="clear" w:color="auto" w:fill="auto"/>
            <w:vAlign w:val="bottom"/>
            <w:hideMark/>
          </w:tcPr>
          <w:p w14:paraId="68A67070"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86</w:t>
            </w:r>
          </w:p>
        </w:tc>
        <w:tc>
          <w:tcPr>
            <w:tcW w:w="720" w:type="dxa"/>
            <w:tcBorders>
              <w:top w:val="nil"/>
              <w:left w:val="nil"/>
              <w:bottom w:val="single" w:sz="4" w:space="0" w:color="ADD6EA"/>
              <w:right w:val="nil"/>
            </w:tcBorders>
            <w:shd w:val="clear" w:color="auto" w:fill="auto"/>
            <w:vAlign w:val="bottom"/>
            <w:hideMark/>
          </w:tcPr>
          <w:p w14:paraId="543455B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452</w:t>
            </w:r>
          </w:p>
        </w:tc>
        <w:tc>
          <w:tcPr>
            <w:tcW w:w="720" w:type="dxa"/>
            <w:tcBorders>
              <w:top w:val="nil"/>
              <w:left w:val="nil"/>
              <w:bottom w:val="single" w:sz="4" w:space="0" w:color="ADD6EA"/>
              <w:right w:val="nil"/>
            </w:tcBorders>
            <w:shd w:val="clear" w:color="auto" w:fill="auto"/>
            <w:vAlign w:val="bottom"/>
            <w:hideMark/>
          </w:tcPr>
          <w:p w14:paraId="76CA7127"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-211</w:t>
            </w:r>
          </w:p>
        </w:tc>
        <w:tc>
          <w:tcPr>
            <w:tcW w:w="720" w:type="dxa"/>
            <w:tcBorders>
              <w:top w:val="nil"/>
              <w:left w:val="nil"/>
              <w:bottom w:val="single" w:sz="4" w:space="0" w:color="ADD6EA"/>
              <w:right w:val="nil"/>
            </w:tcBorders>
            <w:shd w:val="clear" w:color="auto" w:fill="auto"/>
            <w:vAlign w:val="bottom"/>
            <w:hideMark/>
          </w:tcPr>
          <w:p w14:paraId="4F63CD2B"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1,199</w:t>
            </w:r>
          </w:p>
        </w:tc>
        <w:tc>
          <w:tcPr>
            <w:tcW w:w="720" w:type="dxa"/>
            <w:tcBorders>
              <w:top w:val="nil"/>
              <w:left w:val="nil"/>
              <w:bottom w:val="single" w:sz="4" w:space="0" w:color="ADD6EA"/>
              <w:right w:val="nil"/>
            </w:tcBorders>
            <w:shd w:val="clear" w:color="auto" w:fill="auto"/>
            <w:vAlign w:val="bottom"/>
            <w:hideMark/>
          </w:tcPr>
          <w:p w14:paraId="42C2C8F5"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3,108</w:t>
            </w:r>
          </w:p>
        </w:tc>
      </w:tr>
      <w:tr w:rsidR="00593C33" w:rsidRPr="00593C33" w14:paraId="2BB92E7E"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4656BCF6"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Indigenous status</w:t>
            </w:r>
          </w:p>
        </w:tc>
        <w:tc>
          <w:tcPr>
            <w:tcW w:w="720" w:type="dxa"/>
            <w:tcBorders>
              <w:top w:val="nil"/>
              <w:left w:val="nil"/>
              <w:bottom w:val="single" w:sz="4" w:space="0" w:color="ADD6EA"/>
              <w:right w:val="nil"/>
            </w:tcBorders>
            <w:shd w:val="clear" w:color="auto" w:fill="auto"/>
            <w:vAlign w:val="bottom"/>
            <w:hideMark/>
          </w:tcPr>
          <w:p w14:paraId="089C0E1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114</w:t>
            </w:r>
          </w:p>
        </w:tc>
        <w:tc>
          <w:tcPr>
            <w:tcW w:w="720" w:type="dxa"/>
            <w:tcBorders>
              <w:top w:val="nil"/>
              <w:left w:val="nil"/>
              <w:bottom w:val="single" w:sz="4" w:space="0" w:color="ADD6EA"/>
              <w:right w:val="nil"/>
            </w:tcBorders>
            <w:shd w:val="clear" w:color="auto" w:fill="auto"/>
            <w:vAlign w:val="bottom"/>
            <w:hideMark/>
          </w:tcPr>
          <w:p w14:paraId="65D4A72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-1,802</w:t>
            </w:r>
          </w:p>
        </w:tc>
        <w:tc>
          <w:tcPr>
            <w:tcW w:w="720" w:type="dxa"/>
            <w:tcBorders>
              <w:top w:val="nil"/>
              <w:left w:val="nil"/>
              <w:bottom w:val="single" w:sz="4" w:space="0" w:color="ADD6EA"/>
              <w:right w:val="nil"/>
            </w:tcBorders>
            <w:shd w:val="clear" w:color="auto" w:fill="auto"/>
            <w:vAlign w:val="bottom"/>
            <w:hideMark/>
          </w:tcPr>
          <w:p w14:paraId="2A1E2CA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782</w:t>
            </w:r>
          </w:p>
        </w:tc>
        <w:tc>
          <w:tcPr>
            <w:tcW w:w="720" w:type="dxa"/>
            <w:tcBorders>
              <w:top w:val="nil"/>
              <w:left w:val="nil"/>
              <w:bottom w:val="single" w:sz="4" w:space="0" w:color="ADD6EA"/>
              <w:right w:val="nil"/>
            </w:tcBorders>
            <w:shd w:val="clear" w:color="auto" w:fill="auto"/>
            <w:vAlign w:val="bottom"/>
            <w:hideMark/>
          </w:tcPr>
          <w:p w14:paraId="62A3210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208</w:t>
            </w:r>
          </w:p>
        </w:tc>
        <w:tc>
          <w:tcPr>
            <w:tcW w:w="720" w:type="dxa"/>
            <w:tcBorders>
              <w:top w:val="nil"/>
              <w:left w:val="nil"/>
              <w:bottom w:val="single" w:sz="4" w:space="0" w:color="ADD6EA"/>
              <w:right w:val="nil"/>
            </w:tcBorders>
            <w:shd w:val="clear" w:color="auto" w:fill="auto"/>
            <w:vAlign w:val="bottom"/>
            <w:hideMark/>
          </w:tcPr>
          <w:p w14:paraId="27373C79"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-155</w:t>
            </w:r>
          </w:p>
        </w:tc>
        <w:tc>
          <w:tcPr>
            <w:tcW w:w="720" w:type="dxa"/>
            <w:tcBorders>
              <w:top w:val="nil"/>
              <w:left w:val="nil"/>
              <w:bottom w:val="single" w:sz="4" w:space="0" w:color="ADD6EA"/>
              <w:right w:val="nil"/>
            </w:tcBorders>
            <w:shd w:val="clear" w:color="auto" w:fill="auto"/>
            <w:vAlign w:val="bottom"/>
            <w:hideMark/>
          </w:tcPr>
          <w:p w14:paraId="0D17BE82"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131</w:t>
            </w:r>
          </w:p>
        </w:tc>
        <w:tc>
          <w:tcPr>
            <w:tcW w:w="720" w:type="dxa"/>
            <w:tcBorders>
              <w:top w:val="nil"/>
              <w:left w:val="nil"/>
              <w:bottom w:val="single" w:sz="4" w:space="0" w:color="ADD6EA"/>
              <w:right w:val="nil"/>
            </w:tcBorders>
            <w:shd w:val="clear" w:color="auto" w:fill="auto"/>
            <w:vAlign w:val="bottom"/>
            <w:hideMark/>
          </w:tcPr>
          <w:p w14:paraId="62F43ED1"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-71</w:t>
            </w:r>
          </w:p>
        </w:tc>
        <w:tc>
          <w:tcPr>
            <w:tcW w:w="720" w:type="dxa"/>
            <w:tcBorders>
              <w:top w:val="nil"/>
              <w:left w:val="nil"/>
              <w:bottom w:val="single" w:sz="4" w:space="0" w:color="ADD6EA"/>
              <w:right w:val="nil"/>
            </w:tcBorders>
            <w:shd w:val="clear" w:color="auto" w:fill="auto"/>
            <w:vAlign w:val="bottom"/>
            <w:hideMark/>
          </w:tcPr>
          <w:p w14:paraId="4F1ABD9A"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792</w:t>
            </w:r>
          </w:p>
        </w:tc>
        <w:tc>
          <w:tcPr>
            <w:tcW w:w="720" w:type="dxa"/>
            <w:tcBorders>
              <w:top w:val="nil"/>
              <w:left w:val="nil"/>
              <w:bottom w:val="single" w:sz="4" w:space="0" w:color="ADD6EA"/>
              <w:right w:val="nil"/>
            </w:tcBorders>
            <w:shd w:val="clear" w:color="auto" w:fill="auto"/>
            <w:vAlign w:val="bottom"/>
            <w:hideMark/>
          </w:tcPr>
          <w:p w14:paraId="4FE8A971"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2,028</w:t>
            </w:r>
          </w:p>
        </w:tc>
      </w:tr>
      <w:tr w:rsidR="00593C33" w:rsidRPr="00593C33" w14:paraId="3C9991A4"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7A395476" w14:textId="77777777" w:rsidR="00593C33" w:rsidRPr="00593C33" w:rsidRDefault="00593C33" w:rsidP="00593C33">
            <w:pPr>
              <w:keepNext/>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Non-Indigenous disadvantage</w:t>
            </w:r>
          </w:p>
        </w:tc>
        <w:tc>
          <w:tcPr>
            <w:tcW w:w="720" w:type="dxa"/>
            <w:tcBorders>
              <w:top w:val="nil"/>
              <w:left w:val="nil"/>
              <w:bottom w:val="single" w:sz="4" w:space="0" w:color="ADD6EA"/>
              <w:right w:val="nil"/>
            </w:tcBorders>
            <w:shd w:val="clear" w:color="auto" w:fill="auto"/>
            <w:vAlign w:val="bottom"/>
            <w:hideMark/>
          </w:tcPr>
          <w:p w14:paraId="046A3805"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24</w:t>
            </w:r>
          </w:p>
        </w:tc>
        <w:tc>
          <w:tcPr>
            <w:tcW w:w="720" w:type="dxa"/>
            <w:tcBorders>
              <w:top w:val="nil"/>
              <w:left w:val="nil"/>
              <w:bottom w:val="single" w:sz="4" w:space="0" w:color="ADD6EA"/>
              <w:right w:val="nil"/>
            </w:tcBorders>
            <w:shd w:val="clear" w:color="auto" w:fill="auto"/>
            <w:vAlign w:val="bottom"/>
            <w:hideMark/>
          </w:tcPr>
          <w:p w14:paraId="79F3C2BF"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-172</w:t>
            </w:r>
          </w:p>
        </w:tc>
        <w:tc>
          <w:tcPr>
            <w:tcW w:w="720" w:type="dxa"/>
            <w:tcBorders>
              <w:top w:val="nil"/>
              <w:left w:val="nil"/>
              <w:bottom w:val="single" w:sz="4" w:space="0" w:color="ADD6EA"/>
              <w:right w:val="nil"/>
            </w:tcBorders>
            <w:shd w:val="clear" w:color="auto" w:fill="auto"/>
            <w:vAlign w:val="bottom"/>
            <w:hideMark/>
          </w:tcPr>
          <w:p w14:paraId="17831CAA"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196</w:t>
            </w:r>
          </w:p>
        </w:tc>
        <w:tc>
          <w:tcPr>
            <w:tcW w:w="720" w:type="dxa"/>
            <w:tcBorders>
              <w:top w:val="nil"/>
              <w:left w:val="nil"/>
              <w:bottom w:val="single" w:sz="4" w:space="0" w:color="ADD6EA"/>
              <w:right w:val="nil"/>
            </w:tcBorders>
            <w:shd w:val="clear" w:color="auto" w:fill="auto"/>
            <w:vAlign w:val="bottom"/>
            <w:hideMark/>
          </w:tcPr>
          <w:p w14:paraId="1BEF623A"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-188</w:t>
            </w:r>
          </w:p>
        </w:tc>
        <w:tc>
          <w:tcPr>
            <w:tcW w:w="720" w:type="dxa"/>
            <w:tcBorders>
              <w:top w:val="nil"/>
              <w:left w:val="nil"/>
              <w:bottom w:val="single" w:sz="4" w:space="0" w:color="ADD6EA"/>
              <w:right w:val="nil"/>
            </w:tcBorders>
            <w:shd w:val="clear" w:color="auto" w:fill="auto"/>
            <w:vAlign w:val="bottom"/>
            <w:hideMark/>
          </w:tcPr>
          <w:p w14:paraId="499814F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360</w:t>
            </w:r>
          </w:p>
        </w:tc>
        <w:tc>
          <w:tcPr>
            <w:tcW w:w="720" w:type="dxa"/>
            <w:tcBorders>
              <w:top w:val="nil"/>
              <w:left w:val="nil"/>
              <w:bottom w:val="single" w:sz="4" w:space="0" w:color="ADD6EA"/>
              <w:right w:val="nil"/>
            </w:tcBorders>
            <w:shd w:val="clear" w:color="auto" w:fill="auto"/>
            <w:vAlign w:val="bottom"/>
            <w:hideMark/>
          </w:tcPr>
          <w:p w14:paraId="6A688BDC"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134</w:t>
            </w:r>
          </w:p>
        </w:tc>
        <w:tc>
          <w:tcPr>
            <w:tcW w:w="720" w:type="dxa"/>
            <w:tcBorders>
              <w:top w:val="nil"/>
              <w:left w:val="nil"/>
              <w:bottom w:val="single" w:sz="4" w:space="0" w:color="ADD6EA"/>
              <w:right w:val="nil"/>
            </w:tcBorders>
            <w:shd w:val="clear" w:color="auto" w:fill="auto"/>
            <w:vAlign w:val="bottom"/>
            <w:hideMark/>
          </w:tcPr>
          <w:p w14:paraId="47CA721B"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-247</w:t>
            </w:r>
          </w:p>
        </w:tc>
        <w:tc>
          <w:tcPr>
            <w:tcW w:w="720" w:type="dxa"/>
            <w:tcBorders>
              <w:top w:val="nil"/>
              <w:left w:val="nil"/>
              <w:bottom w:val="single" w:sz="4" w:space="0" w:color="ADD6EA"/>
              <w:right w:val="nil"/>
            </w:tcBorders>
            <w:shd w:val="clear" w:color="auto" w:fill="auto"/>
            <w:vAlign w:val="bottom"/>
            <w:hideMark/>
          </w:tcPr>
          <w:p w14:paraId="3C8840F6"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-107</w:t>
            </w:r>
          </w:p>
        </w:tc>
        <w:tc>
          <w:tcPr>
            <w:tcW w:w="720" w:type="dxa"/>
            <w:tcBorders>
              <w:top w:val="nil"/>
              <w:left w:val="nil"/>
              <w:bottom w:val="single" w:sz="4" w:space="0" w:color="ADD6EA"/>
              <w:right w:val="nil"/>
            </w:tcBorders>
            <w:shd w:val="clear" w:color="auto" w:fill="auto"/>
            <w:vAlign w:val="bottom"/>
            <w:hideMark/>
          </w:tcPr>
          <w:p w14:paraId="5230FE53" w14:textId="77777777" w:rsidR="00593C33" w:rsidRPr="00593C33" w:rsidRDefault="00593C33" w:rsidP="00593C33">
            <w:pPr>
              <w:keepNext/>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714</w:t>
            </w:r>
          </w:p>
        </w:tc>
      </w:tr>
      <w:tr w:rsidR="00593C33" w:rsidRPr="00593C33" w14:paraId="5C031A0A"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6A751219"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Other SDC (a)</w:t>
            </w:r>
          </w:p>
        </w:tc>
        <w:tc>
          <w:tcPr>
            <w:tcW w:w="720" w:type="dxa"/>
            <w:tcBorders>
              <w:top w:val="nil"/>
              <w:left w:val="nil"/>
              <w:bottom w:val="single" w:sz="4" w:space="0" w:color="ADD6EA"/>
              <w:right w:val="nil"/>
            </w:tcBorders>
            <w:shd w:val="clear" w:color="auto" w:fill="auto"/>
            <w:vAlign w:val="bottom"/>
            <w:hideMark/>
          </w:tcPr>
          <w:p w14:paraId="28443AE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184</w:t>
            </w:r>
          </w:p>
        </w:tc>
        <w:tc>
          <w:tcPr>
            <w:tcW w:w="720" w:type="dxa"/>
            <w:tcBorders>
              <w:top w:val="nil"/>
              <w:left w:val="nil"/>
              <w:bottom w:val="single" w:sz="4" w:space="0" w:color="ADD6EA"/>
              <w:right w:val="nil"/>
            </w:tcBorders>
            <w:shd w:val="clear" w:color="auto" w:fill="auto"/>
            <w:vAlign w:val="bottom"/>
            <w:hideMark/>
          </w:tcPr>
          <w:p w14:paraId="5C946005"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-378</w:t>
            </w:r>
          </w:p>
        </w:tc>
        <w:tc>
          <w:tcPr>
            <w:tcW w:w="720" w:type="dxa"/>
            <w:tcBorders>
              <w:top w:val="nil"/>
              <w:left w:val="nil"/>
              <w:bottom w:val="single" w:sz="4" w:space="0" w:color="ADD6EA"/>
              <w:right w:val="nil"/>
            </w:tcBorders>
            <w:shd w:val="clear" w:color="auto" w:fill="auto"/>
            <w:vAlign w:val="bottom"/>
            <w:hideMark/>
          </w:tcPr>
          <w:p w14:paraId="4334912F"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-41</w:t>
            </w:r>
          </w:p>
        </w:tc>
        <w:tc>
          <w:tcPr>
            <w:tcW w:w="720" w:type="dxa"/>
            <w:tcBorders>
              <w:top w:val="nil"/>
              <w:left w:val="nil"/>
              <w:bottom w:val="single" w:sz="4" w:space="0" w:color="ADD6EA"/>
              <w:right w:val="nil"/>
            </w:tcBorders>
            <w:shd w:val="clear" w:color="auto" w:fill="auto"/>
            <w:vAlign w:val="bottom"/>
            <w:hideMark/>
          </w:tcPr>
          <w:p w14:paraId="52B28B18"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46</w:t>
            </w:r>
          </w:p>
        </w:tc>
        <w:tc>
          <w:tcPr>
            <w:tcW w:w="720" w:type="dxa"/>
            <w:tcBorders>
              <w:top w:val="nil"/>
              <w:left w:val="nil"/>
              <w:bottom w:val="single" w:sz="4" w:space="0" w:color="ADD6EA"/>
              <w:right w:val="nil"/>
            </w:tcBorders>
            <w:shd w:val="clear" w:color="auto" w:fill="auto"/>
            <w:vAlign w:val="bottom"/>
            <w:hideMark/>
          </w:tcPr>
          <w:p w14:paraId="268EFB73"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247</w:t>
            </w:r>
          </w:p>
        </w:tc>
        <w:tc>
          <w:tcPr>
            <w:tcW w:w="720" w:type="dxa"/>
            <w:tcBorders>
              <w:top w:val="nil"/>
              <w:left w:val="nil"/>
              <w:bottom w:val="single" w:sz="4" w:space="0" w:color="ADD6EA"/>
              <w:right w:val="nil"/>
            </w:tcBorders>
            <w:shd w:val="clear" w:color="auto" w:fill="auto"/>
            <w:vAlign w:val="bottom"/>
            <w:hideMark/>
          </w:tcPr>
          <w:p w14:paraId="56513B8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w:t>
            </w:r>
          </w:p>
        </w:tc>
        <w:tc>
          <w:tcPr>
            <w:tcW w:w="720" w:type="dxa"/>
            <w:tcBorders>
              <w:top w:val="nil"/>
              <w:left w:val="nil"/>
              <w:bottom w:val="single" w:sz="4" w:space="0" w:color="ADD6EA"/>
              <w:right w:val="nil"/>
            </w:tcBorders>
            <w:shd w:val="clear" w:color="auto" w:fill="auto"/>
            <w:vAlign w:val="bottom"/>
            <w:hideMark/>
          </w:tcPr>
          <w:p w14:paraId="056662B9"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-46</w:t>
            </w:r>
          </w:p>
        </w:tc>
        <w:tc>
          <w:tcPr>
            <w:tcW w:w="720" w:type="dxa"/>
            <w:tcBorders>
              <w:top w:val="nil"/>
              <w:left w:val="nil"/>
              <w:bottom w:val="single" w:sz="4" w:space="0" w:color="ADD6EA"/>
              <w:right w:val="nil"/>
            </w:tcBorders>
            <w:shd w:val="clear" w:color="auto" w:fill="auto"/>
            <w:vAlign w:val="bottom"/>
            <w:hideMark/>
          </w:tcPr>
          <w:p w14:paraId="43E60629"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w:t>
            </w:r>
          </w:p>
        </w:tc>
        <w:tc>
          <w:tcPr>
            <w:tcW w:w="720" w:type="dxa"/>
            <w:tcBorders>
              <w:top w:val="nil"/>
              <w:left w:val="nil"/>
              <w:bottom w:val="single" w:sz="4" w:space="0" w:color="ADD6EA"/>
              <w:right w:val="nil"/>
            </w:tcBorders>
            <w:shd w:val="clear" w:color="auto" w:fill="auto"/>
            <w:vAlign w:val="bottom"/>
            <w:hideMark/>
          </w:tcPr>
          <w:p w14:paraId="6A871A2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480</w:t>
            </w:r>
          </w:p>
        </w:tc>
      </w:tr>
      <w:tr w:rsidR="00593C33" w:rsidRPr="00593C33" w14:paraId="73CB7337" w14:textId="77777777" w:rsidTr="00500FBE">
        <w:trPr>
          <w:trHeight w:val="315"/>
        </w:trPr>
        <w:tc>
          <w:tcPr>
            <w:tcW w:w="2660" w:type="dxa"/>
            <w:tcBorders>
              <w:top w:val="nil"/>
              <w:left w:val="nil"/>
              <w:bottom w:val="single" w:sz="4" w:space="0" w:color="ADD6EA"/>
              <w:right w:val="nil"/>
            </w:tcBorders>
            <w:shd w:val="clear" w:color="000000" w:fill="D6E7F0"/>
            <w:vAlign w:val="bottom"/>
            <w:hideMark/>
          </w:tcPr>
          <w:p w14:paraId="7E0AE398"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 SDC</w:t>
            </w:r>
          </w:p>
        </w:tc>
        <w:tc>
          <w:tcPr>
            <w:tcW w:w="720" w:type="dxa"/>
            <w:tcBorders>
              <w:top w:val="nil"/>
              <w:left w:val="nil"/>
              <w:bottom w:val="single" w:sz="4" w:space="0" w:color="ADD6EA"/>
              <w:right w:val="nil"/>
            </w:tcBorders>
            <w:shd w:val="clear" w:color="000000" w:fill="D6E7F0"/>
            <w:vAlign w:val="bottom"/>
            <w:hideMark/>
          </w:tcPr>
          <w:p w14:paraId="02CA48FD"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-1,237</w:t>
            </w:r>
          </w:p>
        </w:tc>
        <w:tc>
          <w:tcPr>
            <w:tcW w:w="720" w:type="dxa"/>
            <w:tcBorders>
              <w:top w:val="nil"/>
              <w:left w:val="nil"/>
              <w:bottom w:val="single" w:sz="4" w:space="0" w:color="ADD6EA"/>
              <w:right w:val="nil"/>
            </w:tcBorders>
            <w:shd w:val="clear" w:color="000000" w:fill="D6E7F0"/>
            <w:vAlign w:val="bottom"/>
            <w:hideMark/>
          </w:tcPr>
          <w:p w14:paraId="255ED4AC"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-3,691</w:t>
            </w:r>
          </w:p>
        </w:tc>
        <w:tc>
          <w:tcPr>
            <w:tcW w:w="720" w:type="dxa"/>
            <w:tcBorders>
              <w:top w:val="nil"/>
              <w:left w:val="nil"/>
              <w:bottom w:val="single" w:sz="4" w:space="0" w:color="ADD6EA"/>
              <w:right w:val="nil"/>
            </w:tcBorders>
            <w:shd w:val="clear" w:color="000000" w:fill="D6E7F0"/>
            <w:vAlign w:val="bottom"/>
            <w:hideMark/>
          </w:tcPr>
          <w:p w14:paraId="42119E42"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1,761</w:t>
            </w:r>
          </w:p>
        </w:tc>
        <w:tc>
          <w:tcPr>
            <w:tcW w:w="720" w:type="dxa"/>
            <w:tcBorders>
              <w:top w:val="nil"/>
              <w:left w:val="nil"/>
              <w:bottom w:val="single" w:sz="4" w:space="0" w:color="ADD6EA"/>
              <w:right w:val="nil"/>
            </w:tcBorders>
            <w:shd w:val="clear" w:color="000000" w:fill="D6E7F0"/>
            <w:vAlign w:val="bottom"/>
            <w:hideMark/>
          </w:tcPr>
          <w:p w14:paraId="38F1174E"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613</w:t>
            </w:r>
          </w:p>
        </w:tc>
        <w:tc>
          <w:tcPr>
            <w:tcW w:w="720" w:type="dxa"/>
            <w:tcBorders>
              <w:top w:val="nil"/>
              <w:left w:val="nil"/>
              <w:bottom w:val="single" w:sz="4" w:space="0" w:color="ADD6EA"/>
              <w:right w:val="nil"/>
            </w:tcBorders>
            <w:shd w:val="clear" w:color="000000" w:fill="D6E7F0"/>
            <w:vAlign w:val="bottom"/>
            <w:hideMark/>
          </w:tcPr>
          <w:p w14:paraId="1417D033"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538</w:t>
            </w:r>
          </w:p>
        </w:tc>
        <w:tc>
          <w:tcPr>
            <w:tcW w:w="720" w:type="dxa"/>
            <w:tcBorders>
              <w:top w:val="nil"/>
              <w:left w:val="nil"/>
              <w:bottom w:val="single" w:sz="4" w:space="0" w:color="ADD6EA"/>
              <w:right w:val="nil"/>
            </w:tcBorders>
            <w:shd w:val="clear" w:color="000000" w:fill="D6E7F0"/>
            <w:vAlign w:val="bottom"/>
            <w:hideMark/>
          </w:tcPr>
          <w:p w14:paraId="709AE53A"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703</w:t>
            </w:r>
          </w:p>
        </w:tc>
        <w:tc>
          <w:tcPr>
            <w:tcW w:w="720" w:type="dxa"/>
            <w:tcBorders>
              <w:top w:val="nil"/>
              <w:left w:val="nil"/>
              <w:bottom w:val="single" w:sz="4" w:space="0" w:color="ADD6EA"/>
              <w:right w:val="nil"/>
            </w:tcBorders>
            <w:shd w:val="clear" w:color="000000" w:fill="D6E7F0"/>
            <w:vAlign w:val="bottom"/>
            <w:hideMark/>
          </w:tcPr>
          <w:p w14:paraId="0158E4D3"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-574</w:t>
            </w:r>
          </w:p>
        </w:tc>
        <w:tc>
          <w:tcPr>
            <w:tcW w:w="720" w:type="dxa"/>
            <w:tcBorders>
              <w:top w:val="nil"/>
              <w:left w:val="nil"/>
              <w:bottom w:val="single" w:sz="4" w:space="0" w:color="ADD6EA"/>
              <w:right w:val="nil"/>
            </w:tcBorders>
            <w:shd w:val="clear" w:color="000000" w:fill="D6E7F0"/>
            <w:vAlign w:val="bottom"/>
            <w:hideMark/>
          </w:tcPr>
          <w:p w14:paraId="4A4F24C7"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1,888</w:t>
            </w:r>
          </w:p>
        </w:tc>
        <w:tc>
          <w:tcPr>
            <w:tcW w:w="720" w:type="dxa"/>
            <w:tcBorders>
              <w:top w:val="nil"/>
              <w:left w:val="nil"/>
              <w:bottom w:val="single" w:sz="4" w:space="0" w:color="ADD6EA"/>
              <w:right w:val="nil"/>
            </w:tcBorders>
            <w:shd w:val="clear" w:color="000000" w:fill="D6E7F0"/>
            <w:vAlign w:val="bottom"/>
            <w:hideMark/>
          </w:tcPr>
          <w:p w14:paraId="5942D3FD"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5,503</w:t>
            </w:r>
          </w:p>
        </w:tc>
      </w:tr>
      <w:tr w:rsidR="00593C33" w:rsidRPr="00593C33" w14:paraId="7EDDAA3C"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5F0FEACE"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Urban centre characteristics</w:t>
            </w:r>
          </w:p>
        </w:tc>
        <w:tc>
          <w:tcPr>
            <w:tcW w:w="720" w:type="dxa"/>
            <w:tcBorders>
              <w:top w:val="nil"/>
              <w:left w:val="nil"/>
              <w:bottom w:val="single" w:sz="4" w:space="0" w:color="ADD6EA"/>
              <w:right w:val="nil"/>
            </w:tcBorders>
            <w:shd w:val="clear" w:color="auto" w:fill="auto"/>
            <w:vAlign w:val="bottom"/>
            <w:hideMark/>
          </w:tcPr>
          <w:p w14:paraId="00AFDB59"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1,217</w:t>
            </w:r>
          </w:p>
        </w:tc>
        <w:tc>
          <w:tcPr>
            <w:tcW w:w="720" w:type="dxa"/>
            <w:tcBorders>
              <w:top w:val="nil"/>
              <w:left w:val="nil"/>
              <w:bottom w:val="single" w:sz="4" w:space="0" w:color="ADD6EA"/>
              <w:right w:val="nil"/>
            </w:tcBorders>
            <w:shd w:val="clear" w:color="auto" w:fill="auto"/>
            <w:vAlign w:val="bottom"/>
            <w:hideMark/>
          </w:tcPr>
          <w:p w14:paraId="757E982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393</w:t>
            </w:r>
          </w:p>
        </w:tc>
        <w:tc>
          <w:tcPr>
            <w:tcW w:w="720" w:type="dxa"/>
            <w:tcBorders>
              <w:top w:val="nil"/>
              <w:left w:val="nil"/>
              <w:bottom w:val="single" w:sz="4" w:space="0" w:color="ADD6EA"/>
              <w:right w:val="nil"/>
            </w:tcBorders>
            <w:shd w:val="clear" w:color="auto" w:fill="auto"/>
            <w:vAlign w:val="bottom"/>
            <w:hideMark/>
          </w:tcPr>
          <w:p w14:paraId="149F300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-720</w:t>
            </w:r>
          </w:p>
        </w:tc>
        <w:tc>
          <w:tcPr>
            <w:tcW w:w="720" w:type="dxa"/>
            <w:tcBorders>
              <w:top w:val="nil"/>
              <w:left w:val="nil"/>
              <w:bottom w:val="single" w:sz="4" w:space="0" w:color="ADD6EA"/>
              <w:right w:val="nil"/>
            </w:tcBorders>
            <w:shd w:val="clear" w:color="auto" w:fill="auto"/>
            <w:vAlign w:val="bottom"/>
            <w:hideMark/>
          </w:tcPr>
          <w:p w14:paraId="3A02AD00"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-284</w:t>
            </w:r>
          </w:p>
        </w:tc>
        <w:tc>
          <w:tcPr>
            <w:tcW w:w="720" w:type="dxa"/>
            <w:tcBorders>
              <w:top w:val="nil"/>
              <w:left w:val="nil"/>
              <w:bottom w:val="single" w:sz="4" w:space="0" w:color="ADD6EA"/>
              <w:right w:val="nil"/>
            </w:tcBorders>
            <w:shd w:val="clear" w:color="auto" w:fill="auto"/>
            <w:vAlign w:val="bottom"/>
            <w:hideMark/>
          </w:tcPr>
          <w:p w14:paraId="13B3A9C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-270</w:t>
            </w:r>
          </w:p>
        </w:tc>
        <w:tc>
          <w:tcPr>
            <w:tcW w:w="720" w:type="dxa"/>
            <w:tcBorders>
              <w:top w:val="nil"/>
              <w:left w:val="nil"/>
              <w:bottom w:val="single" w:sz="4" w:space="0" w:color="ADD6EA"/>
              <w:right w:val="nil"/>
            </w:tcBorders>
            <w:shd w:val="clear" w:color="auto" w:fill="auto"/>
            <w:vAlign w:val="bottom"/>
            <w:hideMark/>
          </w:tcPr>
          <w:p w14:paraId="6E84E36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-193</w:t>
            </w:r>
          </w:p>
        </w:tc>
        <w:tc>
          <w:tcPr>
            <w:tcW w:w="720" w:type="dxa"/>
            <w:tcBorders>
              <w:top w:val="nil"/>
              <w:left w:val="nil"/>
              <w:bottom w:val="single" w:sz="4" w:space="0" w:color="ADD6EA"/>
              <w:right w:val="nil"/>
            </w:tcBorders>
            <w:shd w:val="clear" w:color="auto" w:fill="auto"/>
            <w:vAlign w:val="bottom"/>
            <w:hideMark/>
          </w:tcPr>
          <w:p w14:paraId="7B15A5E9"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-64</w:t>
            </w:r>
          </w:p>
        </w:tc>
        <w:tc>
          <w:tcPr>
            <w:tcW w:w="720" w:type="dxa"/>
            <w:tcBorders>
              <w:top w:val="nil"/>
              <w:left w:val="nil"/>
              <w:bottom w:val="single" w:sz="4" w:space="0" w:color="ADD6EA"/>
              <w:right w:val="nil"/>
            </w:tcBorders>
            <w:shd w:val="clear" w:color="auto" w:fill="auto"/>
            <w:vAlign w:val="bottom"/>
            <w:hideMark/>
          </w:tcPr>
          <w:p w14:paraId="088AC945"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-81</w:t>
            </w:r>
          </w:p>
        </w:tc>
        <w:tc>
          <w:tcPr>
            <w:tcW w:w="720" w:type="dxa"/>
            <w:tcBorders>
              <w:top w:val="nil"/>
              <w:left w:val="nil"/>
              <w:bottom w:val="single" w:sz="4" w:space="0" w:color="ADD6EA"/>
              <w:right w:val="nil"/>
            </w:tcBorders>
            <w:shd w:val="clear" w:color="auto" w:fill="auto"/>
            <w:vAlign w:val="bottom"/>
            <w:hideMark/>
          </w:tcPr>
          <w:p w14:paraId="4F5805A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1,611</w:t>
            </w:r>
          </w:p>
        </w:tc>
      </w:tr>
      <w:tr w:rsidR="00593C33" w:rsidRPr="00593C33" w14:paraId="2BB243A8"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18D8C672"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Administrative scale</w:t>
            </w:r>
          </w:p>
        </w:tc>
        <w:tc>
          <w:tcPr>
            <w:tcW w:w="720" w:type="dxa"/>
            <w:tcBorders>
              <w:top w:val="nil"/>
              <w:left w:val="nil"/>
              <w:bottom w:val="single" w:sz="4" w:space="0" w:color="ADD6EA"/>
              <w:right w:val="nil"/>
            </w:tcBorders>
            <w:shd w:val="clear" w:color="auto" w:fill="auto"/>
            <w:vAlign w:val="bottom"/>
            <w:hideMark/>
          </w:tcPr>
          <w:p w14:paraId="4F41C6A0"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-565</w:t>
            </w:r>
          </w:p>
        </w:tc>
        <w:tc>
          <w:tcPr>
            <w:tcW w:w="720" w:type="dxa"/>
            <w:tcBorders>
              <w:top w:val="nil"/>
              <w:left w:val="nil"/>
              <w:bottom w:val="single" w:sz="4" w:space="0" w:color="ADD6EA"/>
              <w:right w:val="nil"/>
            </w:tcBorders>
            <w:shd w:val="clear" w:color="auto" w:fill="auto"/>
            <w:vAlign w:val="bottom"/>
            <w:hideMark/>
          </w:tcPr>
          <w:p w14:paraId="296DBF58"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-391</w:t>
            </w:r>
          </w:p>
        </w:tc>
        <w:tc>
          <w:tcPr>
            <w:tcW w:w="720" w:type="dxa"/>
            <w:tcBorders>
              <w:top w:val="nil"/>
              <w:left w:val="nil"/>
              <w:bottom w:val="single" w:sz="4" w:space="0" w:color="ADD6EA"/>
              <w:right w:val="nil"/>
            </w:tcBorders>
            <w:shd w:val="clear" w:color="auto" w:fill="auto"/>
            <w:vAlign w:val="bottom"/>
            <w:hideMark/>
          </w:tcPr>
          <w:p w14:paraId="725256E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-217</w:t>
            </w:r>
          </w:p>
        </w:tc>
        <w:tc>
          <w:tcPr>
            <w:tcW w:w="720" w:type="dxa"/>
            <w:tcBorders>
              <w:top w:val="nil"/>
              <w:left w:val="nil"/>
              <w:bottom w:val="single" w:sz="4" w:space="0" w:color="ADD6EA"/>
              <w:right w:val="nil"/>
            </w:tcBorders>
            <w:shd w:val="clear" w:color="auto" w:fill="auto"/>
            <w:vAlign w:val="bottom"/>
            <w:hideMark/>
          </w:tcPr>
          <w:p w14:paraId="5BDDB8A2"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64</w:t>
            </w:r>
          </w:p>
        </w:tc>
        <w:tc>
          <w:tcPr>
            <w:tcW w:w="720" w:type="dxa"/>
            <w:tcBorders>
              <w:top w:val="nil"/>
              <w:left w:val="nil"/>
              <w:bottom w:val="single" w:sz="4" w:space="0" w:color="ADD6EA"/>
              <w:right w:val="nil"/>
            </w:tcBorders>
            <w:shd w:val="clear" w:color="auto" w:fill="auto"/>
            <w:vAlign w:val="bottom"/>
            <w:hideMark/>
          </w:tcPr>
          <w:p w14:paraId="6401067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163</w:t>
            </w:r>
          </w:p>
        </w:tc>
        <w:tc>
          <w:tcPr>
            <w:tcW w:w="720" w:type="dxa"/>
            <w:tcBorders>
              <w:top w:val="nil"/>
              <w:left w:val="nil"/>
              <w:bottom w:val="single" w:sz="4" w:space="0" w:color="ADD6EA"/>
              <w:right w:val="nil"/>
            </w:tcBorders>
            <w:shd w:val="clear" w:color="auto" w:fill="auto"/>
            <w:vAlign w:val="bottom"/>
            <w:hideMark/>
          </w:tcPr>
          <w:p w14:paraId="1662582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305</w:t>
            </w:r>
          </w:p>
        </w:tc>
        <w:tc>
          <w:tcPr>
            <w:tcW w:w="720" w:type="dxa"/>
            <w:tcBorders>
              <w:top w:val="nil"/>
              <w:left w:val="nil"/>
              <w:bottom w:val="single" w:sz="4" w:space="0" w:color="ADD6EA"/>
              <w:right w:val="nil"/>
            </w:tcBorders>
            <w:shd w:val="clear" w:color="auto" w:fill="auto"/>
            <w:vAlign w:val="bottom"/>
            <w:hideMark/>
          </w:tcPr>
          <w:p w14:paraId="55DD98B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313</w:t>
            </w:r>
          </w:p>
        </w:tc>
        <w:tc>
          <w:tcPr>
            <w:tcW w:w="720" w:type="dxa"/>
            <w:tcBorders>
              <w:top w:val="nil"/>
              <w:left w:val="nil"/>
              <w:bottom w:val="single" w:sz="4" w:space="0" w:color="ADD6EA"/>
              <w:right w:val="nil"/>
            </w:tcBorders>
            <w:shd w:val="clear" w:color="auto" w:fill="auto"/>
            <w:vAlign w:val="bottom"/>
            <w:hideMark/>
          </w:tcPr>
          <w:p w14:paraId="3139045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328</w:t>
            </w:r>
          </w:p>
        </w:tc>
        <w:tc>
          <w:tcPr>
            <w:tcW w:w="720" w:type="dxa"/>
            <w:tcBorders>
              <w:top w:val="nil"/>
              <w:left w:val="nil"/>
              <w:bottom w:val="single" w:sz="4" w:space="0" w:color="ADD6EA"/>
              <w:right w:val="nil"/>
            </w:tcBorders>
            <w:shd w:val="clear" w:color="auto" w:fill="auto"/>
            <w:vAlign w:val="bottom"/>
            <w:hideMark/>
          </w:tcPr>
          <w:p w14:paraId="73695A18"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1,173</w:t>
            </w:r>
          </w:p>
        </w:tc>
      </w:tr>
      <w:tr w:rsidR="00593C33" w:rsidRPr="00593C33" w14:paraId="7943CB24"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70DA3E19"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Wage costs</w:t>
            </w:r>
          </w:p>
        </w:tc>
        <w:tc>
          <w:tcPr>
            <w:tcW w:w="720" w:type="dxa"/>
            <w:tcBorders>
              <w:top w:val="nil"/>
              <w:left w:val="nil"/>
              <w:bottom w:val="single" w:sz="4" w:space="0" w:color="ADD6EA"/>
              <w:right w:val="nil"/>
            </w:tcBorders>
            <w:shd w:val="clear" w:color="auto" w:fill="auto"/>
            <w:vAlign w:val="bottom"/>
            <w:hideMark/>
          </w:tcPr>
          <w:p w14:paraId="7F8D3C84"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293</w:t>
            </w:r>
          </w:p>
        </w:tc>
        <w:tc>
          <w:tcPr>
            <w:tcW w:w="720" w:type="dxa"/>
            <w:tcBorders>
              <w:top w:val="nil"/>
              <w:left w:val="nil"/>
              <w:bottom w:val="single" w:sz="4" w:space="0" w:color="ADD6EA"/>
              <w:right w:val="nil"/>
            </w:tcBorders>
            <w:shd w:val="clear" w:color="auto" w:fill="auto"/>
            <w:vAlign w:val="bottom"/>
            <w:hideMark/>
          </w:tcPr>
          <w:p w14:paraId="68578278"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-152</w:t>
            </w:r>
          </w:p>
        </w:tc>
        <w:tc>
          <w:tcPr>
            <w:tcW w:w="720" w:type="dxa"/>
            <w:tcBorders>
              <w:top w:val="nil"/>
              <w:left w:val="nil"/>
              <w:bottom w:val="single" w:sz="4" w:space="0" w:color="ADD6EA"/>
              <w:right w:val="nil"/>
            </w:tcBorders>
            <w:shd w:val="clear" w:color="auto" w:fill="auto"/>
            <w:vAlign w:val="bottom"/>
            <w:hideMark/>
          </w:tcPr>
          <w:p w14:paraId="003532C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-217</w:t>
            </w:r>
          </w:p>
        </w:tc>
        <w:tc>
          <w:tcPr>
            <w:tcW w:w="720" w:type="dxa"/>
            <w:tcBorders>
              <w:top w:val="nil"/>
              <w:left w:val="nil"/>
              <w:bottom w:val="single" w:sz="4" w:space="0" w:color="ADD6EA"/>
              <w:right w:val="nil"/>
            </w:tcBorders>
            <w:shd w:val="clear" w:color="auto" w:fill="auto"/>
            <w:vAlign w:val="bottom"/>
            <w:hideMark/>
          </w:tcPr>
          <w:p w14:paraId="13EAA9F5"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304</w:t>
            </w:r>
          </w:p>
        </w:tc>
        <w:tc>
          <w:tcPr>
            <w:tcW w:w="720" w:type="dxa"/>
            <w:tcBorders>
              <w:top w:val="nil"/>
              <w:left w:val="nil"/>
              <w:bottom w:val="single" w:sz="4" w:space="0" w:color="ADD6EA"/>
              <w:right w:val="nil"/>
            </w:tcBorders>
            <w:shd w:val="clear" w:color="auto" w:fill="auto"/>
            <w:vAlign w:val="bottom"/>
            <w:hideMark/>
          </w:tcPr>
          <w:p w14:paraId="2C86DA6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-295</w:t>
            </w:r>
          </w:p>
        </w:tc>
        <w:tc>
          <w:tcPr>
            <w:tcW w:w="720" w:type="dxa"/>
            <w:tcBorders>
              <w:top w:val="nil"/>
              <w:left w:val="nil"/>
              <w:bottom w:val="single" w:sz="4" w:space="0" w:color="ADD6EA"/>
              <w:right w:val="nil"/>
            </w:tcBorders>
            <w:shd w:val="clear" w:color="auto" w:fill="auto"/>
            <w:vAlign w:val="bottom"/>
            <w:hideMark/>
          </w:tcPr>
          <w:p w14:paraId="4C762ED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-186</w:t>
            </w:r>
          </w:p>
        </w:tc>
        <w:tc>
          <w:tcPr>
            <w:tcW w:w="720" w:type="dxa"/>
            <w:tcBorders>
              <w:top w:val="nil"/>
              <w:left w:val="nil"/>
              <w:bottom w:val="single" w:sz="4" w:space="0" w:color="ADD6EA"/>
              <w:right w:val="nil"/>
            </w:tcBorders>
            <w:shd w:val="clear" w:color="auto" w:fill="auto"/>
            <w:vAlign w:val="bottom"/>
            <w:hideMark/>
          </w:tcPr>
          <w:p w14:paraId="6CEFD6B4"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115</w:t>
            </w:r>
          </w:p>
        </w:tc>
        <w:tc>
          <w:tcPr>
            <w:tcW w:w="720" w:type="dxa"/>
            <w:tcBorders>
              <w:top w:val="nil"/>
              <w:left w:val="nil"/>
              <w:bottom w:val="single" w:sz="4" w:space="0" w:color="ADD6EA"/>
              <w:right w:val="nil"/>
            </w:tcBorders>
            <w:shd w:val="clear" w:color="auto" w:fill="auto"/>
            <w:vAlign w:val="bottom"/>
            <w:hideMark/>
          </w:tcPr>
          <w:p w14:paraId="480CA71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137</w:t>
            </w:r>
          </w:p>
        </w:tc>
        <w:tc>
          <w:tcPr>
            <w:tcW w:w="720" w:type="dxa"/>
            <w:tcBorders>
              <w:top w:val="nil"/>
              <w:left w:val="nil"/>
              <w:bottom w:val="single" w:sz="4" w:space="0" w:color="ADD6EA"/>
              <w:right w:val="nil"/>
            </w:tcBorders>
            <w:shd w:val="clear" w:color="auto" w:fill="auto"/>
            <w:vAlign w:val="bottom"/>
            <w:hideMark/>
          </w:tcPr>
          <w:p w14:paraId="2873B06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849</w:t>
            </w:r>
          </w:p>
        </w:tc>
      </w:tr>
      <w:tr w:rsidR="00593C33" w:rsidRPr="00593C33" w14:paraId="698A66F9"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38D50EDA"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Non-State sector</w:t>
            </w:r>
          </w:p>
        </w:tc>
        <w:tc>
          <w:tcPr>
            <w:tcW w:w="720" w:type="dxa"/>
            <w:tcBorders>
              <w:top w:val="nil"/>
              <w:left w:val="nil"/>
              <w:bottom w:val="single" w:sz="4" w:space="0" w:color="ADD6EA"/>
              <w:right w:val="nil"/>
            </w:tcBorders>
            <w:shd w:val="clear" w:color="auto" w:fill="auto"/>
            <w:vAlign w:val="bottom"/>
            <w:hideMark/>
          </w:tcPr>
          <w:p w14:paraId="60A794E3"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-341</w:t>
            </w:r>
          </w:p>
        </w:tc>
        <w:tc>
          <w:tcPr>
            <w:tcW w:w="720" w:type="dxa"/>
            <w:tcBorders>
              <w:top w:val="nil"/>
              <w:left w:val="nil"/>
              <w:bottom w:val="single" w:sz="4" w:space="0" w:color="ADD6EA"/>
              <w:right w:val="nil"/>
            </w:tcBorders>
            <w:shd w:val="clear" w:color="auto" w:fill="auto"/>
            <w:vAlign w:val="bottom"/>
            <w:hideMark/>
          </w:tcPr>
          <w:p w14:paraId="1807C48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-218</w:t>
            </w:r>
          </w:p>
        </w:tc>
        <w:tc>
          <w:tcPr>
            <w:tcW w:w="720" w:type="dxa"/>
            <w:tcBorders>
              <w:top w:val="nil"/>
              <w:left w:val="nil"/>
              <w:bottom w:val="single" w:sz="4" w:space="0" w:color="ADD6EA"/>
              <w:right w:val="nil"/>
            </w:tcBorders>
            <w:shd w:val="clear" w:color="auto" w:fill="auto"/>
            <w:vAlign w:val="bottom"/>
            <w:hideMark/>
          </w:tcPr>
          <w:p w14:paraId="7D0C00E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171</w:t>
            </w:r>
          </w:p>
        </w:tc>
        <w:tc>
          <w:tcPr>
            <w:tcW w:w="720" w:type="dxa"/>
            <w:tcBorders>
              <w:top w:val="nil"/>
              <w:left w:val="nil"/>
              <w:bottom w:val="single" w:sz="4" w:space="0" w:color="ADD6EA"/>
              <w:right w:val="nil"/>
            </w:tcBorders>
            <w:shd w:val="clear" w:color="auto" w:fill="auto"/>
            <w:vAlign w:val="bottom"/>
            <w:hideMark/>
          </w:tcPr>
          <w:p w14:paraId="508B9A2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279</w:t>
            </w:r>
          </w:p>
        </w:tc>
        <w:tc>
          <w:tcPr>
            <w:tcW w:w="720" w:type="dxa"/>
            <w:tcBorders>
              <w:top w:val="nil"/>
              <w:left w:val="nil"/>
              <w:bottom w:val="single" w:sz="4" w:space="0" w:color="ADD6EA"/>
              <w:right w:val="nil"/>
            </w:tcBorders>
            <w:shd w:val="clear" w:color="auto" w:fill="auto"/>
            <w:vAlign w:val="bottom"/>
            <w:hideMark/>
          </w:tcPr>
          <w:p w14:paraId="16A583F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-17</w:t>
            </w:r>
          </w:p>
        </w:tc>
        <w:tc>
          <w:tcPr>
            <w:tcW w:w="720" w:type="dxa"/>
            <w:tcBorders>
              <w:top w:val="nil"/>
              <w:left w:val="nil"/>
              <w:bottom w:val="single" w:sz="4" w:space="0" w:color="ADD6EA"/>
              <w:right w:val="nil"/>
            </w:tcBorders>
            <w:shd w:val="clear" w:color="auto" w:fill="auto"/>
            <w:vAlign w:val="bottom"/>
            <w:hideMark/>
          </w:tcPr>
          <w:p w14:paraId="66C369BF"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40</w:t>
            </w:r>
          </w:p>
        </w:tc>
        <w:tc>
          <w:tcPr>
            <w:tcW w:w="720" w:type="dxa"/>
            <w:tcBorders>
              <w:top w:val="nil"/>
              <w:left w:val="nil"/>
              <w:bottom w:val="single" w:sz="4" w:space="0" w:color="ADD6EA"/>
              <w:right w:val="nil"/>
            </w:tcBorders>
            <w:shd w:val="clear" w:color="auto" w:fill="auto"/>
            <w:vAlign w:val="bottom"/>
            <w:hideMark/>
          </w:tcPr>
          <w:p w14:paraId="71BCC33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95</w:t>
            </w:r>
          </w:p>
        </w:tc>
        <w:tc>
          <w:tcPr>
            <w:tcW w:w="720" w:type="dxa"/>
            <w:tcBorders>
              <w:top w:val="nil"/>
              <w:left w:val="nil"/>
              <w:bottom w:val="single" w:sz="4" w:space="0" w:color="ADD6EA"/>
              <w:right w:val="nil"/>
            </w:tcBorders>
            <w:shd w:val="clear" w:color="auto" w:fill="auto"/>
            <w:vAlign w:val="bottom"/>
            <w:hideMark/>
          </w:tcPr>
          <w:p w14:paraId="719AE8D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w:t>
            </w:r>
          </w:p>
        </w:tc>
        <w:tc>
          <w:tcPr>
            <w:tcW w:w="720" w:type="dxa"/>
            <w:tcBorders>
              <w:top w:val="nil"/>
              <w:left w:val="nil"/>
              <w:bottom w:val="single" w:sz="4" w:space="0" w:color="ADD6EA"/>
              <w:right w:val="nil"/>
            </w:tcBorders>
            <w:shd w:val="clear" w:color="auto" w:fill="auto"/>
            <w:vAlign w:val="bottom"/>
            <w:hideMark/>
          </w:tcPr>
          <w:p w14:paraId="5EE3F06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585</w:t>
            </w:r>
          </w:p>
        </w:tc>
      </w:tr>
      <w:tr w:rsidR="00593C33" w:rsidRPr="00593C33" w14:paraId="10FC8447"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7D9D4A33"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Other expenses</w:t>
            </w:r>
          </w:p>
        </w:tc>
        <w:tc>
          <w:tcPr>
            <w:tcW w:w="720" w:type="dxa"/>
            <w:tcBorders>
              <w:top w:val="nil"/>
              <w:left w:val="nil"/>
              <w:bottom w:val="single" w:sz="4" w:space="0" w:color="ADD6EA"/>
              <w:right w:val="nil"/>
            </w:tcBorders>
            <w:shd w:val="clear" w:color="auto" w:fill="auto"/>
            <w:vAlign w:val="bottom"/>
            <w:hideMark/>
          </w:tcPr>
          <w:p w14:paraId="16348E60"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-512</w:t>
            </w:r>
          </w:p>
        </w:tc>
        <w:tc>
          <w:tcPr>
            <w:tcW w:w="720" w:type="dxa"/>
            <w:tcBorders>
              <w:top w:val="nil"/>
              <w:left w:val="nil"/>
              <w:bottom w:val="single" w:sz="4" w:space="0" w:color="ADD6EA"/>
              <w:right w:val="nil"/>
            </w:tcBorders>
            <w:shd w:val="clear" w:color="auto" w:fill="auto"/>
            <w:vAlign w:val="bottom"/>
            <w:hideMark/>
          </w:tcPr>
          <w:p w14:paraId="7946B87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-630</w:t>
            </w:r>
          </w:p>
        </w:tc>
        <w:tc>
          <w:tcPr>
            <w:tcW w:w="720" w:type="dxa"/>
            <w:tcBorders>
              <w:top w:val="nil"/>
              <w:left w:val="nil"/>
              <w:bottom w:val="single" w:sz="4" w:space="0" w:color="ADD6EA"/>
              <w:right w:val="nil"/>
            </w:tcBorders>
            <w:shd w:val="clear" w:color="auto" w:fill="auto"/>
            <w:vAlign w:val="bottom"/>
            <w:hideMark/>
          </w:tcPr>
          <w:p w14:paraId="2920756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517</w:t>
            </w:r>
          </w:p>
        </w:tc>
        <w:tc>
          <w:tcPr>
            <w:tcW w:w="720" w:type="dxa"/>
            <w:tcBorders>
              <w:top w:val="nil"/>
              <w:left w:val="nil"/>
              <w:bottom w:val="single" w:sz="4" w:space="0" w:color="ADD6EA"/>
              <w:right w:val="nil"/>
            </w:tcBorders>
            <w:shd w:val="clear" w:color="auto" w:fill="auto"/>
            <w:vAlign w:val="bottom"/>
            <w:hideMark/>
          </w:tcPr>
          <w:p w14:paraId="5D4553D3"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435</w:t>
            </w:r>
          </w:p>
        </w:tc>
        <w:tc>
          <w:tcPr>
            <w:tcW w:w="720" w:type="dxa"/>
            <w:tcBorders>
              <w:top w:val="nil"/>
              <w:left w:val="nil"/>
              <w:bottom w:val="single" w:sz="4" w:space="0" w:color="ADD6EA"/>
              <w:right w:val="nil"/>
            </w:tcBorders>
            <w:shd w:val="clear" w:color="auto" w:fill="auto"/>
            <w:vAlign w:val="bottom"/>
            <w:hideMark/>
          </w:tcPr>
          <w:p w14:paraId="47ADAA35"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62</w:t>
            </w:r>
          </w:p>
        </w:tc>
        <w:tc>
          <w:tcPr>
            <w:tcW w:w="720" w:type="dxa"/>
            <w:tcBorders>
              <w:top w:val="nil"/>
              <w:left w:val="nil"/>
              <w:bottom w:val="single" w:sz="4" w:space="0" w:color="ADD6EA"/>
              <w:right w:val="nil"/>
            </w:tcBorders>
            <w:shd w:val="clear" w:color="auto" w:fill="auto"/>
            <w:vAlign w:val="bottom"/>
            <w:hideMark/>
          </w:tcPr>
          <w:p w14:paraId="6C6783F3"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57</w:t>
            </w:r>
          </w:p>
        </w:tc>
        <w:tc>
          <w:tcPr>
            <w:tcW w:w="720" w:type="dxa"/>
            <w:tcBorders>
              <w:top w:val="nil"/>
              <w:left w:val="nil"/>
              <w:bottom w:val="single" w:sz="4" w:space="0" w:color="ADD6EA"/>
              <w:right w:val="nil"/>
            </w:tcBorders>
            <w:shd w:val="clear" w:color="auto" w:fill="auto"/>
            <w:vAlign w:val="bottom"/>
            <w:hideMark/>
          </w:tcPr>
          <w:p w14:paraId="5A3DF32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-80</w:t>
            </w:r>
          </w:p>
        </w:tc>
        <w:tc>
          <w:tcPr>
            <w:tcW w:w="720" w:type="dxa"/>
            <w:tcBorders>
              <w:top w:val="nil"/>
              <w:left w:val="nil"/>
              <w:bottom w:val="single" w:sz="4" w:space="0" w:color="ADD6EA"/>
              <w:right w:val="nil"/>
            </w:tcBorders>
            <w:shd w:val="clear" w:color="auto" w:fill="auto"/>
            <w:vAlign w:val="bottom"/>
            <w:hideMark/>
          </w:tcPr>
          <w:p w14:paraId="15A6960F"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151</w:t>
            </w:r>
          </w:p>
        </w:tc>
        <w:tc>
          <w:tcPr>
            <w:tcW w:w="720" w:type="dxa"/>
            <w:tcBorders>
              <w:top w:val="nil"/>
              <w:left w:val="nil"/>
              <w:bottom w:val="single" w:sz="4" w:space="0" w:color="ADD6EA"/>
              <w:right w:val="nil"/>
            </w:tcBorders>
            <w:shd w:val="clear" w:color="auto" w:fill="auto"/>
            <w:vAlign w:val="bottom"/>
            <w:hideMark/>
          </w:tcPr>
          <w:p w14:paraId="32D78455"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1,222</w:t>
            </w:r>
          </w:p>
        </w:tc>
      </w:tr>
      <w:tr w:rsidR="00593C33" w:rsidRPr="00593C33" w14:paraId="7B1C36A8" w14:textId="77777777" w:rsidTr="00500FBE">
        <w:trPr>
          <w:trHeight w:val="315"/>
        </w:trPr>
        <w:tc>
          <w:tcPr>
            <w:tcW w:w="2660" w:type="dxa"/>
            <w:tcBorders>
              <w:top w:val="nil"/>
              <w:left w:val="nil"/>
              <w:bottom w:val="single" w:sz="4" w:space="0" w:color="ADD6EA"/>
              <w:right w:val="nil"/>
            </w:tcBorders>
            <w:shd w:val="clear" w:color="000000" w:fill="D6E7F0"/>
            <w:vAlign w:val="bottom"/>
            <w:hideMark/>
          </w:tcPr>
          <w:p w14:paraId="426B51A3"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 EXPENSES</w:t>
            </w:r>
          </w:p>
        </w:tc>
        <w:tc>
          <w:tcPr>
            <w:tcW w:w="720" w:type="dxa"/>
            <w:tcBorders>
              <w:top w:val="nil"/>
              <w:left w:val="nil"/>
              <w:bottom w:val="single" w:sz="4" w:space="0" w:color="ADD6EA"/>
              <w:right w:val="nil"/>
            </w:tcBorders>
            <w:shd w:val="clear" w:color="000000" w:fill="D6E7F0"/>
            <w:vAlign w:val="bottom"/>
            <w:hideMark/>
          </w:tcPr>
          <w:p w14:paraId="2A27BCBF"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-1,144</w:t>
            </w:r>
          </w:p>
        </w:tc>
        <w:tc>
          <w:tcPr>
            <w:tcW w:w="720" w:type="dxa"/>
            <w:tcBorders>
              <w:top w:val="nil"/>
              <w:left w:val="nil"/>
              <w:bottom w:val="single" w:sz="4" w:space="0" w:color="ADD6EA"/>
              <w:right w:val="nil"/>
            </w:tcBorders>
            <w:shd w:val="clear" w:color="000000" w:fill="D6E7F0"/>
            <w:vAlign w:val="bottom"/>
            <w:hideMark/>
          </w:tcPr>
          <w:p w14:paraId="5180BFC1"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-4,689</w:t>
            </w:r>
          </w:p>
        </w:tc>
        <w:tc>
          <w:tcPr>
            <w:tcW w:w="720" w:type="dxa"/>
            <w:tcBorders>
              <w:top w:val="nil"/>
              <w:left w:val="nil"/>
              <w:bottom w:val="single" w:sz="4" w:space="0" w:color="ADD6EA"/>
              <w:right w:val="nil"/>
            </w:tcBorders>
            <w:shd w:val="clear" w:color="000000" w:fill="D6E7F0"/>
            <w:vAlign w:val="bottom"/>
            <w:hideMark/>
          </w:tcPr>
          <w:p w14:paraId="53493D2F"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1,295</w:t>
            </w:r>
          </w:p>
        </w:tc>
        <w:tc>
          <w:tcPr>
            <w:tcW w:w="720" w:type="dxa"/>
            <w:tcBorders>
              <w:top w:val="nil"/>
              <w:left w:val="nil"/>
              <w:bottom w:val="single" w:sz="4" w:space="0" w:color="ADD6EA"/>
              <w:right w:val="nil"/>
            </w:tcBorders>
            <w:shd w:val="clear" w:color="000000" w:fill="D6E7F0"/>
            <w:vAlign w:val="bottom"/>
            <w:hideMark/>
          </w:tcPr>
          <w:p w14:paraId="3BBD0765"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1,412</w:t>
            </w:r>
          </w:p>
        </w:tc>
        <w:tc>
          <w:tcPr>
            <w:tcW w:w="720" w:type="dxa"/>
            <w:tcBorders>
              <w:top w:val="nil"/>
              <w:left w:val="nil"/>
              <w:bottom w:val="single" w:sz="4" w:space="0" w:color="ADD6EA"/>
              <w:right w:val="nil"/>
            </w:tcBorders>
            <w:shd w:val="clear" w:color="000000" w:fill="D6E7F0"/>
            <w:vAlign w:val="bottom"/>
            <w:hideMark/>
          </w:tcPr>
          <w:p w14:paraId="5DD186EE"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181</w:t>
            </w:r>
          </w:p>
        </w:tc>
        <w:tc>
          <w:tcPr>
            <w:tcW w:w="720" w:type="dxa"/>
            <w:tcBorders>
              <w:top w:val="nil"/>
              <w:left w:val="nil"/>
              <w:bottom w:val="single" w:sz="4" w:space="0" w:color="ADD6EA"/>
              <w:right w:val="nil"/>
            </w:tcBorders>
            <w:shd w:val="clear" w:color="000000" w:fill="D6E7F0"/>
            <w:vAlign w:val="bottom"/>
            <w:hideMark/>
          </w:tcPr>
          <w:p w14:paraId="4A323F1D"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725</w:t>
            </w:r>
          </w:p>
        </w:tc>
        <w:tc>
          <w:tcPr>
            <w:tcW w:w="720" w:type="dxa"/>
            <w:tcBorders>
              <w:top w:val="nil"/>
              <w:left w:val="nil"/>
              <w:bottom w:val="single" w:sz="4" w:space="0" w:color="ADD6EA"/>
              <w:right w:val="nil"/>
            </w:tcBorders>
            <w:shd w:val="clear" w:color="000000" w:fill="D6E7F0"/>
            <w:vAlign w:val="bottom"/>
            <w:hideMark/>
          </w:tcPr>
          <w:p w14:paraId="04AC0F89"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-195</w:t>
            </w:r>
          </w:p>
        </w:tc>
        <w:tc>
          <w:tcPr>
            <w:tcW w:w="720" w:type="dxa"/>
            <w:tcBorders>
              <w:top w:val="nil"/>
              <w:left w:val="nil"/>
              <w:bottom w:val="single" w:sz="4" w:space="0" w:color="ADD6EA"/>
              <w:right w:val="nil"/>
            </w:tcBorders>
            <w:shd w:val="clear" w:color="000000" w:fill="D6E7F0"/>
            <w:vAlign w:val="bottom"/>
            <w:hideMark/>
          </w:tcPr>
          <w:p w14:paraId="57DC9FA2"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2,415</w:t>
            </w:r>
          </w:p>
        </w:tc>
        <w:tc>
          <w:tcPr>
            <w:tcW w:w="720" w:type="dxa"/>
            <w:tcBorders>
              <w:top w:val="nil"/>
              <w:left w:val="nil"/>
              <w:bottom w:val="single" w:sz="4" w:space="0" w:color="ADD6EA"/>
              <w:right w:val="nil"/>
            </w:tcBorders>
            <w:shd w:val="clear" w:color="000000" w:fill="D6E7F0"/>
            <w:vAlign w:val="bottom"/>
            <w:hideMark/>
          </w:tcPr>
          <w:p w14:paraId="45E4F1C7"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6,028</w:t>
            </w:r>
          </w:p>
        </w:tc>
      </w:tr>
      <w:tr w:rsidR="00593C33" w:rsidRPr="00593C33" w14:paraId="6875DC40" w14:textId="77777777" w:rsidTr="00500FBE">
        <w:trPr>
          <w:trHeight w:val="315"/>
        </w:trPr>
        <w:tc>
          <w:tcPr>
            <w:tcW w:w="9140" w:type="dxa"/>
            <w:gridSpan w:val="10"/>
            <w:tcBorders>
              <w:top w:val="single" w:sz="4" w:space="0" w:color="ADD6EA"/>
              <w:left w:val="nil"/>
              <w:bottom w:val="single" w:sz="4" w:space="0" w:color="ADD6EA"/>
              <w:right w:val="nil"/>
            </w:tcBorders>
            <w:shd w:val="clear" w:color="auto" w:fill="auto"/>
            <w:vAlign w:val="bottom"/>
            <w:hideMark/>
          </w:tcPr>
          <w:p w14:paraId="0469C34C"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sz w:val="16"/>
                <w:szCs w:val="16"/>
                <w:lang w:val="en-AU" w:eastAsia="en-AU"/>
              </w:rPr>
            </w:pPr>
            <w:r w:rsidRPr="00593C33">
              <w:rPr>
                <w:rFonts w:ascii="Open Sans SemiBold" w:eastAsia="Times New Roman" w:hAnsi="Open Sans SemiBold" w:cs="Open Sans SemiBold"/>
                <w:sz w:val="16"/>
                <w:szCs w:val="16"/>
                <w:lang w:val="en-AU" w:eastAsia="en-AU"/>
              </w:rPr>
              <w:t>INVESTMENT</w:t>
            </w:r>
          </w:p>
        </w:tc>
      </w:tr>
      <w:tr w:rsidR="00593C33" w:rsidRPr="00593C33" w14:paraId="09C47E9D"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0C8F7272"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Capital requirement</w:t>
            </w:r>
          </w:p>
        </w:tc>
        <w:tc>
          <w:tcPr>
            <w:tcW w:w="720" w:type="dxa"/>
            <w:tcBorders>
              <w:top w:val="nil"/>
              <w:left w:val="nil"/>
              <w:bottom w:val="single" w:sz="4" w:space="0" w:color="ADD6EA"/>
              <w:right w:val="nil"/>
            </w:tcBorders>
            <w:shd w:val="clear" w:color="auto" w:fill="auto"/>
            <w:vAlign w:val="bottom"/>
            <w:hideMark/>
          </w:tcPr>
          <w:p w14:paraId="7626482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-45</w:t>
            </w:r>
          </w:p>
        </w:tc>
        <w:tc>
          <w:tcPr>
            <w:tcW w:w="720" w:type="dxa"/>
            <w:tcBorders>
              <w:top w:val="nil"/>
              <w:left w:val="nil"/>
              <w:bottom w:val="single" w:sz="4" w:space="0" w:color="ADD6EA"/>
              <w:right w:val="nil"/>
            </w:tcBorders>
            <w:shd w:val="clear" w:color="auto" w:fill="auto"/>
            <w:vAlign w:val="bottom"/>
            <w:hideMark/>
          </w:tcPr>
          <w:p w14:paraId="35AB81C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956</w:t>
            </w:r>
          </w:p>
        </w:tc>
        <w:tc>
          <w:tcPr>
            <w:tcW w:w="720" w:type="dxa"/>
            <w:tcBorders>
              <w:top w:val="nil"/>
              <w:left w:val="nil"/>
              <w:bottom w:val="single" w:sz="4" w:space="0" w:color="ADD6EA"/>
              <w:right w:val="nil"/>
            </w:tcBorders>
            <w:shd w:val="clear" w:color="auto" w:fill="auto"/>
            <w:vAlign w:val="bottom"/>
            <w:hideMark/>
          </w:tcPr>
          <w:p w14:paraId="0F9E4EF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-58</w:t>
            </w:r>
          </w:p>
        </w:tc>
        <w:tc>
          <w:tcPr>
            <w:tcW w:w="720" w:type="dxa"/>
            <w:tcBorders>
              <w:top w:val="nil"/>
              <w:left w:val="nil"/>
              <w:bottom w:val="single" w:sz="4" w:space="0" w:color="ADD6EA"/>
              <w:right w:val="nil"/>
            </w:tcBorders>
            <w:shd w:val="clear" w:color="auto" w:fill="auto"/>
            <w:vAlign w:val="bottom"/>
            <w:hideMark/>
          </w:tcPr>
          <w:p w14:paraId="4749136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-487</w:t>
            </w:r>
          </w:p>
        </w:tc>
        <w:tc>
          <w:tcPr>
            <w:tcW w:w="720" w:type="dxa"/>
            <w:tcBorders>
              <w:top w:val="nil"/>
              <w:left w:val="nil"/>
              <w:bottom w:val="single" w:sz="4" w:space="0" w:color="ADD6EA"/>
              <w:right w:val="nil"/>
            </w:tcBorders>
            <w:shd w:val="clear" w:color="auto" w:fill="auto"/>
            <w:vAlign w:val="bottom"/>
            <w:hideMark/>
          </w:tcPr>
          <w:p w14:paraId="5979576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-298</w:t>
            </w:r>
          </w:p>
        </w:tc>
        <w:tc>
          <w:tcPr>
            <w:tcW w:w="720" w:type="dxa"/>
            <w:tcBorders>
              <w:top w:val="nil"/>
              <w:left w:val="nil"/>
              <w:bottom w:val="single" w:sz="4" w:space="0" w:color="ADD6EA"/>
              <w:right w:val="nil"/>
            </w:tcBorders>
            <w:shd w:val="clear" w:color="auto" w:fill="auto"/>
            <w:vAlign w:val="bottom"/>
            <w:hideMark/>
          </w:tcPr>
          <w:p w14:paraId="1F1B5BE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-47</w:t>
            </w:r>
          </w:p>
        </w:tc>
        <w:tc>
          <w:tcPr>
            <w:tcW w:w="720" w:type="dxa"/>
            <w:tcBorders>
              <w:top w:val="nil"/>
              <w:left w:val="nil"/>
              <w:bottom w:val="single" w:sz="4" w:space="0" w:color="ADD6EA"/>
              <w:right w:val="nil"/>
            </w:tcBorders>
            <w:shd w:val="clear" w:color="auto" w:fill="auto"/>
            <w:vAlign w:val="bottom"/>
            <w:hideMark/>
          </w:tcPr>
          <w:p w14:paraId="77A21B1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w:t>
            </w:r>
          </w:p>
        </w:tc>
        <w:tc>
          <w:tcPr>
            <w:tcW w:w="720" w:type="dxa"/>
            <w:tcBorders>
              <w:top w:val="nil"/>
              <w:left w:val="nil"/>
              <w:bottom w:val="single" w:sz="4" w:space="0" w:color="ADD6EA"/>
              <w:right w:val="nil"/>
            </w:tcBorders>
            <w:shd w:val="clear" w:color="auto" w:fill="auto"/>
            <w:vAlign w:val="bottom"/>
            <w:hideMark/>
          </w:tcPr>
          <w:p w14:paraId="20F7121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-36</w:t>
            </w:r>
          </w:p>
        </w:tc>
        <w:tc>
          <w:tcPr>
            <w:tcW w:w="720" w:type="dxa"/>
            <w:tcBorders>
              <w:top w:val="nil"/>
              <w:left w:val="nil"/>
              <w:bottom w:val="single" w:sz="4" w:space="0" w:color="ADD6EA"/>
              <w:right w:val="nil"/>
            </w:tcBorders>
            <w:shd w:val="clear" w:color="auto" w:fill="auto"/>
            <w:vAlign w:val="bottom"/>
            <w:hideMark/>
          </w:tcPr>
          <w:p w14:paraId="417D94DB"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972</w:t>
            </w:r>
          </w:p>
        </w:tc>
      </w:tr>
      <w:tr w:rsidR="00593C33" w:rsidRPr="00593C33" w14:paraId="7617AAB3"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5239F379"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Capital improvements</w:t>
            </w:r>
          </w:p>
        </w:tc>
        <w:tc>
          <w:tcPr>
            <w:tcW w:w="720" w:type="dxa"/>
            <w:tcBorders>
              <w:top w:val="nil"/>
              <w:left w:val="nil"/>
              <w:bottom w:val="single" w:sz="4" w:space="0" w:color="ADD6EA"/>
              <w:right w:val="nil"/>
            </w:tcBorders>
            <w:shd w:val="clear" w:color="auto" w:fill="auto"/>
            <w:vAlign w:val="bottom"/>
            <w:hideMark/>
          </w:tcPr>
          <w:p w14:paraId="143E49C4"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101</w:t>
            </w:r>
          </w:p>
        </w:tc>
        <w:tc>
          <w:tcPr>
            <w:tcW w:w="720" w:type="dxa"/>
            <w:tcBorders>
              <w:top w:val="nil"/>
              <w:left w:val="nil"/>
              <w:bottom w:val="single" w:sz="4" w:space="0" w:color="ADD6EA"/>
              <w:right w:val="nil"/>
            </w:tcBorders>
            <w:shd w:val="clear" w:color="auto" w:fill="auto"/>
            <w:vAlign w:val="bottom"/>
            <w:hideMark/>
          </w:tcPr>
          <w:p w14:paraId="34A0B1C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-430</w:t>
            </w:r>
          </w:p>
        </w:tc>
        <w:tc>
          <w:tcPr>
            <w:tcW w:w="720" w:type="dxa"/>
            <w:tcBorders>
              <w:top w:val="nil"/>
              <w:left w:val="nil"/>
              <w:bottom w:val="single" w:sz="4" w:space="0" w:color="ADD6EA"/>
              <w:right w:val="nil"/>
            </w:tcBorders>
            <w:shd w:val="clear" w:color="auto" w:fill="auto"/>
            <w:vAlign w:val="bottom"/>
            <w:hideMark/>
          </w:tcPr>
          <w:p w14:paraId="13D012E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49</w:t>
            </w:r>
          </w:p>
        </w:tc>
        <w:tc>
          <w:tcPr>
            <w:tcW w:w="720" w:type="dxa"/>
            <w:tcBorders>
              <w:top w:val="nil"/>
              <w:left w:val="nil"/>
              <w:bottom w:val="single" w:sz="4" w:space="0" w:color="ADD6EA"/>
              <w:right w:val="nil"/>
            </w:tcBorders>
            <w:shd w:val="clear" w:color="auto" w:fill="auto"/>
            <w:vAlign w:val="bottom"/>
            <w:hideMark/>
          </w:tcPr>
          <w:p w14:paraId="30710C7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150</w:t>
            </w:r>
          </w:p>
        </w:tc>
        <w:tc>
          <w:tcPr>
            <w:tcW w:w="720" w:type="dxa"/>
            <w:tcBorders>
              <w:top w:val="nil"/>
              <w:left w:val="nil"/>
              <w:bottom w:val="single" w:sz="4" w:space="0" w:color="ADD6EA"/>
              <w:right w:val="nil"/>
            </w:tcBorders>
            <w:shd w:val="clear" w:color="auto" w:fill="auto"/>
            <w:vAlign w:val="bottom"/>
            <w:hideMark/>
          </w:tcPr>
          <w:p w14:paraId="7BF7288F"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-24</w:t>
            </w:r>
          </w:p>
        </w:tc>
        <w:tc>
          <w:tcPr>
            <w:tcW w:w="720" w:type="dxa"/>
            <w:tcBorders>
              <w:top w:val="nil"/>
              <w:left w:val="nil"/>
              <w:bottom w:val="single" w:sz="4" w:space="0" w:color="ADD6EA"/>
              <w:right w:val="nil"/>
            </w:tcBorders>
            <w:shd w:val="clear" w:color="auto" w:fill="auto"/>
            <w:vAlign w:val="bottom"/>
            <w:hideMark/>
          </w:tcPr>
          <w:p w14:paraId="53DBEA2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-31</w:t>
            </w:r>
          </w:p>
        </w:tc>
        <w:tc>
          <w:tcPr>
            <w:tcW w:w="720" w:type="dxa"/>
            <w:tcBorders>
              <w:top w:val="nil"/>
              <w:left w:val="nil"/>
              <w:bottom w:val="single" w:sz="4" w:space="0" w:color="ADD6EA"/>
              <w:right w:val="nil"/>
            </w:tcBorders>
            <w:shd w:val="clear" w:color="auto" w:fill="auto"/>
            <w:vAlign w:val="bottom"/>
            <w:hideMark/>
          </w:tcPr>
          <w:p w14:paraId="36B31C9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-125</w:t>
            </w:r>
          </w:p>
        </w:tc>
        <w:tc>
          <w:tcPr>
            <w:tcW w:w="720" w:type="dxa"/>
            <w:tcBorders>
              <w:top w:val="nil"/>
              <w:left w:val="nil"/>
              <w:bottom w:val="single" w:sz="4" w:space="0" w:color="ADD6EA"/>
              <w:right w:val="nil"/>
            </w:tcBorders>
            <w:shd w:val="clear" w:color="auto" w:fill="auto"/>
            <w:vAlign w:val="bottom"/>
            <w:hideMark/>
          </w:tcPr>
          <w:p w14:paraId="105D4DD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310</w:t>
            </w:r>
          </w:p>
        </w:tc>
        <w:tc>
          <w:tcPr>
            <w:tcW w:w="720" w:type="dxa"/>
            <w:tcBorders>
              <w:top w:val="nil"/>
              <w:left w:val="nil"/>
              <w:bottom w:val="single" w:sz="4" w:space="0" w:color="ADD6EA"/>
              <w:right w:val="nil"/>
            </w:tcBorders>
            <w:shd w:val="clear" w:color="auto" w:fill="auto"/>
            <w:vAlign w:val="bottom"/>
            <w:hideMark/>
          </w:tcPr>
          <w:p w14:paraId="6680CBCF"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610</w:t>
            </w:r>
          </w:p>
        </w:tc>
      </w:tr>
      <w:tr w:rsidR="00593C33" w:rsidRPr="00593C33" w14:paraId="23E8440C"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04FC8174"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Cost of construction</w:t>
            </w:r>
          </w:p>
        </w:tc>
        <w:tc>
          <w:tcPr>
            <w:tcW w:w="720" w:type="dxa"/>
            <w:tcBorders>
              <w:top w:val="nil"/>
              <w:left w:val="nil"/>
              <w:bottom w:val="single" w:sz="4" w:space="0" w:color="ADD6EA"/>
              <w:right w:val="nil"/>
            </w:tcBorders>
            <w:shd w:val="clear" w:color="auto" w:fill="auto"/>
            <w:vAlign w:val="bottom"/>
            <w:hideMark/>
          </w:tcPr>
          <w:p w14:paraId="65FEEC52"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55</w:t>
            </w:r>
          </w:p>
        </w:tc>
        <w:tc>
          <w:tcPr>
            <w:tcW w:w="720" w:type="dxa"/>
            <w:tcBorders>
              <w:top w:val="nil"/>
              <w:left w:val="nil"/>
              <w:bottom w:val="single" w:sz="4" w:space="0" w:color="ADD6EA"/>
              <w:right w:val="nil"/>
            </w:tcBorders>
            <w:shd w:val="clear" w:color="auto" w:fill="auto"/>
            <w:vAlign w:val="bottom"/>
            <w:hideMark/>
          </w:tcPr>
          <w:p w14:paraId="7FBCF3E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-437</w:t>
            </w:r>
          </w:p>
        </w:tc>
        <w:tc>
          <w:tcPr>
            <w:tcW w:w="720" w:type="dxa"/>
            <w:tcBorders>
              <w:top w:val="nil"/>
              <w:left w:val="nil"/>
              <w:bottom w:val="single" w:sz="4" w:space="0" w:color="ADD6EA"/>
              <w:right w:val="nil"/>
            </w:tcBorders>
            <w:shd w:val="clear" w:color="auto" w:fill="auto"/>
            <w:vAlign w:val="bottom"/>
            <w:hideMark/>
          </w:tcPr>
          <w:p w14:paraId="0EE6F21E"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10</w:t>
            </w:r>
          </w:p>
        </w:tc>
        <w:tc>
          <w:tcPr>
            <w:tcW w:w="720" w:type="dxa"/>
            <w:tcBorders>
              <w:top w:val="nil"/>
              <w:left w:val="nil"/>
              <w:bottom w:val="single" w:sz="4" w:space="0" w:color="ADD6EA"/>
              <w:right w:val="nil"/>
            </w:tcBorders>
            <w:shd w:val="clear" w:color="auto" w:fill="auto"/>
            <w:vAlign w:val="bottom"/>
            <w:hideMark/>
          </w:tcPr>
          <w:p w14:paraId="4CE317B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287</w:t>
            </w:r>
          </w:p>
        </w:tc>
        <w:tc>
          <w:tcPr>
            <w:tcW w:w="720" w:type="dxa"/>
            <w:tcBorders>
              <w:top w:val="nil"/>
              <w:left w:val="nil"/>
              <w:bottom w:val="single" w:sz="4" w:space="0" w:color="ADD6EA"/>
              <w:right w:val="nil"/>
            </w:tcBorders>
            <w:shd w:val="clear" w:color="auto" w:fill="auto"/>
            <w:vAlign w:val="bottom"/>
            <w:hideMark/>
          </w:tcPr>
          <w:p w14:paraId="3F12289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-23</w:t>
            </w:r>
          </w:p>
        </w:tc>
        <w:tc>
          <w:tcPr>
            <w:tcW w:w="720" w:type="dxa"/>
            <w:tcBorders>
              <w:top w:val="nil"/>
              <w:left w:val="nil"/>
              <w:bottom w:val="single" w:sz="4" w:space="0" w:color="ADD6EA"/>
              <w:right w:val="nil"/>
            </w:tcBorders>
            <w:shd w:val="clear" w:color="auto" w:fill="auto"/>
            <w:vAlign w:val="bottom"/>
            <w:hideMark/>
          </w:tcPr>
          <w:p w14:paraId="36AB0F0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-39</w:t>
            </w:r>
          </w:p>
        </w:tc>
        <w:tc>
          <w:tcPr>
            <w:tcW w:w="720" w:type="dxa"/>
            <w:tcBorders>
              <w:top w:val="nil"/>
              <w:left w:val="nil"/>
              <w:bottom w:val="single" w:sz="4" w:space="0" w:color="ADD6EA"/>
              <w:right w:val="nil"/>
            </w:tcBorders>
            <w:shd w:val="clear" w:color="auto" w:fill="auto"/>
            <w:vAlign w:val="bottom"/>
            <w:hideMark/>
          </w:tcPr>
          <w:p w14:paraId="5B6C5CE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w:t>
            </w:r>
          </w:p>
        </w:tc>
        <w:tc>
          <w:tcPr>
            <w:tcW w:w="720" w:type="dxa"/>
            <w:tcBorders>
              <w:top w:val="nil"/>
              <w:left w:val="nil"/>
              <w:bottom w:val="single" w:sz="4" w:space="0" w:color="ADD6EA"/>
              <w:right w:val="nil"/>
            </w:tcBorders>
            <w:shd w:val="clear" w:color="auto" w:fill="auto"/>
            <w:vAlign w:val="bottom"/>
            <w:hideMark/>
          </w:tcPr>
          <w:p w14:paraId="6734F03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135</w:t>
            </w:r>
          </w:p>
        </w:tc>
        <w:tc>
          <w:tcPr>
            <w:tcW w:w="720" w:type="dxa"/>
            <w:tcBorders>
              <w:top w:val="nil"/>
              <w:left w:val="nil"/>
              <w:bottom w:val="single" w:sz="4" w:space="0" w:color="ADD6EA"/>
              <w:right w:val="nil"/>
            </w:tcBorders>
            <w:shd w:val="clear" w:color="auto" w:fill="auto"/>
            <w:vAlign w:val="bottom"/>
            <w:hideMark/>
          </w:tcPr>
          <w:p w14:paraId="74EF85AD"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500</w:t>
            </w:r>
          </w:p>
        </w:tc>
      </w:tr>
      <w:tr w:rsidR="00593C33" w:rsidRPr="00593C33" w14:paraId="3350618B" w14:textId="77777777" w:rsidTr="00500FBE">
        <w:trPr>
          <w:trHeight w:val="315"/>
        </w:trPr>
        <w:tc>
          <w:tcPr>
            <w:tcW w:w="2660" w:type="dxa"/>
            <w:tcBorders>
              <w:top w:val="nil"/>
              <w:left w:val="nil"/>
              <w:bottom w:val="single" w:sz="4" w:space="0" w:color="ADD6EA"/>
              <w:right w:val="nil"/>
            </w:tcBorders>
            <w:shd w:val="clear" w:color="000000" w:fill="D6E7F0"/>
            <w:vAlign w:val="bottom"/>
            <w:hideMark/>
          </w:tcPr>
          <w:p w14:paraId="20874020"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 INVESTMENT (b)</w:t>
            </w:r>
          </w:p>
        </w:tc>
        <w:tc>
          <w:tcPr>
            <w:tcW w:w="720" w:type="dxa"/>
            <w:tcBorders>
              <w:top w:val="nil"/>
              <w:left w:val="nil"/>
              <w:bottom w:val="single" w:sz="4" w:space="0" w:color="ADD6EA"/>
              <w:right w:val="nil"/>
            </w:tcBorders>
            <w:shd w:val="clear" w:color="000000" w:fill="D6E7F0"/>
            <w:vAlign w:val="bottom"/>
            <w:hideMark/>
          </w:tcPr>
          <w:p w14:paraId="7FB3D533"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111</w:t>
            </w:r>
          </w:p>
        </w:tc>
        <w:tc>
          <w:tcPr>
            <w:tcW w:w="720" w:type="dxa"/>
            <w:tcBorders>
              <w:top w:val="nil"/>
              <w:left w:val="nil"/>
              <w:bottom w:val="single" w:sz="4" w:space="0" w:color="ADD6EA"/>
              <w:right w:val="nil"/>
            </w:tcBorders>
            <w:shd w:val="clear" w:color="000000" w:fill="D6E7F0"/>
            <w:vAlign w:val="bottom"/>
            <w:hideMark/>
          </w:tcPr>
          <w:p w14:paraId="310713F8"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89</w:t>
            </w:r>
          </w:p>
        </w:tc>
        <w:tc>
          <w:tcPr>
            <w:tcW w:w="720" w:type="dxa"/>
            <w:tcBorders>
              <w:top w:val="nil"/>
              <w:left w:val="nil"/>
              <w:bottom w:val="single" w:sz="4" w:space="0" w:color="ADD6EA"/>
              <w:right w:val="nil"/>
            </w:tcBorders>
            <w:shd w:val="clear" w:color="000000" w:fill="D6E7F0"/>
            <w:vAlign w:val="bottom"/>
            <w:hideMark/>
          </w:tcPr>
          <w:p w14:paraId="7795D01B"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w:t>
            </w:r>
          </w:p>
        </w:tc>
        <w:tc>
          <w:tcPr>
            <w:tcW w:w="720" w:type="dxa"/>
            <w:tcBorders>
              <w:top w:val="nil"/>
              <w:left w:val="nil"/>
              <w:bottom w:val="single" w:sz="4" w:space="0" w:color="ADD6EA"/>
              <w:right w:val="nil"/>
            </w:tcBorders>
            <w:shd w:val="clear" w:color="000000" w:fill="D6E7F0"/>
            <w:vAlign w:val="bottom"/>
            <w:hideMark/>
          </w:tcPr>
          <w:p w14:paraId="495D92CB"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-50</w:t>
            </w:r>
          </w:p>
        </w:tc>
        <w:tc>
          <w:tcPr>
            <w:tcW w:w="720" w:type="dxa"/>
            <w:tcBorders>
              <w:top w:val="nil"/>
              <w:left w:val="nil"/>
              <w:bottom w:val="single" w:sz="4" w:space="0" w:color="ADD6EA"/>
              <w:right w:val="nil"/>
            </w:tcBorders>
            <w:shd w:val="clear" w:color="000000" w:fill="D6E7F0"/>
            <w:vAlign w:val="bottom"/>
            <w:hideMark/>
          </w:tcPr>
          <w:p w14:paraId="25D560AC"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-345</w:t>
            </w:r>
          </w:p>
        </w:tc>
        <w:tc>
          <w:tcPr>
            <w:tcW w:w="720" w:type="dxa"/>
            <w:tcBorders>
              <w:top w:val="nil"/>
              <w:left w:val="nil"/>
              <w:bottom w:val="single" w:sz="4" w:space="0" w:color="ADD6EA"/>
              <w:right w:val="nil"/>
            </w:tcBorders>
            <w:shd w:val="clear" w:color="000000" w:fill="D6E7F0"/>
            <w:vAlign w:val="bottom"/>
            <w:hideMark/>
          </w:tcPr>
          <w:p w14:paraId="05EA61AE"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-118</w:t>
            </w:r>
          </w:p>
        </w:tc>
        <w:tc>
          <w:tcPr>
            <w:tcW w:w="720" w:type="dxa"/>
            <w:tcBorders>
              <w:top w:val="nil"/>
              <w:left w:val="nil"/>
              <w:bottom w:val="single" w:sz="4" w:space="0" w:color="ADD6EA"/>
              <w:right w:val="nil"/>
            </w:tcBorders>
            <w:shd w:val="clear" w:color="000000" w:fill="D6E7F0"/>
            <w:vAlign w:val="bottom"/>
            <w:hideMark/>
          </w:tcPr>
          <w:p w14:paraId="0BB216B9"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-97</w:t>
            </w:r>
          </w:p>
        </w:tc>
        <w:tc>
          <w:tcPr>
            <w:tcW w:w="720" w:type="dxa"/>
            <w:tcBorders>
              <w:top w:val="nil"/>
              <w:left w:val="nil"/>
              <w:bottom w:val="single" w:sz="4" w:space="0" w:color="ADD6EA"/>
              <w:right w:val="nil"/>
            </w:tcBorders>
            <w:shd w:val="clear" w:color="000000" w:fill="D6E7F0"/>
            <w:vAlign w:val="bottom"/>
            <w:hideMark/>
          </w:tcPr>
          <w:p w14:paraId="4A1E67C3"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409</w:t>
            </w:r>
          </w:p>
        </w:tc>
        <w:tc>
          <w:tcPr>
            <w:tcW w:w="720" w:type="dxa"/>
            <w:tcBorders>
              <w:top w:val="nil"/>
              <w:left w:val="nil"/>
              <w:bottom w:val="single" w:sz="4" w:space="0" w:color="ADD6EA"/>
              <w:right w:val="nil"/>
            </w:tcBorders>
            <w:shd w:val="clear" w:color="000000" w:fill="D6E7F0"/>
            <w:vAlign w:val="bottom"/>
            <w:hideMark/>
          </w:tcPr>
          <w:p w14:paraId="0B7F724B"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610</w:t>
            </w:r>
          </w:p>
        </w:tc>
      </w:tr>
      <w:tr w:rsidR="00593C33" w:rsidRPr="00593C33" w14:paraId="739C6FE1" w14:textId="77777777" w:rsidTr="000C074D">
        <w:trPr>
          <w:trHeight w:val="555"/>
        </w:trPr>
        <w:tc>
          <w:tcPr>
            <w:tcW w:w="2660" w:type="dxa"/>
            <w:tcBorders>
              <w:top w:val="nil"/>
              <w:left w:val="nil"/>
              <w:bottom w:val="single" w:sz="4" w:space="0" w:color="ADD6EA"/>
              <w:right w:val="nil"/>
            </w:tcBorders>
            <w:shd w:val="clear" w:color="000000" w:fill="D6E7F0"/>
            <w:vAlign w:val="bottom"/>
            <w:hideMark/>
          </w:tcPr>
          <w:p w14:paraId="2DBAD11D"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 EXPENSE AND INVESTMENT</w:t>
            </w:r>
          </w:p>
        </w:tc>
        <w:tc>
          <w:tcPr>
            <w:tcW w:w="720" w:type="dxa"/>
            <w:tcBorders>
              <w:top w:val="nil"/>
              <w:left w:val="nil"/>
              <w:bottom w:val="single" w:sz="4" w:space="0" w:color="ADD6EA"/>
              <w:right w:val="nil"/>
            </w:tcBorders>
            <w:shd w:val="clear" w:color="000000" w:fill="D6E7F0"/>
            <w:vAlign w:val="bottom"/>
            <w:hideMark/>
          </w:tcPr>
          <w:p w14:paraId="72F5012D"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-1,033</w:t>
            </w:r>
          </w:p>
        </w:tc>
        <w:tc>
          <w:tcPr>
            <w:tcW w:w="720" w:type="dxa"/>
            <w:tcBorders>
              <w:top w:val="nil"/>
              <w:left w:val="nil"/>
              <w:bottom w:val="single" w:sz="4" w:space="0" w:color="ADD6EA"/>
              <w:right w:val="nil"/>
            </w:tcBorders>
            <w:shd w:val="clear" w:color="000000" w:fill="D6E7F0"/>
            <w:vAlign w:val="bottom"/>
            <w:hideMark/>
          </w:tcPr>
          <w:p w14:paraId="3C3B0BAA"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-4,600</w:t>
            </w:r>
          </w:p>
        </w:tc>
        <w:tc>
          <w:tcPr>
            <w:tcW w:w="720" w:type="dxa"/>
            <w:tcBorders>
              <w:top w:val="nil"/>
              <w:left w:val="nil"/>
              <w:bottom w:val="single" w:sz="4" w:space="0" w:color="ADD6EA"/>
              <w:right w:val="nil"/>
            </w:tcBorders>
            <w:shd w:val="clear" w:color="000000" w:fill="D6E7F0"/>
            <w:vAlign w:val="bottom"/>
            <w:hideMark/>
          </w:tcPr>
          <w:p w14:paraId="403B5D63"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1,295</w:t>
            </w:r>
          </w:p>
        </w:tc>
        <w:tc>
          <w:tcPr>
            <w:tcW w:w="720" w:type="dxa"/>
            <w:tcBorders>
              <w:top w:val="nil"/>
              <w:left w:val="nil"/>
              <w:bottom w:val="single" w:sz="4" w:space="0" w:color="ADD6EA"/>
              <w:right w:val="nil"/>
            </w:tcBorders>
            <w:shd w:val="clear" w:color="000000" w:fill="D6E7F0"/>
            <w:vAlign w:val="bottom"/>
            <w:hideMark/>
          </w:tcPr>
          <w:p w14:paraId="407A76A2"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1,361</w:t>
            </w:r>
          </w:p>
        </w:tc>
        <w:tc>
          <w:tcPr>
            <w:tcW w:w="720" w:type="dxa"/>
            <w:tcBorders>
              <w:top w:val="nil"/>
              <w:left w:val="nil"/>
              <w:bottom w:val="single" w:sz="4" w:space="0" w:color="ADD6EA"/>
              <w:right w:val="nil"/>
            </w:tcBorders>
            <w:shd w:val="clear" w:color="000000" w:fill="D6E7F0"/>
            <w:vAlign w:val="bottom"/>
            <w:hideMark/>
          </w:tcPr>
          <w:p w14:paraId="3525EC42"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-164</w:t>
            </w:r>
          </w:p>
        </w:tc>
        <w:tc>
          <w:tcPr>
            <w:tcW w:w="720" w:type="dxa"/>
            <w:tcBorders>
              <w:top w:val="nil"/>
              <w:left w:val="nil"/>
              <w:bottom w:val="single" w:sz="4" w:space="0" w:color="ADD6EA"/>
              <w:right w:val="nil"/>
            </w:tcBorders>
            <w:shd w:val="clear" w:color="000000" w:fill="D6E7F0"/>
            <w:vAlign w:val="bottom"/>
            <w:hideMark/>
          </w:tcPr>
          <w:p w14:paraId="0AE57DCA"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608</w:t>
            </w:r>
          </w:p>
        </w:tc>
        <w:tc>
          <w:tcPr>
            <w:tcW w:w="720" w:type="dxa"/>
            <w:tcBorders>
              <w:top w:val="nil"/>
              <w:left w:val="nil"/>
              <w:bottom w:val="single" w:sz="4" w:space="0" w:color="ADD6EA"/>
              <w:right w:val="nil"/>
            </w:tcBorders>
            <w:shd w:val="clear" w:color="000000" w:fill="D6E7F0"/>
            <w:vAlign w:val="bottom"/>
            <w:hideMark/>
          </w:tcPr>
          <w:p w14:paraId="211771BF"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-292</w:t>
            </w:r>
          </w:p>
        </w:tc>
        <w:tc>
          <w:tcPr>
            <w:tcW w:w="720" w:type="dxa"/>
            <w:tcBorders>
              <w:top w:val="nil"/>
              <w:left w:val="nil"/>
              <w:bottom w:val="single" w:sz="4" w:space="0" w:color="ADD6EA"/>
              <w:right w:val="nil"/>
            </w:tcBorders>
            <w:shd w:val="clear" w:color="000000" w:fill="D6E7F0"/>
            <w:vAlign w:val="bottom"/>
            <w:hideMark/>
          </w:tcPr>
          <w:p w14:paraId="1B736B2E"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2,825</w:t>
            </w:r>
          </w:p>
        </w:tc>
        <w:tc>
          <w:tcPr>
            <w:tcW w:w="720" w:type="dxa"/>
            <w:tcBorders>
              <w:top w:val="nil"/>
              <w:left w:val="nil"/>
              <w:bottom w:val="single" w:sz="4" w:space="0" w:color="ADD6EA"/>
              <w:right w:val="nil"/>
            </w:tcBorders>
            <w:shd w:val="clear" w:color="000000" w:fill="D6E7F0"/>
            <w:vAlign w:val="bottom"/>
            <w:hideMark/>
          </w:tcPr>
          <w:p w14:paraId="35E37F6E"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6,089</w:t>
            </w:r>
          </w:p>
        </w:tc>
      </w:tr>
      <w:tr w:rsidR="00593C33" w:rsidRPr="00593C33" w14:paraId="2BC22BD7" w14:textId="77777777" w:rsidTr="00500FBE">
        <w:trPr>
          <w:trHeight w:val="315"/>
        </w:trPr>
        <w:tc>
          <w:tcPr>
            <w:tcW w:w="2660" w:type="dxa"/>
            <w:tcBorders>
              <w:top w:val="nil"/>
              <w:left w:val="nil"/>
              <w:bottom w:val="single" w:sz="4" w:space="0" w:color="ADD6EA"/>
              <w:right w:val="nil"/>
            </w:tcBorders>
            <w:shd w:val="clear" w:color="auto" w:fill="auto"/>
            <w:vAlign w:val="bottom"/>
            <w:hideMark/>
          </w:tcPr>
          <w:p w14:paraId="537D1189" w14:textId="77777777" w:rsidR="00593C33" w:rsidRPr="00593C33" w:rsidRDefault="00593C33" w:rsidP="00593C33">
            <w:pPr>
              <w:tabs>
                <w:tab w:val="clear" w:pos="567"/>
              </w:tabs>
              <w:spacing w:before="0" w:line="240" w:lineRule="auto"/>
              <w:rPr>
                <w:rFonts w:eastAsia="Times New Roman" w:cs="Open Sans Light"/>
                <w:sz w:val="16"/>
                <w:szCs w:val="16"/>
                <w:lang w:val="en-AU" w:eastAsia="en-AU"/>
              </w:rPr>
            </w:pPr>
            <w:r w:rsidRPr="00593C33">
              <w:rPr>
                <w:rFonts w:eastAsia="Times New Roman" w:cs="Open Sans Light"/>
                <w:sz w:val="16"/>
                <w:szCs w:val="16"/>
                <w:lang w:val="en-AU" w:eastAsia="en-AU"/>
              </w:rPr>
              <w:t>Commonwealth payments</w:t>
            </w:r>
          </w:p>
        </w:tc>
        <w:tc>
          <w:tcPr>
            <w:tcW w:w="720" w:type="dxa"/>
            <w:tcBorders>
              <w:top w:val="nil"/>
              <w:left w:val="nil"/>
              <w:bottom w:val="single" w:sz="4" w:space="0" w:color="ADD6EA"/>
              <w:right w:val="nil"/>
            </w:tcBorders>
            <w:shd w:val="clear" w:color="auto" w:fill="auto"/>
            <w:vAlign w:val="bottom"/>
            <w:hideMark/>
          </w:tcPr>
          <w:p w14:paraId="001685E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376</w:t>
            </w:r>
          </w:p>
        </w:tc>
        <w:tc>
          <w:tcPr>
            <w:tcW w:w="720" w:type="dxa"/>
            <w:tcBorders>
              <w:top w:val="nil"/>
              <w:left w:val="nil"/>
              <w:bottom w:val="single" w:sz="4" w:space="0" w:color="ADD6EA"/>
              <w:right w:val="nil"/>
            </w:tcBorders>
            <w:shd w:val="clear" w:color="auto" w:fill="auto"/>
            <w:vAlign w:val="bottom"/>
            <w:hideMark/>
          </w:tcPr>
          <w:p w14:paraId="7B1C5758"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1,152</w:t>
            </w:r>
          </w:p>
        </w:tc>
        <w:tc>
          <w:tcPr>
            <w:tcW w:w="720" w:type="dxa"/>
            <w:tcBorders>
              <w:top w:val="nil"/>
              <w:left w:val="nil"/>
              <w:bottom w:val="single" w:sz="4" w:space="0" w:color="ADD6EA"/>
              <w:right w:val="nil"/>
            </w:tcBorders>
            <w:shd w:val="clear" w:color="auto" w:fill="auto"/>
            <w:vAlign w:val="bottom"/>
            <w:hideMark/>
          </w:tcPr>
          <w:p w14:paraId="094FB60C"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-882</w:t>
            </w:r>
          </w:p>
        </w:tc>
        <w:tc>
          <w:tcPr>
            <w:tcW w:w="720" w:type="dxa"/>
            <w:tcBorders>
              <w:top w:val="nil"/>
              <w:left w:val="nil"/>
              <w:bottom w:val="single" w:sz="4" w:space="0" w:color="ADD6EA"/>
              <w:right w:val="nil"/>
            </w:tcBorders>
            <w:shd w:val="clear" w:color="auto" w:fill="auto"/>
            <w:vAlign w:val="bottom"/>
            <w:hideMark/>
          </w:tcPr>
          <w:p w14:paraId="52079AD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0</w:t>
            </w:r>
          </w:p>
        </w:tc>
        <w:tc>
          <w:tcPr>
            <w:tcW w:w="720" w:type="dxa"/>
            <w:tcBorders>
              <w:top w:val="nil"/>
              <w:left w:val="nil"/>
              <w:bottom w:val="single" w:sz="4" w:space="0" w:color="ADD6EA"/>
              <w:right w:val="nil"/>
            </w:tcBorders>
            <w:shd w:val="clear" w:color="auto" w:fill="auto"/>
            <w:vAlign w:val="bottom"/>
            <w:hideMark/>
          </w:tcPr>
          <w:p w14:paraId="08CBF197"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-236</w:t>
            </w:r>
          </w:p>
        </w:tc>
        <w:tc>
          <w:tcPr>
            <w:tcW w:w="720" w:type="dxa"/>
            <w:tcBorders>
              <w:top w:val="nil"/>
              <w:left w:val="nil"/>
              <w:bottom w:val="single" w:sz="4" w:space="0" w:color="ADD6EA"/>
              <w:right w:val="nil"/>
            </w:tcBorders>
            <w:shd w:val="clear" w:color="auto" w:fill="auto"/>
            <w:vAlign w:val="bottom"/>
            <w:hideMark/>
          </w:tcPr>
          <w:p w14:paraId="12FFEC4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-89</w:t>
            </w:r>
          </w:p>
        </w:tc>
        <w:tc>
          <w:tcPr>
            <w:tcW w:w="720" w:type="dxa"/>
            <w:tcBorders>
              <w:top w:val="nil"/>
              <w:left w:val="nil"/>
              <w:bottom w:val="single" w:sz="4" w:space="0" w:color="ADD6EA"/>
              <w:right w:val="nil"/>
            </w:tcBorders>
            <w:shd w:val="clear" w:color="auto" w:fill="auto"/>
            <w:vAlign w:val="bottom"/>
            <w:hideMark/>
          </w:tcPr>
          <w:p w14:paraId="7F17F8AA"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91</w:t>
            </w:r>
          </w:p>
        </w:tc>
        <w:tc>
          <w:tcPr>
            <w:tcW w:w="720" w:type="dxa"/>
            <w:tcBorders>
              <w:top w:val="nil"/>
              <w:left w:val="nil"/>
              <w:bottom w:val="single" w:sz="4" w:space="0" w:color="ADD6EA"/>
              <w:right w:val="nil"/>
            </w:tcBorders>
            <w:shd w:val="clear" w:color="auto" w:fill="auto"/>
            <w:vAlign w:val="bottom"/>
            <w:hideMark/>
          </w:tcPr>
          <w:p w14:paraId="55AB9DA6"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-412</w:t>
            </w:r>
          </w:p>
        </w:tc>
        <w:tc>
          <w:tcPr>
            <w:tcW w:w="720" w:type="dxa"/>
            <w:tcBorders>
              <w:top w:val="nil"/>
              <w:left w:val="nil"/>
              <w:bottom w:val="single" w:sz="4" w:space="0" w:color="ADD6EA"/>
              <w:right w:val="nil"/>
            </w:tcBorders>
            <w:shd w:val="clear" w:color="auto" w:fill="auto"/>
            <w:vAlign w:val="bottom"/>
            <w:hideMark/>
          </w:tcPr>
          <w:p w14:paraId="33CBC7F1" w14:textId="77777777" w:rsidR="00593C33" w:rsidRPr="00593C33" w:rsidRDefault="00593C33" w:rsidP="00593C33">
            <w:pPr>
              <w:tabs>
                <w:tab w:val="clear" w:pos="567"/>
              </w:tabs>
              <w:spacing w:before="0" w:line="240" w:lineRule="auto"/>
              <w:jc w:val="right"/>
              <w:rPr>
                <w:rFonts w:eastAsia="Times New Roman" w:cs="Open Sans Light"/>
                <w:sz w:val="16"/>
                <w:szCs w:val="16"/>
                <w:lang w:val="en-AU" w:eastAsia="en-AU"/>
              </w:rPr>
            </w:pPr>
            <w:r w:rsidRPr="00593C33">
              <w:rPr>
                <w:rFonts w:eastAsia="Times New Roman" w:cs="Open Sans Light"/>
                <w:sz w:val="16"/>
                <w:szCs w:val="16"/>
                <w:lang w:val="en-AU" w:eastAsia="en-AU"/>
              </w:rPr>
              <w:t>1,619</w:t>
            </w:r>
          </w:p>
        </w:tc>
      </w:tr>
      <w:tr w:rsidR="00593C33" w:rsidRPr="00593C33" w14:paraId="3DC2B6FE" w14:textId="77777777" w:rsidTr="00500FBE">
        <w:trPr>
          <w:trHeight w:val="315"/>
        </w:trPr>
        <w:tc>
          <w:tcPr>
            <w:tcW w:w="2660" w:type="dxa"/>
            <w:tcBorders>
              <w:top w:val="nil"/>
              <w:left w:val="nil"/>
              <w:bottom w:val="single" w:sz="4" w:space="0" w:color="ADD6EA"/>
              <w:right w:val="nil"/>
            </w:tcBorders>
            <w:shd w:val="clear" w:color="000000" w:fill="D6E7F0"/>
            <w:vAlign w:val="bottom"/>
            <w:hideMark/>
          </w:tcPr>
          <w:p w14:paraId="53188EED" w14:textId="77777777" w:rsidR="00593C33" w:rsidRPr="00593C33" w:rsidRDefault="00593C33" w:rsidP="00593C33">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TOTAL</w:t>
            </w:r>
          </w:p>
        </w:tc>
        <w:tc>
          <w:tcPr>
            <w:tcW w:w="720" w:type="dxa"/>
            <w:tcBorders>
              <w:top w:val="nil"/>
              <w:left w:val="nil"/>
              <w:bottom w:val="single" w:sz="4" w:space="0" w:color="ADD6EA"/>
              <w:right w:val="nil"/>
            </w:tcBorders>
            <w:shd w:val="clear" w:color="000000" w:fill="D6E7F0"/>
            <w:vAlign w:val="bottom"/>
            <w:hideMark/>
          </w:tcPr>
          <w:p w14:paraId="7030004C"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-1,736</w:t>
            </w:r>
          </w:p>
        </w:tc>
        <w:tc>
          <w:tcPr>
            <w:tcW w:w="720" w:type="dxa"/>
            <w:tcBorders>
              <w:top w:val="nil"/>
              <w:left w:val="nil"/>
              <w:bottom w:val="single" w:sz="4" w:space="0" w:color="ADD6EA"/>
              <w:right w:val="nil"/>
            </w:tcBorders>
            <w:shd w:val="clear" w:color="000000" w:fill="D6E7F0"/>
            <w:vAlign w:val="bottom"/>
            <w:hideMark/>
          </w:tcPr>
          <w:p w14:paraId="7C885A84"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-685</w:t>
            </w:r>
          </w:p>
        </w:tc>
        <w:tc>
          <w:tcPr>
            <w:tcW w:w="720" w:type="dxa"/>
            <w:tcBorders>
              <w:top w:val="nil"/>
              <w:left w:val="nil"/>
              <w:bottom w:val="single" w:sz="4" w:space="0" w:color="ADD6EA"/>
              <w:right w:val="nil"/>
            </w:tcBorders>
            <w:shd w:val="clear" w:color="000000" w:fill="D6E7F0"/>
            <w:vAlign w:val="bottom"/>
            <w:hideMark/>
          </w:tcPr>
          <w:p w14:paraId="16058459"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690</w:t>
            </w:r>
          </w:p>
        </w:tc>
        <w:tc>
          <w:tcPr>
            <w:tcW w:w="720" w:type="dxa"/>
            <w:tcBorders>
              <w:top w:val="nil"/>
              <w:left w:val="nil"/>
              <w:bottom w:val="single" w:sz="4" w:space="0" w:color="ADD6EA"/>
              <w:right w:val="nil"/>
            </w:tcBorders>
            <w:shd w:val="clear" w:color="000000" w:fill="D6E7F0"/>
            <w:vAlign w:val="bottom"/>
            <w:hideMark/>
          </w:tcPr>
          <w:p w14:paraId="6CB310B0"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-3,788</w:t>
            </w:r>
          </w:p>
        </w:tc>
        <w:tc>
          <w:tcPr>
            <w:tcW w:w="720" w:type="dxa"/>
            <w:tcBorders>
              <w:top w:val="nil"/>
              <w:left w:val="nil"/>
              <w:bottom w:val="single" w:sz="4" w:space="0" w:color="ADD6EA"/>
              <w:right w:val="nil"/>
            </w:tcBorders>
            <w:shd w:val="clear" w:color="000000" w:fill="D6E7F0"/>
            <w:vAlign w:val="bottom"/>
            <w:hideMark/>
          </w:tcPr>
          <w:p w14:paraId="2C941F48"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1,656</w:t>
            </w:r>
          </w:p>
        </w:tc>
        <w:tc>
          <w:tcPr>
            <w:tcW w:w="720" w:type="dxa"/>
            <w:tcBorders>
              <w:top w:val="nil"/>
              <w:left w:val="nil"/>
              <w:bottom w:val="single" w:sz="4" w:space="0" w:color="ADD6EA"/>
              <w:right w:val="nil"/>
            </w:tcBorders>
            <w:shd w:val="clear" w:color="000000" w:fill="D6E7F0"/>
            <w:vAlign w:val="bottom"/>
            <w:hideMark/>
          </w:tcPr>
          <w:p w14:paraId="4980E3FF"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1,274</w:t>
            </w:r>
          </w:p>
        </w:tc>
        <w:tc>
          <w:tcPr>
            <w:tcW w:w="720" w:type="dxa"/>
            <w:tcBorders>
              <w:top w:val="nil"/>
              <w:left w:val="nil"/>
              <w:bottom w:val="single" w:sz="4" w:space="0" w:color="ADD6EA"/>
              <w:right w:val="nil"/>
            </w:tcBorders>
            <w:shd w:val="clear" w:color="000000" w:fill="D6E7F0"/>
            <w:vAlign w:val="bottom"/>
            <w:hideMark/>
          </w:tcPr>
          <w:p w14:paraId="70B79B7B"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175</w:t>
            </w:r>
          </w:p>
        </w:tc>
        <w:tc>
          <w:tcPr>
            <w:tcW w:w="720" w:type="dxa"/>
            <w:tcBorders>
              <w:top w:val="nil"/>
              <w:left w:val="nil"/>
              <w:bottom w:val="single" w:sz="4" w:space="0" w:color="ADD6EA"/>
              <w:right w:val="nil"/>
            </w:tcBorders>
            <w:shd w:val="clear" w:color="000000" w:fill="D6E7F0"/>
            <w:vAlign w:val="bottom"/>
            <w:hideMark/>
          </w:tcPr>
          <w:p w14:paraId="4ED4A276"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2,414</w:t>
            </w:r>
          </w:p>
        </w:tc>
        <w:tc>
          <w:tcPr>
            <w:tcW w:w="720" w:type="dxa"/>
            <w:tcBorders>
              <w:top w:val="nil"/>
              <w:left w:val="nil"/>
              <w:bottom w:val="single" w:sz="4" w:space="0" w:color="ADD6EA"/>
              <w:right w:val="nil"/>
            </w:tcBorders>
            <w:shd w:val="clear" w:color="000000" w:fill="D6E7F0"/>
            <w:vAlign w:val="bottom"/>
            <w:hideMark/>
          </w:tcPr>
          <w:p w14:paraId="4E696E8B" w14:textId="77777777" w:rsidR="00593C33" w:rsidRPr="00593C33" w:rsidRDefault="00593C33" w:rsidP="00593C33">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593C33">
              <w:rPr>
                <w:rFonts w:ascii="Open Sans SemiBold" w:eastAsia="Times New Roman" w:hAnsi="Open Sans SemiBold" w:cs="Open Sans SemiBold"/>
                <w:color w:val="000000"/>
                <w:sz w:val="16"/>
                <w:szCs w:val="16"/>
                <w:lang w:val="en-AU" w:eastAsia="en-AU"/>
              </w:rPr>
              <w:t>6,208</w:t>
            </w:r>
          </w:p>
        </w:tc>
      </w:tr>
    </w:tbl>
    <w:p w14:paraId="77999A5F" w14:textId="13C47BF7" w:rsidR="00B83F83" w:rsidRDefault="00B83F83" w:rsidP="004B6BBD">
      <w:pPr>
        <w:pStyle w:val="CGCTablenote"/>
        <w:keepNext/>
        <w:keepLines/>
        <w:spacing w:before="0"/>
      </w:pPr>
      <w:r>
        <w:t>Note</w:t>
      </w:r>
      <w:r w:rsidR="00D535CE">
        <w:t xml:space="preserve">: </w:t>
      </w:r>
      <w:r w:rsidR="00F47115">
        <w:tab/>
      </w:r>
      <w:r w:rsidR="000C2DFA">
        <w:t>For further explanation of what each effect includes see Volume 2 of this report.</w:t>
      </w:r>
    </w:p>
    <w:p w14:paraId="402F308C" w14:textId="77777777" w:rsidR="00CB631F" w:rsidRPr="00975D99" w:rsidRDefault="00CB631F" w:rsidP="00CB631F">
      <w:pPr>
        <w:pStyle w:val="CGCTablenote"/>
      </w:pPr>
      <w:r w:rsidRPr="008538E8">
        <w:t>(a</w:t>
      </w:r>
      <w:r w:rsidRPr="002F4373">
        <w:t>)</w:t>
      </w:r>
      <w:r>
        <w:tab/>
      </w:r>
      <w:r w:rsidRPr="008538E8">
        <w:t xml:space="preserve">Other </w:t>
      </w:r>
      <w:r w:rsidRPr="002F4373">
        <w:t xml:space="preserve">SDC </w:t>
      </w:r>
      <w:r w:rsidRPr="00AE01F7">
        <w:t xml:space="preserve">includes the effects of </w:t>
      </w:r>
      <w:r w:rsidRPr="00EB4CF6">
        <w:t>age</w:t>
      </w:r>
      <w:r w:rsidRPr="00975D99">
        <w:t>, Indigenous disadvantage, household size</w:t>
      </w:r>
      <w:r w:rsidRPr="00DE36E6">
        <w:t xml:space="preserve">, </w:t>
      </w:r>
      <w:r w:rsidRPr="00E912BE">
        <w:t xml:space="preserve">State contributions to the </w:t>
      </w:r>
      <w:r w:rsidRPr="00033DFC">
        <w:t>National Disability</w:t>
      </w:r>
      <w:r>
        <w:t xml:space="preserve"> Insurance </w:t>
      </w:r>
      <w:r w:rsidRPr="008538E8">
        <w:t>Scheme (</w:t>
      </w:r>
      <w:r w:rsidRPr="002F4373">
        <w:t>NDIS</w:t>
      </w:r>
      <w:r w:rsidRPr="00AE01F7">
        <w:t>) and the full effect of SDC in Commonw</w:t>
      </w:r>
      <w:r w:rsidRPr="00EB4CF6">
        <w:t xml:space="preserve">ealth </w:t>
      </w:r>
      <w:r>
        <w:t>funding for</w:t>
      </w:r>
      <w:r w:rsidRPr="00EB4CF6">
        <w:t xml:space="preserve"> government schools.</w:t>
      </w:r>
    </w:p>
    <w:p w14:paraId="6D663FD3" w14:textId="77777777" w:rsidR="00CB631F" w:rsidRPr="006E7AB4" w:rsidRDefault="00CB631F" w:rsidP="00CB631F">
      <w:pPr>
        <w:pStyle w:val="CGCTablenote"/>
      </w:pPr>
      <w:r>
        <w:t>(b)</w:t>
      </w:r>
      <w:r>
        <w:tab/>
        <w:t>Includes the effect of net borrowing.</w:t>
      </w:r>
    </w:p>
    <w:p w14:paraId="0E772668" w14:textId="29EAFF85" w:rsidR="00B83F83" w:rsidRPr="00B83F83" w:rsidRDefault="00B83F83" w:rsidP="00F47115">
      <w:pPr>
        <w:pStyle w:val="CGCTablenote"/>
        <w:spacing w:before="0"/>
      </w:pPr>
      <w:r>
        <w:t>Source:</w:t>
      </w:r>
      <w:r>
        <w:tab/>
        <w:t>Commission calculation.</w:t>
      </w:r>
    </w:p>
    <w:p w14:paraId="13398A27" w14:textId="52861C2A" w:rsidR="009E6B59" w:rsidRPr="009E6B59" w:rsidRDefault="009E6B59" w:rsidP="00F47115">
      <w:pPr>
        <w:pStyle w:val="Heading3"/>
        <w:keepLines/>
        <w:widowControl/>
      </w:pPr>
      <w:bookmarkStart w:id="56" w:name="_Toc33600560"/>
      <w:r>
        <w:lastRenderedPageBreak/>
        <w:t>Drivers of fiscal differences</w:t>
      </w:r>
      <w:bookmarkEnd w:id="56"/>
    </w:p>
    <w:p w14:paraId="5C2EBE5D" w14:textId="77777777" w:rsidR="004D2749" w:rsidRDefault="004D2749" w:rsidP="00F47115">
      <w:pPr>
        <w:pStyle w:val="Heading4"/>
        <w:keepLines/>
        <w:widowControl/>
      </w:pPr>
      <w:bookmarkStart w:id="57" w:name="_Toc33600561"/>
      <w:r>
        <w:t>Revenue</w:t>
      </w:r>
      <w:bookmarkEnd w:id="57"/>
    </w:p>
    <w:p w14:paraId="0849D818" w14:textId="7EEC674F" w:rsidR="004D2749" w:rsidRDefault="004D2749" w:rsidP="00F47115">
      <w:pPr>
        <w:pStyle w:val="Heading5"/>
        <w:keepLines/>
      </w:pPr>
      <w:r>
        <w:t>Mining</w:t>
      </w:r>
      <w:r w:rsidR="00296069">
        <w:t xml:space="preserve"> revenue</w:t>
      </w:r>
    </w:p>
    <w:p w14:paraId="22CDC0E8" w14:textId="1A0265C8" w:rsidR="00FD7A7D" w:rsidRDefault="00FD7A7D" w:rsidP="00F47115">
      <w:pPr>
        <w:pStyle w:val="CGCParaNumber"/>
        <w:keepNext/>
        <w:keepLines/>
      </w:pPr>
      <w:r>
        <w:t xml:space="preserve">Mining activity is unevenly distributed </w:t>
      </w:r>
      <w:r w:rsidR="00330DD6">
        <w:t xml:space="preserve">across </w:t>
      </w:r>
      <w:r>
        <w:t xml:space="preserve">the States, much more than other revenue bases. It is responsible for </w:t>
      </w:r>
      <w:r w:rsidR="2C891D8B" w:rsidRPr="00464312">
        <w:t>$7</w:t>
      </w:r>
      <w:r w:rsidR="00F04D2A" w:rsidRPr="00464312">
        <w:t> </w:t>
      </w:r>
      <w:r w:rsidRPr="00464312">
        <w:t>billio</w:t>
      </w:r>
      <w:r>
        <w:t xml:space="preserve">n </w:t>
      </w:r>
      <w:r w:rsidR="003031FA">
        <w:t>being</w:t>
      </w:r>
      <w:r>
        <w:t xml:space="preserve"> redistributed due to differences in States' </w:t>
      </w:r>
      <w:r w:rsidR="00700B63">
        <w:t>capacity</w:t>
      </w:r>
      <w:r>
        <w:t xml:space="preserve"> to raise </w:t>
      </w:r>
      <w:r w:rsidR="007B6C0D">
        <w:t xml:space="preserve">mining </w:t>
      </w:r>
      <w:r>
        <w:t xml:space="preserve">revenue. It is the largest single driver of differences in State capacities. </w:t>
      </w:r>
      <w:r w:rsidR="00B25F22">
        <w:t xml:space="preserve">States raised $15.5 billion </w:t>
      </w:r>
      <w:r>
        <w:t xml:space="preserve">from mining </w:t>
      </w:r>
      <w:r w:rsidR="000521F7">
        <w:t>royalties</w:t>
      </w:r>
      <w:r>
        <w:t xml:space="preserve"> in 2018-19</w:t>
      </w:r>
      <w:r w:rsidR="00B25F22">
        <w:t>.</w:t>
      </w:r>
    </w:p>
    <w:p w14:paraId="4A6E3908" w14:textId="1D84D8D5" w:rsidR="00FD7A7D" w:rsidRDefault="00FD7A7D" w:rsidP="00D94959">
      <w:pPr>
        <w:pStyle w:val="CGCParaNumber"/>
        <w:keepNext/>
        <w:keepLines/>
      </w:pPr>
      <w:r>
        <w:t>Given the value of mining production in 2016</w:t>
      </w:r>
      <w:r w:rsidR="00C077AC">
        <w:noBreakHyphen/>
      </w:r>
      <w:r>
        <w:t>17 to 2018</w:t>
      </w:r>
      <w:r w:rsidR="00C077AC">
        <w:noBreakHyphen/>
      </w:r>
      <w:r>
        <w:t>19 and the royalty rates States typically apply to different minerals, Western</w:t>
      </w:r>
      <w:r w:rsidR="00ED7F63">
        <w:t> </w:t>
      </w:r>
      <w:r>
        <w:t xml:space="preserve">Australia </w:t>
      </w:r>
      <w:r w:rsidR="00DA2560">
        <w:t>is</w:t>
      </w:r>
      <w:r>
        <w:t xml:space="preserve"> assessed to be able to raise 48% of the revenue States raised from this source, even though it had only 10% of the Australian population. Queensland and the Northern</w:t>
      </w:r>
      <w:r w:rsidR="00ED7F63">
        <w:t> </w:t>
      </w:r>
      <w:r>
        <w:t xml:space="preserve">Territory are also assessed to have the capacity to earn above average per capita revenue from mining. </w:t>
      </w:r>
      <w:r w:rsidR="002C6B11">
        <w:fldChar w:fldCharType="begin"/>
      </w:r>
      <w:r w:rsidR="002C6B11">
        <w:instrText xml:space="preserve"> REF _Ref32934104 \h </w:instrText>
      </w:r>
      <w:r w:rsidR="002C6B11">
        <w:fldChar w:fldCharType="separate"/>
      </w:r>
      <w:r w:rsidR="003D49C2">
        <w:t>Figure 4</w:t>
      </w:r>
      <w:r w:rsidR="003D49C2">
        <w:noBreakHyphen/>
      </w:r>
      <w:r w:rsidR="003D49C2">
        <w:rPr>
          <w:noProof/>
        </w:rPr>
        <w:t>1</w:t>
      </w:r>
      <w:r w:rsidR="002C6B11">
        <w:fldChar w:fldCharType="end"/>
      </w:r>
      <w:r>
        <w:t xml:space="preserve"> shows the difference in States' assessed mining capacity.</w:t>
      </w:r>
    </w:p>
    <w:p w14:paraId="13F3D030" w14:textId="2FB4C5A3" w:rsidR="004D2749" w:rsidRDefault="00026211" w:rsidP="00026211">
      <w:pPr>
        <w:pStyle w:val="Caption"/>
      </w:pPr>
      <w:bookmarkStart w:id="58" w:name="_Ref31055276"/>
      <w:bookmarkStart w:id="59" w:name="_Ref32934104"/>
      <w:r>
        <w:t xml:space="preserve">Figure </w:t>
      </w:r>
      <w:r w:rsidR="00D5059E">
        <w:t>4</w:t>
      </w:r>
      <w:r w:rsidR="00D5059E">
        <w:noBreakHyphen/>
      </w:r>
      <w:bookmarkEnd w:id="58"/>
      <w:r w:rsidR="002C6B11">
        <w:fldChar w:fldCharType="begin"/>
      </w:r>
      <w:r w:rsidR="002C6B11">
        <w:instrText xml:space="preserve"> SEQ Figure \* ARABIC\r 1 </w:instrText>
      </w:r>
      <w:r w:rsidR="002C6B11">
        <w:fldChar w:fldCharType="separate"/>
      </w:r>
      <w:r w:rsidR="003D49C2">
        <w:rPr>
          <w:noProof/>
        </w:rPr>
        <w:t>1</w:t>
      </w:r>
      <w:r w:rsidR="002C6B11">
        <w:fldChar w:fldCharType="end"/>
      </w:r>
      <w:bookmarkEnd w:id="59"/>
      <w:r w:rsidR="00C767A2">
        <w:tab/>
      </w:r>
      <w:r w:rsidR="00C767A2" w:rsidRPr="00C767A2">
        <w:t>Assessed mining revenue per capita by State, 2016-17 to 2018-19</w:t>
      </w:r>
    </w:p>
    <w:p w14:paraId="36CC6F17" w14:textId="0CB0B992" w:rsidR="00601A60" w:rsidRPr="00601A60" w:rsidRDefault="00601A60" w:rsidP="00601A60">
      <w:r>
        <w:rPr>
          <w:noProof/>
        </w:rPr>
        <w:drawing>
          <wp:inline distT="0" distB="0" distL="0" distR="0" wp14:anchorId="73DDF7D9" wp14:editId="5C1239D9">
            <wp:extent cx="5663565" cy="3578860"/>
            <wp:effectExtent l="0" t="0" r="0" b="2540"/>
            <wp:docPr id="1080583881" name="Picture 27" descr="This bar graph compares assessed mining revenue per capita by State from 2016-17 to 2018-19. Western Australia is shown to have the largest share by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4">
                      <a:extLst>
                        <a:ext uri="{28A0092B-C50C-407E-A947-70E740481C1C}">
                          <a14:useLocalDpi xmlns:a14="http://schemas.microsoft.com/office/drawing/2010/main" val="0"/>
                        </a:ext>
                      </a:extLst>
                    </a:blip>
                    <a:stretch>
                      <a:fillRect/>
                    </a:stretch>
                  </pic:blipFill>
                  <pic:spPr>
                    <a:xfrm>
                      <a:off x="0" y="0"/>
                      <a:ext cx="5663565" cy="3578860"/>
                    </a:xfrm>
                    <a:prstGeom prst="rect">
                      <a:avLst/>
                    </a:prstGeom>
                  </pic:spPr>
                </pic:pic>
              </a:graphicData>
            </a:graphic>
          </wp:inline>
        </w:drawing>
      </w:r>
    </w:p>
    <w:p w14:paraId="141EBD3E" w14:textId="035BA52C" w:rsidR="00026211" w:rsidRPr="00026211" w:rsidRDefault="00D97D07" w:rsidP="00D97D07">
      <w:pPr>
        <w:pStyle w:val="CGCTablenote"/>
      </w:pPr>
      <w:r>
        <w:t>Source:</w:t>
      </w:r>
      <w:r>
        <w:tab/>
      </w:r>
      <w:r w:rsidR="008A64FC">
        <w:t>Commission calculation</w:t>
      </w:r>
      <w:r>
        <w:t>.</w:t>
      </w:r>
    </w:p>
    <w:p w14:paraId="4E5D57AF" w14:textId="77777777" w:rsidR="003B0B10" w:rsidRDefault="003B0B10">
      <w:pPr>
        <w:tabs>
          <w:tab w:val="clear" w:pos="567"/>
        </w:tabs>
        <w:spacing w:before="0" w:after="160" w:line="259" w:lineRule="auto"/>
        <w:rPr>
          <w:rFonts w:ascii="Montserrat Semi Bold" w:eastAsiaTheme="majorEastAsia" w:hAnsi="Montserrat Semi Bold" w:cstheme="majorBidi"/>
          <w:color w:val="636466"/>
          <w:sz w:val="24"/>
        </w:rPr>
      </w:pPr>
      <w:r>
        <w:br w:type="page"/>
      </w:r>
    </w:p>
    <w:p w14:paraId="0B866F26" w14:textId="5F87CD40" w:rsidR="004D2749" w:rsidRDefault="00E31A41" w:rsidP="004D2749">
      <w:pPr>
        <w:pStyle w:val="Heading5"/>
      </w:pPr>
      <w:r>
        <w:lastRenderedPageBreak/>
        <w:t>Property sales</w:t>
      </w:r>
    </w:p>
    <w:p w14:paraId="0CF3D4AC" w14:textId="660C2F37" w:rsidR="00F23E55" w:rsidRDefault="00F23E55" w:rsidP="00F23E55">
      <w:pPr>
        <w:pStyle w:val="CGCParaNumber"/>
      </w:pPr>
      <w:r>
        <w:t xml:space="preserve">Differences in State property market cycles </w:t>
      </w:r>
      <w:r w:rsidR="00374C7E">
        <w:t xml:space="preserve">and values </w:t>
      </w:r>
      <w:r>
        <w:t xml:space="preserve">affect the revenue they raise from conveyance duty. </w:t>
      </w:r>
      <w:r w:rsidR="00B278F3">
        <w:t>D</w:t>
      </w:r>
      <w:r w:rsidR="001E529C">
        <w:t xml:space="preserve">ifferences </w:t>
      </w:r>
      <w:r w:rsidR="00B278F3">
        <w:t xml:space="preserve">in the capacity to raise conveyance duty </w:t>
      </w:r>
      <w:r w:rsidR="004A17AF">
        <w:t xml:space="preserve">redistributed </w:t>
      </w:r>
      <w:r w:rsidR="0040768C">
        <w:t>$2.7 billion</w:t>
      </w:r>
      <w:r w:rsidR="00A664F8">
        <w:t>.</w:t>
      </w:r>
      <w:r w:rsidR="0040768C">
        <w:t xml:space="preserve"> </w:t>
      </w:r>
      <w:r>
        <w:t>States raised $17.9</w:t>
      </w:r>
      <w:r w:rsidR="000D2019">
        <w:t> </w:t>
      </w:r>
      <w:r>
        <w:t>billion from conveyance duty in 2018</w:t>
      </w:r>
      <w:r w:rsidR="00BE2F4B">
        <w:noBreakHyphen/>
      </w:r>
      <w:r>
        <w:t>19.</w:t>
      </w:r>
    </w:p>
    <w:p w14:paraId="00912807" w14:textId="0F419584" w:rsidR="0063481B" w:rsidRPr="0063481B" w:rsidRDefault="00F23E55" w:rsidP="0063481B">
      <w:pPr>
        <w:pStyle w:val="CGCParaNumber"/>
      </w:pPr>
      <w:r>
        <w:t xml:space="preserve">Despite a decline in the latest </w:t>
      </w:r>
      <w:r w:rsidR="0055552B">
        <w:t>assessment</w:t>
      </w:r>
      <w:r>
        <w:t xml:space="preserve"> year, New</w:t>
      </w:r>
      <w:r w:rsidR="00887BAE">
        <w:t> </w:t>
      </w:r>
      <w:r>
        <w:t>South</w:t>
      </w:r>
      <w:r w:rsidR="00887BAE">
        <w:t> </w:t>
      </w:r>
      <w:r>
        <w:t>Wales and Victoria have higher per capita value</w:t>
      </w:r>
      <w:r w:rsidR="004E62C6">
        <w:t>s</w:t>
      </w:r>
      <w:r>
        <w:t xml:space="preserve"> of property transferred than other States. Consequently, they </w:t>
      </w:r>
      <w:r w:rsidR="00DA2560">
        <w:t>were</w:t>
      </w:r>
      <w:r>
        <w:t xml:space="preserve"> assessed to be able to raise 69% of the revenue raised from this source, even though they have only 58% of the Australian population. The ACT is also assessed to have the capacity to earn above average per capita revenue from conveyance duty in both 2016-17 and 2018</w:t>
      </w:r>
      <w:r w:rsidR="009E5333">
        <w:noBreakHyphen/>
      </w:r>
      <w:r>
        <w:t xml:space="preserve">19. </w:t>
      </w:r>
      <w:r w:rsidR="00684E12">
        <w:fldChar w:fldCharType="begin"/>
      </w:r>
      <w:r w:rsidR="00684E12">
        <w:instrText xml:space="preserve"> REF _Ref31195665 \h </w:instrText>
      </w:r>
      <w:r w:rsidR="00684E12">
        <w:fldChar w:fldCharType="separate"/>
      </w:r>
      <w:r w:rsidR="003D49C2">
        <w:t>Figure 4</w:t>
      </w:r>
      <w:r w:rsidR="003D49C2">
        <w:noBreakHyphen/>
      </w:r>
      <w:r w:rsidR="003D49C2">
        <w:rPr>
          <w:noProof/>
        </w:rPr>
        <w:t>2</w:t>
      </w:r>
      <w:r w:rsidR="00684E12">
        <w:fldChar w:fldCharType="end"/>
      </w:r>
      <w:r>
        <w:t xml:space="preserve"> shows the difference in States' per capita assessed conveyance</w:t>
      </w:r>
      <w:r w:rsidR="00BB3CC8">
        <w:t xml:space="preserve"> revenue</w:t>
      </w:r>
      <w:r>
        <w:t xml:space="preserve"> capacity.</w:t>
      </w:r>
    </w:p>
    <w:p w14:paraId="40BBF625" w14:textId="16C65709" w:rsidR="002D30B0" w:rsidRPr="002D30B0" w:rsidRDefault="00684E12" w:rsidP="002D30B0">
      <w:pPr>
        <w:pStyle w:val="Caption"/>
      </w:pPr>
      <w:bookmarkStart w:id="60" w:name="_Ref31195665"/>
      <w:r>
        <w:t>Figure</w:t>
      </w:r>
      <w:r w:rsidR="00222117">
        <w:t xml:space="preserve"> </w:t>
      </w:r>
      <w:r w:rsidR="00D5059E">
        <w:t>4</w:t>
      </w:r>
      <w:r w:rsidR="00D5059E">
        <w:noBreakHyphen/>
      </w:r>
      <w:r>
        <w:fldChar w:fldCharType="begin"/>
      </w:r>
      <w:r>
        <w:instrText>SEQ Figure \* ARABIC</w:instrText>
      </w:r>
      <w:r>
        <w:fldChar w:fldCharType="separate"/>
      </w:r>
      <w:r w:rsidR="003D49C2">
        <w:rPr>
          <w:noProof/>
        </w:rPr>
        <w:t>2</w:t>
      </w:r>
      <w:r>
        <w:fldChar w:fldCharType="end"/>
      </w:r>
      <w:bookmarkEnd w:id="60"/>
      <w:r w:rsidR="00222117">
        <w:tab/>
        <w:t xml:space="preserve">Assessed conveyance revenue per capita by State, </w:t>
      </w:r>
      <w:r w:rsidR="00230D36">
        <w:t>2016</w:t>
      </w:r>
      <w:r w:rsidR="00230D36">
        <w:noBreakHyphen/>
        <w:t>17 to 2018</w:t>
      </w:r>
      <w:r w:rsidR="00230D36">
        <w:noBreakHyphen/>
        <w:t>19</w:t>
      </w:r>
    </w:p>
    <w:p w14:paraId="74FC9B21" w14:textId="13369B69" w:rsidR="003B4FCC" w:rsidRDefault="00755900" w:rsidP="00230D36">
      <w:r>
        <w:rPr>
          <w:noProof/>
        </w:rPr>
        <w:drawing>
          <wp:inline distT="0" distB="0" distL="0" distR="0" wp14:anchorId="02C6B3D2" wp14:editId="14F68DBE">
            <wp:extent cx="5663565" cy="3578860"/>
            <wp:effectExtent l="0" t="0" r="0" b="2540"/>
            <wp:docPr id="424843032" name="Picture 19" descr="This bar graph compares conveyance revenue per capita by State for 2016-17 to 2018-19. most states have seen a reduction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5">
                      <a:extLst>
                        <a:ext uri="{28A0092B-C50C-407E-A947-70E740481C1C}">
                          <a14:useLocalDpi xmlns:a14="http://schemas.microsoft.com/office/drawing/2010/main" val="0"/>
                        </a:ext>
                      </a:extLst>
                    </a:blip>
                    <a:stretch>
                      <a:fillRect/>
                    </a:stretch>
                  </pic:blipFill>
                  <pic:spPr>
                    <a:xfrm>
                      <a:off x="0" y="0"/>
                      <a:ext cx="5663565" cy="3578860"/>
                    </a:xfrm>
                    <a:prstGeom prst="rect">
                      <a:avLst/>
                    </a:prstGeom>
                  </pic:spPr>
                </pic:pic>
              </a:graphicData>
            </a:graphic>
          </wp:inline>
        </w:drawing>
      </w:r>
    </w:p>
    <w:p w14:paraId="63498EF5" w14:textId="534494BB" w:rsidR="00230D36" w:rsidRPr="00230D36" w:rsidRDefault="003B4FCC" w:rsidP="005A5686">
      <w:pPr>
        <w:pStyle w:val="CGCTablenote"/>
      </w:pPr>
      <w:r>
        <w:t>Source:</w:t>
      </w:r>
      <w:r>
        <w:tab/>
      </w:r>
      <w:r w:rsidR="008A64FC">
        <w:t>Commission calculation</w:t>
      </w:r>
      <w:r>
        <w:t>.</w:t>
      </w:r>
    </w:p>
    <w:p w14:paraId="1F9EFEEE" w14:textId="77777777" w:rsidR="003B0B10" w:rsidRDefault="003B0B10">
      <w:pPr>
        <w:tabs>
          <w:tab w:val="clear" w:pos="567"/>
        </w:tabs>
        <w:spacing w:before="0" w:after="160" w:line="259" w:lineRule="auto"/>
        <w:rPr>
          <w:rFonts w:ascii="Montserrat Semi Bold" w:eastAsiaTheme="majorEastAsia" w:hAnsi="Montserrat Semi Bold" w:cstheme="majorBidi"/>
          <w:color w:val="636466"/>
          <w:sz w:val="24"/>
        </w:rPr>
      </w:pPr>
      <w:r>
        <w:br w:type="page"/>
      </w:r>
    </w:p>
    <w:p w14:paraId="55316F71" w14:textId="6DB70733" w:rsidR="00D66544" w:rsidRDefault="00C613FF" w:rsidP="00D66544">
      <w:pPr>
        <w:pStyle w:val="Heading5"/>
      </w:pPr>
      <w:r>
        <w:lastRenderedPageBreak/>
        <w:t>Taxable payrolls</w:t>
      </w:r>
    </w:p>
    <w:p w14:paraId="6F7FAEF5" w14:textId="13D074B1" w:rsidR="001C52B4" w:rsidRPr="001C52B4" w:rsidRDefault="002E2EE5" w:rsidP="001C52B4">
      <w:pPr>
        <w:pStyle w:val="CGCParaNumber"/>
      </w:pPr>
      <w:r>
        <w:t xml:space="preserve">Differences </w:t>
      </w:r>
      <w:r w:rsidR="00954BD0">
        <w:t xml:space="preserve">between States </w:t>
      </w:r>
      <w:r>
        <w:t xml:space="preserve">in </w:t>
      </w:r>
      <w:r w:rsidR="00DF083E">
        <w:t xml:space="preserve">the </w:t>
      </w:r>
      <w:r w:rsidR="00954BD0">
        <w:t>total value of wages, salaries and other remuneration</w:t>
      </w:r>
      <w:r w:rsidR="004D42F0">
        <w:t xml:space="preserve"> paid by employers</w:t>
      </w:r>
      <w:r w:rsidR="00180BFD">
        <w:t xml:space="preserve">, </w:t>
      </w:r>
      <w:r w:rsidR="00762044">
        <w:t xml:space="preserve">and in </w:t>
      </w:r>
      <w:r w:rsidR="00180BFD">
        <w:t xml:space="preserve">the proportion </w:t>
      </w:r>
      <w:r w:rsidR="0005785E">
        <w:t>of small busi</w:t>
      </w:r>
      <w:r w:rsidR="00762044">
        <w:t xml:space="preserve">nesses </w:t>
      </w:r>
      <w:r w:rsidR="00751D39">
        <w:t xml:space="preserve">with payrolls that </w:t>
      </w:r>
      <w:r w:rsidR="00B57491">
        <w:t xml:space="preserve">are </w:t>
      </w:r>
      <w:r w:rsidR="00BE5512">
        <w:t xml:space="preserve">below </w:t>
      </w:r>
      <w:r w:rsidR="00B57491">
        <w:t>an average tax</w:t>
      </w:r>
      <w:r w:rsidR="001400EA">
        <w:t>-</w:t>
      </w:r>
      <w:r w:rsidR="00B57491">
        <w:t>free threshold</w:t>
      </w:r>
      <w:r w:rsidR="00762044">
        <w:t>,</w:t>
      </w:r>
      <w:r w:rsidR="004D42F0">
        <w:t xml:space="preserve"> </w:t>
      </w:r>
      <w:r w:rsidR="0094116C">
        <w:t xml:space="preserve">affect </w:t>
      </w:r>
      <w:r w:rsidR="00933012">
        <w:t>State</w:t>
      </w:r>
      <w:r w:rsidR="000B320E">
        <w:t>s’</w:t>
      </w:r>
      <w:r w:rsidR="00933012">
        <w:t xml:space="preserve"> capacities </w:t>
      </w:r>
      <w:r w:rsidR="000B320E">
        <w:t xml:space="preserve">to </w:t>
      </w:r>
      <w:r w:rsidR="0094116C">
        <w:t xml:space="preserve">raise </w:t>
      </w:r>
      <w:r w:rsidR="00B922FA">
        <w:t xml:space="preserve">revenue </w:t>
      </w:r>
      <w:r w:rsidR="0094116C">
        <w:t xml:space="preserve">from </w:t>
      </w:r>
      <w:r w:rsidR="000B320E">
        <w:t>p</w:t>
      </w:r>
      <w:r w:rsidR="0094116C">
        <w:t xml:space="preserve">ayroll tax. </w:t>
      </w:r>
      <w:r w:rsidR="006E6DAA">
        <w:t xml:space="preserve">Differences in </w:t>
      </w:r>
      <w:r w:rsidR="003D79B3">
        <w:t>taxable p</w:t>
      </w:r>
      <w:r w:rsidR="0006361A">
        <w:t>ayroll</w:t>
      </w:r>
      <w:r w:rsidR="003D79B3">
        <w:t>s</w:t>
      </w:r>
      <w:r w:rsidR="0006361A">
        <w:t xml:space="preserve"> redistribut</w:t>
      </w:r>
      <w:r w:rsidR="00C00186">
        <w:t>ed</w:t>
      </w:r>
      <w:r w:rsidR="0006361A">
        <w:t xml:space="preserve"> </w:t>
      </w:r>
      <w:r w:rsidR="0006361A" w:rsidRPr="006138DF">
        <w:t>$1.</w:t>
      </w:r>
      <w:r w:rsidR="006138DF" w:rsidRPr="006138DF">
        <w:t>5</w:t>
      </w:r>
      <w:r w:rsidR="00C476C1">
        <w:t> </w:t>
      </w:r>
      <w:r w:rsidR="0006361A">
        <w:t xml:space="preserve">billion. </w:t>
      </w:r>
      <w:r w:rsidR="00814B72">
        <w:t xml:space="preserve">States raised </w:t>
      </w:r>
      <w:r w:rsidR="00814B72" w:rsidRPr="006138DF">
        <w:t>$</w:t>
      </w:r>
      <w:r w:rsidR="00BF1391" w:rsidRPr="006138DF">
        <w:t>25.7</w:t>
      </w:r>
      <w:r w:rsidR="00C476C1">
        <w:t> </w:t>
      </w:r>
      <w:r w:rsidR="00814B72" w:rsidRPr="006138DF">
        <w:t>billio</w:t>
      </w:r>
      <w:r w:rsidR="00814B72">
        <w:t xml:space="preserve">n from Payroll tax in </w:t>
      </w:r>
      <w:r w:rsidR="00BF1391">
        <w:t>2018</w:t>
      </w:r>
      <w:r w:rsidR="006138DF">
        <w:noBreakHyphen/>
      </w:r>
      <w:r w:rsidR="00BF1391">
        <w:t>19, making it the largest State revenue source differentially assessed by the Commission.</w:t>
      </w:r>
    </w:p>
    <w:p w14:paraId="0FC85875" w14:textId="7D792CDF" w:rsidR="00A333B5" w:rsidRDefault="002E76C3" w:rsidP="001C52B4">
      <w:pPr>
        <w:pStyle w:val="CGCParaNumber"/>
      </w:pPr>
      <w:r>
        <w:fldChar w:fldCharType="begin"/>
      </w:r>
      <w:r>
        <w:instrText xml:space="preserve"> REF _Ref31790467 \h </w:instrText>
      </w:r>
      <w:r>
        <w:fldChar w:fldCharType="separate"/>
      </w:r>
      <w:r w:rsidR="003D49C2">
        <w:t>Figure 4</w:t>
      </w:r>
      <w:r w:rsidR="003D49C2">
        <w:noBreakHyphen/>
      </w:r>
      <w:r w:rsidR="003D49C2">
        <w:rPr>
          <w:noProof/>
        </w:rPr>
        <w:t>3</w:t>
      </w:r>
      <w:r>
        <w:fldChar w:fldCharType="end"/>
      </w:r>
      <w:r>
        <w:t xml:space="preserve"> shows that, in the three assessment years</w:t>
      </w:r>
      <w:r w:rsidR="006444F7">
        <w:t xml:space="preserve"> for this review</w:t>
      </w:r>
      <w:r w:rsidR="00BA3FF0">
        <w:t xml:space="preserve">, </w:t>
      </w:r>
      <w:r w:rsidR="00EB11AF">
        <w:t>New</w:t>
      </w:r>
      <w:r w:rsidR="006444F7">
        <w:t> </w:t>
      </w:r>
      <w:r w:rsidR="00EB11AF">
        <w:t>South</w:t>
      </w:r>
      <w:r w:rsidR="006444F7">
        <w:t> </w:t>
      </w:r>
      <w:r w:rsidR="00EB11AF">
        <w:t>Wales, Western</w:t>
      </w:r>
      <w:r w:rsidR="006444F7">
        <w:t> </w:t>
      </w:r>
      <w:r w:rsidR="00EB11AF">
        <w:t>Australia and the Northern</w:t>
      </w:r>
      <w:r w:rsidR="006444F7">
        <w:t> </w:t>
      </w:r>
      <w:r w:rsidR="00EB11AF">
        <w:t xml:space="preserve">Territory </w:t>
      </w:r>
      <w:r w:rsidR="00C14311">
        <w:t xml:space="preserve">had above average </w:t>
      </w:r>
      <w:r w:rsidR="00CC0FB7">
        <w:t>per capita</w:t>
      </w:r>
      <w:r w:rsidR="00A333B5">
        <w:t xml:space="preserve"> </w:t>
      </w:r>
      <w:r w:rsidR="009905BC">
        <w:t xml:space="preserve">taxable </w:t>
      </w:r>
      <w:r w:rsidR="00C14311">
        <w:t>remuneration</w:t>
      </w:r>
      <w:r w:rsidR="00672C71">
        <w:rPr>
          <w:rStyle w:val="FootnoteReference"/>
        </w:rPr>
        <w:footnoteReference w:id="11"/>
      </w:r>
      <w:r w:rsidR="003C2D7D">
        <w:t xml:space="preserve"> and</w:t>
      </w:r>
      <w:r w:rsidR="00AC5825">
        <w:t>,</w:t>
      </w:r>
      <w:r w:rsidR="003C2D7D">
        <w:t xml:space="preserve"> </w:t>
      </w:r>
      <w:r w:rsidR="00C510CA">
        <w:t>therefore, above average capacity to raise payroll tax.</w:t>
      </w:r>
      <w:r w:rsidR="009905BC">
        <w:t xml:space="preserve"> </w:t>
      </w:r>
      <w:r w:rsidR="00D6434C">
        <w:t>Victoria and the ACT</w:t>
      </w:r>
      <w:r w:rsidR="004D11F5">
        <w:t xml:space="preserve"> had close to average </w:t>
      </w:r>
      <w:r w:rsidR="005F5EA5">
        <w:t>taxable remuneration in the most recent assessment year, while Queensland, South Australia and Tasmania had below average taxable remuneration.</w:t>
      </w:r>
    </w:p>
    <w:p w14:paraId="7D6B2498" w14:textId="77746F98" w:rsidR="006954C4" w:rsidRDefault="006954C4" w:rsidP="006954C4">
      <w:pPr>
        <w:pStyle w:val="Caption"/>
      </w:pPr>
      <w:bookmarkStart w:id="61" w:name="_Ref31790467"/>
      <w:r>
        <w:t xml:space="preserve">Figure </w:t>
      </w:r>
      <w:r w:rsidR="00D5059E">
        <w:t>4</w:t>
      </w:r>
      <w:r w:rsidR="00D5059E">
        <w:noBreakHyphen/>
      </w:r>
      <w:r>
        <w:fldChar w:fldCharType="begin"/>
      </w:r>
      <w:r>
        <w:instrText>SEQ Figure \* ARABIC</w:instrText>
      </w:r>
      <w:r>
        <w:fldChar w:fldCharType="separate"/>
      </w:r>
      <w:r w:rsidR="003D49C2">
        <w:rPr>
          <w:noProof/>
        </w:rPr>
        <w:t>3</w:t>
      </w:r>
      <w:r>
        <w:fldChar w:fldCharType="end"/>
      </w:r>
      <w:bookmarkEnd w:id="61"/>
      <w:r>
        <w:t xml:space="preserve"> </w:t>
      </w:r>
      <w:r>
        <w:tab/>
      </w:r>
      <w:r w:rsidR="00080432">
        <w:t xml:space="preserve">Payrolls </w:t>
      </w:r>
      <w:r w:rsidR="009371EC">
        <w:t xml:space="preserve">— </w:t>
      </w:r>
      <w:r w:rsidR="00080432">
        <w:t>a</w:t>
      </w:r>
      <w:r w:rsidR="0031694C">
        <w:t>ss</w:t>
      </w:r>
      <w:r w:rsidR="00F62F04">
        <w:t>e</w:t>
      </w:r>
      <w:r w:rsidR="0031694C">
        <w:t>ssed</w:t>
      </w:r>
      <w:r w:rsidR="00F62F04">
        <w:t xml:space="preserve"> taxable </w:t>
      </w:r>
      <w:r w:rsidR="00633EC8">
        <w:t>remuneration</w:t>
      </w:r>
      <w:r w:rsidR="00F62F04">
        <w:t xml:space="preserve"> per capita</w:t>
      </w:r>
      <w:r w:rsidR="001A79B6">
        <w:t>, 2016-17 to 2018-19</w:t>
      </w:r>
    </w:p>
    <w:p w14:paraId="75B26C85" w14:textId="40A52DC4" w:rsidR="00F20FED" w:rsidRPr="00F20FED" w:rsidRDefault="00407847" w:rsidP="00F20FED">
      <w:r>
        <w:rPr>
          <w:noProof/>
        </w:rPr>
        <w:drawing>
          <wp:inline distT="0" distB="0" distL="0" distR="0" wp14:anchorId="17C35E12" wp14:editId="0365A17D">
            <wp:extent cx="5583569" cy="3492000"/>
            <wp:effectExtent l="0" t="0" r="0" b="0"/>
            <wp:docPr id="9" name="Picture 9" descr="This bar graph compares assessed taxable remuneration between 2016-17 to 2018-19. Western Australia and the Northern Territory are above average in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3569" cy="3492000"/>
                    </a:xfrm>
                    <a:prstGeom prst="rect">
                      <a:avLst/>
                    </a:prstGeom>
                    <a:noFill/>
                  </pic:spPr>
                </pic:pic>
              </a:graphicData>
            </a:graphic>
          </wp:inline>
        </w:drawing>
      </w:r>
    </w:p>
    <w:p w14:paraId="761AC976" w14:textId="2D3E7C30" w:rsidR="00FC6E47" w:rsidRPr="00FC6E47" w:rsidRDefault="00FC6E47" w:rsidP="00FC6E47">
      <w:pPr>
        <w:pStyle w:val="CGCTableFootnote"/>
      </w:pPr>
      <w:r>
        <w:t>Source:</w:t>
      </w:r>
      <w:r>
        <w:tab/>
        <w:t>Commission calculation.</w:t>
      </w:r>
    </w:p>
    <w:p w14:paraId="64A0952E" w14:textId="77777777" w:rsidR="003B0B10" w:rsidRDefault="003B0B10">
      <w:pPr>
        <w:tabs>
          <w:tab w:val="clear" w:pos="567"/>
        </w:tabs>
        <w:spacing w:before="0" w:after="160" w:line="259" w:lineRule="auto"/>
        <w:rPr>
          <w:rFonts w:ascii="Montserrat Semi Bold" w:eastAsiaTheme="majorEastAsia" w:hAnsi="Montserrat Semi Bold" w:cstheme="majorBidi"/>
          <w:color w:val="636466"/>
          <w:sz w:val="24"/>
        </w:rPr>
      </w:pPr>
      <w:r>
        <w:br w:type="page"/>
      </w:r>
    </w:p>
    <w:p w14:paraId="2A976A41" w14:textId="35434CB3" w:rsidR="00E31A41" w:rsidRDefault="009F0ECD" w:rsidP="00E31A41">
      <w:pPr>
        <w:pStyle w:val="Heading5"/>
      </w:pPr>
      <w:r>
        <w:lastRenderedPageBreak/>
        <w:t>Taxable land values</w:t>
      </w:r>
    </w:p>
    <w:p w14:paraId="4AAD2099" w14:textId="3E0ABFE4" w:rsidR="001C52B4" w:rsidRPr="001C52B4" w:rsidRDefault="00FF5A83" w:rsidP="001C52B4">
      <w:pPr>
        <w:pStyle w:val="CGCParaNumber"/>
      </w:pPr>
      <w:r w:rsidRPr="00FF5A83">
        <w:t xml:space="preserve">New South Wales and Victoria have the highest value of taxable land per capita. They are assessed to be able to raise almost three quarters of the revenue raised from this source, despite only having 58% of the Australian population. </w:t>
      </w:r>
      <w:r w:rsidR="00697196">
        <w:fldChar w:fldCharType="begin"/>
      </w:r>
      <w:r w:rsidR="00697196">
        <w:instrText xml:space="preserve"> REF _Ref31195944 \h </w:instrText>
      </w:r>
      <w:r w:rsidR="00697196">
        <w:fldChar w:fldCharType="separate"/>
      </w:r>
      <w:r w:rsidR="003D49C2">
        <w:t>Figure 4</w:t>
      </w:r>
      <w:r w:rsidR="003D49C2">
        <w:noBreakHyphen/>
      </w:r>
      <w:r w:rsidR="003D49C2">
        <w:rPr>
          <w:noProof/>
        </w:rPr>
        <w:t>4</w:t>
      </w:r>
      <w:r w:rsidR="00697196">
        <w:fldChar w:fldCharType="end"/>
      </w:r>
      <w:r w:rsidRPr="00FF5A83">
        <w:t xml:space="preserve"> shows the difference in States’ per capita assessed land tax capacity.</w:t>
      </w:r>
    </w:p>
    <w:p w14:paraId="6C20FBA0" w14:textId="2BF8E2EF" w:rsidR="002D30B0" w:rsidRPr="002D30B0" w:rsidRDefault="00FF5A83" w:rsidP="002D30B0">
      <w:pPr>
        <w:pStyle w:val="Caption"/>
      </w:pPr>
      <w:bookmarkStart w:id="62" w:name="_Ref31195944"/>
      <w:r>
        <w:t>Figure</w:t>
      </w:r>
      <w:r w:rsidR="00344BA9">
        <w:t> </w:t>
      </w:r>
      <w:r w:rsidR="00D5059E">
        <w:t>4</w:t>
      </w:r>
      <w:r w:rsidR="00D5059E">
        <w:noBreakHyphen/>
      </w:r>
      <w:r>
        <w:fldChar w:fldCharType="begin"/>
      </w:r>
      <w:r>
        <w:instrText>SEQ Figure \* ARABIC</w:instrText>
      </w:r>
      <w:r>
        <w:fldChar w:fldCharType="separate"/>
      </w:r>
      <w:r w:rsidR="003D49C2">
        <w:rPr>
          <w:noProof/>
        </w:rPr>
        <w:t>4</w:t>
      </w:r>
      <w:r>
        <w:fldChar w:fldCharType="end"/>
      </w:r>
      <w:bookmarkEnd w:id="62"/>
      <w:r>
        <w:tab/>
        <w:t>Assessed land tax per capita by State, 2016</w:t>
      </w:r>
      <w:r>
        <w:noBreakHyphen/>
        <w:t>17 to 2018</w:t>
      </w:r>
      <w:r>
        <w:noBreakHyphen/>
        <w:t>19</w:t>
      </w:r>
    </w:p>
    <w:p w14:paraId="45A933B5" w14:textId="30F4D433" w:rsidR="00FF5A83" w:rsidRDefault="00755900" w:rsidP="00FF5A83">
      <w:r>
        <w:rPr>
          <w:noProof/>
        </w:rPr>
        <w:drawing>
          <wp:inline distT="0" distB="0" distL="0" distR="0" wp14:anchorId="3AD8EFAE" wp14:editId="52A02A6A">
            <wp:extent cx="5663565" cy="3578860"/>
            <wp:effectExtent l="0" t="0" r="0" b="2540"/>
            <wp:docPr id="2034805284" name="Picture 24" descr="This bar graph compares assessed land tax per capita from 2016-17 to 2018-19. New South Wales and Victoria are substantially higher than the other St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663565" cy="3578860"/>
                    </a:xfrm>
                    <a:prstGeom prst="rect">
                      <a:avLst/>
                    </a:prstGeom>
                  </pic:spPr>
                </pic:pic>
              </a:graphicData>
            </a:graphic>
          </wp:inline>
        </w:drawing>
      </w:r>
    </w:p>
    <w:p w14:paraId="27DF4A65" w14:textId="226268B2" w:rsidR="00FF5A83" w:rsidRPr="00FF5A83" w:rsidRDefault="00FF5A83" w:rsidP="00BF759C">
      <w:pPr>
        <w:pStyle w:val="CGCTablenote"/>
      </w:pPr>
      <w:r>
        <w:t>Source:</w:t>
      </w:r>
      <w:r>
        <w:tab/>
      </w:r>
      <w:r w:rsidR="00885D48">
        <w:t>Commission calculation</w:t>
      </w:r>
      <w:r>
        <w:t>.</w:t>
      </w:r>
    </w:p>
    <w:p w14:paraId="2DD5A53A" w14:textId="22E86D21" w:rsidR="00801F17" w:rsidRDefault="00801F17" w:rsidP="00801F17">
      <w:pPr>
        <w:pStyle w:val="Heading5"/>
      </w:pPr>
      <w:r>
        <w:t>Commonwealth payments</w:t>
      </w:r>
    </w:p>
    <w:p w14:paraId="638EC64E" w14:textId="01A8DE70" w:rsidR="00801F17" w:rsidRPr="00801F17" w:rsidRDefault="003810AF" w:rsidP="00801F17">
      <w:pPr>
        <w:pStyle w:val="CGCParaNumber"/>
      </w:pPr>
      <w:r>
        <w:t xml:space="preserve">Payments from the Commonwealth affect State GST shares because they are available </w:t>
      </w:r>
      <w:r w:rsidR="00630B71">
        <w:t>to fund</w:t>
      </w:r>
      <w:r w:rsidR="00AA502D">
        <w:t xml:space="preserve"> State expenses</w:t>
      </w:r>
      <w:r w:rsidR="00F00F8A">
        <w:t xml:space="preserve"> and investment</w:t>
      </w:r>
      <w:r w:rsidR="001009C3">
        <w:t>.</w:t>
      </w:r>
      <w:r w:rsidR="006D3F33">
        <w:rPr>
          <w:rStyle w:val="FootnoteReference"/>
        </w:rPr>
        <w:footnoteReference w:id="12"/>
      </w:r>
      <w:r w:rsidR="001009C3">
        <w:t xml:space="preserve"> States with above average per capita receipts need less GST to fund their services and States with below average per capita receipts require more.</w:t>
      </w:r>
      <w:r w:rsidR="00F00F8A">
        <w:t xml:space="preserve"> </w:t>
      </w:r>
      <w:r w:rsidR="00053B2A">
        <w:t xml:space="preserve"> </w:t>
      </w:r>
      <w:r w:rsidR="00053B2A">
        <w:fldChar w:fldCharType="begin"/>
      </w:r>
      <w:r w:rsidR="00053B2A">
        <w:instrText xml:space="preserve"> REF _Ref31112957 \h </w:instrText>
      </w:r>
      <w:r w:rsidR="00053B2A">
        <w:fldChar w:fldCharType="separate"/>
      </w:r>
      <w:r w:rsidR="003D49C2">
        <w:t>Table 4</w:t>
      </w:r>
      <w:r w:rsidR="003D49C2">
        <w:noBreakHyphen/>
      </w:r>
      <w:r w:rsidR="003D49C2">
        <w:rPr>
          <w:noProof/>
        </w:rPr>
        <w:t>3</w:t>
      </w:r>
      <w:r w:rsidR="00053B2A">
        <w:fldChar w:fldCharType="end"/>
      </w:r>
      <w:r w:rsidR="00053B2A">
        <w:t xml:space="preserve"> shows that </w:t>
      </w:r>
      <w:r w:rsidR="00053B2A" w:rsidRPr="000B5FBC">
        <w:t xml:space="preserve">payments for </w:t>
      </w:r>
      <w:r w:rsidR="00F273EE">
        <w:t xml:space="preserve">infrastructure </w:t>
      </w:r>
      <w:r w:rsidR="005E2A01">
        <w:t xml:space="preserve">(primarily </w:t>
      </w:r>
      <w:r w:rsidR="00AB28F2">
        <w:t xml:space="preserve">road and </w:t>
      </w:r>
      <w:r w:rsidR="00ED440A">
        <w:t>rail</w:t>
      </w:r>
      <w:r w:rsidR="00AB28F2">
        <w:t>)</w:t>
      </w:r>
      <w:r w:rsidR="00053B2A" w:rsidRPr="000B5FBC">
        <w:t xml:space="preserve">, </w:t>
      </w:r>
      <w:r w:rsidR="000B5FBC" w:rsidRPr="000B5FBC">
        <w:t xml:space="preserve">health, schools and </w:t>
      </w:r>
      <w:r w:rsidR="00272C61">
        <w:t>environmental protection</w:t>
      </w:r>
      <w:r w:rsidR="00053B2A" w:rsidRPr="000B5FBC">
        <w:t xml:space="preserve"> have the greatest impact on </w:t>
      </w:r>
      <w:r w:rsidR="002B6E5B">
        <w:t xml:space="preserve">the </w:t>
      </w:r>
      <w:r w:rsidR="00053B2A" w:rsidRPr="000B5FBC">
        <w:t>GST distribution.</w:t>
      </w:r>
    </w:p>
    <w:p w14:paraId="18BF798B" w14:textId="7F77D8BE" w:rsidR="000B5FBC" w:rsidRDefault="00053B2A" w:rsidP="00053B2A">
      <w:pPr>
        <w:pStyle w:val="CGCParaNumber"/>
      </w:pPr>
      <w:r w:rsidRPr="000B5FBC">
        <w:t>New</w:t>
      </w:r>
      <w:r w:rsidR="001A20AA">
        <w:t> </w:t>
      </w:r>
      <w:r w:rsidRPr="000B5FBC">
        <w:t>South</w:t>
      </w:r>
      <w:r w:rsidR="001A20AA">
        <w:t> </w:t>
      </w:r>
      <w:r w:rsidRPr="000B5FBC">
        <w:t>Wales</w:t>
      </w:r>
      <w:r w:rsidR="000B5FBC" w:rsidRPr="000B5FBC">
        <w:t>, Victoria</w:t>
      </w:r>
      <w:r w:rsidRPr="000B5FBC">
        <w:t xml:space="preserve"> and the </w:t>
      </w:r>
      <w:r w:rsidR="000B5FBC" w:rsidRPr="000B5FBC">
        <w:t xml:space="preserve">ACT </w:t>
      </w:r>
      <w:r w:rsidRPr="000B5FBC">
        <w:t xml:space="preserve">require </w:t>
      </w:r>
      <w:r w:rsidR="00577766">
        <w:t>more</w:t>
      </w:r>
      <w:r w:rsidRPr="000B5FBC">
        <w:t xml:space="preserve"> GST because of </w:t>
      </w:r>
      <w:r w:rsidR="000B5FBC" w:rsidRPr="000B5FBC">
        <w:t>their</w:t>
      </w:r>
      <w:r w:rsidRPr="000B5FBC">
        <w:t xml:space="preserve"> </w:t>
      </w:r>
      <w:r w:rsidR="00577766">
        <w:t>below</w:t>
      </w:r>
      <w:r w:rsidRPr="000B5FBC">
        <w:t xml:space="preserve"> average receipts from a range of payments</w:t>
      </w:r>
      <w:r w:rsidR="000B5FBC" w:rsidRPr="000B5FBC">
        <w:t xml:space="preserve">. </w:t>
      </w:r>
      <w:r w:rsidR="000B5FBC">
        <w:t xml:space="preserve">For </w:t>
      </w:r>
      <w:r w:rsidR="000B5FBC" w:rsidRPr="000B5FBC">
        <w:t>Victoria</w:t>
      </w:r>
      <w:r w:rsidR="000B5FBC">
        <w:t>, the main contributors are payments for</w:t>
      </w:r>
      <w:r w:rsidRPr="000B5FBC">
        <w:t xml:space="preserve"> </w:t>
      </w:r>
      <w:r w:rsidR="00796DD1">
        <w:t>road and rail infrastructure</w:t>
      </w:r>
      <w:r w:rsidR="000B5FBC" w:rsidRPr="000B5FBC">
        <w:t>, health and schools</w:t>
      </w:r>
      <w:r w:rsidRPr="000B5FBC">
        <w:t xml:space="preserve">. </w:t>
      </w:r>
    </w:p>
    <w:p w14:paraId="4C191AFD" w14:textId="515F2E70" w:rsidR="00053B2A" w:rsidRDefault="000B5FBC" w:rsidP="00053B2A">
      <w:pPr>
        <w:pStyle w:val="CGCParaNumber"/>
      </w:pPr>
      <w:r>
        <w:t xml:space="preserve">Queensland, </w:t>
      </w:r>
      <w:r w:rsidR="00053B2A">
        <w:t>South</w:t>
      </w:r>
      <w:r w:rsidR="001A20AA">
        <w:t> </w:t>
      </w:r>
      <w:r w:rsidR="00053B2A">
        <w:t>Australia</w:t>
      </w:r>
      <w:r>
        <w:t xml:space="preserve">, Tasmania and the </w:t>
      </w:r>
      <w:r w:rsidR="00053B2A" w:rsidRPr="000B5FBC">
        <w:t>Northern</w:t>
      </w:r>
      <w:r w:rsidR="001A20AA">
        <w:t> </w:t>
      </w:r>
      <w:r w:rsidR="00053B2A" w:rsidRPr="000B5FBC">
        <w:t xml:space="preserve">Territory need </w:t>
      </w:r>
      <w:r w:rsidR="00577766">
        <w:t>less</w:t>
      </w:r>
      <w:r w:rsidR="00053B2A" w:rsidRPr="000B5FBC">
        <w:t xml:space="preserve"> GST because of </w:t>
      </w:r>
      <w:r>
        <w:t>their</w:t>
      </w:r>
      <w:r w:rsidR="00053B2A" w:rsidRPr="000B5FBC">
        <w:t xml:space="preserve"> above average receipts from </w:t>
      </w:r>
      <w:r>
        <w:t xml:space="preserve">Commonwealth </w:t>
      </w:r>
      <w:r w:rsidR="00053B2A" w:rsidRPr="000B5FBC">
        <w:t xml:space="preserve">payments. </w:t>
      </w:r>
      <w:r>
        <w:t>The main contributors are payments</w:t>
      </w:r>
      <w:r w:rsidR="00053B2A">
        <w:t xml:space="preserve"> for </w:t>
      </w:r>
      <w:r>
        <w:t>health</w:t>
      </w:r>
      <w:r w:rsidRPr="000B5FBC">
        <w:t xml:space="preserve"> </w:t>
      </w:r>
      <w:r>
        <w:t xml:space="preserve">for Queensland, schools for Tasmania and </w:t>
      </w:r>
      <w:r w:rsidR="00AE7085">
        <w:t>infrastructure</w:t>
      </w:r>
      <w:r>
        <w:t xml:space="preserve"> for other States. For the Northern</w:t>
      </w:r>
      <w:r w:rsidR="00945519">
        <w:t> </w:t>
      </w:r>
      <w:r>
        <w:t xml:space="preserve">Territory, </w:t>
      </w:r>
      <w:r w:rsidR="00D1632E">
        <w:t xml:space="preserve">the main contributors are </w:t>
      </w:r>
      <w:r>
        <w:t>payments for schools, health and in</w:t>
      </w:r>
      <w:r w:rsidR="00DB0A3E">
        <w:t>frastructure</w:t>
      </w:r>
      <w:r w:rsidR="00053B2A" w:rsidRPr="000B5FBC">
        <w:t>.</w:t>
      </w:r>
    </w:p>
    <w:p w14:paraId="20E3BF2F" w14:textId="6E499CED" w:rsidR="000B5FBC" w:rsidRPr="000B5FBC" w:rsidRDefault="000B5FBC" w:rsidP="00053B2A">
      <w:pPr>
        <w:pStyle w:val="CGCParaNumber"/>
      </w:pPr>
      <w:r>
        <w:lastRenderedPageBreak/>
        <w:t xml:space="preserve">Commonwealth payments </w:t>
      </w:r>
      <w:r w:rsidR="00ED357B">
        <w:t>in aggregate</w:t>
      </w:r>
      <w:r>
        <w:t xml:space="preserve"> had little </w:t>
      </w:r>
      <w:r w:rsidR="00A96942">
        <w:t>effect</w:t>
      </w:r>
      <w:r>
        <w:t xml:space="preserve"> on Western</w:t>
      </w:r>
      <w:r w:rsidR="00C361C5">
        <w:t> </w:t>
      </w:r>
      <w:r>
        <w:t xml:space="preserve">Australia’s GST share. </w:t>
      </w:r>
      <w:r w:rsidR="00577766">
        <w:t>I</w:t>
      </w:r>
      <w:r>
        <w:t>t received a</w:t>
      </w:r>
      <w:r w:rsidR="00577766">
        <w:t>n</w:t>
      </w:r>
      <w:r>
        <w:t xml:space="preserve"> </w:t>
      </w:r>
      <w:r w:rsidR="00577766">
        <w:t>above</w:t>
      </w:r>
      <w:r>
        <w:t xml:space="preserve"> average share of payments related to health and welfare, </w:t>
      </w:r>
      <w:r w:rsidR="004A3750">
        <w:t>while</w:t>
      </w:r>
      <w:r w:rsidR="00577766">
        <w:t xml:space="preserve"> </w:t>
      </w:r>
      <w:r>
        <w:t xml:space="preserve">this </w:t>
      </w:r>
      <w:r w:rsidR="00824801">
        <w:t>wa</w:t>
      </w:r>
      <w:r>
        <w:t>s offset by its below average share of payments related to schools and services to communities.</w:t>
      </w:r>
    </w:p>
    <w:p w14:paraId="5D850D67" w14:textId="15410F38" w:rsidR="00E43B81" w:rsidRDefault="00E43B81" w:rsidP="00E22AA8">
      <w:pPr>
        <w:pStyle w:val="Caption"/>
      </w:pPr>
      <w:bookmarkStart w:id="63" w:name="_Ref31112957"/>
      <w:r>
        <w:t xml:space="preserve">Table </w:t>
      </w:r>
      <w:r w:rsidR="00D5059E">
        <w:t>4</w:t>
      </w:r>
      <w:r w:rsidR="00D5059E">
        <w:noBreakHyphen/>
      </w:r>
      <w:r>
        <w:fldChar w:fldCharType="begin"/>
      </w:r>
      <w:r>
        <w:instrText>SEQ Table \* ARABIC</w:instrText>
      </w:r>
      <w:r>
        <w:fldChar w:fldCharType="separate"/>
      </w:r>
      <w:r w:rsidR="003D49C2">
        <w:rPr>
          <w:noProof/>
        </w:rPr>
        <w:t>3</w:t>
      </w:r>
      <w:r>
        <w:fldChar w:fldCharType="end"/>
      </w:r>
      <w:bookmarkEnd w:id="63"/>
      <w:r>
        <w:tab/>
      </w:r>
      <w:r w:rsidR="00B526EE">
        <w:t xml:space="preserve">Revenue </w:t>
      </w:r>
      <w:r w:rsidR="00485D73">
        <w:t>effect</w:t>
      </w:r>
      <w:r w:rsidR="00B526EE">
        <w:t xml:space="preserve"> of </w:t>
      </w:r>
      <w:r w:rsidR="00500658">
        <w:t>Commonwealth payments</w:t>
      </w:r>
      <w:r w:rsidR="00C20BD0">
        <w:t>, by category</w:t>
      </w:r>
      <w:r w:rsidR="00EF5095">
        <w:t>, 20</w:t>
      </w:r>
      <w:r w:rsidR="00E635A1">
        <w:t>20</w:t>
      </w:r>
      <w:r w:rsidR="00EF5095">
        <w:noBreakHyphen/>
      </w:r>
      <w:r w:rsidR="00E635A1">
        <w:t>2</w:t>
      </w:r>
      <w:r w:rsidR="00EF5095">
        <w:t>1</w:t>
      </w:r>
    </w:p>
    <w:tbl>
      <w:tblPr>
        <w:tblW w:w="8902" w:type="dxa"/>
        <w:tblCellMar>
          <w:left w:w="0" w:type="dxa"/>
          <w:right w:w="28" w:type="dxa"/>
        </w:tblCellMar>
        <w:tblLook w:val="04A0" w:firstRow="1" w:lastRow="0" w:firstColumn="1" w:lastColumn="0" w:noHBand="0" w:noVBand="1"/>
      </w:tblPr>
      <w:tblGrid>
        <w:gridCol w:w="3610"/>
        <w:gridCol w:w="576"/>
        <w:gridCol w:w="620"/>
        <w:gridCol w:w="567"/>
        <w:gridCol w:w="567"/>
        <w:gridCol w:w="567"/>
        <w:gridCol w:w="567"/>
        <w:gridCol w:w="570"/>
        <w:gridCol w:w="567"/>
        <w:gridCol w:w="691"/>
      </w:tblGrid>
      <w:tr w:rsidR="0005382F" w:rsidRPr="0005382F" w14:paraId="0FD0BE46" w14:textId="77777777" w:rsidTr="00500FBE">
        <w:trPr>
          <w:trHeight w:val="379"/>
        </w:trPr>
        <w:tc>
          <w:tcPr>
            <w:tcW w:w="3686" w:type="dxa"/>
            <w:tcBorders>
              <w:top w:val="single" w:sz="4" w:space="0" w:color="ADD6EA"/>
              <w:left w:val="nil"/>
              <w:bottom w:val="single" w:sz="4" w:space="0" w:color="ADD6EA"/>
              <w:right w:val="nil"/>
            </w:tcBorders>
            <w:shd w:val="clear" w:color="000000" w:fill="006991"/>
            <w:vAlign w:val="center"/>
            <w:hideMark/>
          </w:tcPr>
          <w:p w14:paraId="29EA7BC5"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bookmarkStart w:id="64" w:name="RANGE!A19:J33"/>
            <w:r w:rsidRPr="0005382F">
              <w:rPr>
                <w:rFonts w:ascii="Open Sans SemiBold" w:eastAsia="Times New Roman" w:hAnsi="Open Sans SemiBold" w:cs="Open Sans SemiBold"/>
                <w:color w:val="FFFFFF"/>
                <w:sz w:val="16"/>
                <w:szCs w:val="16"/>
                <w:lang w:val="en-AU" w:eastAsia="en-AU"/>
              </w:rPr>
              <w:t> </w:t>
            </w:r>
            <w:bookmarkEnd w:id="64"/>
          </w:p>
        </w:tc>
        <w:tc>
          <w:tcPr>
            <w:tcW w:w="581" w:type="dxa"/>
            <w:tcBorders>
              <w:top w:val="single" w:sz="4" w:space="0" w:color="ADD6EA"/>
              <w:left w:val="nil"/>
              <w:bottom w:val="single" w:sz="4" w:space="0" w:color="ADD6EA"/>
              <w:right w:val="nil"/>
            </w:tcBorders>
            <w:shd w:val="clear" w:color="000000" w:fill="006991"/>
            <w:vAlign w:val="center"/>
            <w:hideMark/>
          </w:tcPr>
          <w:p w14:paraId="239AFEF9"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NSW</w:t>
            </w:r>
          </w:p>
        </w:tc>
        <w:tc>
          <w:tcPr>
            <w:tcW w:w="625" w:type="dxa"/>
            <w:tcBorders>
              <w:top w:val="single" w:sz="4" w:space="0" w:color="ADD6EA"/>
              <w:left w:val="nil"/>
              <w:bottom w:val="single" w:sz="4" w:space="0" w:color="ADD6EA"/>
              <w:right w:val="nil"/>
            </w:tcBorders>
            <w:shd w:val="clear" w:color="000000" w:fill="006991"/>
            <w:vAlign w:val="center"/>
            <w:hideMark/>
          </w:tcPr>
          <w:p w14:paraId="0C345819"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Vic</w:t>
            </w:r>
          </w:p>
        </w:tc>
        <w:tc>
          <w:tcPr>
            <w:tcW w:w="575" w:type="dxa"/>
            <w:tcBorders>
              <w:top w:val="single" w:sz="4" w:space="0" w:color="ADD6EA"/>
              <w:left w:val="nil"/>
              <w:bottom w:val="single" w:sz="4" w:space="0" w:color="ADD6EA"/>
              <w:right w:val="nil"/>
            </w:tcBorders>
            <w:shd w:val="clear" w:color="000000" w:fill="006991"/>
            <w:vAlign w:val="center"/>
            <w:hideMark/>
          </w:tcPr>
          <w:p w14:paraId="4F246F0E"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Qld</w:t>
            </w:r>
          </w:p>
        </w:tc>
        <w:tc>
          <w:tcPr>
            <w:tcW w:w="575" w:type="dxa"/>
            <w:tcBorders>
              <w:top w:val="single" w:sz="4" w:space="0" w:color="ADD6EA"/>
              <w:left w:val="nil"/>
              <w:bottom w:val="single" w:sz="4" w:space="0" w:color="ADD6EA"/>
              <w:right w:val="nil"/>
            </w:tcBorders>
            <w:shd w:val="clear" w:color="000000" w:fill="006991"/>
            <w:vAlign w:val="center"/>
            <w:hideMark/>
          </w:tcPr>
          <w:p w14:paraId="43C539DD"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WA</w:t>
            </w:r>
          </w:p>
        </w:tc>
        <w:tc>
          <w:tcPr>
            <w:tcW w:w="575" w:type="dxa"/>
            <w:tcBorders>
              <w:top w:val="single" w:sz="4" w:space="0" w:color="ADD6EA"/>
              <w:left w:val="nil"/>
              <w:bottom w:val="single" w:sz="4" w:space="0" w:color="ADD6EA"/>
              <w:right w:val="nil"/>
            </w:tcBorders>
            <w:shd w:val="clear" w:color="000000" w:fill="006991"/>
            <w:vAlign w:val="center"/>
            <w:hideMark/>
          </w:tcPr>
          <w:p w14:paraId="00499B98"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SA</w:t>
            </w:r>
          </w:p>
        </w:tc>
        <w:tc>
          <w:tcPr>
            <w:tcW w:w="575" w:type="dxa"/>
            <w:tcBorders>
              <w:top w:val="single" w:sz="4" w:space="0" w:color="ADD6EA"/>
              <w:left w:val="nil"/>
              <w:bottom w:val="single" w:sz="4" w:space="0" w:color="ADD6EA"/>
              <w:right w:val="nil"/>
            </w:tcBorders>
            <w:shd w:val="clear" w:color="000000" w:fill="006991"/>
            <w:vAlign w:val="center"/>
            <w:hideMark/>
          </w:tcPr>
          <w:p w14:paraId="22E2D490"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Tas</w:t>
            </w:r>
          </w:p>
        </w:tc>
        <w:tc>
          <w:tcPr>
            <w:tcW w:w="577" w:type="dxa"/>
            <w:tcBorders>
              <w:top w:val="single" w:sz="4" w:space="0" w:color="ADD6EA"/>
              <w:left w:val="nil"/>
              <w:bottom w:val="single" w:sz="4" w:space="0" w:color="ADD6EA"/>
              <w:right w:val="nil"/>
            </w:tcBorders>
            <w:shd w:val="clear" w:color="000000" w:fill="006991"/>
            <w:vAlign w:val="center"/>
            <w:hideMark/>
          </w:tcPr>
          <w:p w14:paraId="73015095"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ACT</w:t>
            </w:r>
          </w:p>
        </w:tc>
        <w:tc>
          <w:tcPr>
            <w:tcW w:w="575" w:type="dxa"/>
            <w:tcBorders>
              <w:top w:val="single" w:sz="4" w:space="0" w:color="ADD6EA"/>
              <w:left w:val="nil"/>
              <w:bottom w:val="single" w:sz="4" w:space="0" w:color="ADD6EA"/>
              <w:right w:val="nil"/>
            </w:tcBorders>
            <w:shd w:val="clear" w:color="000000" w:fill="006991"/>
            <w:vAlign w:val="center"/>
            <w:hideMark/>
          </w:tcPr>
          <w:p w14:paraId="147D5C2B"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NT</w:t>
            </w:r>
          </w:p>
        </w:tc>
        <w:tc>
          <w:tcPr>
            <w:tcW w:w="696" w:type="dxa"/>
            <w:tcBorders>
              <w:top w:val="single" w:sz="4" w:space="0" w:color="ADD6EA"/>
              <w:left w:val="nil"/>
              <w:bottom w:val="single" w:sz="4" w:space="0" w:color="ADD6EA"/>
              <w:right w:val="nil"/>
            </w:tcBorders>
            <w:shd w:val="clear" w:color="000000" w:fill="006991"/>
            <w:vAlign w:val="center"/>
            <w:hideMark/>
          </w:tcPr>
          <w:p w14:paraId="284590CD"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382F">
              <w:rPr>
                <w:rFonts w:ascii="Open Sans SemiBold" w:eastAsia="Times New Roman" w:hAnsi="Open Sans SemiBold" w:cs="Open Sans SemiBold"/>
                <w:color w:val="FFFFFF"/>
                <w:sz w:val="16"/>
                <w:szCs w:val="16"/>
                <w:lang w:val="en-AU" w:eastAsia="en-AU"/>
              </w:rPr>
              <w:t>Redist</w:t>
            </w:r>
          </w:p>
        </w:tc>
      </w:tr>
      <w:tr w:rsidR="0005382F" w:rsidRPr="0005382F" w14:paraId="005ADBBB" w14:textId="77777777" w:rsidTr="00500FBE">
        <w:trPr>
          <w:trHeight w:val="259"/>
        </w:trPr>
        <w:tc>
          <w:tcPr>
            <w:tcW w:w="3686" w:type="dxa"/>
            <w:tcBorders>
              <w:top w:val="nil"/>
              <w:left w:val="nil"/>
              <w:bottom w:val="single" w:sz="4" w:space="0" w:color="ADD6EA"/>
              <w:right w:val="nil"/>
            </w:tcBorders>
            <w:shd w:val="clear" w:color="000000" w:fill="B6D5E4"/>
            <w:vAlign w:val="center"/>
            <w:hideMark/>
          </w:tcPr>
          <w:p w14:paraId="562046F0" w14:textId="77777777" w:rsidR="0005382F" w:rsidRPr="0005382F" w:rsidRDefault="0005382F" w:rsidP="0005382F">
            <w:pPr>
              <w:tabs>
                <w:tab w:val="clear" w:pos="567"/>
              </w:tabs>
              <w:spacing w:before="0" w:line="240" w:lineRule="auto"/>
              <w:rPr>
                <w:rFonts w:eastAsia="Times New Roman" w:cs="Open Sans Light"/>
                <w:color w:val="000000"/>
                <w:sz w:val="16"/>
                <w:szCs w:val="16"/>
                <w:lang w:val="en-AU" w:eastAsia="en-AU"/>
              </w:rPr>
            </w:pPr>
            <w:r w:rsidRPr="0005382F">
              <w:rPr>
                <w:rFonts w:eastAsia="Times New Roman" w:cs="Open Sans Light"/>
                <w:color w:val="000000"/>
                <w:sz w:val="16"/>
                <w:szCs w:val="16"/>
                <w:lang w:val="en-AU" w:eastAsia="en-AU"/>
              </w:rPr>
              <w:t> </w:t>
            </w:r>
          </w:p>
        </w:tc>
        <w:tc>
          <w:tcPr>
            <w:tcW w:w="581" w:type="dxa"/>
            <w:tcBorders>
              <w:top w:val="nil"/>
              <w:left w:val="nil"/>
              <w:bottom w:val="single" w:sz="4" w:space="0" w:color="ADD6EA"/>
              <w:right w:val="nil"/>
            </w:tcBorders>
            <w:shd w:val="clear" w:color="000000" w:fill="B6D5E4"/>
            <w:vAlign w:val="center"/>
            <w:hideMark/>
          </w:tcPr>
          <w:p w14:paraId="2F4E5847"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625" w:type="dxa"/>
            <w:tcBorders>
              <w:top w:val="nil"/>
              <w:left w:val="nil"/>
              <w:bottom w:val="single" w:sz="4" w:space="0" w:color="ADD6EA"/>
              <w:right w:val="nil"/>
            </w:tcBorders>
            <w:shd w:val="clear" w:color="000000" w:fill="B6D5E4"/>
            <w:vAlign w:val="center"/>
            <w:hideMark/>
          </w:tcPr>
          <w:p w14:paraId="6B9D75A1"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12B69987"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022C8339"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00B2D782"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680259BD"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7" w:type="dxa"/>
            <w:tcBorders>
              <w:top w:val="nil"/>
              <w:left w:val="nil"/>
              <w:bottom w:val="single" w:sz="4" w:space="0" w:color="ADD6EA"/>
              <w:right w:val="nil"/>
            </w:tcBorders>
            <w:shd w:val="clear" w:color="000000" w:fill="B6D5E4"/>
            <w:vAlign w:val="center"/>
            <w:hideMark/>
          </w:tcPr>
          <w:p w14:paraId="3D398B62"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63A512A1"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c>
          <w:tcPr>
            <w:tcW w:w="696" w:type="dxa"/>
            <w:tcBorders>
              <w:top w:val="nil"/>
              <w:left w:val="nil"/>
              <w:bottom w:val="single" w:sz="4" w:space="0" w:color="ADD6EA"/>
              <w:right w:val="nil"/>
            </w:tcBorders>
            <w:shd w:val="clear" w:color="000000" w:fill="B6D5E4"/>
            <w:vAlign w:val="center"/>
            <w:hideMark/>
          </w:tcPr>
          <w:p w14:paraId="4EC89722"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$m</w:t>
            </w:r>
          </w:p>
        </w:tc>
      </w:tr>
      <w:tr w:rsidR="0005382F" w:rsidRPr="0005382F" w14:paraId="74A8872A"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38AC4962"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Schools</w:t>
            </w:r>
          </w:p>
        </w:tc>
        <w:tc>
          <w:tcPr>
            <w:tcW w:w="581" w:type="dxa"/>
            <w:tcBorders>
              <w:top w:val="nil"/>
              <w:left w:val="nil"/>
              <w:bottom w:val="single" w:sz="4" w:space="0" w:color="ADD6EA"/>
              <w:right w:val="nil"/>
            </w:tcBorders>
            <w:shd w:val="clear" w:color="auto" w:fill="auto"/>
            <w:vAlign w:val="bottom"/>
            <w:hideMark/>
          </w:tcPr>
          <w:p w14:paraId="44881423"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48</w:t>
            </w:r>
          </w:p>
        </w:tc>
        <w:tc>
          <w:tcPr>
            <w:tcW w:w="625" w:type="dxa"/>
            <w:tcBorders>
              <w:top w:val="nil"/>
              <w:left w:val="nil"/>
              <w:bottom w:val="single" w:sz="4" w:space="0" w:color="ADD6EA"/>
              <w:right w:val="nil"/>
            </w:tcBorders>
            <w:shd w:val="clear" w:color="auto" w:fill="auto"/>
            <w:vAlign w:val="bottom"/>
            <w:hideMark/>
          </w:tcPr>
          <w:p w14:paraId="33795B4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224</w:t>
            </w:r>
          </w:p>
        </w:tc>
        <w:tc>
          <w:tcPr>
            <w:tcW w:w="575" w:type="dxa"/>
            <w:tcBorders>
              <w:top w:val="nil"/>
              <w:left w:val="nil"/>
              <w:bottom w:val="single" w:sz="4" w:space="0" w:color="ADD6EA"/>
              <w:right w:val="nil"/>
            </w:tcBorders>
            <w:shd w:val="clear" w:color="auto" w:fill="auto"/>
            <w:vAlign w:val="bottom"/>
            <w:hideMark/>
          </w:tcPr>
          <w:p w14:paraId="51AFA77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-214</w:t>
            </w:r>
          </w:p>
        </w:tc>
        <w:tc>
          <w:tcPr>
            <w:tcW w:w="575" w:type="dxa"/>
            <w:tcBorders>
              <w:top w:val="nil"/>
              <w:left w:val="nil"/>
              <w:bottom w:val="single" w:sz="4" w:space="0" w:color="ADD6EA"/>
              <w:right w:val="nil"/>
            </w:tcBorders>
            <w:shd w:val="clear" w:color="auto" w:fill="auto"/>
            <w:vAlign w:val="bottom"/>
            <w:hideMark/>
          </w:tcPr>
          <w:p w14:paraId="5AB8063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75</w:t>
            </w:r>
          </w:p>
        </w:tc>
        <w:tc>
          <w:tcPr>
            <w:tcW w:w="575" w:type="dxa"/>
            <w:tcBorders>
              <w:top w:val="nil"/>
              <w:left w:val="nil"/>
              <w:bottom w:val="single" w:sz="4" w:space="0" w:color="ADD6EA"/>
              <w:right w:val="nil"/>
            </w:tcBorders>
            <w:shd w:val="clear" w:color="auto" w:fill="auto"/>
            <w:vAlign w:val="bottom"/>
            <w:hideMark/>
          </w:tcPr>
          <w:p w14:paraId="60D3A6E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21</w:t>
            </w:r>
          </w:p>
        </w:tc>
        <w:tc>
          <w:tcPr>
            <w:tcW w:w="575" w:type="dxa"/>
            <w:tcBorders>
              <w:top w:val="nil"/>
              <w:left w:val="nil"/>
              <w:bottom w:val="single" w:sz="4" w:space="0" w:color="ADD6EA"/>
              <w:right w:val="nil"/>
            </w:tcBorders>
            <w:shd w:val="clear" w:color="auto" w:fill="auto"/>
            <w:vAlign w:val="bottom"/>
            <w:hideMark/>
          </w:tcPr>
          <w:p w14:paraId="32B7B35B"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-41</w:t>
            </w:r>
          </w:p>
        </w:tc>
        <w:tc>
          <w:tcPr>
            <w:tcW w:w="577" w:type="dxa"/>
            <w:tcBorders>
              <w:top w:val="nil"/>
              <w:left w:val="nil"/>
              <w:bottom w:val="single" w:sz="4" w:space="0" w:color="ADD6EA"/>
              <w:right w:val="nil"/>
            </w:tcBorders>
            <w:shd w:val="clear" w:color="auto" w:fill="auto"/>
            <w:vAlign w:val="bottom"/>
            <w:hideMark/>
          </w:tcPr>
          <w:p w14:paraId="4C687B0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24</w:t>
            </w:r>
          </w:p>
        </w:tc>
        <w:tc>
          <w:tcPr>
            <w:tcW w:w="575" w:type="dxa"/>
            <w:tcBorders>
              <w:top w:val="nil"/>
              <w:left w:val="nil"/>
              <w:bottom w:val="single" w:sz="4" w:space="0" w:color="ADD6EA"/>
              <w:right w:val="nil"/>
            </w:tcBorders>
            <w:shd w:val="clear" w:color="auto" w:fill="auto"/>
            <w:vAlign w:val="bottom"/>
            <w:hideMark/>
          </w:tcPr>
          <w:p w14:paraId="5F45AF7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-138</w:t>
            </w:r>
          </w:p>
        </w:tc>
        <w:tc>
          <w:tcPr>
            <w:tcW w:w="696" w:type="dxa"/>
            <w:tcBorders>
              <w:top w:val="nil"/>
              <w:left w:val="nil"/>
              <w:bottom w:val="single" w:sz="4" w:space="0" w:color="ADD6EA"/>
              <w:right w:val="nil"/>
            </w:tcBorders>
            <w:shd w:val="clear" w:color="auto" w:fill="auto"/>
            <w:vAlign w:val="bottom"/>
            <w:hideMark/>
          </w:tcPr>
          <w:p w14:paraId="0F6A1B5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392</w:t>
            </w:r>
          </w:p>
        </w:tc>
      </w:tr>
      <w:tr w:rsidR="0005382F" w:rsidRPr="0005382F" w14:paraId="61710406"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005641EF"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Post-secondary education</w:t>
            </w:r>
          </w:p>
        </w:tc>
        <w:tc>
          <w:tcPr>
            <w:tcW w:w="581" w:type="dxa"/>
            <w:tcBorders>
              <w:top w:val="nil"/>
              <w:left w:val="nil"/>
              <w:bottom w:val="single" w:sz="4" w:space="0" w:color="ADD6EA"/>
              <w:right w:val="nil"/>
            </w:tcBorders>
            <w:shd w:val="clear" w:color="auto" w:fill="auto"/>
            <w:vAlign w:val="bottom"/>
            <w:hideMark/>
          </w:tcPr>
          <w:p w14:paraId="082C220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-28</w:t>
            </w:r>
          </w:p>
        </w:tc>
        <w:tc>
          <w:tcPr>
            <w:tcW w:w="625" w:type="dxa"/>
            <w:tcBorders>
              <w:top w:val="nil"/>
              <w:left w:val="nil"/>
              <w:bottom w:val="single" w:sz="4" w:space="0" w:color="ADD6EA"/>
              <w:right w:val="nil"/>
            </w:tcBorders>
            <w:shd w:val="clear" w:color="auto" w:fill="auto"/>
            <w:vAlign w:val="bottom"/>
            <w:hideMark/>
          </w:tcPr>
          <w:p w14:paraId="2023175B"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22</w:t>
            </w:r>
          </w:p>
        </w:tc>
        <w:tc>
          <w:tcPr>
            <w:tcW w:w="575" w:type="dxa"/>
            <w:tcBorders>
              <w:top w:val="nil"/>
              <w:left w:val="nil"/>
              <w:bottom w:val="single" w:sz="4" w:space="0" w:color="ADD6EA"/>
              <w:right w:val="nil"/>
            </w:tcBorders>
            <w:shd w:val="clear" w:color="auto" w:fill="auto"/>
            <w:vAlign w:val="bottom"/>
            <w:hideMark/>
          </w:tcPr>
          <w:p w14:paraId="7D43BC9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10</w:t>
            </w:r>
          </w:p>
        </w:tc>
        <w:tc>
          <w:tcPr>
            <w:tcW w:w="575" w:type="dxa"/>
            <w:tcBorders>
              <w:top w:val="nil"/>
              <w:left w:val="nil"/>
              <w:bottom w:val="single" w:sz="4" w:space="0" w:color="ADD6EA"/>
              <w:right w:val="nil"/>
            </w:tcBorders>
            <w:shd w:val="clear" w:color="auto" w:fill="auto"/>
            <w:vAlign w:val="bottom"/>
            <w:hideMark/>
          </w:tcPr>
          <w:p w14:paraId="2AA7B754"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w:t>
            </w:r>
          </w:p>
        </w:tc>
        <w:tc>
          <w:tcPr>
            <w:tcW w:w="575" w:type="dxa"/>
            <w:tcBorders>
              <w:top w:val="nil"/>
              <w:left w:val="nil"/>
              <w:bottom w:val="single" w:sz="4" w:space="0" w:color="ADD6EA"/>
              <w:right w:val="nil"/>
            </w:tcBorders>
            <w:shd w:val="clear" w:color="auto" w:fill="auto"/>
            <w:vAlign w:val="bottom"/>
            <w:hideMark/>
          </w:tcPr>
          <w:p w14:paraId="7F30DD1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575" w:type="dxa"/>
            <w:tcBorders>
              <w:top w:val="nil"/>
              <w:left w:val="nil"/>
              <w:bottom w:val="single" w:sz="4" w:space="0" w:color="ADD6EA"/>
              <w:right w:val="nil"/>
            </w:tcBorders>
            <w:shd w:val="clear" w:color="auto" w:fill="auto"/>
            <w:vAlign w:val="bottom"/>
            <w:hideMark/>
          </w:tcPr>
          <w:p w14:paraId="109FAC4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577" w:type="dxa"/>
            <w:tcBorders>
              <w:top w:val="nil"/>
              <w:left w:val="nil"/>
              <w:bottom w:val="single" w:sz="4" w:space="0" w:color="ADD6EA"/>
              <w:right w:val="nil"/>
            </w:tcBorders>
            <w:shd w:val="clear" w:color="auto" w:fill="auto"/>
            <w:vAlign w:val="bottom"/>
            <w:hideMark/>
          </w:tcPr>
          <w:p w14:paraId="58A1EF1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575E65D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696" w:type="dxa"/>
            <w:tcBorders>
              <w:top w:val="nil"/>
              <w:left w:val="nil"/>
              <w:bottom w:val="single" w:sz="4" w:space="0" w:color="ADD6EA"/>
              <w:right w:val="nil"/>
            </w:tcBorders>
            <w:shd w:val="clear" w:color="auto" w:fill="auto"/>
            <w:vAlign w:val="bottom"/>
            <w:hideMark/>
          </w:tcPr>
          <w:p w14:paraId="5B7638E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37</w:t>
            </w:r>
          </w:p>
        </w:tc>
      </w:tr>
      <w:tr w:rsidR="0005382F" w:rsidRPr="0005382F" w14:paraId="1C1B1FD1"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47B456C9"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Health</w:t>
            </w:r>
          </w:p>
        </w:tc>
        <w:tc>
          <w:tcPr>
            <w:tcW w:w="581" w:type="dxa"/>
            <w:tcBorders>
              <w:top w:val="nil"/>
              <w:left w:val="nil"/>
              <w:bottom w:val="single" w:sz="4" w:space="0" w:color="ADD6EA"/>
              <w:right w:val="nil"/>
            </w:tcBorders>
            <w:shd w:val="clear" w:color="auto" w:fill="auto"/>
            <w:vAlign w:val="bottom"/>
            <w:hideMark/>
          </w:tcPr>
          <w:p w14:paraId="6C72397B"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167</w:t>
            </w:r>
          </w:p>
        </w:tc>
        <w:tc>
          <w:tcPr>
            <w:tcW w:w="625" w:type="dxa"/>
            <w:tcBorders>
              <w:top w:val="nil"/>
              <w:left w:val="nil"/>
              <w:bottom w:val="single" w:sz="4" w:space="0" w:color="ADD6EA"/>
              <w:right w:val="nil"/>
            </w:tcBorders>
            <w:shd w:val="clear" w:color="auto" w:fill="auto"/>
            <w:vAlign w:val="bottom"/>
            <w:hideMark/>
          </w:tcPr>
          <w:p w14:paraId="7514031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345</w:t>
            </w:r>
          </w:p>
        </w:tc>
        <w:tc>
          <w:tcPr>
            <w:tcW w:w="575" w:type="dxa"/>
            <w:tcBorders>
              <w:top w:val="nil"/>
              <w:left w:val="nil"/>
              <w:bottom w:val="single" w:sz="4" w:space="0" w:color="ADD6EA"/>
              <w:right w:val="nil"/>
            </w:tcBorders>
            <w:shd w:val="clear" w:color="auto" w:fill="auto"/>
            <w:vAlign w:val="bottom"/>
            <w:hideMark/>
          </w:tcPr>
          <w:p w14:paraId="1BC685D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-407</w:t>
            </w:r>
          </w:p>
        </w:tc>
        <w:tc>
          <w:tcPr>
            <w:tcW w:w="575" w:type="dxa"/>
            <w:tcBorders>
              <w:top w:val="nil"/>
              <w:left w:val="nil"/>
              <w:bottom w:val="single" w:sz="4" w:space="0" w:color="ADD6EA"/>
              <w:right w:val="nil"/>
            </w:tcBorders>
            <w:shd w:val="clear" w:color="auto" w:fill="auto"/>
            <w:vAlign w:val="bottom"/>
            <w:hideMark/>
          </w:tcPr>
          <w:p w14:paraId="2A0A04F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-91</w:t>
            </w:r>
          </w:p>
        </w:tc>
        <w:tc>
          <w:tcPr>
            <w:tcW w:w="575" w:type="dxa"/>
            <w:tcBorders>
              <w:top w:val="nil"/>
              <w:left w:val="nil"/>
              <w:bottom w:val="single" w:sz="4" w:space="0" w:color="ADD6EA"/>
              <w:right w:val="nil"/>
            </w:tcBorders>
            <w:shd w:val="clear" w:color="auto" w:fill="auto"/>
            <w:vAlign w:val="bottom"/>
            <w:hideMark/>
          </w:tcPr>
          <w:p w14:paraId="5D6C57FB"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87</w:t>
            </w:r>
          </w:p>
        </w:tc>
        <w:tc>
          <w:tcPr>
            <w:tcW w:w="575" w:type="dxa"/>
            <w:tcBorders>
              <w:top w:val="nil"/>
              <w:left w:val="nil"/>
              <w:bottom w:val="single" w:sz="4" w:space="0" w:color="ADD6EA"/>
              <w:right w:val="nil"/>
            </w:tcBorders>
            <w:shd w:val="clear" w:color="auto" w:fill="auto"/>
            <w:vAlign w:val="bottom"/>
            <w:hideMark/>
          </w:tcPr>
          <w:p w14:paraId="20782E7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-7</w:t>
            </w:r>
          </w:p>
        </w:tc>
        <w:tc>
          <w:tcPr>
            <w:tcW w:w="577" w:type="dxa"/>
            <w:tcBorders>
              <w:top w:val="nil"/>
              <w:left w:val="nil"/>
              <w:bottom w:val="single" w:sz="4" w:space="0" w:color="ADD6EA"/>
              <w:right w:val="nil"/>
            </w:tcBorders>
            <w:shd w:val="clear" w:color="auto" w:fill="auto"/>
            <w:vAlign w:val="bottom"/>
            <w:hideMark/>
          </w:tcPr>
          <w:p w14:paraId="3D9C90B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31</w:t>
            </w:r>
          </w:p>
        </w:tc>
        <w:tc>
          <w:tcPr>
            <w:tcW w:w="575" w:type="dxa"/>
            <w:tcBorders>
              <w:top w:val="nil"/>
              <w:left w:val="nil"/>
              <w:bottom w:val="single" w:sz="4" w:space="0" w:color="ADD6EA"/>
              <w:right w:val="nil"/>
            </w:tcBorders>
            <w:shd w:val="clear" w:color="auto" w:fill="auto"/>
            <w:vAlign w:val="bottom"/>
            <w:hideMark/>
          </w:tcPr>
          <w:p w14:paraId="3A68500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-124</w:t>
            </w:r>
          </w:p>
        </w:tc>
        <w:tc>
          <w:tcPr>
            <w:tcW w:w="696" w:type="dxa"/>
            <w:tcBorders>
              <w:top w:val="nil"/>
              <w:left w:val="nil"/>
              <w:bottom w:val="single" w:sz="4" w:space="0" w:color="ADD6EA"/>
              <w:right w:val="nil"/>
            </w:tcBorders>
            <w:shd w:val="clear" w:color="auto" w:fill="auto"/>
            <w:vAlign w:val="bottom"/>
            <w:hideMark/>
          </w:tcPr>
          <w:p w14:paraId="4ED352C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629</w:t>
            </w:r>
          </w:p>
        </w:tc>
      </w:tr>
      <w:tr w:rsidR="0005382F" w:rsidRPr="0005382F" w14:paraId="27801EEE"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57A05D01"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Housing</w:t>
            </w:r>
          </w:p>
        </w:tc>
        <w:tc>
          <w:tcPr>
            <w:tcW w:w="581" w:type="dxa"/>
            <w:tcBorders>
              <w:top w:val="nil"/>
              <w:left w:val="nil"/>
              <w:bottom w:val="single" w:sz="4" w:space="0" w:color="ADD6EA"/>
              <w:right w:val="nil"/>
            </w:tcBorders>
            <w:shd w:val="clear" w:color="auto" w:fill="auto"/>
            <w:vAlign w:val="bottom"/>
            <w:hideMark/>
          </w:tcPr>
          <w:p w14:paraId="3E1CE587"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w:t>
            </w:r>
          </w:p>
        </w:tc>
        <w:tc>
          <w:tcPr>
            <w:tcW w:w="625" w:type="dxa"/>
            <w:tcBorders>
              <w:top w:val="nil"/>
              <w:left w:val="nil"/>
              <w:bottom w:val="single" w:sz="4" w:space="0" w:color="ADD6EA"/>
              <w:right w:val="nil"/>
            </w:tcBorders>
            <w:shd w:val="clear" w:color="auto" w:fill="auto"/>
            <w:vAlign w:val="bottom"/>
            <w:hideMark/>
          </w:tcPr>
          <w:p w14:paraId="759E30A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50BE455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2E78365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54C95F8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4C619EA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7" w:type="dxa"/>
            <w:tcBorders>
              <w:top w:val="nil"/>
              <w:left w:val="nil"/>
              <w:bottom w:val="single" w:sz="4" w:space="0" w:color="ADD6EA"/>
              <w:right w:val="nil"/>
            </w:tcBorders>
            <w:shd w:val="clear" w:color="auto" w:fill="auto"/>
            <w:vAlign w:val="bottom"/>
            <w:hideMark/>
          </w:tcPr>
          <w:p w14:paraId="5810F8E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1E29E6F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696" w:type="dxa"/>
            <w:tcBorders>
              <w:top w:val="nil"/>
              <w:left w:val="nil"/>
              <w:bottom w:val="single" w:sz="4" w:space="0" w:color="ADD6EA"/>
              <w:right w:val="nil"/>
            </w:tcBorders>
            <w:shd w:val="clear" w:color="auto" w:fill="auto"/>
            <w:vAlign w:val="bottom"/>
            <w:hideMark/>
          </w:tcPr>
          <w:p w14:paraId="488EC09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6</w:t>
            </w:r>
          </w:p>
        </w:tc>
      </w:tr>
      <w:tr w:rsidR="0005382F" w:rsidRPr="0005382F" w14:paraId="7127D795"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792F4668"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Welfare</w:t>
            </w:r>
          </w:p>
        </w:tc>
        <w:tc>
          <w:tcPr>
            <w:tcW w:w="581" w:type="dxa"/>
            <w:tcBorders>
              <w:top w:val="nil"/>
              <w:left w:val="nil"/>
              <w:bottom w:val="single" w:sz="4" w:space="0" w:color="ADD6EA"/>
              <w:right w:val="nil"/>
            </w:tcBorders>
            <w:shd w:val="clear" w:color="auto" w:fill="auto"/>
            <w:vAlign w:val="bottom"/>
            <w:hideMark/>
          </w:tcPr>
          <w:p w14:paraId="25ACFB9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47</w:t>
            </w:r>
          </w:p>
        </w:tc>
        <w:tc>
          <w:tcPr>
            <w:tcW w:w="625" w:type="dxa"/>
            <w:tcBorders>
              <w:top w:val="nil"/>
              <w:left w:val="nil"/>
              <w:bottom w:val="single" w:sz="4" w:space="0" w:color="ADD6EA"/>
              <w:right w:val="nil"/>
            </w:tcBorders>
            <w:shd w:val="clear" w:color="auto" w:fill="auto"/>
            <w:vAlign w:val="bottom"/>
            <w:hideMark/>
          </w:tcPr>
          <w:p w14:paraId="783CBAC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4CD645D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-21</w:t>
            </w:r>
          </w:p>
        </w:tc>
        <w:tc>
          <w:tcPr>
            <w:tcW w:w="575" w:type="dxa"/>
            <w:tcBorders>
              <w:top w:val="nil"/>
              <w:left w:val="nil"/>
              <w:bottom w:val="single" w:sz="4" w:space="0" w:color="ADD6EA"/>
              <w:right w:val="nil"/>
            </w:tcBorders>
            <w:shd w:val="clear" w:color="auto" w:fill="auto"/>
            <w:vAlign w:val="bottom"/>
            <w:hideMark/>
          </w:tcPr>
          <w:p w14:paraId="534282D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-21</w:t>
            </w:r>
          </w:p>
        </w:tc>
        <w:tc>
          <w:tcPr>
            <w:tcW w:w="575" w:type="dxa"/>
            <w:tcBorders>
              <w:top w:val="nil"/>
              <w:left w:val="nil"/>
              <w:bottom w:val="single" w:sz="4" w:space="0" w:color="ADD6EA"/>
              <w:right w:val="nil"/>
            </w:tcBorders>
            <w:shd w:val="clear" w:color="auto" w:fill="auto"/>
            <w:vAlign w:val="bottom"/>
            <w:hideMark/>
          </w:tcPr>
          <w:p w14:paraId="39A2CA0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352E1AE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w:t>
            </w:r>
          </w:p>
        </w:tc>
        <w:tc>
          <w:tcPr>
            <w:tcW w:w="577" w:type="dxa"/>
            <w:tcBorders>
              <w:top w:val="nil"/>
              <w:left w:val="nil"/>
              <w:bottom w:val="single" w:sz="4" w:space="0" w:color="ADD6EA"/>
              <w:right w:val="nil"/>
            </w:tcBorders>
            <w:shd w:val="clear" w:color="auto" w:fill="auto"/>
            <w:vAlign w:val="bottom"/>
            <w:hideMark/>
          </w:tcPr>
          <w:p w14:paraId="44CBFDD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60D70C9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696" w:type="dxa"/>
            <w:tcBorders>
              <w:top w:val="nil"/>
              <w:left w:val="nil"/>
              <w:bottom w:val="single" w:sz="4" w:space="0" w:color="ADD6EA"/>
              <w:right w:val="nil"/>
            </w:tcBorders>
            <w:shd w:val="clear" w:color="auto" w:fill="auto"/>
            <w:vAlign w:val="bottom"/>
            <w:hideMark/>
          </w:tcPr>
          <w:p w14:paraId="350A8F4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50</w:t>
            </w:r>
          </w:p>
        </w:tc>
      </w:tr>
      <w:tr w:rsidR="0005382F" w:rsidRPr="0005382F" w14:paraId="18BCC2CB"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208656D5"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Services to communities</w:t>
            </w:r>
          </w:p>
        </w:tc>
        <w:tc>
          <w:tcPr>
            <w:tcW w:w="581" w:type="dxa"/>
            <w:tcBorders>
              <w:top w:val="nil"/>
              <w:left w:val="nil"/>
              <w:bottom w:val="single" w:sz="4" w:space="0" w:color="ADD6EA"/>
              <w:right w:val="nil"/>
            </w:tcBorders>
            <w:shd w:val="clear" w:color="auto" w:fill="auto"/>
            <w:vAlign w:val="bottom"/>
            <w:hideMark/>
          </w:tcPr>
          <w:p w14:paraId="5CBDEBD7"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59</w:t>
            </w:r>
          </w:p>
        </w:tc>
        <w:tc>
          <w:tcPr>
            <w:tcW w:w="625" w:type="dxa"/>
            <w:tcBorders>
              <w:top w:val="nil"/>
              <w:left w:val="nil"/>
              <w:bottom w:val="single" w:sz="4" w:space="0" w:color="ADD6EA"/>
              <w:right w:val="nil"/>
            </w:tcBorders>
            <w:shd w:val="clear" w:color="auto" w:fill="auto"/>
            <w:vAlign w:val="bottom"/>
            <w:hideMark/>
          </w:tcPr>
          <w:p w14:paraId="7D0D755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-93</w:t>
            </w:r>
          </w:p>
        </w:tc>
        <w:tc>
          <w:tcPr>
            <w:tcW w:w="575" w:type="dxa"/>
            <w:tcBorders>
              <w:top w:val="nil"/>
              <w:left w:val="nil"/>
              <w:bottom w:val="single" w:sz="4" w:space="0" w:color="ADD6EA"/>
              <w:right w:val="nil"/>
            </w:tcBorders>
            <w:shd w:val="clear" w:color="auto" w:fill="auto"/>
            <w:vAlign w:val="bottom"/>
            <w:hideMark/>
          </w:tcPr>
          <w:p w14:paraId="085C5DF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44</w:t>
            </w:r>
          </w:p>
        </w:tc>
        <w:tc>
          <w:tcPr>
            <w:tcW w:w="575" w:type="dxa"/>
            <w:tcBorders>
              <w:top w:val="nil"/>
              <w:left w:val="nil"/>
              <w:bottom w:val="single" w:sz="4" w:space="0" w:color="ADD6EA"/>
              <w:right w:val="nil"/>
            </w:tcBorders>
            <w:shd w:val="clear" w:color="auto" w:fill="auto"/>
            <w:vAlign w:val="bottom"/>
            <w:hideMark/>
          </w:tcPr>
          <w:p w14:paraId="5A8D4C8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30</w:t>
            </w:r>
          </w:p>
        </w:tc>
        <w:tc>
          <w:tcPr>
            <w:tcW w:w="575" w:type="dxa"/>
            <w:tcBorders>
              <w:top w:val="nil"/>
              <w:left w:val="nil"/>
              <w:bottom w:val="single" w:sz="4" w:space="0" w:color="ADD6EA"/>
              <w:right w:val="nil"/>
            </w:tcBorders>
            <w:shd w:val="clear" w:color="auto" w:fill="auto"/>
            <w:vAlign w:val="bottom"/>
            <w:hideMark/>
          </w:tcPr>
          <w:p w14:paraId="79BCDC2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-8</w:t>
            </w:r>
          </w:p>
        </w:tc>
        <w:tc>
          <w:tcPr>
            <w:tcW w:w="575" w:type="dxa"/>
            <w:tcBorders>
              <w:top w:val="nil"/>
              <w:left w:val="nil"/>
              <w:bottom w:val="single" w:sz="4" w:space="0" w:color="ADD6EA"/>
              <w:right w:val="nil"/>
            </w:tcBorders>
            <w:shd w:val="clear" w:color="auto" w:fill="auto"/>
            <w:vAlign w:val="bottom"/>
            <w:hideMark/>
          </w:tcPr>
          <w:p w14:paraId="5D56EEE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-14</w:t>
            </w:r>
          </w:p>
        </w:tc>
        <w:tc>
          <w:tcPr>
            <w:tcW w:w="577" w:type="dxa"/>
            <w:tcBorders>
              <w:top w:val="nil"/>
              <w:left w:val="nil"/>
              <w:bottom w:val="single" w:sz="4" w:space="0" w:color="ADD6EA"/>
              <w:right w:val="nil"/>
            </w:tcBorders>
            <w:shd w:val="clear" w:color="auto" w:fill="auto"/>
            <w:vAlign w:val="bottom"/>
            <w:hideMark/>
          </w:tcPr>
          <w:p w14:paraId="6B18F8C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-21</w:t>
            </w:r>
          </w:p>
        </w:tc>
        <w:tc>
          <w:tcPr>
            <w:tcW w:w="575" w:type="dxa"/>
            <w:tcBorders>
              <w:top w:val="nil"/>
              <w:left w:val="nil"/>
              <w:bottom w:val="single" w:sz="4" w:space="0" w:color="ADD6EA"/>
              <w:right w:val="nil"/>
            </w:tcBorders>
            <w:shd w:val="clear" w:color="auto" w:fill="auto"/>
            <w:vAlign w:val="bottom"/>
            <w:hideMark/>
          </w:tcPr>
          <w:p w14:paraId="380DB03B"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w:t>
            </w:r>
          </w:p>
        </w:tc>
        <w:tc>
          <w:tcPr>
            <w:tcW w:w="696" w:type="dxa"/>
            <w:tcBorders>
              <w:top w:val="nil"/>
              <w:left w:val="nil"/>
              <w:bottom w:val="single" w:sz="4" w:space="0" w:color="ADD6EA"/>
              <w:right w:val="nil"/>
            </w:tcBorders>
            <w:shd w:val="clear" w:color="auto" w:fill="auto"/>
            <w:vAlign w:val="bottom"/>
            <w:hideMark/>
          </w:tcPr>
          <w:p w14:paraId="002EA6A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136</w:t>
            </w:r>
          </w:p>
        </w:tc>
      </w:tr>
      <w:tr w:rsidR="0005382F" w:rsidRPr="0005382F" w14:paraId="106912B4"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1C89A2F7"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Justice</w:t>
            </w:r>
          </w:p>
        </w:tc>
        <w:tc>
          <w:tcPr>
            <w:tcW w:w="581" w:type="dxa"/>
            <w:tcBorders>
              <w:top w:val="nil"/>
              <w:left w:val="nil"/>
              <w:bottom w:val="single" w:sz="4" w:space="0" w:color="ADD6EA"/>
              <w:right w:val="nil"/>
            </w:tcBorders>
            <w:shd w:val="clear" w:color="auto" w:fill="auto"/>
            <w:vAlign w:val="bottom"/>
            <w:hideMark/>
          </w:tcPr>
          <w:p w14:paraId="673DAEE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625" w:type="dxa"/>
            <w:tcBorders>
              <w:top w:val="nil"/>
              <w:left w:val="nil"/>
              <w:bottom w:val="single" w:sz="4" w:space="0" w:color="ADD6EA"/>
              <w:right w:val="nil"/>
            </w:tcBorders>
            <w:shd w:val="clear" w:color="auto" w:fill="auto"/>
            <w:vAlign w:val="bottom"/>
            <w:hideMark/>
          </w:tcPr>
          <w:p w14:paraId="446CE4A2"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575" w:type="dxa"/>
            <w:tcBorders>
              <w:top w:val="nil"/>
              <w:left w:val="nil"/>
              <w:bottom w:val="single" w:sz="4" w:space="0" w:color="ADD6EA"/>
              <w:right w:val="nil"/>
            </w:tcBorders>
            <w:shd w:val="clear" w:color="auto" w:fill="auto"/>
            <w:vAlign w:val="bottom"/>
            <w:hideMark/>
          </w:tcPr>
          <w:p w14:paraId="208C0494"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-7</w:t>
            </w:r>
          </w:p>
        </w:tc>
        <w:tc>
          <w:tcPr>
            <w:tcW w:w="575" w:type="dxa"/>
            <w:tcBorders>
              <w:top w:val="nil"/>
              <w:left w:val="nil"/>
              <w:bottom w:val="single" w:sz="4" w:space="0" w:color="ADD6EA"/>
              <w:right w:val="nil"/>
            </w:tcBorders>
            <w:shd w:val="clear" w:color="auto" w:fill="auto"/>
            <w:vAlign w:val="bottom"/>
            <w:hideMark/>
          </w:tcPr>
          <w:p w14:paraId="3698608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0EBD09A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0528B60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7" w:type="dxa"/>
            <w:tcBorders>
              <w:top w:val="nil"/>
              <w:left w:val="nil"/>
              <w:bottom w:val="single" w:sz="4" w:space="0" w:color="ADD6EA"/>
              <w:right w:val="nil"/>
            </w:tcBorders>
            <w:shd w:val="clear" w:color="auto" w:fill="auto"/>
            <w:vAlign w:val="bottom"/>
            <w:hideMark/>
          </w:tcPr>
          <w:p w14:paraId="05DCA46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7C9CE10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2971DE47"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9</w:t>
            </w:r>
          </w:p>
        </w:tc>
      </w:tr>
      <w:tr w:rsidR="0005382F" w:rsidRPr="0005382F" w14:paraId="7121960F"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29FF2CC1"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Roads</w:t>
            </w:r>
          </w:p>
        </w:tc>
        <w:tc>
          <w:tcPr>
            <w:tcW w:w="581" w:type="dxa"/>
            <w:tcBorders>
              <w:top w:val="nil"/>
              <w:left w:val="nil"/>
              <w:bottom w:val="single" w:sz="4" w:space="0" w:color="ADD6EA"/>
              <w:right w:val="nil"/>
            </w:tcBorders>
            <w:shd w:val="clear" w:color="auto" w:fill="auto"/>
            <w:vAlign w:val="bottom"/>
            <w:hideMark/>
          </w:tcPr>
          <w:p w14:paraId="3D64A5C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11</w:t>
            </w:r>
          </w:p>
        </w:tc>
        <w:tc>
          <w:tcPr>
            <w:tcW w:w="625" w:type="dxa"/>
            <w:tcBorders>
              <w:top w:val="nil"/>
              <w:left w:val="nil"/>
              <w:bottom w:val="single" w:sz="4" w:space="0" w:color="ADD6EA"/>
              <w:right w:val="nil"/>
            </w:tcBorders>
            <w:shd w:val="clear" w:color="auto" w:fill="auto"/>
            <w:vAlign w:val="bottom"/>
            <w:hideMark/>
          </w:tcPr>
          <w:p w14:paraId="5938AFF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33</w:t>
            </w:r>
          </w:p>
        </w:tc>
        <w:tc>
          <w:tcPr>
            <w:tcW w:w="575" w:type="dxa"/>
            <w:tcBorders>
              <w:top w:val="nil"/>
              <w:left w:val="nil"/>
              <w:bottom w:val="single" w:sz="4" w:space="0" w:color="ADD6EA"/>
              <w:right w:val="nil"/>
            </w:tcBorders>
            <w:shd w:val="clear" w:color="auto" w:fill="auto"/>
            <w:vAlign w:val="bottom"/>
            <w:hideMark/>
          </w:tcPr>
          <w:p w14:paraId="6EC2728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-17</w:t>
            </w:r>
          </w:p>
        </w:tc>
        <w:tc>
          <w:tcPr>
            <w:tcW w:w="575" w:type="dxa"/>
            <w:tcBorders>
              <w:top w:val="nil"/>
              <w:left w:val="nil"/>
              <w:bottom w:val="single" w:sz="4" w:space="0" w:color="ADD6EA"/>
              <w:right w:val="nil"/>
            </w:tcBorders>
            <w:shd w:val="clear" w:color="auto" w:fill="auto"/>
            <w:vAlign w:val="bottom"/>
            <w:hideMark/>
          </w:tcPr>
          <w:p w14:paraId="34B1D92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-14</w:t>
            </w:r>
          </w:p>
        </w:tc>
        <w:tc>
          <w:tcPr>
            <w:tcW w:w="575" w:type="dxa"/>
            <w:tcBorders>
              <w:top w:val="nil"/>
              <w:left w:val="nil"/>
              <w:bottom w:val="single" w:sz="4" w:space="0" w:color="ADD6EA"/>
              <w:right w:val="nil"/>
            </w:tcBorders>
            <w:shd w:val="clear" w:color="auto" w:fill="auto"/>
            <w:vAlign w:val="bottom"/>
            <w:hideMark/>
          </w:tcPr>
          <w:p w14:paraId="25E3802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575" w:type="dxa"/>
            <w:tcBorders>
              <w:top w:val="nil"/>
              <w:left w:val="nil"/>
              <w:bottom w:val="single" w:sz="4" w:space="0" w:color="ADD6EA"/>
              <w:right w:val="nil"/>
            </w:tcBorders>
            <w:shd w:val="clear" w:color="auto" w:fill="auto"/>
            <w:vAlign w:val="bottom"/>
            <w:hideMark/>
          </w:tcPr>
          <w:p w14:paraId="23B86F13"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7" w:type="dxa"/>
            <w:tcBorders>
              <w:top w:val="nil"/>
              <w:left w:val="nil"/>
              <w:bottom w:val="single" w:sz="4" w:space="0" w:color="ADD6EA"/>
              <w:right w:val="nil"/>
            </w:tcBorders>
            <w:shd w:val="clear" w:color="auto" w:fill="auto"/>
            <w:vAlign w:val="bottom"/>
            <w:hideMark/>
          </w:tcPr>
          <w:p w14:paraId="7589FEFF"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w:t>
            </w:r>
          </w:p>
        </w:tc>
        <w:tc>
          <w:tcPr>
            <w:tcW w:w="575" w:type="dxa"/>
            <w:tcBorders>
              <w:top w:val="nil"/>
              <w:left w:val="nil"/>
              <w:bottom w:val="single" w:sz="4" w:space="0" w:color="ADD6EA"/>
              <w:right w:val="nil"/>
            </w:tcBorders>
            <w:shd w:val="clear" w:color="auto" w:fill="auto"/>
            <w:vAlign w:val="bottom"/>
            <w:hideMark/>
          </w:tcPr>
          <w:p w14:paraId="4A08675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-14</w:t>
            </w:r>
          </w:p>
        </w:tc>
        <w:tc>
          <w:tcPr>
            <w:tcW w:w="696" w:type="dxa"/>
            <w:tcBorders>
              <w:top w:val="nil"/>
              <w:left w:val="nil"/>
              <w:bottom w:val="single" w:sz="4" w:space="0" w:color="ADD6EA"/>
              <w:right w:val="nil"/>
            </w:tcBorders>
            <w:shd w:val="clear" w:color="auto" w:fill="auto"/>
            <w:vAlign w:val="bottom"/>
            <w:hideMark/>
          </w:tcPr>
          <w:p w14:paraId="3F711AE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49</w:t>
            </w:r>
          </w:p>
        </w:tc>
      </w:tr>
      <w:tr w:rsidR="0005382F" w:rsidRPr="0005382F" w14:paraId="15E8255E"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3086B99B"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Transport</w:t>
            </w:r>
          </w:p>
        </w:tc>
        <w:tc>
          <w:tcPr>
            <w:tcW w:w="581" w:type="dxa"/>
            <w:tcBorders>
              <w:top w:val="nil"/>
              <w:left w:val="nil"/>
              <w:bottom w:val="single" w:sz="4" w:space="0" w:color="ADD6EA"/>
              <w:right w:val="nil"/>
            </w:tcBorders>
            <w:shd w:val="clear" w:color="auto" w:fill="auto"/>
            <w:vAlign w:val="bottom"/>
            <w:hideMark/>
          </w:tcPr>
          <w:p w14:paraId="3B8B486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625" w:type="dxa"/>
            <w:tcBorders>
              <w:top w:val="nil"/>
              <w:left w:val="nil"/>
              <w:bottom w:val="single" w:sz="4" w:space="0" w:color="ADD6EA"/>
              <w:right w:val="nil"/>
            </w:tcBorders>
            <w:shd w:val="clear" w:color="auto" w:fill="auto"/>
            <w:vAlign w:val="bottom"/>
            <w:hideMark/>
          </w:tcPr>
          <w:p w14:paraId="696549C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6DCBE6CD"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4262375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4CF0E72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50E1B7D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7" w:type="dxa"/>
            <w:tcBorders>
              <w:top w:val="nil"/>
              <w:left w:val="nil"/>
              <w:bottom w:val="single" w:sz="4" w:space="0" w:color="ADD6EA"/>
              <w:right w:val="nil"/>
            </w:tcBorders>
            <w:shd w:val="clear" w:color="auto" w:fill="auto"/>
            <w:vAlign w:val="bottom"/>
            <w:hideMark/>
          </w:tcPr>
          <w:p w14:paraId="7E575F3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78EBC6B2"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696" w:type="dxa"/>
            <w:tcBorders>
              <w:top w:val="nil"/>
              <w:left w:val="nil"/>
              <w:bottom w:val="single" w:sz="4" w:space="0" w:color="ADD6EA"/>
              <w:right w:val="nil"/>
            </w:tcBorders>
            <w:shd w:val="clear" w:color="auto" w:fill="auto"/>
            <w:vAlign w:val="bottom"/>
            <w:hideMark/>
          </w:tcPr>
          <w:p w14:paraId="08328A1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r>
      <w:tr w:rsidR="0005382F" w:rsidRPr="0005382F" w14:paraId="1EF139A9"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05EE438B" w14:textId="4D9FED1D"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 xml:space="preserve">Services to </w:t>
            </w:r>
            <w:r w:rsidR="005C13A5">
              <w:rPr>
                <w:rFonts w:eastAsia="Times New Roman" w:cs="Open Sans Light"/>
                <w:sz w:val="16"/>
                <w:szCs w:val="16"/>
                <w:lang w:val="en-AU" w:eastAsia="en-AU"/>
              </w:rPr>
              <w:t>i</w:t>
            </w:r>
            <w:r w:rsidRPr="0005382F">
              <w:rPr>
                <w:rFonts w:eastAsia="Times New Roman" w:cs="Open Sans Light"/>
                <w:sz w:val="16"/>
                <w:szCs w:val="16"/>
                <w:lang w:val="en-AU" w:eastAsia="en-AU"/>
              </w:rPr>
              <w:t>ndustry</w:t>
            </w:r>
          </w:p>
        </w:tc>
        <w:tc>
          <w:tcPr>
            <w:tcW w:w="581" w:type="dxa"/>
            <w:tcBorders>
              <w:top w:val="nil"/>
              <w:left w:val="nil"/>
              <w:bottom w:val="single" w:sz="4" w:space="0" w:color="ADD6EA"/>
              <w:right w:val="nil"/>
            </w:tcBorders>
            <w:shd w:val="clear" w:color="auto" w:fill="auto"/>
            <w:vAlign w:val="bottom"/>
            <w:hideMark/>
          </w:tcPr>
          <w:p w14:paraId="20A1EE6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w:t>
            </w:r>
          </w:p>
        </w:tc>
        <w:tc>
          <w:tcPr>
            <w:tcW w:w="625" w:type="dxa"/>
            <w:tcBorders>
              <w:top w:val="nil"/>
              <w:left w:val="nil"/>
              <w:bottom w:val="single" w:sz="4" w:space="0" w:color="ADD6EA"/>
              <w:right w:val="nil"/>
            </w:tcBorders>
            <w:shd w:val="clear" w:color="auto" w:fill="auto"/>
            <w:vAlign w:val="bottom"/>
            <w:hideMark/>
          </w:tcPr>
          <w:p w14:paraId="7F43ED7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575" w:type="dxa"/>
            <w:tcBorders>
              <w:top w:val="nil"/>
              <w:left w:val="nil"/>
              <w:bottom w:val="single" w:sz="4" w:space="0" w:color="ADD6EA"/>
              <w:right w:val="nil"/>
            </w:tcBorders>
            <w:shd w:val="clear" w:color="auto" w:fill="auto"/>
            <w:vAlign w:val="bottom"/>
            <w:hideMark/>
          </w:tcPr>
          <w:p w14:paraId="6BFAA8D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w:t>
            </w:r>
          </w:p>
        </w:tc>
        <w:tc>
          <w:tcPr>
            <w:tcW w:w="575" w:type="dxa"/>
            <w:tcBorders>
              <w:top w:val="nil"/>
              <w:left w:val="nil"/>
              <w:bottom w:val="single" w:sz="4" w:space="0" w:color="ADD6EA"/>
              <w:right w:val="nil"/>
            </w:tcBorders>
            <w:shd w:val="clear" w:color="auto" w:fill="auto"/>
            <w:vAlign w:val="bottom"/>
            <w:hideMark/>
          </w:tcPr>
          <w:p w14:paraId="0A2CA85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6E41B4F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w:t>
            </w:r>
          </w:p>
        </w:tc>
        <w:tc>
          <w:tcPr>
            <w:tcW w:w="575" w:type="dxa"/>
            <w:tcBorders>
              <w:top w:val="nil"/>
              <w:left w:val="nil"/>
              <w:bottom w:val="single" w:sz="4" w:space="0" w:color="ADD6EA"/>
              <w:right w:val="nil"/>
            </w:tcBorders>
            <w:shd w:val="clear" w:color="auto" w:fill="auto"/>
            <w:vAlign w:val="bottom"/>
            <w:hideMark/>
          </w:tcPr>
          <w:p w14:paraId="69C75E03"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7" w:type="dxa"/>
            <w:tcBorders>
              <w:top w:val="nil"/>
              <w:left w:val="nil"/>
              <w:bottom w:val="single" w:sz="4" w:space="0" w:color="ADD6EA"/>
              <w:right w:val="nil"/>
            </w:tcBorders>
            <w:shd w:val="clear" w:color="auto" w:fill="auto"/>
            <w:vAlign w:val="bottom"/>
            <w:hideMark/>
          </w:tcPr>
          <w:p w14:paraId="206E78A0"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49165C4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696" w:type="dxa"/>
            <w:tcBorders>
              <w:top w:val="nil"/>
              <w:left w:val="nil"/>
              <w:bottom w:val="single" w:sz="4" w:space="0" w:color="ADD6EA"/>
              <w:right w:val="nil"/>
            </w:tcBorders>
            <w:shd w:val="clear" w:color="auto" w:fill="auto"/>
            <w:vAlign w:val="bottom"/>
            <w:hideMark/>
          </w:tcPr>
          <w:p w14:paraId="79DFEF6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9</w:t>
            </w:r>
          </w:p>
        </w:tc>
      </w:tr>
      <w:tr w:rsidR="0005382F" w:rsidRPr="0005382F" w14:paraId="3F7D1B46"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273DD50C"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Other expenses</w:t>
            </w:r>
          </w:p>
        </w:tc>
        <w:tc>
          <w:tcPr>
            <w:tcW w:w="581" w:type="dxa"/>
            <w:tcBorders>
              <w:top w:val="nil"/>
              <w:left w:val="nil"/>
              <w:bottom w:val="single" w:sz="4" w:space="0" w:color="ADD6EA"/>
              <w:right w:val="nil"/>
            </w:tcBorders>
            <w:shd w:val="clear" w:color="auto" w:fill="auto"/>
            <w:vAlign w:val="bottom"/>
            <w:hideMark/>
          </w:tcPr>
          <w:p w14:paraId="0A23003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4</w:t>
            </w:r>
          </w:p>
        </w:tc>
        <w:tc>
          <w:tcPr>
            <w:tcW w:w="625" w:type="dxa"/>
            <w:tcBorders>
              <w:top w:val="nil"/>
              <w:left w:val="nil"/>
              <w:bottom w:val="single" w:sz="4" w:space="0" w:color="ADD6EA"/>
              <w:right w:val="nil"/>
            </w:tcBorders>
            <w:shd w:val="clear" w:color="auto" w:fill="auto"/>
            <w:vAlign w:val="bottom"/>
            <w:hideMark/>
          </w:tcPr>
          <w:p w14:paraId="7BCCAD3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11</w:t>
            </w:r>
          </w:p>
        </w:tc>
        <w:tc>
          <w:tcPr>
            <w:tcW w:w="575" w:type="dxa"/>
            <w:tcBorders>
              <w:top w:val="nil"/>
              <w:left w:val="nil"/>
              <w:bottom w:val="single" w:sz="4" w:space="0" w:color="ADD6EA"/>
              <w:right w:val="nil"/>
            </w:tcBorders>
            <w:shd w:val="clear" w:color="auto" w:fill="auto"/>
            <w:vAlign w:val="bottom"/>
            <w:hideMark/>
          </w:tcPr>
          <w:p w14:paraId="761E631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-14</w:t>
            </w:r>
          </w:p>
        </w:tc>
        <w:tc>
          <w:tcPr>
            <w:tcW w:w="575" w:type="dxa"/>
            <w:tcBorders>
              <w:top w:val="nil"/>
              <w:left w:val="nil"/>
              <w:bottom w:val="single" w:sz="4" w:space="0" w:color="ADD6EA"/>
              <w:right w:val="nil"/>
            </w:tcBorders>
            <w:shd w:val="clear" w:color="auto" w:fill="auto"/>
            <w:vAlign w:val="bottom"/>
            <w:hideMark/>
          </w:tcPr>
          <w:p w14:paraId="06CC14BE"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w:t>
            </w:r>
          </w:p>
        </w:tc>
        <w:tc>
          <w:tcPr>
            <w:tcW w:w="575" w:type="dxa"/>
            <w:tcBorders>
              <w:top w:val="nil"/>
              <w:left w:val="nil"/>
              <w:bottom w:val="single" w:sz="4" w:space="0" w:color="ADD6EA"/>
              <w:right w:val="nil"/>
            </w:tcBorders>
            <w:shd w:val="clear" w:color="auto" w:fill="auto"/>
            <w:vAlign w:val="bottom"/>
            <w:hideMark/>
          </w:tcPr>
          <w:p w14:paraId="5E447717"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0399A4C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w:t>
            </w:r>
          </w:p>
        </w:tc>
        <w:tc>
          <w:tcPr>
            <w:tcW w:w="577" w:type="dxa"/>
            <w:tcBorders>
              <w:top w:val="nil"/>
              <w:left w:val="nil"/>
              <w:bottom w:val="single" w:sz="4" w:space="0" w:color="ADD6EA"/>
              <w:right w:val="nil"/>
            </w:tcBorders>
            <w:shd w:val="clear" w:color="auto" w:fill="auto"/>
            <w:vAlign w:val="bottom"/>
            <w:hideMark/>
          </w:tcPr>
          <w:p w14:paraId="3853C7C1"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0</w:t>
            </w:r>
          </w:p>
        </w:tc>
        <w:tc>
          <w:tcPr>
            <w:tcW w:w="575" w:type="dxa"/>
            <w:tcBorders>
              <w:top w:val="nil"/>
              <w:left w:val="nil"/>
              <w:bottom w:val="single" w:sz="4" w:space="0" w:color="ADD6EA"/>
              <w:right w:val="nil"/>
            </w:tcBorders>
            <w:shd w:val="clear" w:color="auto" w:fill="auto"/>
            <w:vAlign w:val="bottom"/>
            <w:hideMark/>
          </w:tcPr>
          <w:p w14:paraId="0122FFF3"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-7</w:t>
            </w:r>
          </w:p>
        </w:tc>
        <w:tc>
          <w:tcPr>
            <w:tcW w:w="696" w:type="dxa"/>
            <w:tcBorders>
              <w:top w:val="nil"/>
              <w:left w:val="nil"/>
              <w:bottom w:val="single" w:sz="4" w:space="0" w:color="ADD6EA"/>
              <w:right w:val="nil"/>
            </w:tcBorders>
            <w:shd w:val="clear" w:color="auto" w:fill="auto"/>
            <w:vAlign w:val="bottom"/>
            <w:hideMark/>
          </w:tcPr>
          <w:p w14:paraId="36C1AFAC"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20</w:t>
            </w:r>
          </w:p>
        </w:tc>
      </w:tr>
      <w:tr w:rsidR="0005382F" w:rsidRPr="0005382F" w14:paraId="61C03271"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3D8C1DCD" w14:textId="77777777" w:rsidR="0005382F" w:rsidRPr="0005382F" w:rsidRDefault="0005382F" w:rsidP="0005382F">
            <w:pPr>
              <w:tabs>
                <w:tab w:val="clear" w:pos="567"/>
              </w:tabs>
              <w:spacing w:before="0" w:line="240" w:lineRule="auto"/>
              <w:rPr>
                <w:rFonts w:eastAsia="Times New Roman" w:cs="Open Sans Light"/>
                <w:sz w:val="16"/>
                <w:szCs w:val="16"/>
                <w:lang w:val="en-AU" w:eastAsia="en-AU"/>
              </w:rPr>
            </w:pPr>
            <w:r w:rsidRPr="0005382F">
              <w:rPr>
                <w:rFonts w:eastAsia="Times New Roman" w:cs="Open Sans Light"/>
                <w:sz w:val="16"/>
                <w:szCs w:val="16"/>
                <w:lang w:val="en-AU" w:eastAsia="en-AU"/>
              </w:rPr>
              <w:t>Investment</w:t>
            </w:r>
          </w:p>
        </w:tc>
        <w:tc>
          <w:tcPr>
            <w:tcW w:w="581" w:type="dxa"/>
            <w:tcBorders>
              <w:top w:val="nil"/>
              <w:left w:val="nil"/>
              <w:bottom w:val="single" w:sz="4" w:space="0" w:color="ADD6EA"/>
              <w:right w:val="nil"/>
            </w:tcBorders>
            <w:shd w:val="clear" w:color="auto" w:fill="auto"/>
            <w:vAlign w:val="bottom"/>
            <w:hideMark/>
          </w:tcPr>
          <w:p w14:paraId="4360255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53</w:t>
            </w:r>
          </w:p>
        </w:tc>
        <w:tc>
          <w:tcPr>
            <w:tcW w:w="625" w:type="dxa"/>
            <w:tcBorders>
              <w:top w:val="nil"/>
              <w:left w:val="nil"/>
              <w:bottom w:val="single" w:sz="4" w:space="0" w:color="ADD6EA"/>
              <w:right w:val="nil"/>
            </w:tcBorders>
            <w:shd w:val="clear" w:color="auto" w:fill="auto"/>
            <w:vAlign w:val="bottom"/>
            <w:hideMark/>
          </w:tcPr>
          <w:p w14:paraId="5A85CC67"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605</w:t>
            </w:r>
          </w:p>
        </w:tc>
        <w:tc>
          <w:tcPr>
            <w:tcW w:w="575" w:type="dxa"/>
            <w:tcBorders>
              <w:top w:val="nil"/>
              <w:left w:val="nil"/>
              <w:bottom w:val="single" w:sz="4" w:space="0" w:color="ADD6EA"/>
              <w:right w:val="nil"/>
            </w:tcBorders>
            <w:shd w:val="clear" w:color="auto" w:fill="auto"/>
            <w:vAlign w:val="bottom"/>
            <w:hideMark/>
          </w:tcPr>
          <w:p w14:paraId="59FF7C09"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-249</w:t>
            </w:r>
          </w:p>
        </w:tc>
        <w:tc>
          <w:tcPr>
            <w:tcW w:w="575" w:type="dxa"/>
            <w:tcBorders>
              <w:top w:val="nil"/>
              <w:left w:val="nil"/>
              <w:bottom w:val="single" w:sz="4" w:space="0" w:color="ADD6EA"/>
              <w:right w:val="nil"/>
            </w:tcBorders>
            <w:shd w:val="clear" w:color="auto" w:fill="auto"/>
            <w:vAlign w:val="bottom"/>
            <w:hideMark/>
          </w:tcPr>
          <w:p w14:paraId="39463F56"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15</w:t>
            </w:r>
          </w:p>
        </w:tc>
        <w:tc>
          <w:tcPr>
            <w:tcW w:w="575" w:type="dxa"/>
            <w:tcBorders>
              <w:top w:val="nil"/>
              <w:left w:val="nil"/>
              <w:bottom w:val="single" w:sz="4" w:space="0" w:color="ADD6EA"/>
              <w:right w:val="nil"/>
            </w:tcBorders>
            <w:shd w:val="clear" w:color="auto" w:fill="auto"/>
            <w:vAlign w:val="bottom"/>
            <w:hideMark/>
          </w:tcPr>
          <w:p w14:paraId="56F88674"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-326</w:t>
            </w:r>
          </w:p>
        </w:tc>
        <w:tc>
          <w:tcPr>
            <w:tcW w:w="575" w:type="dxa"/>
            <w:tcBorders>
              <w:top w:val="nil"/>
              <w:left w:val="nil"/>
              <w:bottom w:val="single" w:sz="4" w:space="0" w:color="ADD6EA"/>
              <w:right w:val="nil"/>
            </w:tcBorders>
            <w:shd w:val="clear" w:color="auto" w:fill="auto"/>
            <w:vAlign w:val="bottom"/>
            <w:hideMark/>
          </w:tcPr>
          <w:p w14:paraId="174B0388"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-22</w:t>
            </w:r>
          </w:p>
        </w:tc>
        <w:tc>
          <w:tcPr>
            <w:tcW w:w="577" w:type="dxa"/>
            <w:tcBorders>
              <w:top w:val="nil"/>
              <w:left w:val="nil"/>
              <w:bottom w:val="single" w:sz="4" w:space="0" w:color="ADD6EA"/>
              <w:right w:val="nil"/>
            </w:tcBorders>
            <w:shd w:val="clear" w:color="auto" w:fill="auto"/>
            <w:vAlign w:val="bottom"/>
            <w:hideMark/>
          </w:tcPr>
          <w:p w14:paraId="33D347C2"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52</w:t>
            </w:r>
          </w:p>
        </w:tc>
        <w:tc>
          <w:tcPr>
            <w:tcW w:w="575" w:type="dxa"/>
            <w:tcBorders>
              <w:top w:val="nil"/>
              <w:left w:val="nil"/>
              <w:bottom w:val="single" w:sz="4" w:space="0" w:color="ADD6EA"/>
              <w:right w:val="nil"/>
            </w:tcBorders>
            <w:shd w:val="clear" w:color="auto" w:fill="auto"/>
            <w:vAlign w:val="bottom"/>
            <w:hideMark/>
          </w:tcPr>
          <w:p w14:paraId="4B749EAA"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-127</w:t>
            </w:r>
          </w:p>
        </w:tc>
        <w:tc>
          <w:tcPr>
            <w:tcW w:w="696" w:type="dxa"/>
            <w:tcBorders>
              <w:top w:val="nil"/>
              <w:left w:val="nil"/>
              <w:bottom w:val="single" w:sz="4" w:space="0" w:color="ADD6EA"/>
              <w:right w:val="nil"/>
            </w:tcBorders>
            <w:shd w:val="clear" w:color="auto" w:fill="auto"/>
            <w:vAlign w:val="bottom"/>
            <w:hideMark/>
          </w:tcPr>
          <w:p w14:paraId="53F7BAA5" w14:textId="77777777" w:rsidR="0005382F" w:rsidRPr="0005382F" w:rsidRDefault="0005382F" w:rsidP="0005382F">
            <w:pPr>
              <w:tabs>
                <w:tab w:val="clear" w:pos="567"/>
              </w:tabs>
              <w:spacing w:before="0" w:line="240" w:lineRule="auto"/>
              <w:jc w:val="right"/>
              <w:rPr>
                <w:rFonts w:eastAsia="Times New Roman" w:cs="Open Sans Light"/>
                <w:sz w:val="16"/>
                <w:szCs w:val="16"/>
                <w:lang w:val="en-AU" w:eastAsia="en-AU"/>
              </w:rPr>
            </w:pPr>
            <w:r w:rsidRPr="0005382F">
              <w:rPr>
                <w:rFonts w:eastAsia="Times New Roman" w:cs="Open Sans Light"/>
                <w:sz w:val="16"/>
                <w:szCs w:val="16"/>
                <w:lang w:val="en-AU" w:eastAsia="en-AU"/>
              </w:rPr>
              <w:t>724</w:t>
            </w:r>
          </w:p>
        </w:tc>
      </w:tr>
      <w:tr w:rsidR="0005382F" w:rsidRPr="0005382F" w14:paraId="6C6CD2C8" w14:textId="77777777" w:rsidTr="00500FBE">
        <w:trPr>
          <w:trHeight w:val="315"/>
        </w:trPr>
        <w:tc>
          <w:tcPr>
            <w:tcW w:w="3686" w:type="dxa"/>
            <w:tcBorders>
              <w:top w:val="nil"/>
              <w:left w:val="nil"/>
              <w:bottom w:val="single" w:sz="4" w:space="0" w:color="ADD6EA"/>
              <w:right w:val="nil"/>
            </w:tcBorders>
            <w:shd w:val="clear" w:color="000000" w:fill="D6E7F0"/>
            <w:vAlign w:val="bottom"/>
            <w:hideMark/>
          </w:tcPr>
          <w:p w14:paraId="255C0579" w14:textId="77777777" w:rsidR="0005382F" w:rsidRPr="0005382F" w:rsidRDefault="0005382F" w:rsidP="0005382F">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Total</w:t>
            </w:r>
          </w:p>
        </w:tc>
        <w:tc>
          <w:tcPr>
            <w:tcW w:w="581" w:type="dxa"/>
            <w:tcBorders>
              <w:top w:val="nil"/>
              <w:left w:val="nil"/>
              <w:bottom w:val="single" w:sz="4" w:space="0" w:color="ADD6EA"/>
              <w:right w:val="nil"/>
            </w:tcBorders>
            <w:shd w:val="clear" w:color="000000" w:fill="D6E7F0"/>
            <w:vAlign w:val="bottom"/>
            <w:hideMark/>
          </w:tcPr>
          <w:p w14:paraId="564AC66D"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376</w:t>
            </w:r>
          </w:p>
        </w:tc>
        <w:tc>
          <w:tcPr>
            <w:tcW w:w="625" w:type="dxa"/>
            <w:tcBorders>
              <w:top w:val="nil"/>
              <w:left w:val="nil"/>
              <w:bottom w:val="single" w:sz="4" w:space="0" w:color="ADD6EA"/>
              <w:right w:val="nil"/>
            </w:tcBorders>
            <w:shd w:val="clear" w:color="000000" w:fill="D6E7F0"/>
            <w:vAlign w:val="bottom"/>
            <w:hideMark/>
          </w:tcPr>
          <w:p w14:paraId="0DAB2AC7"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1,152</w:t>
            </w:r>
          </w:p>
        </w:tc>
        <w:tc>
          <w:tcPr>
            <w:tcW w:w="575" w:type="dxa"/>
            <w:tcBorders>
              <w:top w:val="nil"/>
              <w:left w:val="nil"/>
              <w:bottom w:val="single" w:sz="4" w:space="0" w:color="ADD6EA"/>
              <w:right w:val="nil"/>
            </w:tcBorders>
            <w:shd w:val="clear" w:color="000000" w:fill="D6E7F0"/>
            <w:vAlign w:val="bottom"/>
            <w:hideMark/>
          </w:tcPr>
          <w:p w14:paraId="7A94CC56"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-882</w:t>
            </w:r>
          </w:p>
        </w:tc>
        <w:tc>
          <w:tcPr>
            <w:tcW w:w="575" w:type="dxa"/>
            <w:tcBorders>
              <w:top w:val="nil"/>
              <w:left w:val="nil"/>
              <w:bottom w:val="single" w:sz="4" w:space="0" w:color="ADD6EA"/>
              <w:right w:val="nil"/>
            </w:tcBorders>
            <w:shd w:val="clear" w:color="000000" w:fill="D6E7F0"/>
            <w:vAlign w:val="bottom"/>
            <w:hideMark/>
          </w:tcPr>
          <w:p w14:paraId="396FFA5A"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0</w:t>
            </w:r>
          </w:p>
        </w:tc>
        <w:tc>
          <w:tcPr>
            <w:tcW w:w="575" w:type="dxa"/>
            <w:tcBorders>
              <w:top w:val="nil"/>
              <w:left w:val="nil"/>
              <w:bottom w:val="single" w:sz="4" w:space="0" w:color="ADD6EA"/>
              <w:right w:val="nil"/>
            </w:tcBorders>
            <w:shd w:val="clear" w:color="000000" w:fill="D6E7F0"/>
            <w:vAlign w:val="bottom"/>
            <w:hideMark/>
          </w:tcPr>
          <w:p w14:paraId="17E412F5"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-236</w:t>
            </w:r>
          </w:p>
        </w:tc>
        <w:tc>
          <w:tcPr>
            <w:tcW w:w="575" w:type="dxa"/>
            <w:tcBorders>
              <w:top w:val="nil"/>
              <w:left w:val="nil"/>
              <w:bottom w:val="single" w:sz="4" w:space="0" w:color="ADD6EA"/>
              <w:right w:val="nil"/>
            </w:tcBorders>
            <w:shd w:val="clear" w:color="000000" w:fill="D6E7F0"/>
            <w:vAlign w:val="bottom"/>
            <w:hideMark/>
          </w:tcPr>
          <w:p w14:paraId="23B806B0"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-89</w:t>
            </w:r>
          </w:p>
        </w:tc>
        <w:tc>
          <w:tcPr>
            <w:tcW w:w="577" w:type="dxa"/>
            <w:tcBorders>
              <w:top w:val="nil"/>
              <w:left w:val="nil"/>
              <w:bottom w:val="single" w:sz="4" w:space="0" w:color="ADD6EA"/>
              <w:right w:val="nil"/>
            </w:tcBorders>
            <w:shd w:val="clear" w:color="000000" w:fill="D6E7F0"/>
            <w:vAlign w:val="bottom"/>
            <w:hideMark/>
          </w:tcPr>
          <w:p w14:paraId="65E564ED"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91</w:t>
            </w:r>
          </w:p>
        </w:tc>
        <w:tc>
          <w:tcPr>
            <w:tcW w:w="575" w:type="dxa"/>
            <w:tcBorders>
              <w:top w:val="nil"/>
              <w:left w:val="nil"/>
              <w:bottom w:val="single" w:sz="4" w:space="0" w:color="ADD6EA"/>
              <w:right w:val="nil"/>
            </w:tcBorders>
            <w:shd w:val="clear" w:color="000000" w:fill="D6E7F0"/>
            <w:vAlign w:val="bottom"/>
            <w:hideMark/>
          </w:tcPr>
          <w:p w14:paraId="2C5DD3E1"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-412</w:t>
            </w:r>
          </w:p>
        </w:tc>
        <w:tc>
          <w:tcPr>
            <w:tcW w:w="696" w:type="dxa"/>
            <w:tcBorders>
              <w:top w:val="nil"/>
              <w:left w:val="nil"/>
              <w:bottom w:val="single" w:sz="4" w:space="0" w:color="ADD6EA"/>
              <w:right w:val="nil"/>
            </w:tcBorders>
            <w:shd w:val="clear" w:color="000000" w:fill="D6E7F0"/>
            <w:vAlign w:val="bottom"/>
            <w:hideMark/>
          </w:tcPr>
          <w:p w14:paraId="26963B47" w14:textId="77777777" w:rsidR="0005382F" w:rsidRPr="0005382F" w:rsidRDefault="0005382F" w:rsidP="0005382F">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382F">
              <w:rPr>
                <w:rFonts w:ascii="Open Sans SemiBold" w:eastAsia="Times New Roman" w:hAnsi="Open Sans SemiBold" w:cs="Open Sans SemiBold"/>
                <w:color w:val="000000"/>
                <w:sz w:val="16"/>
                <w:szCs w:val="16"/>
                <w:lang w:val="en-AU" w:eastAsia="en-AU"/>
              </w:rPr>
              <w:t>1,619</w:t>
            </w:r>
          </w:p>
        </w:tc>
      </w:tr>
    </w:tbl>
    <w:p w14:paraId="2BF0F8E5" w14:textId="61E9496E" w:rsidR="00D14669" w:rsidRDefault="001F1AFF" w:rsidP="00246088">
      <w:pPr>
        <w:pStyle w:val="CGCTablenote"/>
        <w:keepNext/>
        <w:keepLines/>
      </w:pPr>
      <w:r>
        <w:t>Source:</w:t>
      </w:r>
      <w:r>
        <w:tab/>
      </w:r>
      <w:r w:rsidR="00276661">
        <w:t>Commission calculation.</w:t>
      </w:r>
    </w:p>
    <w:p w14:paraId="4F017A40" w14:textId="2B7D4DFA" w:rsidR="00BE6F50" w:rsidRPr="00BE6F50" w:rsidRDefault="00BE6F50" w:rsidP="00BE6F50">
      <w:pPr>
        <w:pStyle w:val="CGCParaNumber"/>
      </w:pPr>
      <w:r>
        <w:t>The payments with the largest impact are show</w:t>
      </w:r>
      <w:r w:rsidR="00BE758E">
        <w:t>n</w:t>
      </w:r>
      <w:r>
        <w:t xml:space="preserve"> in </w:t>
      </w:r>
      <w:r>
        <w:fldChar w:fldCharType="begin"/>
      </w:r>
      <w:r>
        <w:instrText xml:space="preserve"> REF _Ref31202230 \h </w:instrText>
      </w:r>
      <w:r>
        <w:fldChar w:fldCharType="separate"/>
      </w:r>
      <w:r w:rsidR="003D49C2">
        <w:t>Table 4</w:t>
      </w:r>
      <w:r w:rsidR="003D49C2">
        <w:noBreakHyphen/>
      </w:r>
      <w:r w:rsidR="003D49C2">
        <w:rPr>
          <w:noProof/>
        </w:rPr>
        <w:t>4</w:t>
      </w:r>
      <w:r>
        <w:fldChar w:fldCharType="end"/>
      </w:r>
      <w:r>
        <w:t>.</w:t>
      </w:r>
    </w:p>
    <w:p w14:paraId="2EA8AAEC" w14:textId="0149BA0B" w:rsidR="001C52B4" w:rsidRDefault="007372F1" w:rsidP="004A09BF">
      <w:pPr>
        <w:pStyle w:val="Caption"/>
      </w:pPr>
      <w:bookmarkStart w:id="65" w:name="_Ref31202230"/>
      <w:bookmarkStart w:id="66" w:name="_Ref31202190"/>
      <w:r>
        <w:t xml:space="preserve">Table </w:t>
      </w:r>
      <w:r w:rsidR="00D5059E">
        <w:t>4</w:t>
      </w:r>
      <w:r w:rsidR="00D5059E">
        <w:noBreakHyphen/>
      </w:r>
      <w:r>
        <w:fldChar w:fldCharType="begin"/>
      </w:r>
      <w:r>
        <w:instrText>SEQ Table \* ARABIC</w:instrText>
      </w:r>
      <w:r>
        <w:fldChar w:fldCharType="separate"/>
      </w:r>
      <w:r w:rsidR="003D49C2">
        <w:rPr>
          <w:noProof/>
        </w:rPr>
        <w:t>4</w:t>
      </w:r>
      <w:r>
        <w:fldChar w:fldCharType="end"/>
      </w:r>
      <w:bookmarkEnd w:id="65"/>
      <w:r>
        <w:tab/>
      </w:r>
      <w:r w:rsidR="00262070">
        <w:t xml:space="preserve">Revenue effect of </w:t>
      </w:r>
      <w:r w:rsidR="007C3DB5">
        <w:t>Commonwealth payments</w:t>
      </w:r>
      <w:r w:rsidR="007564C5">
        <w:t>, by payment</w:t>
      </w:r>
      <w:r w:rsidR="004C4C48">
        <w:t>, 20</w:t>
      </w:r>
      <w:r w:rsidR="00E635A1">
        <w:t>20</w:t>
      </w:r>
      <w:r w:rsidR="004C4C48">
        <w:noBreakHyphen/>
      </w:r>
      <w:r w:rsidR="00E635A1">
        <w:t>2</w:t>
      </w:r>
      <w:r w:rsidR="004C4C48">
        <w:t>1</w:t>
      </w:r>
      <w:bookmarkEnd w:id="66"/>
    </w:p>
    <w:tbl>
      <w:tblPr>
        <w:tblW w:w="8902" w:type="dxa"/>
        <w:tblCellMar>
          <w:left w:w="0" w:type="dxa"/>
          <w:right w:w="28" w:type="dxa"/>
        </w:tblCellMar>
        <w:tblLook w:val="04A0" w:firstRow="1" w:lastRow="0" w:firstColumn="1" w:lastColumn="0" w:noHBand="0" w:noVBand="1"/>
      </w:tblPr>
      <w:tblGrid>
        <w:gridCol w:w="3610"/>
        <w:gridCol w:w="576"/>
        <w:gridCol w:w="620"/>
        <w:gridCol w:w="567"/>
        <w:gridCol w:w="567"/>
        <w:gridCol w:w="567"/>
        <w:gridCol w:w="567"/>
        <w:gridCol w:w="570"/>
        <w:gridCol w:w="567"/>
        <w:gridCol w:w="691"/>
      </w:tblGrid>
      <w:tr w:rsidR="009A1C81" w:rsidRPr="009A1C81" w14:paraId="21CA09AC" w14:textId="77777777" w:rsidTr="00500FBE">
        <w:trPr>
          <w:trHeight w:val="375"/>
        </w:trPr>
        <w:tc>
          <w:tcPr>
            <w:tcW w:w="3686" w:type="dxa"/>
            <w:tcBorders>
              <w:top w:val="single" w:sz="4" w:space="0" w:color="ADD6EA"/>
              <w:left w:val="nil"/>
              <w:bottom w:val="single" w:sz="4" w:space="0" w:color="ADD6EA"/>
              <w:right w:val="nil"/>
            </w:tcBorders>
            <w:shd w:val="clear" w:color="000000" w:fill="006991"/>
            <w:vAlign w:val="center"/>
            <w:hideMark/>
          </w:tcPr>
          <w:p w14:paraId="4FC762F6"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p>
        </w:tc>
        <w:tc>
          <w:tcPr>
            <w:tcW w:w="581" w:type="dxa"/>
            <w:tcBorders>
              <w:top w:val="single" w:sz="4" w:space="0" w:color="ADD6EA"/>
              <w:left w:val="nil"/>
              <w:bottom w:val="single" w:sz="4" w:space="0" w:color="ADD6EA"/>
              <w:right w:val="nil"/>
            </w:tcBorders>
            <w:shd w:val="clear" w:color="000000" w:fill="006991"/>
            <w:vAlign w:val="center"/>
            <w:hideMark/>
          </w:tcPr>
          <w:p w14:paraId="2F2C4631"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NSW</w:t>
            </w:r>
          </w:p>
        </w:tc>
        <w:tc>
          <w:tcPr>
            <w:tcW w:w="625" w:type="dxa"/>
            <w:tcBorders>
              <w:top w:val="single" w:sz="4" w:space="0" w:color="ADD6EA"/>
              <w:left w:val="nil"/>
              <w:bottom w:val="single" w:sz="4" w:space="0" w:color="ADD6EA"/>
              <w:right w:val="nil"/>
            </w:tcBorders>
            <w:shd w:val="clear" w:color="000000" w:fill="006991"/>
            <w:vAlign w:val="center"/>
            <w:hideMark/>
          </w:tcPr>
          <w:p w14:paraId="508DA2F0"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Vic</w:t>
            </w:r>
          </w:p>
        </w:tc>
        <w:tc>
          <w:tcPr>
            <w:tcW w:w="575" w:type="dxa"/>
            <w:tcBorders>
              <w:top w:val="single" w:sz="4" w:space="0" w:color="ADD6EA"/>
              <w:left w:val="nil"/>
              <w:bottom w:val="single" w:sz="4" w:space="0" w:color="ADD6EA"/>
              <w:right w:val="nil"/>
            </w:tcBorders>
            <w:shd w:val="clear" w:color="000000" w:fill="006991"/>
            <w:vAlign w:val="center"/>
            <w:hideMark/>
          </w:tcPr>
          <w:p w14:paraId="64B0A28F"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Qld</w:t>
            </w:r>
          </w:p>
        </w:tc>
        <w:tc>
          <w:tcPr>
            <w:tcW w:w="575" w:type="dxa"/>
            <w:tcBorders>
              <w:top w:val="single" w:sz="4" w:space="0" w:color="ADD6EA"/>
              <w:left w:val="nil"/>
              <w:bottom w:val="single" w:sz="4" w:space="0" w:color="ADD6EA"/>
              <w:right w:val="nil"/>
            </w:tcBorders>
            <w:shd w:val="clear" w:color="000000" w:fill="006991"/>
            <w:vAlign w:val="center"/>
            <w:hideMark/>
          </w:tcPr>
          <w:p w14:paraId="67592BD4"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WA</w:t>
            </w:r>
          </w:p>
        </w:tc>
        <w:tc>
          <w:tcPr>
            <w:tcW w:w="575" w:type="dxa"/>
            <w:tcBorders>
              <w:top w:val="single" w:sz="4" w:space="0" w:color="ADD6EA"/>
              <w:left w:val="nil"/>
              <w:bottom w:val="single" w:sz="4" w:space="0" w:color="ADD6EA"/>
              <w:right w:val="nil"/>
            </w:tcBorders>
            <w:shd w:val="clear" w:color="000000" w:fill="006991"/>
            <w:vAlign w:val="center"/>
            <w:hideMark/>
          </w:tcPr>
          <w:p w14:paraId="62F342B9"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SA</w:t>
            </w:r>
          </w:p>
        </w:tc>
        <w:tc>
          <w:tcPr>
            <w:tcW w:w="575" w:type="dxa"/>
            <w:tcBorders>
              <w:top w:val="single" w:sz="4" w:space="0" w:color="ADD6EA"/>
              <w:left w:val="nil"/>
              <w:bottom w:val="single" w:sz="4" w:space="0" w:color="ADD6EA"/>
              <w:right w:val="nil"/>
            </w:tcBorders>
            <w:shd w:val="clear" w:color="000000" w:fill="006991"/>
            <w:vAlign w:val="center"/>
            <w:hideMark/>
          </w:tcPr>
          <w:p w14:paraId="2953A3D3"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Tas</w:t>
            </w:r>
          </w:p>
        </w:tc>
        <w:tc>
          <w:tcPr>
            <w:tcW w:w="577" w:type="dxa"/>
            <w:tcBorders>
              <w:top w:val="single" w:sz="4" w:space="0" w:color="ADD6EA"/>
              <w:left w:val="nil"/>
              <w:bottom w:val="single" w:sz="4" w:space="0" w:color="ADD6EA"/>
              <w:right w:val="nil"/>
            </w:tcBorders>
            <w:shd w:val="clear" w:color="000000" w:fill="006991"/>
            <w:vAlign w:val="center"/>
            <w:hideMark/>
          </w:tcPr>
          <w:p w14:paraId="08C0AFB8"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ACT</w:t>
            </w:r>
          </w:p>
        </w:tc>
        <w:tc>
          <w:tcPr>
            <w:tcW w:w="575" w:type="dxa"/>
            <w:tcBorders>
              <w:top w:val="single" w:sz="4" w:space="0" w:color="ADD6EA"/>
              <w:left w:val="nil"/>
              <w:bottom w:val="single" w:sz="4" w:space="0" w:color="ADD6EA"/>
              <w:right w:val="nil"/>
            </w:tcBorders>
            <w:shd w:val="clear" w:color="000000" w:fill="006991"/>
            <w:vAlign w:val="center"/>
            <w:hideMark/>
          </w:tcPr>
          <w:p w14:paraId="6321E60E"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NT</w:t>
            </w:r>
          </w:p>
        </w:tc>
        <w:tc>
          <w:tcPr>
            <w:tcW w:w="696" w:type="dxa"/>
            <w:tcBorders>
              <w:top w:val="single" w:sz="4" w:space="0" w:color="ADD6EA"/>
              <w:left w:val="nil"/>
              <w:bottom w:val="single" w:sz="4" w:space="0" w:color="ADD6EA"/>
              <w:right w:val="nil"/>
            </w:tcBorders>
            <w:shd w:val="clear" w:color="000000" w:fill="006991"/>
            <w:vAlign w:val="center"/>
            <w:hideMark/>
          </w:tcPr>
          <w:p w14:paraId="26839A7A"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9A1C81">
              <w:rPr>
                <w:rFonts w:ascii="Open Sans SemiBold" w:eastAsia="Times New Roman" w:hAnsi="Open Sans SemiBold" w:cs="Open Sans SemiBold"/>
                <w:color w:val="FFFFFF"/>
                <w:sz w:val="16"/>
                <w:szCs w:val="16"/>
                <w:lang w:val="en-AU" w:eastAsia="en-AU"/>
              </w:rPr>
              <w:t>Redist</w:t>
            </w:r>
          </w:p>
        </w:tc>
      </w:tr>
      <w:tr w:rsidR="009A1C81" w:rsidRPr="009A1C81" w14:paraId="5142BFDC" w14:textId="77777777" w:rsidTr="00500FBE">
        <w:trPr>
          <w:trHeight w:val="259"/>
        </w:trPr>
        <w:tc>
          <w:tcPr>
            <w:tcW w:w="3686" w:type="dxa"/>
            <w:tcBorders>
              <w:top w:val="nil"/>
              <w:left w:val="nil"/>
              <w:bottom w:val="single" w:sz="4" w:space="0" w:color="ADD6EA"/>
              <w:right w:val="nil"/>
            </w:tcBorders>
            <w:shd w:val="clear" w:color="000000" w:fill="B6D5E4"/>
            <w:vAlign w:val="center"/>
            <w:hideMark/>
          </w:tcPr>
          <w:p w14:paraId="5EE1CCAC" w14:textId="77777777" w:rsidR="009A1C81" w:rsidRPr="009A1C81" w:rsidRDefault="009A1C81" w:rsidP="009A1C81">
            <w:pPr>
              <w:tabs>
                <w:tab w:val="clear" w:pos="567"/>
              </w:tabs>
              <w:spacing w:before="0" w:line="240" w:lineRule="auto"/>
              <w:rPr>
                <w:rFonts w:eastAsia="Times New Roman" w:cs="Open Sans Light"/>
                <w:color w:val="000000"/>
                <w:sz w:val="16"/>
                <w:szCs w:val="16"/>
                <w:lang w:val="en-AU" w:eastAsia="en-AU"/>
              </w:rPr>
            </w:pPr>
            <w:r w:rsidRPr="009A1C81">
              <w:rPr>
                <w:rFonts w:eastAsia="Times New Roman" w:cs="Open Sans Light"/>
                <w:color w:val="000000"/>
                <w:sz w:val="16"/>
                <w:szCs w:val="16"/>
                <w:lang w:val="en-AU" w:eastAsia="en-AU"/>
              </w:rPr>
              <w:t xml:space="preserve"> </w:t>
            </w:r>
          </w:p>
        </w:tc>
        <w:tc>
          <w:tcPr>
            <w:tcW w:w="581" w:type="dxa"/>
            <w:tcBorders>
              <w:top w:val="nil"/>
              <w:left w:val="nil"/>
              <w:bottom w:val="single" w:sz="4" w:space="0" w:color="ADD6EA"/>
              <w:right w:val="nil"/>
            </w:tcBorders>
            <w:shd w:val="clear" w:color="000000" w:fill="B6D5E4"/>
            <w:vAlign w:val="center"/>
            <w:hideMark/>
          </w:tcPr>
          <w:p w14:paraId="1775BD60"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625" w:type="dxa"/>
            <w:tcBorders>
              <w:top w:val="nil"/>
              <w:left w:val="nil"/>
              <w:bottom w:val="single" w:sz="4" w:space="0" w:color="ADD6EA"/>
              <w:right w:val="nil"/>
            </w:tcBorders>
            <w:shd w:val="clear" w:color="000000" w:fill="B6D5E4"/>
            <w:vAlign w:val="center"/>
            <w:hideMark/>
          </w:tcPr>
          <w:p w14:paraId="1AEECC04"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56157B83"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11302410"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7EE43A9F"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14A9EA8A"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7" w:type="dxa"/>
            <w:tcBorders>
              <w:top w:val="nil"/>
              <w:left w:val="nil"/>
              <w:bottom w:val="single" w:sz="4" w:space="0" w:color="ADD6EA"/>
              <w:right w:val="nil"/>
            </w:tcBorders>
            <w:shd w:val="clear" w:color="000000" w:fill="B6D5E4"/>
            <w:vAlign w:val="center"/>
            <w:hideMark/>
          </w:tcPr>
          <w:p w14:paraId="55975E83"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575" w:type="dxa"/>
            <w:tcBorders>
              <w:top w:val="nil"/>
              <w:left w:val="nil"/>
              <w:bottom w:val="single" w:sz="4" w:space="0" w:color="ADD6EA"/>
              <w:right w:val="nil"/>
            </w:tcBorders>
            <w:shd w:val="clear" w:color="000000" w:fill="B6D5E4"/>
            <w:vAlign w:val="center"/>
            <w:hideMark/>
          </w:tcPr>
          <w:p w14:paraId="2B11B224"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c>
          <w:tcPr>
            <w:tcW w:w="696" w:type="dxa"/>
            <w:tcBorders>
              <w:top w:val="nil"/>
              <w:left w:val="nil"/>
              <w:bottom w:val="single" w:sz="4" w:space="0" w:color="ADD6EA"/>
              <w:right w:val="nil"/>
            </w:tcBorders>
            <w:shd w:val="clear" w:color="000000" w:fill="B6D5E4"/>
            <w:vAlign w:val="center"/>
            <w:hideMark/>
          </w:tcPr>
          <w:p w14:paraId="60EBCDCB"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$m</w:t>
            </w:r>
          </w:p>
        </w:tc>
      </w:tr>
      <w:tr w:rsidR="009A1C81" w:rsidRPr="009A1C81" w14:paraId="41C50A55"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08C72FF8" w14:textId="4CB9C89A"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National </w:t>
            </w:r>
            <w:r w:rsidR="002C6DB5">
              <w:rPr>
                <w:rFonts w:cs="Open Sans Light"/>
                <w:sz w:val="16"/>
                <w:szCs w:val="16"/>
              </w:rPr>
              <w:t>Health Reform</w:t>
            </w:r>
            <w:r>
              <w:rPr>
                <w:rFonts w:cs="Open Sans Light"/>
                <w:sz w:val="16"/>
                <w:szCs w:val="16"/>
              </w:rPr>
              <w:t xml:space="preserve"> funding</w:t>
            </w:r>
          </w:p>
        </w:tc>
        <w:tc>
          <w:tcPr>
            <w:tcW w:w="581" w:type="dxa"/>
            <w:tcBorders>
              <w:top w:val="nil"/>
              <w:left w:val="nil"/>
              <w:bottom w:val="single" w:sz="4" w:space="0" w:color="ADD6EA"/>
              <w:right w:val="nil"/>
            </w:tcBorders>
            <w:shd w:val="clear" w:color="auto" w:fill="auto"/>
            <w:vAlign w:val="bottom"/>
            <w:hideMark/>
          </w:tcPr>
          <w:p w14:paraId="5C87F6C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143</w:t>
            </w:r>
          </w:p>
        </w:tc>
        <w:tc>
          <w:tcPr>
            <w:tcW w:w="625" w:type="dxa"/>
            <w:tcBorders>
              <w:top w:val="nil"/>
              <w:left w:val="nil"/>
              <w:bottom w:val="single" w:sz="4" w:space="0" w:color="ADD6EA"/>
              <w:right w:val="nil"/>
            </w:tcBorders>
            <w:shd w:val="clear" w:color="auto" w:fill="auto"/>
            <w:vAlign w:val="bottom"/>
            <w:hideMark/>
          </w:tcPr>
          <w:p w14:paraId="671377F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319</w:t>
            </w:r>
          </w:p>
        </w:tc>
        <w:tc>
          <w:tcPr>
            <w:tcW w:w="575" w:type="dxa"/>
            <w:tcBorders>
              <w:top w:val="nil"/>
              <w:left w:val="nil"/>
              <w:bottom w:val="single" w:sz="4" w:space="0" w:color="ADD6EA"/>
              <w:right w:val="nil"/>
            </w:tcBorders>
            <w:shd w:val="clear" w:color="auto" w:fill="auto"/>
            <w:vAlign w:val="bottom"/>
            <w:hideMark/>
          </w:tcPr>
          <w:p w14:paraId="70EE8E6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-422</w:t>
            </w:r>
          </w:p>
        </w:tc>
        <w:tc>
          <w:tcPr>
            <w:tcW w:w="575" w:type="dxa"/>
            <w:tcBorders>
              <w:top w:val="nil"/>
              <w:left w:val="nil"/>
              <w:bottom w:val="single" w:sz="4" w:space="0" w:color="ADD6EA"/>
              <w:right w:val="nil"/>
            </w:tcBorders>
            <w:shd w:val="clear" w:color="auto" w:fill="auto"/>
            <w:vAlign w:val="bottom"/>
            <w:hideMark/>
          </w:tcPr>
          <w:p w14:paraId="0ADAFF49"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-91</w:t>
            </w:r>
          </w:p>
        </w:tc>
        <w:tc>
          <w:tcPr>
            <w:tcW w:w="575" w:type="dxa"/>
            <w:tcBorders>
              <w:top w:val="nil"/>
              <w:left w:val="nil"/>
              <w:bottom w:val="single" w:sz="4" w:space="0" w:color="ADD6EA"/>
              <w:right w:val="nil"/>
            </w:tcBorders>
            <w:shd w:val="clear" w:color="auto" w:fill="auto"/>
            <w:vAlign w:val="bottom"/>
            <w:hideMark/>
          </w:tcPr>
          <w:p w14:paraId="0E804799"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98</w:t>
            </w:r>
          </w:p>
        </w:tc>
        <w:tc>
          <w:tcPr>
            <w:tcW w:w="575" w:type="dxa"/>
            <w:tcBorders>
              <w:top w:val="nil"/>
              <w:left w:val="nil"/>
              <w:bottom w:val="single" w:sz="4" w:space="0" w:color="ADD6EA"/>
              <w:right w:val="nil"/>
            </w:tcBorders>
            <w:shd w:val="clear" w:color="auto" w:fill="auto"/>
            <w:vAlign w:val="bottom"/>
            <w:hideMark/>
          </w:tcPr>
          <w:p w14:paraId="6A47754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w:t>
            </w:r>
          </w:p>
        </w:tc>
        <w:tc>
          <w:tcPr>
            <w:tcW w:w="577" w:type="dxa"/>
            <w:tcBorders>
              <w:top w:val="nil"/>
              <w:left w:val="nil"/>
              <w:bottom w:val="single" w:sz="4" w:space="0" w:color="ADD6EA"/>
              <w:right w:val="nil"/>
            </w:tcBorders>
            <w:shd w:val="clear" w:color="auto" w:fill="auto"/>
            <w:vAlign w:val="bottom"/>
            <w:hideMark/>
          </w:tcPr>
          <w:p w14:paraId="526ADD37"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28</w:t>
            </w:r>
          </w:p>
        </w:tc>
        <w:tc>
          <w:tcPr>
            <w:tcW w:w="575" w:type="dxa"/>
            <w:tcBorders>
              <w:top w:val="nil"/>
              <w:left w:val="nil"/>
              <w:bottom w:val="single" w:sz="4" w:space="0" w:color="ADD6EA"/>
              <w:right w:val="nil"/>
            </w:tcBorders>
            <w:shd w:val="clear" w:color="auto" w:fill="auto"/>
            <w:vAlign w:val="bottom"/>
            <w:hideMark/>
          </w:tcPr>
          <w:p w14:paraId="68B55833"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-77</w:t>
            </w:r>
          </w:p>
        </w:tc>
        <w:tc>
          <w:tcPr>
            <w:tcW w:w="696" w:type="dxa"/>
            <w:tcBorders>
              <w:top w:val="nil"/>
              <w:left w:val="nil"/>
              <w:bottom w:val="single" w:sz="4" w:space="0" w:color="ADD6EA"/>
              <w:right w:val="nil"/>
            </w:tcBorders>
            <w:shd w:val="clear" w:color="auto" w:fill="auto"/>
            <w:vAlign w:val="bottom"/>
            <w:hideMark/>
          </w:tcPr>
          <w:p w14:paraId="100598D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590</w:t>
            </w:r>
          </w:p>
        </w:tc>
      </w:tr>
      <w:tr w:rsidR="009A1C81" w:rsidRPr="009A1C81" w14:paraId="1DE704EF"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3F2A2862" w14:textId="6906478C"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Road infrastructure - </w:t>
            </w:r>
            <w:r w:rsidR="00AA2D8E">
              <w:rPr>
                <w:rFonts w:cs="Open Sans Light"/>
                <w:sz w:val="16"/>
                <w:szCs w:val="16"/>
              </w:rPr>
              <w:t>National Network</w:t>
            </w:r>
          </w:p>
        </w:tc>
        <w:tc>
          <w:tcPr>
            <w:tcW w:w="581" w:type="dxa"/>
            <w:tcBorders>
              <w:top w:val="nil"/>
              <w:left w:val="nil"/>
              <w:bottom w:val="single" w:sz="4" w:space="0" w:color="ADD6EA"/>
              <w:right w:val="nil"/>
            </w:tcBorders>
            <w:shd w:val="clear" w:color="auto" w:fill="auto"/>
            <w:vAlign w:val="bottom"/>
            <w:hideMark/>
          </w:tcPr>
          <w:p w14:paraId="4F5C18B5"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-136</w:t>
            </w:r>
          </w:p>
        </w:tc>
        <w:tc>
          <w:tcPr>
            <w:tcW w:w="625" w:type="dxa"/>
            <w:tcBorders>
              <w:top w:val="nil"/>
              <w:left w:val="nil"/>
              <w:bottom w:val="single" w:sz="4" w:space="0" w:color="ADD6EA"/>
              <w:right w:val="nil"/>
            </w:tcBorders>
            <w:shd w:val="clear" w:color="auto" w:fill="auto"/>
            <w:vAlign w:val="bottom"/>
            <w:hideMark/>
          </w:tcPr>
          <w:p w14:paraId="1B2CC12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394</w:t>
            </w:r>
          </w:p>
        </w:tc>
        <w:tc>
          <w:tcPr>
            <w:tcW w:w="575" w:type="dxa"/>
            <w:tcBorders>
              <w:top w:val="nil"/>
              <w:left w:val="nil"/>
              <w:bottom w:val="single" w:sz="4" w:space="0" w:color="ADD6EA"/>
              <w:right w:val="nil"/>
            </w:tcBorders>
            <w:shd w:val="clear" w:color="auto" w:fill="auto"/>
            <w:vAlign w:val="bottom"/>
            <w:hideMark/>
          </w:tcPr>
          <w:p w14:paraId="1EFBCAF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-174</w:t>
            </w:r>
          </w:p>
        </w:tc>
        <w:tc>
          <w:tcPr>
            <w:tcW w:w="575" w:type="dxa"/>
            <w:tcBorders>
              <w:top w:val="nil"/>
              <w:left w:val="nil"/>
              <w:bottom w:val="single" w:sz="4" w:space="0" w:color="ADD6EA"/>
              <w:right w:val="nil"/>
            </w:tcBorders>
            <w:shd w:val="clear" w:color="auto" w:fill="auto"/>
            <w:vAlign w:val="bottom"/>
            <w:hideMark/>
          </w:tcPr>
          <w:p w14:paraId="3CA73E7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34</w:t>
            </w:r>
          </w:p>
        </w:tc>
        <w:tc>
          <w:tcPr>
            <w:tcW w:w="575" w:type="dxa"/>
            <w:tcBorders>
              <w:top w:val="nil"/>
              <w:left w:val="nil"/>
              <w:bottom w:val="single" w:sz="4" w:space="0" w:color="ADD6EA"/>
              <w:right w:val="nil"/>
            </w:tcBorders>
            <w:shd w:val="clear" w:color="auto" w:fill="auto"/>
            <w:vAlign w:val="bottom"/>
            <w:hideMark/>
          </w:tcPr>
          <w:p w14:paraId="77149DB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-157</w:t>
            </w:r>
          </w:p>
        </w:tc>
        <w:tc>
          <w:tcPr>
            <w:tcW w:w="575" w:type="dxa"/>
            <w:tcBorders>
              <w:top w:val="nil"/>
              <w:left w:val="nil"/>
              <w:bottom w:val="single" w:sz="4" w:space="0" w:color="ADD6EA"/>
              <w:right w:val="nil"/>
            </w:tcBorders>
            <w:shd w:val="clear" w:color="auto" w:fill="auto"/>
            <w:vAlign w:val="bottom"/>
            <w:hideMark/>
          </w:tcPr>
          <w:p w14:paraId="6CF4708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w:t>
            </w:r>
          </w:p>
        </w:tc>
        <w:tc>
          <w:tcPr>
            <w:tcW w:w="577" w:type="dxa"/>
            <w:tcBorders>
              <w:top w:val="nil"/>
              <w:left w:val="nil"/>
              <w:bottom w:val="single" w:sz="4" w:space="0" w:color="ADD6EA"/>
              <w:right w:val="nil"/>
            </w:tcBorders>
            <w:shd w:val="clear" w:color="auto" w:fill="auto"/>
            <w:vAlign w:val="bottom"/>
            <w:hideMark/>
          </w:tcPr>
          <w:p w14:paraId="788E5B5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28</w:t>
            </w:r>
          </w:p>
        </w:tc>
        <w:tc>
          <w:tcPr>
            <w:tcW w:w="575" w:type="dxa"/>
            <w:tcBorders>
              <w:top w:val="nil"/>
              <w:left w:val="nil"/>
              <w:bottom w:val="single" w:sz="4" w:space="0" w:color="ADD6EA"/>
              <w:right w:val="nil"/>
            </w:tcBorders>
            <w:shd w:val="clear" w:color="auto" w:fill="auto"/>
            <w:vAlign w:val="bottom"/>
            <w:hideMark/>
          </w:tcPr>
          <w:p w14:paraId="0852E02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15</w:t>
            </w:r>
          </w:p>
        </w:tc>
        <w:tc>
          <w:tcPr>
            <w:tcW w:w="696" w:type="dxa"/>
            <w:tcBorders>
              <w:top w:val="nil"/>
              <w:left w:val="nil"/>
              <w:bottom w:val="single" w:sz="4" w:space="0" w:color="ADD6EA"/>
              <w:right w:val="nil"/>
            </w:tcBorders>
            <w:shd w:val="clear" w:color="auto" w:fill="auto"/>
            <w:vAlign w:val="bottom"/>
            <w:hideMark/>
          </w:tcPr>
          <w:p w14:paraId="6E6E70B7"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471</w:t>
            </w:r>
          </w:p>
        </w:tc>
      </w:tr>
      <w:tr w:rsidR="009A1C81" w:rsidRPr="009A1C81" w14:paraId="06623E62"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42B50064" w14:textId="0E143E43"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Quality </w:t>
            </w:r>
            <w:r w:rsidR="00AA2D8E">
              <w:rPr>
                <w:rFonts w:cs="Open Sans Light"/>
                <w:sz w:val="16"/>
                <w:szCs w:val="16"/>
              </w:rPr>
              <w:t>Schools</w:t>
            </w:r>
            <w:r>
              <w:rPr>
                <w:rFonts w:cs="Open Sans Light"/>
                <w:sz w:val="16"/>
                <w:szCs w:val="16"/>
              </w:rPr>
              <w:t xml:space="preserve"> - government</w:t>
            </w:r>
          </w:p>
        </w:tc>
        <w:tc>
          <w:tcPr>
            <w:tcW w:w="581" w:type="dxa"/>
            <w:tcBorders>
              <w:top w:val="nil"/>
              <w:left w:val="nil"/>
              <w:bottom w:val="single" w:sz="4" w:space="0" w:color="ADD6EA"/>
              <w:right w:val="nil"/>
            </w:tcBorders>
            <w:shd w:val="clear" w:color="auto" w:fill="auto"/>
            <w:vAlign w:val="bottom"/>
            <w:hideMark/>
          </w:tcPr>
          <w:p w14:paraId="34DCE5A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23</w:t>
            </w:r>
          </w:p>
        </w:tc>
        <w:tc>
          <w:tcPr>
            <w:tcW w:w="625" w:type="dxa"/>
            <w:tcBorders>
              <w:top w:val="nil"/>
              <w:left w:val="nil"/>
              <w:bottom w:val="single" w:sz="4" w:space="0" w:color="ADD6EA"/>
              <w:right w:val="nil"/>
            </w:tcBorders>
            <w:shd w:val="clear" w:color="auto" w:fill="auto"/>
            <w:vAlign w:val="bottom"/>
            <w:hideMark/>
          </w:tcPr>
          <w:p w14:paraId="1964068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219</w:t>
            </w:r>
          </w:p>
        </w:tc>
        <w:tc>
          <w:tcPr>
            <w:tcW w:w="575" w:type="dxa"/>
            <w:tcBorders>
              <w:top w:val="nil"/>
              <w:left w:val="nil"/>
              <w:bottom w:val="single" w:sz="4" w:space="0" w:color="ADD6EA"/>
              <w:right w:val="nil"/>
            </w:tcBorders>
            <w:shd w:val="clear" w:color="auto" w:fill="auto"/>
            <w:vAlign w:val="bottom"/>
            <w:hideMark/>
          </w:tcPr>
          <w:p w14:paraId="2D5B1301"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-204</w:t>
            </w:r>
          </w:p>
        </w:tc>
        <w:tc>
          <w:tcPr>
            <w:tcW w:w="575" w:type="dxa"/>
            <w:tcBorders>
              <w:top w:val="nil"/>
              <w:left w:val="nil"/>
              <w:bottom w:val="single" w:sz="4" w:space="0" w:color="ADD6EA"/>
              <w:right w:val="nil"/>
            </w:tcBorders>
            <w:shd w:val="clear" w:color="auto" w:fill="auto"/>
            <w:vAlign w:val="bottom"/>
            <w:hideMark/>
          </w:tcPr>
          <w:p w14:paraId="19F4DC6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78</w:t>
            </w:r>
          </w:p>
        </w:tc>
        <w:tc>
          <w:tcPr>
            <w:tcW w:w="575" w:type="dxa"/>
            <w:tcBorders>
              <w:top w:val="nil"/>
              <w:left w:val="nil"/>
              <w:bottom w:val="single" w:sz="4" w:space="0" w:color="ADD6EA"/>
              <w:right w:val="nil"/>
            </w:tcBorders>
            <w:shd w:val="clear" w:color="auto" w:fill="auto"/>
            <w:vAlign w:val="bottom"/>
            <w:hideMark/>
          </w:tcPr>
          <w:p w14:paraId="61B89A2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24</w:t>
            </w:r>
          </w:p>
        </w:tc>
        <w:tc>
          <w:tcPr>
            <w:tcW w:w="575" w:type="dxa"/>
            <w:tcBorders>
              <w:top w:val="nil"/>
              <w:left w:val="nil"/>
              <w:bottom w:val="single" w:sz="4" w:space="0" w:color="ADD6EA"/>
              <w:right w:val="nil"/>
            </w:tcBorders>
            <w:shd w:val="clear" w:color="auto" w:fill="auto"/>
            <w:vAlign w:val="bottom"/>
            <w:hideMark/>
          </w:tcPr>
          <w:p w14:paraId="01FFE873"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-40</w:t>
            </w:r>
          </w:p>
        </w:tc>
        <w:tc>
          <w:tcPr>
            <w:tcW w:w="577" w:type="dxa"/>
            <w:tcBorders>
              <w:top w:val="nil"/>
              <w:left w:val="nil"/>
              <w:bottom w:val="single" w:sz="4" w:space="0" w:color="ADD6EA"/>
              <w:right w:val="nil"/>
            </w:tcBorders>
            <w:shd w:val="clear" w:color="auto" w:fill="auto"/>
            <w:vAlign w:val="bottom"/>
            <w:hideMark/>
          </w:tcPr>
          <w:p w14:paraId="5185426B"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24</w:t>
            </w:r>
          </w:p>
        </w:tc>
        <w:tc>
          <w:tcPr>
            <w:tcW w:w="575" w:type="dxa"/>
            <w:tcBorders>
              <w:top w:val="nil"/>
              <w:left w:val="nil"/>
              <w:bottom w:val="single" w:sz="4" w:space="0" w:color="ADD6EA"/>
              <w:right w:val="nil"/>
            </w:tcBorders>
            <w:shd w:val="clear" w:color="auto" w:fill="auto"/>
            <w:vAlign w:val="bottom"/>
            <w:hideMark/>
          </w:tcPr>
          <w:p w14:paraId="0051D70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-125</w:t>
            </w:r>
          </w:p>
        </w:tc>
        <w:tc>
          <w:tcPr>
            <w:tcW w:w="696" w:type="dxa"/>
            <w:tcBorders>
              <w:top w:val="nil"/>
              <w:left w:val="nil"/>
              <w:bottom w:val="single" w:sz="4" w:space="0" w:color="ADD6EA"/>
              <w:right w:val="nil"/>
            </w:tcBorders>
            <w:shd w:val="clear" w:color="auto" w:fill="auto"/>
            <w:vAlign w:val="bottom"/>
            <w:hideMark/>
          </w:tcPr>
          <w:p w14:paraId="5EB2A49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369</w:t>
            </w:r>
          </w:p>
        </w:tc>
      </w:tr>
      <w:tr w:rsidR="009A1C81" w:rsidRPr="009A1C81" w14:paraId="63428BDA"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01FFF692" w14:textId="14FF10E7"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Road infrastructure - </w:t>
            </w:r>
            <w:r w:rsidR="00AA2D8E">
              <w:rPr>
                <w:rFonts w:cs="Open Sans Light"/>
                <w:sz w:val="16"/>
                <w:szCs w:val="16"/>
              </w:rPr>
              <w:t>Other Roads</w:t>
            </w:r>
          </w:p>
        </w:tc>
        <w:tc>
          <w:tcPr>
            <w:tcW w:w="581" w:type="dxa"/>
            <w:tcBorders>
              <w:top w:val="nil"/>
              <w:left w:val="nil"/>
              <w:bottom w:val="single" w:sz="4" w:space="0" w:color="ADD6EA"/>
              <w:right w:val="nil"/>
            </w:tcBorders>
            <w:shd w:val="clear" w:color="auto" w:fill="auto"/>
            <w:vAlign w:val="bottom"/>
            <w:hideMark/>
          </w:tcPr>
          <w:p w14:paraId="53A2DEA8"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78</w:t>
            </w:r>
          </w:p>
        </w:tc>
        <w:tc>
          <w:tcPr>
            <w:tcW w:w="625" w:type="dxa"/>
            <w:tcBorders>
              <w:top w:val="nil"/>
              <w:left w:val="nil"/>
              <w:bottom w:val="single" w:sz="4" w:space="0" w:color="ADD6EA"/>
              <w:right w:val="nil"/>
            </w:tcBorders>
            <w:shd w:val="clear" w:color="auto" w:fill="auto"/>
            <w:vAlign w:val="bottom"/>
            <w:hideMark/>
          </w:tcPr>
          <w:p w14:paraId="2A44C5E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80</w:t>
            </w:r>
          </w:p>
        </w:tc>
        <w:tc>
          <w:tcPr>
            <w:tcW w:w="575" w:type="dxa"/>
            <w:tcBorders>
              <w:top w:val="nil"/>
              <w:left w:val="nil"/>
              <w:bottom w:val="single" w:sz="4" w:space="0" w:color="ADD6EA"/>
              <w:right w:val="nil"/>
            </w:tcBorders>
            <w:shd w:val="clear" w:color="auto" w:fill="auto"/>
            <w:vAlign w:val="bottom"/>
            <w:hideMark/>
          </w:tcPr>
          <w:p w14:paraId="2B68E47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-39</w:t>
            </w:r>
          </w:p>
        </w:tc>
        <w:tc>
          <w:tcPr>
            <w:tcW w:w="575" w:type="dxa"/>
            <w:tcBorders>
              <w:top w:val="nil"/>
              <w:left w:val="nil"/>
              <w:bottom w:val="single" w:sz="4" w:space="0" w:color="ADD6EA"/>
              <w:right w:val="nil"/>
            </w:tcBorders>
            <w:shd w:val="clear" w:color="auto" w:fill="auto"/>
            <w:vAlign w:val="bottom"/>
            <w:hideMark/>
          </w:tcPr>
          <w:p w14:paraId="72128AB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-60</w:t>
            </w:r>
          </w:p>
        </w:tc>
        <w:tc>
          <w:tcPr>
            <w:tcW w:w="575" w:type="dxa"/>
            <w:tcBorders>
              <w:top w:val="nil"/>
              <w:left w:val="nil"/>
              <w:bottom w:val="single" w:sz="4" w:space="0" w:color="ADD6EA"/>
              <w:right w:val="nil"/>
            </w:tcBorders>
            <w:shd w:val="clear" w:color="auto" w:fill="auto"/>
            <w:vAlign w:val="bottom"/>
            <w:hideMark/>
          </w:tcPr>
          <w:p w14:paraId="4C61741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-17</w:t>
            </w:r>
          </w:p>
        </w:tc>
        <w:tc>
          <w:tcPr>
            <w:tcW w:w="575" w:type="dxa"/>
            <w:tcBorders>
              <w:top w:val="nil"/>
              <w:left w:val="nil"/>
              <w:bottom w:val="single" w:sz="4" w:space="0" w:color="ADD6EA"/>
              <w:right w:val="nil"/>
            </w:tcBorders>
            <w:shd w:val="clear" w:color="auto" w:fill="auto"/>
            <w:vAlign w:val="bottom"/>
            <w:hideMark/>
          </w:tcPr>
          <w:p w14:paraId="51B05553"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w:t>
            </w:r>
          </w:p>
        </w:tc>
        <w:tc>
          <w:tcPr>
            <w:tcW w:w="577" w:type="dxa"/>
            <w:tcBorders>
              <w:top w:val="nil"/>
              <w:left w:val="nil"/>
              <w:bottom w:val="single" w:sz="4" w:space="0" w:color="ADD6EA"/>
              <w:right w:val="nil"/>
            </w:tcBorders>
            <w:shd w:val="clear" w:color="auto" w:fill="auto"/>
            <w:vAlign w:val="bottom"/>
            <w:hideMark/>
          </w:tcPr>
          <w:p w14:paraId="74C6345B"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w:t>
            </w:r>
          </w:p>
        </w:tc>
        <w:tc>
          <w:tcPr>
            <w:tcW w:w="575" w:type="dxa"/>
            <w:tcBorders>
              <w:top w:val="nil"/>
              <w:left w:val="nil"/>
              <w:bottom w:val="single" w:sz="4" w:space="0" w:color="ADD6EA"/>
              <w:right w:val="nil"/>
            </w:tcBorders>
            <w:shd w:val="clear" w:color="auto" w:fill="auto"/>
            <w:vAlign w:val="bottom"/>
            <w:hideMark/>
          </w:tcPr>
          <w:p w14:paraId="72D373C7"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-52</w:t>
            </w:r>
          </w:p>
        </w:tc>
        <w:tc>
          <w:tcPr>
            <w:tcW w:w="696" w:type="dxa"/>
            <w:tcBorders>
              <w:top w:val="nil"/>
              <w:left w:val="nil"/>
              <w:bottom w:val="single" w:sz="4" w:space="0" w:color="ADD6EA"/>
              <w:right w:val="nil"/>
            </w:tcBorders>
            <w:shd w:val="clear" w:color="auto" w:fill="auto"/>
            <w:vAlign w:val="bottom"/>
            <w:hideMark/>
          </w:tcPr>
          <w:p w14:paraId="350D88B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173</w:t>
            </w:r>
          </w:p>
        </w:tc>
      </w:tr>
      <w:tr w:rsidR="009A1C81" w:rsidRPr="009A1C81" w14:paraId="3CEE4CAD"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0AFC0CF4" w14:textId="3C0155E4"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 xml:space="preserve">Rail infrastructure - </w:t>
            </w:r>
            <w:r w:rsidR="00AA2D8E">
              <w:rPr>
                <w:rFonts w:cs="Open Sans Light"/>
                <w:sz w:val="16"/>
                <w:szCs w:val="16"/>
              </w:rPr>
              <w:t>National Network</w:t>
            </w:r>
          </w:p>
        </w:tc>
        <w:tc>
          <w:tcPr>
            <w:tcW w:w="581" w:type="dxa"/>
            <w:tcBorders>
              <w:top w:val="nil"/>
              <w:left w:val="nil"/>
              <w:bottom w:val="single" w:sz="4" w:space="0" w:color="ADD6EA"/>
              <w:right w:val="nil"/>
            </w:tcBorders>
            <w:shd w:val="clear" w:color="auto" w:fill="auto"/>
            <w:vAlign w:val="bottom"/>
            <w:hideMark/>
          </w:tcPr>
          <w:p w14:paraId="0289AF8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78</w:t>
            </w:r>
          </w:p>
        </w:tc>
        <w:tc>
          <w:tcPr>
            <w:tcW w:w="625" w:type="dxa"/>
            <w:tcBorders>
              <w:top w:val="nil"/>
              <w:left w:val="nil"/>
              <w:bottom w:val="single" w:sz="4" w:space="0" w:color="ADD6EA"/>
              <w:right w:val="nil"/>
            </w:tcBorders>
            <w:shd w:val="clear" w:color="auto" w:fill="auto"/>
            <w:vAlign w:val="bottom"/>
            <w:hideMark/>
          </w:tcPr>
          <w:p w14:paraId="772095E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30</w:t>
            </w:r>
          </w:p>
        </w:tc>
        <w:tc>
          <w:tcPr>
            <w:tcW w:w="575" w:type="dxa"/>
            <w:tcBorders>
              <w:top w:val="nil"/>
              <w:left w:val="nil"/>
              <w:bottom w:val="single" w:sz="4" w:space="0" w:color="ADD6EA"/>
              <w:right w:val="nil"/>
            </w:tcBorders>
            <w:shd w:val="clear" w:color="auto" w:fill="auto"/>
            <w:vAlign w:val="bottom"/>
            <w:hideMark/>
          </w:tcPr>
          <w:p w14:paraId="38249FE9"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-20</w:t>
            </w:r>
          </w:p>
        </w:tc>
        <w:tc>
          <w:tcPr>
            <w:tcW w:w="575" w:type="dxa"/>
            <w:tcBorders>
              <w:top w:val="nil"/>
              <w:left w:val="nil"/>
              <w:bottom w:val="single" w:sz="4" w:space="0" w:color="ADD6EA"/>
              <w:right w:val="nil"/>
            </w:tcBorders>
            <w:shd w:val="clear" w:color="auto" w:fill="auto"/>
            <w:vAlign w:val="bottom"/>
            <w:hideMark/>
          </w:tcPr>
          <w:p w14:paraId="70176CF5"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29</w:t>
            </w:r>
          </w:p>
        </w:tc>
        <w:tc>
          <w:tcPr>
            <w:tcW w:w="575" w:type="dxa"/>
            <w:tcBorders>
              <w:top w:val="nil"/>
              <w:left w:val="nil"/>
              <w:bottom w:val="single" w:sz="4" w:space="0" w:color="ADD6EA"/>
              <w:right w:val="nil"/>
            </w:tcBorders>
            <w:shd w:val="clear" w:color="auto" w:fill="auto"/>
            <w:vAlign w:val="bottom"/>
            <w:hideMark/>
          </w:tcPr>
          <w:p w14:paraId="4DBBDF80"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-125</w:t>
            </w:r>
          </w:p>
        </w:tc>
        <w:tc>
          <w:tcPr>
            <w:tcW w:w="575" w:type="dxa"/>
            <w:tcBorders>
              <w:top w:val="nil"/>
              <w:left w:val="nil"/>
              <w:bottom w:val="single" w:sz="4" w:space="0" w:color="ADD6EA"/>
              <w:right w:val="nil"/>
            </w:tcBorders>
            <w:shd w:val="clear" w:color="auto" w:fill="auto"/>
            <w:vAlign w:val="bottom"/>
            <w:hideMark/>
          </w:tcPr>
          <w:p w14:paraId="3B7A0BF0"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w:t>
            </w:r>
          </w:p>
        </w:tc>
        <w:tc>
          <w:tcPr>
            <w:tcW w:w="577" w:type="dxa"/>
            <w:tcBorders>
              <w:top w:val="nil"/>
              <w:left w:val="nil"/>
              <w:bottom w:val="single" w:sz="4" w:space="0" w:color="ADD6EA"/>
              <w:right w:val="nil"/>
            </w:tcBorders>
            <w:shd w:val="clear" w:color="auto" w:fill="auto"/>
            <w:vAlign w:val="bottom"/>
            <w:hideMark/>
          </w:tcPr>
          <w:p w14:paraId="5428D93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w:t>
            </w:r>
          </w:p>
        </w:tc>
        <w:tc>
          <w:tcPr>
            <w:tcW w:w="575" w:type="dxa"/>
            <w:tcBorders>
              <w:top w:val="nil"/>
              <w:left w:val="nil"/>
              <w:bottom w:val="single" w:sz="4" w:space="0" w:color="ADD6EA"/>
              <w:right w:val="nil"/>
            </w:tcBorders>
            <w:shd w:val="clear" w:color="auto" w:fill="auto"/>
            <w:vAlign w:val="bottom"/>
            <w:hideMark/>
          </w:tcPr>
          <w:p w14:paraId="3E22FE4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w:t>
            </w:r>
          </w:p>
        </w:tc>
        <w:tc>
          <w:tcPr>
            <w:tcW w:w="696" w:type="dxa"/>
            <w:tcBorders>
              <w:top w:val="nil"/>
              <w:left w:val="nil"/>
              <w:bottom w:val="single" w:sz="4" w:space="0" w:color="ADD6EA"/>
              <w:right w:val="nil"/>
            </w:tcBorders>
            <w:shd w:val="clear" w:color="auto" w:fill="auto"/>
            <w:vAlign w:val="bottom"/>
            <w:hideMark/>
          </w:tcPr>
          <w:p w14:paraId="5F82EDEB"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145</w:t>
            </w:r>
          </w:p>
        </w:tc>
      </w:tr>
      <w:tr w:rsidR="009A1C81" w:rsidRPr="009A1C81" w14:paraId="425916FD" w14:textId="77777777" w:rsidTr="00500FBE">
        <w:trPr>
          <w:trHeight w:val="555"/>
        </w:trPr>
        <w:tc>
          <w:tcPr>
            <w:tcW w:w="3686" w:type="dxa"/>
            <w:tcBorders>
              <w:top w:val="nil"/>
              <w:left w:val="nil"/>
              <w:bottom w:val="single" w:sz="4" w:space="0" w:color="ADD6EA"/>
              <w:right w:val="nil"/>
            </w:tcBorders>
            <w:shd w:val="clear" w:color="auto" w:fill="auto"/>
            <w:vAlign w:val="bottom"/>
            <w:hideMark/>
          </w:tcPr>
          <w:p w14:paraId="1D006FCD" w14:textId="782CD379" w:rsidR="009A1C81" w:rsidRPr="009A1C81" w:rsidRDefault="00AA2D8E"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Sustainable Rural Water Use and Infrastructure Program</w:t>
            </w:r>
          </w:p>
        </w:tc>
        <w:tc>
          <w:tcPr>
            <w:tcW w:w="581" w:type="dxa"/>
            <w:tcBorders>
              <w:top w:val="nil"/>
              <w:left w:val="nil"/>
              <w:bottom w:val="single" w:sz="4" w:space="0" w:color="ADD6EA"/>
              <w:right w:val="nil"/>
            </w:tcBorders>
            <w:shd w:val="clear" w:color="auto" w:fill="auto"/>
            <w:vAlign w:val="bottom"/>
            <w:hideMark/>
          </w:tcPr>
          <w:p w14:paraId="34CDD4F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59</w:t>
            </w:r>
          </w:p>
        </w:tc>
        <w:tc>
          <w:tcPr>
            <w:tcW w:w="625" w:type="dxa"/>
            <w:tcBorders>
              <w:top w:val="nil"/>
              <w:left w:val="nil"/>
              <w:bottom w:val="single" w:sz="4" w:space="0" w:color="ADD6EA"/>
              <w:right w:val="nil"/>
            </w:tcBorders>
            <w:shd w:val="clear" w:color="auto" w:fill="auto"/>
            <w:vAlign w:val="bottom"/>
            <w:hideMark/>
          </w:tcPr>
          <w:p w14:paraId="57705BE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-93</w:t>
            </w:r>
          </w:p>
        </w:tc>
        <w:tc>
          <w:tcPr>
            <w:tcW w:w="575" w:type="dxa"/>
            <w:tcBorders>
              <w:top w:val="nil"/>
              <w:left w:val="nil"/>
              <w:bottom w:val="single" w:sz="4" w:space="0" w:color="ADD6EA"/>
              <w:right w:val="nil"/>
            </w:tcBorders>
            <w:shd w:val="clear" w:color="auto" w:fill="auto"/>
            <w:vAlign w:val="bottom"/>
            <w:hideMark/>
          </w:tcPr>
          <w:p w14:paraId="0C837C8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46</w:t>
            </w:r>
          </w:p>
        </w:tc>
        <w:tc>
          <w:tcPr>
            <w:tcW w:w="575" w:type="dxa"/>
            <w:tcBorders>
              <w:top w:val="nil"/>
              <w:left w:val="nil"/>
              <w:bottom w:val="single" w:sz="4" w:space="0" w:color="ADD6EA"/>
              <w:right w:val="nil"/>
            </w:tcBorders>
            <w:shd w:val="clear" w:color="auto" w:fill="auto"/>
            <w:vAlign w:val="bottom"/>
            <w:hideMark/>
          </w:tcPr>
          <w:p w14:paraId="2B4CE9F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30</w:t>
            </w:r>
          </w:p>
        </w:tc>
        <w:tc>
          <w:tcPr>
            <w:tcW w:w="575" w:type="dxa"/>
            <w:tcBorders>
              <w:top w:val="nil"/>
              <w:left w:val="nil"/>
              <w:bottom w:val="single" w:sz="4" w:space="0" w:color="ADD6EA"/>
              <w:right w:val="nil"/>
            </w:tcBorders>
            <w:shd w:val="clear" w:color="auto" w:fill="auto"/>
            <w:vAlign w:val="bottom"/>
            <w:hideMark/>
          </w:tcPr>
          <w:p w14:paraId="40B84E92"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-8</w:t>
            </w:r>
          </w:p>
        </w:tc>
        <w:tc>
          <w:tcPr>
            <w:tcW w:w="575" w:type="dxa"/>
            <w:tcBorders>
              <w:top w:val="nil"/>
              <w:left w:val="nil"/>
              <w:bottom w:val="single" w:sz="4" w:space="0" w:color="ADD6EA"/>
              <w:right w:val="nil"/>
            </w:tcBorders>
            <w:shd w:val="clear" w:color="auto" w:fill="auto"/>
            <w:vAlign w:val="bottom"/>
            <w:hideMark/>
          </w:tcPr>
          <w:p w14:paraId="79AB067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w:t>
            </w:r>
          </w:p>
        </w:tc>
        <w:tc>
          <w:tcPr>
            <w:tcW w:w="577" w:type="dxa"/>
            <w:tcBorders>
              <w:top w:val="nil"/>
              <w:left w:val="nil"/>
              <w:bottom w:val="single" w:sz="4" w:space="0" w:color="ADD6EA"/>
              <w:right w:val="nil"/>
            </w:tcBorders>
            <w:shd w:val="clear" w:color="auto" w:fill="auto"/>
            <w:vAlign w:val="bottom"/>
            <w:hideMark/>
          </w:tcPr>
          <w:p w14:paraId="3123CB63"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-21</w:t>
            </w:r>
          </w:p>
        </w:tc>
        <w:tc>
          <w:tcPr>
            <w:tcW w:w="575" w:type="dxa"/>
            <w:tcBorders>
              <w:top w:val="nil"/>
              <w:left w:val="nil"/>
              <w:bottom w:val="single" w:sz="4" w:space="0" w:color="ADD6EA"/>
              <w:right w:val="nil"/>
            </w:tcBorders>
            <w:shd w:val="clear" w:color="auto" w:fill="auto"/>
            <w:vAlign w:val="bottom"/>
            <w:hideMark/>
          </w:tcPr>
          <w:p w14:paraId="453E6BC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w:t>
            </w:r>
          </w:p>
        </w:tc>
        <w:tc>
          <w:tcPr>
            <w:tcW w:w="696" w:type="dxa"/>
            <w:tcBorders>
              <w:top w:val="nil"/>
              <w:left w:val="nil"/>
              <w:bottom w:val="single" w:sz="4" w:space="0" w:color="ADD6EA"/>
              <w:right w:val="nil"/>
            </w:tcBorders>
            <w:shd w:val="clear" w:color="auto" w:fill="auto"/>
            <w:vAlign w:val="bottom"/>
            <w:hideMark/>
          </w:tcPr>
          <w:p w14:paraId="06BAABA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137</w:t>
            </w:r>
          </w:p>
        </w:tc>
      </w:tr>
      <w:tr w:rsidR="009A1C81" w:rsidRPr="009A1C81" w14:paraId="3F417E59"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6ED3CD83" w14:textId="7383E5C8"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Remote Indigenous housing</w:t>
            </w:r>
          </w:p>
        </w:tc>
        <w:tc>
          <w:tcPr>
            <w:tcW w:w="581" w:type="dxa"/>
            <w:tcBorders>
              <w:top w:val="nil"/>
              <w:left w:val="nil"/>
              <w:bottom w:val="single" w:sz="4" w:space="0" w:color="ADD6EA"/>
              <w:right w:val="nil"/>
            </w:tcBorders>
            <w:shd w:val="clear" w:color="auto" w:fill="auto"/>
            <w:vAlign w:val="bottom"/>
            <w:hideMark/>
          </w:tcPr>
          <w:p w14:paraId="4E80001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66</w:t>
            </w:r>
          </w:p>
        </w:tc>
        <w:tc>
          <w:tcPr>
            <w:tcW w:w="625" w:type="dxa"/>
            <w:tcBorders>
              <w:top w:val="nil"/>
              <w:left w:val="nil"/>
              <w:bottom w:val="single" w:sz="4" w:space="0" w:color="ADD6EA"/>
              <w:right w:val="nil"/>
            </w:tcBorders>
            <w:shd w:val="clear" w:color="auto" w:fill="auto"/>
            <w:vAlign w:val="bottom"/>
            <w:hideMark/>
          </w:tcPr>
          <w:p w14:paraId="1F915D89"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54</w:t>
            </w:r>
          </w:p>
        </w:tc>
        <w:tc>
          <w:tcPr>
            <w:tcW w:w="575" w:type="dxa"/>
            <w:tcBorders>
              <w:top w:val="nil"/>
              <w:left w:val="nil"/>
              <w:bottom w:val="single" w:sz="4" w:space="0" w:color="ADD6EA"/>
              <w:right w:val="nil"/>
            </w:tcBorders>
            <w:shd w:val="clear" w:color="auto" w:fill="auto"/>
            <w:vAlign w:val="bottom"/>
            <w:hideMark/>
          </w:tcPr>
          <w:p w14:paraId="26BE140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-25</w:t>
            </w:r>
          </w:p>
        </w:tc>
        <w:tc>
          <w:tcPr>
            <w:tcW w:w="575" w:type="dxa"/>
            <w:tcBorders>
              <w:top w:val="nil"/>
              <w:left w:val="nil"/>
              <w:bottom w:val="single" w:sz="4" w:space="0" w:color="ADD6EA"/>
              <w:right w:val="nil"/>
            </w:tcBorders>
            <w:shd w:val="clear" w:color="auto" w:fill="auto"/>
            <w:vAlign w:val="bottom"/>
            <w:hideMark/>
          </w:tcPr>
          <w:p w14:paraId="65143B45"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-36</w:t>
            </w:r>
          </w:p>
        </w:tc>
        <w:tc>
          <w:tcPr>
            <w:tcW w:w="575" w:type="dxa"/>
            <w:tcBorders>
              <w:top w:val="nil"/>
              <w:left w:val="nil"/>
              <w:bottom w:val="single" w:sz="4" w:space="0" w:color="ADD6EA"/>
              <w:right w:val="nil"/>
            </w:tcBorders>
            <w:shd w:val="clear" w:color="auto" w:fill="auto"/>
            <w:vAlign w:val="bottom"/>
            <w:hideMark/>
          </w:tcPr>
          <w:p w14:paraId="5432AC45"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w:t>
            </w:r>
          </w:p>
        </w:tc>
        <w:tc>
          <w:tcPr>
            <w:tcW w:w="575" w:type="dxa"/>
            <w:tcBorders>
              <w:top w:val="nil"/>
              <w:left w:val="nil"/>
              <w:bottom w:val="single" w:sz="4" w:space="0" w:color="ADD6EA"/>
              <w:right w:val="nil"/>
            </w:tcBorders>
            <w:shd w:val="clear" w:color="auto" w:fill="auto"/>
            <w:vAlign w:val="bottom"/>
            <w:hideMark/>
          </w:tcPr>
          <w:p w14:paraId="3707A39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w:t>
            </w:r>
          </w:p>
        </w:tc>
        <w:tc>
          <w:tcPr>
            <w:tcW w:w="577" w:type="dxa"/>
            <w:tcBorders>
              <w:top w:val="nil"/>
              <w:left w:val="nil"/>
              <w:bottom w:val="single" w:sz="4" w:space="0" w:color="ADD6EA"/>
              <w:right w:val="nil"/>
            </w:tcBorders>
            <w:shd w:val="clear" w:color="auto" w:fill="auto"/>
            <w:vAlign w:val="bottom"/>
            <w:hideMark/>
          </w:tcPr>
          <w:p w14:paraId="3B1CA1F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w:t>
            </w:r>
          </w:p>
        </w:tc>
        <w:tc>
          <w:tcPr>
            <w:tcW w:w="575" w:type="dxa"/>
            <w:tcBorders>
              <w:top w:val="nil"/>
              <w:left w:val="nil"/>
              <w:bottom w:val="single" w:sz="4" w:space="0" w:color="ADD6EA"/>
              <w:right w:val="nil"/>
            </w:tcBorders>
            <w:shd w:val="clear" w:color="auto" w:fill="auto"/>
            <w:vAlign w:val="bottom"/>
            <w:hideMark/>
          </w:tcPr>
          <w:p w14:paraId="547F4C9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-73</w:t>
            </w:r>
          </w:p>
        </w:tc>
        <w:tc>
          <w:tcPr>
            <w:tcW w:w="696" w:type="dxa"/>
            <w:tcBorders>
              <w:top w:val="nil"/>
              <w:left w:val="nil"/>
              <w:bottom w:val="single" w:sz="4" w:space="0" w:color="ADD6EA"/>
              <w:right w:val="nil"/>
            </w:tcBorders>
            <w:shd w:val="clear" w:color="auto" w:fill="auto"/>
            <w:vAlign w:val="bottom"/>
            <w:hideMark/>
          </w:tcPr>
          <w:p w14:paraId="32AA02F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135</w:t>
            </w:r>
          </w:p>
        </w:tc>
      </w:tr>
      <w:tr w:rsidR="009A1C81" w:rsidRPr="009A1C81" w14:paraId="7AEEBCB8"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4E98FF63" w14:textId="45347188"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Investment Growth Package - new investments</w:t>
            </w:r>
          </w:p>
        </w:tc>
        <w:tc>
          <w:tcPr>
            <w:tcW w:w="581" w:type="dxa"/>
            <w:tcBorders>
              <w:top w:val="nil"/>
              <w:left w:val="nil"/>
              <w:bottom w:val="single" w:sz="4" w:space="0" w:color="ADD6EA"/>
              <w:right w:val="nil"/>
            </w:tcBorders>
            <w:shd w:val="clear" w:color="auto" w:fill="auto"/>
            <w:vAlign w:val="bottom"/>
            <w:hideMark/>
          </w:tcPr>
          <w:p w14:paraId="5E8A57B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49</w:t>
            </w:r>
          </w:p>
        </w:tc>
        <w:tc>
          <w:tcPr>
            <w:tcW w:w="625" w:type="dxa"/>
            <w:tcBorders>
              <w:top w:val="nil"/>
              <w:left w:val="nil"/>
              <w:bottom w:val="single" w:sz="4" w:space="0" w:color="ADD6EA"/>
              <w:right w:val="nil"/>
            </w:tcBorders>
            <w:shd w:val="clear" w:color="auto" w:fill="auto"/>
            <w:vAlign w:val="bottom"/>
            <w:hideMark/>
          </w:tcPr>
          <w:p w14:paraId="7C5531F8"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38</w:t>
            </w:r>
          </w:p>
        </w:tc>
        <w:tc>
          <w:tcPr>
            <w:tcW w:w="575" w:type="dxa"/>
            <w:tcBorders>
              <w:top w:val="nil"/>
              <w:left w:val="nil"/>
              <w:bottom w:val="single" w:sz="4" w:space="0" w:color="ADD6EA"/>
              <w:right w:val="nil"/>
            </w:tcBorders>
            <w:shd w:val="clear" w:color="auto" w:fill="auto"/>
            <w:vAlign w:val="bottom"/>
            <w:hideMark/>
          </w:tcPr>
          <w:p w14:paraId="6B6AF36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-50</w:t>
            </w:r>
          </w:p>
        </w:tc>
        <w:tc>
          <w:tcPr>
            <w:tcW w:w="575" w:type="dxa"/>
            <w:tcBorders>
              <w:top w:val="nil"/>
              <w:left w:val="nil"/>
              <w:bottom w:val="single" w:sz="4" w:space="0" w:color="ADD6EA"/>
              <w:right w:val="nil"/>
            </w:tcBorders>
            <w:shd w:val="clear" w:color="auto" w:fill="auto"/>
            <w:vAlign w:val="bottom"/>
            <w:hideMark/>
          </w:tcPr>
          <w:p w14:paraId="0108771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w:t>
            </w:r>
          </w:p>
        </w:tc>
        <w:tc>
          <w:tcPr>
            <w:tcW w:w="575" w:type="dxa"/>
            <w:tcBorders>
              <w:top w:val="nil"/>
              <w:left w:val="nil"/>
              <w:bottom w:val="single" w:sz="4" w:space="0" w:color="ADD6EA"/>
              <w:right w:val="nil"/>
            </w:tcBorders>
            <w:shd w:val="clear" w:color="auto" w:fill="auto"/>
            <w:vAlign w:val="bottom"/>
            <w:hideMark/>
          </w:tcPr>
          <w:p w14:paraId="3CCD312D"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-50</w:t>
            </w:r>
          </w:p>
        </w:tc>
        <w:tc>
          <w:tcPr>
            <w:tcW w:w="575" w:type="dxa"/>
            <w:tcBorders>
              <w:top w:val="nil"/>
              <w:left w:val="nil"/>
              <w:bottom w:val="single" w:sz="4" w:space="0" w:color="ADD6EA"/>
              <w:right w:val="nil"/>
            </w:tcBorders>
            <w:shd w:val="clear" w:color="auto" w:fill="auto"/>
            <w:vAlign w:val="bottom"/>
            <w:hideMark/>
          </w:tcPr>
          <w:p w14:paraId="26E46F4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w:t>
            </w:r>
          </w:p>
        </w:tc>
        <w:tc>
          <w:tcPr>
            <w:tcW w:w="577" w:type="dxa"/>
            <w:tcBorders>
              <w:top w:val="nil"/>
              <w:left w:val="nil"/>
              <w:bottom w:val="single" w:sz="4" w:space="0" w:color="ADD6EA"/>
              <w:right w:val="nil"/>
            </w:tcBorders>
            <w:shd w:val="clear" w:color="auto" w:fill="auto"/>
            <w:vAlign w:val="bottom"/>
            <w:hideMark/>
          </w:tcPr>
          <w:p w14:paraId="248ECE1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w:t>
            </w:r>
          </w:p>
        </w:tc>
        <w:tc>
          <w:tcPr>
            <w:tcW w:w="575" w:type="dxa"/>
            <w:tcBorders>
              <w:top w:val="nil"/>
              <w:left w:val="nil"/>
              <w:bottom w:val="single" w:sz="4" w:space="0" w:color="ADD6EA"/>
              <w:right w:val="nil"/>
            </w:tcBorders>
            <w:shd w:val="clear" w:color="auto" w:fill="auto"/>
            <w:vAlign w:val="bottom"/>
            <w:hideMark/>
          </w:tcPr>
          <w:p w14:paraId="15861304"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-6</w:t>
            </w:r>
          </w:p>
        </w:tc>
        <w:tc>
          <w:tcPr>
            <w:tcW w:w="696" w:type="dxa"/>
            <w:tcBorders>
              <w:top w:val="nil"/>
              <w:left w:val="nil"/>
              <w:bottom w:val="single" w:sz="4" w:space="0" w:color="ADD6EA"/>
              <w:right w:val="nil"/>
            </w:tcBorders>
            <w:shd w:val="clear" w:color="auto" w:fill="auto"/>
            <w:vAlign w:val="bottom"/>
            <w:hideMark/>
          </w:tcPr>
          <w:p w14:paraId="53944A2F"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107</w:t>
            </w:r>
          </w:p>
        </w:tc>
      </w:tr>
      <w:tr w:rsidR="009A1C81" w:rsidRPr="009A1C81" w14:paraId="081D7722" w14:textId="77777777" w:rsidTr="00500FBE">
        <w:trPr>
          <w:trHeight w:val="315"/>
        </w:trPr>
        <w:tc>
          <w:tcPr>
            <w:tcW w:w="3686" w:type="dxa"/>
            <w:tcBorders>
              <w:top w:val="nil"/>
              <w:left w:val="nil"/>
              <w:bottom w:val="single" w:sz="4" w:space="0" w:color="ADD6EA"/>
              <w:right w:val="nil"/>
            </w:tcBorders>
            <w:shd w:val="clear" w:color="auto" w:fill="auto"/>
            <w:vAlign w:val="bottom"/>
            <w:hideMark/>
          </w:tcPr>
          <w:p w14:paraId="33CAE245" w14:textId="42F17A22" w:rsidR="009A1C81" w:rsidRPr="009A1C81" w:rsidRDefault="009A1C81" w:rsidP="009A1C81">
            <w:pPr>
              <w:tabs>
                <w:tab w:val="clear" w:pos="567"/>
              </w:tabs>
              <w:spacing w:before="0" w:line="240" w:lineRule="auto"/>
              <w:rPr>
                <w:rFonts w:eastAsia="Times New Roman" w:cs="Open Sans Light"/>
                <w:sz w:val="16"/>
                <w:szCs w:val="16"/>
                <w:lang w:val="en-AU" w:eastAsia="en-AU"/>
              </w:rPr>
            </w:pPr>
            <w:r>
              <w:rPr>
                <w:rFonts w:cs="Open Sans Light"/>
                <w:sz w:val="16"/>
                <w:szCs w:val="16"/>
              </w:rPr>
              <w:t>Other</w:t>
            </w:r>
          </w:p>
        </w:tc>
        <w:tc>
          <w:tcPr>
            <w:tcW w:w="581" w:type="dxa"/>
            <w:tcBorders>
              <w:top w:val="nil"/>
              <w:left w:val="nil"/>
              <w:bottom w:val="single" w:sz="4" w:space="0" w:color="ADD6EA"/>
              <w:right w:val="nil"/>
            </w:tcBorders>
            <w:shd w:val="clear" w:color="auto" w:fill="auto"/>
            <w:vAlign w:val="bottom"/>
            <w:hideMark/>
          </w:tcPr>
          <w:p w14:paraId="09573BA0"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16</w:t>
            </w:r>
          </w:p>
        </w:tc>
        <w:tc>
          <w:tcPr>
            <w:tcW w:w="625" w:type="dxa"/>
            <w:tcBorders>
              <w:top w:val="nil"/>
              <w:left w:val="nil"/>
              <w:bottom w:val="single" w:sz="4" w:space="0" w:color="ADD6EA"/>
              <w:right w:val="nil"/>
            </w:tcBorders>
            <w:shd w:val="clear" w:color="auto" w:fill="auto"/>
            <w:vAlign w:val="bottom"/>
            <w:hideMark/>
          </w:tcPr>
          <w:p w14:paraId="72971255"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110</w:t>
            </w:r>
          </w:p>
        </w:tc>
        <w:tc>
          <w:tcPr>
            <w:tcW w:w="575" w:type="dxa"/>
            <w:tcBorders>
              <w:top w:val="nil"/>
              <w:left w:val="nil"/>
              <w:bottom w:val="single" w:sz="4" w:space="0" w:color="ADD6EA"/>
              <w:right w:val="nil"/>
            </w:tcBorders>
            <w:shd w:val="clear" w:color="auto" w:fill="auto"/>
            <w:vAlign w:val="bottom"/>
            <w:hideMark/>
          </w:tcPr>
          <w:p w14:paraId="28A74356"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w:t>
            </w:r>
          </w:p>
        </w:tc>
        <w:tc>
          <w:tcPr>
            <w:tcW w:w="575" w:type="dxa"/>
            <w:tcBorders>
              <w:top w:val="nil"/>
              <w:left w:val="nil"/>
              <w:bottom w:val="single" w:sz="4" w:space="0" w:color="ADD6EA"/>
              <w:right w:val="nil"/>
            </w:tcBorders>
            <w:shd w:val="clear" w:color="auto" w:fill="auto"/>
            <w:vAlign w:val="bottom"/>
            <w:hideMark/>
          </w:tcPr>
          <w:p w14:paraId="33CF08D8"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w:t>
            </w:r>
          </w:p>
        </w:tc>
        <w:tc>
          <w:tcPr>
            <w:tcW w:w="575" w:type="dxa"/>
            <w:tcBorders>
              <w:top w:val="nil"/>
              <w:left w:val="nil"/>
              <w:bottom w:val="single" w:sz="4" w:space="0" w:color="ADD6EA"/>
              <w:right w:val="nil"/>
            </w:tcBorders>
            <w:shd w:val="clear" w:color="auto" w:fill="auto"/>
            <w:vAlign w:val="bottom"/>
            <w:hideMark/>
          </w:tcPr>
          <w:p w14:paraId="28930EB4"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-8</w:t>
            </w:r>
          </w:p>
        </w:tc>
        <w:tc>
          <w:tcPr>
            <w:tcW w:w="575" w:type="dxa"/>
            <w:tcBorders>
              <w:top w:val="nil"/>
              <w:left w:val="nil"/>
              <w:bottom w:val="single" w:sz="4" w:space="0" w:color="ADD6EA"/>
              <w:right w:val="nil"/>
            </w:tcBorders>
            <w:shd w:val="clear" w:color="auto" w:fill="auto"/>
            <w:vAlign w:val="bottom"/>
            <w:hideMark/>
          </w:tcPr>
          <w:p w14:paraId="2CA7C6C4"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-35</w:t>
            </w:r>
          </w:p>
        </w:tc>
        <w:tc>
          <w:tcPr>
            <w:tcW w:w="577" w:type="dxa"/>
            <w:tcBorders>
              <w:top w:val="nil"/>
              <w:left w:val="nil"/>
              <w:bottom w:val="single" w:sz="4" w:space="0" w:color="ADD6EA"/>
              <w:right w:val="nil"/>
            </w:tcBorders>
            <w:shd w:val="clear" w:color="auto" w:fill="auto"/>
            <w:vAlign w:val="bottom"/>
            <w:hideMark/>
          </w:tcPr>
          <w:p w14:paraId="3B810999"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7</w:t>
            </w:r>
          </w:p>
        </w:tc>
        <w:tc>
          <w:tcPr>
            <w:tcW w:w="575" w:type="dxa"/>
            <w:tcBorders>
              <w:top w:val="nil"/>
              <w:left w:val="nil"/>
              <w:bottom w:val="single" w:sz="4" w:space="0" w:color="ADD6EA"/>
              <w:right w:val="nil"/>
            </w:tcBorders>
            <w:shd w:val="clear" w:color="auto" w:fill="auto"/>
            <w:vAlign w:val="bottom"/>
            <w:hideMark/>
          </w:tcPr>
          <w:p w14:paraId="6059F57E"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-99</w:t>
            </w:r>
          </w:p>
        </w:tc>
        <w:tc>
          <w:tcPr>
            <w:tcW w:w="696" w:type="dxa"/>
            <w:tcBorders>
              <w:top w:val="nil"/>
              <w:left w:val="nil"/>
              <w:bottom w:val="single" w:sz="4" w:space="0" w:color="ADD6EA"/>
              <w:right w:val="nil"/>
            </w:tcBorders>
            <w:shd w:val="clear" w:color="auto" w:fill="auto"/>
            <w:vAlign w:val="bottom"/>
            <w:hideMark/>
          </w:tcPr>
          <w:p w14:paraId="762BC47A" w14:textId="77777777" w:rsidR="009A1C81" w:rsidRPr="009A1C81" w:rsidRDefault="009A1C81" w:rsidP="009A1C81">
            <w:pPr>
              <w:tabs>
                <w:tab w:val="clear" w:pos="567"/>
              </w:tabs>
              <w:spacing w:before="0" w:line="240" w:lineRule="auto"/>
              <w:jc w:val="right"/>
              <w:rPr>
                <w:rFonts w:eastAsia="Times New Roman" w:cs="Open Sans Light"/>
                <w:sz w:val="16"/>
                <w:szCs w:val="16"/>
                <w:lang w:val="en-AU" w:eastAsia="en-AU"/>
              </w:rPr>
            </w:pPr>
            <w:r w:rsidRPr="009A1C81">
              <w:rPr>
                <w:rFonts w:eastAsia="Times New Roman" w:cs="Open Sans Light"/>
                <w:sz w:val="16"/>
                <w:szCs w:val="16"/>
                <w:lang w:val="en-AU" w:eastAsia="en-AU"/>
              </w:rPr>
              <w:t>141</w:t>
            </w:r>
          </w:p>
        </w:tc>
      </w:tr>
      <w:tr w:rsidR="009A1C81" w:rsidRPr="009A1C81" w14:paraId="7D22F76C" w14:textId="77777777" w:rsidTr="00500FBE">
        <w:trPr>
          <w:trHeight w:val="315"/>
        </w:trPr>
        <w:tc>
          <w:tcPr>
            <w:tcW w:w="3686" w:type="dxa"/>
            <w:tcBorders>
              <w:top w:val="nil"/>
              <w:left w:val="nil"/>
              <w:bottom w:val="single" w:sz="4" w:space="0" w:color="ADD6EA"/>
              <w:right w:val="nil"/>
            </w:tcBorders>
            <w:shd w:val="clear" w:color="000000" w:fill="D6E7F0"/>
            <w:vAlign w:val="bottom"/>
            <w:hideMark/>
          </w:tcPr>
          <w:p w14:paraId="6D6FFBBC" w14:textId="77777777" w:rsidR="009A1C81" w:rsidRPr="009A1C81" w:rsidRDefault="009A1C81" w:rsidP="009A1C81">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Total</w:t>
            </w:r>
          </w:p>
        </w:tc>
        <w:tc>
          <w:tcPr>
            <w:tcW w:w="581" w:type="dxa"/>
            <w:tcBorders>
              <w:top w:val="nil"/>
              <w:left w:val="nil"/>
              <w:bottom w:val="single" w:sz="4" w:space="0" w:color="ADD6EA"/>
              <w:right w:val="nil"/>
            </w:tcBorders>
            <w:shd w:val="clear" w:color="000000" w:fill="D6E7F0"/>
            <w:vAlign w:val="bottom"/>
            <w:hideMark/>
          </w:tcPr>
          <w:p w14:paraId="7C1957D3"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376</w:t>
            </w:r>
          </w:p>
        </w:tc>
        <w:tc>
          <w:tcPr>
            <w:tcW w:w="625" w:type="dxa"/>
            <w:tcBorders>
              <w:top w:val="nil"/>
              <w:left w:val="nil"/>
              <w:bottom w:val="single" w:sz="4" w:space="0" w:color="ADD6EA"/>
              <w:right w:val="nil"/>
            </w:tcBorders>
            <w:shd w:val="clear" w:color="000000" w:fill="D6E7F0"/>
            <w:vAlign w:val="bottom"/>
            <w:hideMark/>
          </w:tcPr>
          <w:p w14:paraId="734B35A8"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1,152</w:t>
            </w:r>
          </w:p>
        </w:tc>
        <w:tc>
          <w:tcPr>
            <w:tcW w:w="575" w:type="dxa"/>
            <w:tcBorders>
              <w:top w:val="nil"/>
              <w:left w:val="nil"/>
              <w:bottom w:val="single" w:sz="4" w:space="0" w:color="ADD6EA"/>
              <w:right w:val="nil"/>
            </w:tcBorders>
            <w:shd w:val="clear" w:color="000000" w:fill="D6E7F0"/>
            <w:vAlign w:val="bottom"/>
            <w:hideMark/>
          </w:tcPr>
          <w:p w14:paraId="27565F8D"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-882</w:t>
            </w:r>
          </w:p>
        </w:tc>
        <w:tc>
          <w:tcPr>
            <w:tcW w:w="575" w:type="dxa"/>
            <w:tcBorders>
              <w:top w:val="nil"/>
              <w:left w:val="nil"/>
              <w:bottom w:val="single" w:sz="4" w:space="0" w:color="ADD6EA"/>
              <w:right w:val="nil"/>
            </w:tcBorders>
            <w:shd w:val="clear" w:color="000000" w:fill="D6E7F0"/>
            <w:vAlign w:val="bottom"/>
            <w:hideMark/>
          </w:tcPr>
          <w:p w14:paraId="379C5EE4"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0</w:t>
            </w:r>
          </w:p>
        </w:tc>
        <w:tc>
          <w:tcPr>
            <w:tcW w:w="575" w:type="dxa"/>
            <w:tcBorders>
              <w:top w:val="nil"/>
              <w:left w:val="nil"/>
              <w:bottom w:val="single" w:sz="4" w:space="0" w:color="ADD6EA"/>
              <w:right w:val="nil"/>
            </w:tcBorders>
            <w:shd w:val="clear" w:color="000000" w:fill="D6E7F0"/>
            <w:vAlign w:val="bottom"/>
            <w:hideMark/>
          </w:tcPr>
          <w:p w14:paraId="04F1334A"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-236</w:t>
            </w:r>
          </w:p>
        </w:tc>
        <w:tc>
          <w:tcPr>
            <w:tcW w:w="575" w:type="dxa"/>
            <w:tcBorders>
              <w:top w:val="nil"/>
              <w:left w:val="nil"/>
              <w:bottom w:val="single" w:sz="4" w:space="0" w:color="ADD6EA"/>
              <w:right w:val="nil"/>
            </w:tcBorders>
            <w:shd w:val="clear" w:color="000000" w:fill="D6E7F0"/>
            <w:vAlign w:val="bottom"/>
            <w:hideMark/>
          </w:tcPr>
          <w:p w14:paraId="344944EC"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-89</w:t>
            </w:r>
          </w:p>
        </w:tc>
        <w:tc>
          <w:tcPr>
            <w:tcW w:w="577" w:type="dxa"/>
            <w:tcBorders>
              <w:top w:val="nil"/>
              <w:left w:val="nil"/>
              <w:bottom w:val="single" w:sz="4" w:space="0" w:color="ADD6EA"/>
              <w:right w:val="nil"/>
            </w:tcBorders>
            <w:shd w:val="clear" w:color="000000" w:fill="D6E7F0"/>
            <w:vAlign w:val="bottom"/>
            <w:hideMark/>
          </w:tcPr>
          <w:p w14:paraId="79E5DD8F"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91</w:t>
            </w:r>
          </w:p>
        </w:tc>
        <w:tc>
          <w:tcPr>
            <w:tcW w:w="575" w:type="dxa"/>
            <w:tcBorders>
              <w:top w:val="nil"/>
              <w:left w:val="nil"/>
              <w:bottom w:val="single" w:sz="4" w:space="0" w:color="ADD6EA"/>
              <w:right w:val="nil"/>
            </w:tcBorders>
            <w:shd w:val="clear" w:color="000000" w:fill="D6E7F0"/>
            <w:vAlign w:val="bottom"/>
            <w:hideMark/>
          </w:tcPr>
          <w:p w14:paraId="0271B043"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-412</w:t>
            </w:r>
          </w:p>
        </w:tc>
        <w:tc>
          <w:tcPr>
            <w:tcW w:w="696" w:type="dxa"/>
            <w:tcBorders>
              <w:top w:val="nil"/>
              <w:left w:val="nil"/>
              <w:bottom w:val="single" w:sz="4" w:space="0" w:color="ADD6EA"/>
              <w:right w:val="nil"/>
            </w:tcBorders>
            <w:shd w:val="clear" w:color="000000" w:fill="D6E7F0"/>
            <w:vAlign w:val="bottom"/>
            <w:hideMark/>
          </w:tcPr>
          <w:p w14:paraId="5E83B0D0" w14:textId="77777777" w:rsidR="009A1C81" w:rsidRPr="009A1C81" w:rsidRDefault="009A1C81" w:rsidP="009A1C81">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9A1C81">
              <w:rPr>
                <w:rFonts w:ascii="Open Sans SemiBold" w:eastAsia="Times New Roman" w:hAnsi="Open Sans SemiBold" w:cs="Open Sans SemiBold"/>
                <w:color w:val="000000"/>
                <w:sz w:val="16"/>
                <w:szCs w:val="16"/>
                <w:lang w:val="en-AU" w:eastAsia="en-AU"/>
              </w:rPr>
              <w:t>1,619</w:t>
            </w:r>
          </w:p>
        </w:tc>
      </w:tr>
    </w:tbl>
    <w:p w14:paraId="11B3E996" w14:textId="7D6199AF" w:rsidR="004C4C48" w:rsidRPr="004C4C48" w:rsidRDefault="004C4C48" w:rsidP="004A09BF">
      <w:pPr>
        <w:pStyle w:val="CGCTablenote"/>
        <w:keepNext/>
        <w:keepLines/>
      </w:pPr>
      <w:r>
        <w:t>Source:</w:t>
      </w:r>
      <w:r>
        <w:tab/>
      </w:r>
      <w:r w:rsidR="00F44FD5">
        <w:t>Commission calculation.</w:t>
      </w:r>
    </w:p>
    <w:p w14:paraId="1DB15234" w14:textId="77777777" w:rsidR="003B0B10" w:rsidRDefault="003B0B10">
      <w:pPr>
        <w:tabs>
          <w:tab w:val="clear" w:pos="567"/>
        </w:tabs>
        <w:spacing w:before="0" w:after="160" w:line="259" w:lineRule="auto"/>
        <w:rPr>
          <w:rFonts w:ascii="Montserrat Semi Bold" w:eastAsiaTheme="majorEastAsia" w:hAnsi="Montserrat Semi Bold" w:cstheme="majorBidi"/>
          <w:bCs/>
          <w:iCs/>
          <w:color w:val="006991"/>
          <w:sz w:val="28"/>
        </w:rPr>
      </w:pPr>
      <w:r>
        <w:br w:type="page"/>
      </w:r>
    </w:p>
    <w:p w14:paraId="481F4105" w14:textId="77777777" w:rsidR="004D2749" w:rsidRDefault="004D2749" w:rsidP="004D2749">
      <w:pPr>
        <w:pStyle w:val="Heading4"/>
      </w:pPr>
      <w:bookmarkStart w:id="67" w:name="_Toc33600562"/>
      <w:r>
        <w:lastRenderedPageBreak/>
        <w:t>Expenditure</w:t>
      </w:r>
      <w:bookmarkEnd w:id="67"/>
    </w:p>
    <w:p w14:paraId="5A09B086" w14:textId="6C44CD12" w:rsidR="0053033A" w:rsidRDefault="0053033A" w:rsidP="004D2749">
      <w:pPr>
        <w:pStyle w:val="Heading5"/>
      </w:pPr>
      <w:r>
        <w:t>Socio-demographic features</w:t>
      </w:r>
    </w:p>
    <w:p w14:paraId="60FBE9FD" w14:textId="0426A80D" w:rsidR="004D2749" w:rsidRDefault="0008609D" w:rsidP="0039536D">
      <w:pPr>
        <w:pStyle w:val="Heading6"/>
      </w:pPr>
      <w:r>
        <w:t>Population dispersion</w:t>
      </w:r>
    </w:p>
    <w:p w14:paraId="26A41DED" w14:textId="37AE9E98" w:rsidR="009719C2" w:rsidRDefault="009719C2" w:rsidP="009719C2">
      <w:pPr>
        <w:pStyle w:val="CGCParaNumber"/>
      </w:pPr>
      <w:r>
        <w:t xml:space="preserve">Some services are more expensive to deliver in regional and remote areas. People in those areas also </w:t>
      </w:r>
      <w:r w:rsidR="00643672">
        <w:t xml:space="preserve">tend to </w:t>
      </w:r>
      <w:r>
        <w:t xml:space="preserve">use </w:t>
      </w:r>
      <w:r w:rsidR="00EE633E">
        <w:t xml:space="preserve">State provided </w:t>
      </w:r>
      <w:r>
        <w:t xml:space="preserve">services more intensively than </w:t>
      </w:r>
      <w:r w:rsidR="00643672">
        <w:t xml:space="preserve">people </w:t>
      </w:r>
      <w:r>
        <w:t>in more accessible areas</w:t>
      </w:r>
      <w:r w:rsidR="00EE633E">
        <w:t>, often due to a lack of alternative providers</w:t>
      </w:r>
      <w:r>
        <w:t xml:space="preserve">. Services delivered in small isolated communities are unable to achieve </w:t>
      </w:r>
      <w:r w:rsidR="004F2938">
        <w:t xml:space="preserve">the </w:t>
      </w:r>
      <w:r>
        <w:t xml:space="preserve">economies of scale available in larger centres. </w:t>
      </w:r>
      <w:r w:rsidR="002D057A">
        <w:t>S</w:t>
      </w:r>
      <w:r>
        <w:t xml:space="preserve">ubsidies </w:t>
      </w:r>
      <w:r w:rsidR="002D057A">
        <w:t>to</w:t>
      </w:r>
      <w:r>
        <w:t xml:space="preserve"> water and electricity </w:t>
      </w:r>
      <w:r w:rsidR="002D057A">
        <w:t>providers are</w:t>
      </w:r>
      <w:r>
        <w:t xml:space="preserve"> primarily </w:t>
      </w:r>
      <w:r w:rsidR="00731C92">
        <w:t xml:space="preserve">associated </w:t>
      </w:r>
      <w:r w:rsidR="008E51CB">
        <w:t>with</w:t>
      </w:r>
      <w:r>
        <w:t xml:space="preserve"> </w:t>
      </w:r>
      <w:r w:rsidR="007A764A">
        <w:t xml:space="preserve">small, </w:t>
      </w:r>
      <w:r w:rsidR="00E51907">
        <w:t xml:space="preserve">more </w:t>
      </w:r>
      <w:r>
        <w:t xml:space="preserve">remote communities. About half of the redistribution attributable to population dispersion </w:t>
      </w:r>
      <w:r w:rsidR="00213B1A">
        <w:t>relates to</w:t>
      </w:r>
      <w:r>
        <w:t xml:space="preserve"> health expenses</w:t>
      </w:r>
      <w:r w:rsidR="000D1832">
        <w:t xml:space="preserve">, </w:t>
      </w:r>
      <w:r w:rsidR="000D1832" w:rsidRPr="00131DA9">
        <w:rPr>
          <w:lang w:val="en-AU"/>
        </w:rPr>
        <w:t>recogni</w:t>
      </w:r>
      <w:r w:rsidR="000D40AC" w:rsidRPr="00131DA9">
        <w:rPr>
          <w:lang w:val="en-AU"/>
        </w:rPr>
        <w:t>s</w:t>
      </w:r>
      <w:r w:rsidR="000D1832" w:rsidRPr="00131DA9">
        <w:rPr>
          <w:lang w:val="en-AU"/>
        </w:rPr>
        <w:t>ing</w:t>
      </w:r>
      <w:r w:rsidR="000D1832">
        <w:t xml:space="preserve"> the </w:t>
      </w:r>
      <w:r w:rsidR="00D40045">
        <w:t xml:space="preserve">higher </w:t>
      </w:r>
      <w:r w:rsidR="000D1832">
        <w:t xml:space="preserve">cost of </w:t>
      </w:r>
      <w:r w:rsidR="00D07BA6">
        <w:t>operating</w:t>
      </w:r>
      <w:r w:rsidR="00720AC7">
        <w:t xml:space="preserve"> </w:t>
      </w:r>
      <w:r w:rsidR="00F708AA">
        <w:t>hospital</w:t>
      </w:r>
      <w:r w:rsidR="00893D23">
        <w:t>s</w:t>
      </w:r>
      <w:r w:rsidR="00F708AA">
        <w:t xml:space="preserve"> and clinic</w:t>
      </w:r>
      <w:r w:rsidR="00893D23">
        <w:t xml:space="preserve">s </w:t>
      </w:r>
      <w:r w:rsidR="00D07BA6">
        <w:t>in</w:t>
      </w:r>
      <w:r w:rsidR="00D135F9">
        <w:t xml:space="preserve"> more remote </w:t>
      </w:r>
      <w:r w:rsidR="00441C61">
        <w:t>locations</w:t>
      </w:r>
      <w:r>
        <w:t xml:space="preserve">. </w:t>
      </w:r>
    </w:p>
    <w:p w14:paraId="3B9A3830" w14:textId="4B03E5EF" w:rsidR="003B254F" w:rsidRPr="000E3F05" w:rsidRDefault="009719C2" w:rsidP="003B254F">
      <w:pPr>
        <w:pStyle w:val="CGCParaNumber"/>
      </w:pPr>
      <w:r>
        <w:t xml:space="preserve">States with </w:t>
      </w:r>
      <w:r w:rsidR="00461BA7">
        <w:t>a greater proportion of their</w:t>
      </w:r>
      <w:r>
        <w:t xml:space="preserve"> population in remote areas, especially Queensland, Western</w:t>
      </w:r>
      <w:r w:rsidR="008D2234">
        <w:t> </w:t>
      </w:r>
      <w:r>
        <w:t>Australia and the Northern</w:t>
      </w:r>
      <w:r w:rsidR="008D2234">
        <w:t> </w:t>
      </w:r>
      <w:r>
        <w:t>Territory</w:t>
      </w:r>
      <w:r w:rsidR="008D2234">
        <w:t>,</w:t>
      </w:r>
      <w:r>
        <w:t xml:space="preserve"> have higher than average </w:t>
      </w:r>
      <w:r w:rsidR="009321DB">
        <w:t xml:space="preserve">service delivery </w:t>
      </w:r>
      <w:r w:rsidR="00495F0F">
        <w:t>costs</w:t>
      </w:r>
      <w:r>
        <w:t>. Tasmania, with its relatively large regional population</w:t>
      </w:r>
      <w:r w:rsidR="00631407">
        <w:t>,</w:t>
      </w:r>
      <w:r>
        <w:t xml:space="preserve"> also has higher than average </w:t>
      </w:r>
      <w:r w:rsidR="00495F0F">
        <w:t>costs</w:t>
      </w:r>
      <w:r>
        <w:t>.</w:t>
      </w:r>
    </w:p>
    <w:p w14:paraId="01E1CB4F" w14:textId="77777777" w:rsidR="004D2749" w:rsidRDefault="004D2749" w:rsidP="0039536D">
      <w:pPr>
        <w:pStyle w:val="Heading6"/>
      </w:pPr>
      <w:r>
        <w:t>Indigenous status</w:t>
      </w:r>
    </w:p>
    <w:p w14:paraId="0A59ADCF" w14:textId="69C21CEF" w:rsidR="003B254F" w:rsidRPr="000E3F05" w:rsidRDefault="00DD0011" w:rsidP="003B254F">
      <w:pPr>
        <w:pStyle w:val="CGCParaNumber"/>
      </w:pPr>
      <w:r>
        <w:t>On average</w:t>
      </w:r>
      <w:r w:rsidR="007A5359">
        <w:t>,</w:t>
      </w:r>
      <w:r>
        <w:t xml:space="preserve"> States spend more than twice as much per Indigenous per</w:t>
      </w:r>
      <w:r w:rsidR="00ED0AE0">
        <w:t>s</w:t>
      </w:r>
      <w:r>
        <w:t>on than per non</w:t>
      </w:r>
      <w:r w:rsidR="007A764A">
        <w:noBreakHyphen/>
      </w:r>
      <w:r>
        <w:t xml:space="preserve">Indigenous person, particularly in </w:t>
      </w:r>
      <w:r w:rsidR="00B674CF">
        <w:t xml:space="preserve">delivering </w:t>
      </w:r>
      <w:r w:rsidR="006724B0" w:rsidRPr="006724B0">
        <w:t>health</w:t>
      </w:r>
      <w:r w:rsidR="00AA5FA5">
        <w:t>,</w:t>
      </w:r>
      <w:r w:rsidR="006724B0" w:rsidRPr="006724B0">
        <w:t xml:space="preserve"> justice and child welfare services. States with </w:t>
      </w:r>
      <w:r w:rsidR="007A547E">
        <w:t>relatively</w:t>
      </w:r>
      <w:r w:rsidR="006724B0" w:rsidRPr="006724B0">
        <w:t xml:space="preserve"> large Indigenous populations </w:t>
      </w:r>
      <w:r w:rsidR="00F77365">
        <w:t>therefore require</w:t>
      </w:r>
      <w:r w:rsidR="006724B0" w:rsidRPr="006724B0">
        <w:t xml:space="preserve"> </w:t>
      </w:r>
      <w:r w:rsidR="00AF6CB5">
        <w:t xml:space="preserve">additional GST </w:t>
      </w:r>
      <w:r w:rsidR="006724B0" w:rsidRPr="006724B0">
        <w:t xml:space="preserve">to </w:t>
      </w:r>
      <w:r w:rsidR="00391EF8">
        <w:t>meet these higher cost</w:t>
      </w:r>
      <w:r w:rsidR="00737C30">
        <w:t>s</w:t>
      </w:r>
      <w:r w:rsidR="006724B0" w:rsidRPr="006724B0">
        <w:t>. This leads to a redistribution from Victoria</w:t>
      </w:r>
      <w:r w:rsidR="007401D3">
        <w:t>, South Australia</w:t>
      </w:r>
      <w:r w:rsidR="006724B0" w:rsidRPr="006724B0">
        <w:t xml:space="preserve"> and the ACT towards </w:t>
      </w:r>
      <w:r w:rsidR="00095A41">
        <w:t xml:space="preserve">New South Wales, </w:t>
      </w:r>
      <w:r w:rsidR="006724B0" w:rsidRPr="006724B0">
        <w:t>Queensland</w:t>
      </w:r>
      <w:r w:rsidR="005B5726">
        <w:t>, Western Australia</w:t>
      </w:r>
      <w:r w:rsidR="006724B0" w:rsidRPr="006724B0">
        <w:t>, Tasmania and</w:t>
      </w:r>
      <w:r w:rsidR="000E271C">
        <w:t xml:space="preserve"> </w:t>
      </w:r>
      <w:r w:rsidR="006724B0" w:rsidRPr="006724B0">
        <w:t>the Northern</w:t>
      </w:r>
      <w:r w:rsidR="00977DFC">
        <w:t> </w:t>
      </w:r>
      <w:r w:rsidR="006724B0" w:rsidRPr="006724B0">
        <w:t>Territory.</w:t>
      </w:r>
    </w:p>
    <w:p w14:paraId="10835C1D" w14:textId="357F877D" w:rsidR="0039536D" w:rsidRDefault="0039536D" w:rsidP="0039536D">
      <w:pPr>
        <w:pStyle w:val="Heading6"/>
      </w:pPr>
      <w:r>
        <w:t>Non-Indigenous disadvantage</w:t>
      </w:r>
    </w:p>
    <w:p w14:paraId="526FED0B" w14:textId="27C52017" w:rsidR="003B254F" w:rsidRPr="000E3F05" w:rsidRDefault="00693564" w:rsidP="003B254F">
      <w:pPr>
        <w:pStyle w:val="CGCParaNumber"/>
      </w:pPr>
      <w:r w:rsidRPr="00693564">
        <w:t xml:space="preserve">States spend </w:t>
      </w:r>
      <w:r w:rsidR="009D6746">
        <w:t xml:space="preserve">relatively </w:t>
      </w:r>
      <w:r w:rsidRPr="00693564">
        <w:t xml:space="preserve">more </w:t>
      </w:r>
      <w:r w:rsidR="009D6746">
        <w:t>providing services to</w:t>
      </w:r>
      <w:r w:rsidRPr="00693564">
        <w:t xml:space="preserve"> socio-economically disadvantaged people </w:t>
      </w:r>
      <w:r w:rsidR="009D6746">
        <w:t>compared with less dis</w:t>
      </w:r>
      <w:r w:rsidRPr="00693564">
        <w:t xml:space="preserve">advantaged people, especially in schools, justice and health. </w:t>
      </w:r>
      <w:r w:rsidR="00122B25">
        <w:t>Th</w:t>
      </w:r>
      <w:r w:rsidRPr="00693564">
        <w:t xml:space="preserve">is </w:t>
      </w:r>
      <w:r w:rsidR="00A17788">
        <w:t xml:space="preserve">leads to </w:t>
      </w:r>
      <w:r w:rsidR="00EA31F4">
        <w:t xml:space="preserve">a redistribution from States </w:t>
      </w:r>
      <w:r w:rsidR="00363103">
        <w:t xml:space="preserve">with </w:t>
      </w:r>
      <w:r w:rsidR="00363103" w:rsidRPr="00693564">
        <w:t xml:space="preserve">relatively low levels </w:t>
      </w:r>
      <w:r w:rsidR="00363103">
        <w:t xml:space="preserve">of non-Indigenous disadvantage (such as </w:t>
      </w:r>
      <w:r w:rsidR="00363103" w:rsidRPr="00693564">
        <w:t>the ACT and the Northern</w:t>
      </w:r>
      <w:r w:rsidR="00363103">
        <w:t> </w:t>
      </w:r>
      <w:r w:rsidR="00363103" w:rsidRPr="00693564">
        <w:t>Territory</w:t>
      </w:r>
      <w:r w:rsidR="00363103">
        <w:t>) towards States with</w:t>
      </w:r>
      <w:r w:rsidRPr="00693564">
        <w:t xml:space="preserve"> </w:t>
      </w:r>
      <w:r w:rsidR="007C4DCC">
        <w:t>an</w:t>
      </w:r>
      <w:r w:rsidRPr="00693564">
        <w:t xml:space="preserve"> above average level of disadvantage among the</w:t>
      </w:r>
      <w:r w:rsidR="002A7B82">
        <w:t>ir</w:t>
      </w:r>
      <w:r w:rsidRPr="00693564">
        <w:t xml:space="preserve"> non</w:t>
      </w:r>
      <w:r>
        <w:t>-</w:t>
      </w:r>
      <w:r w:rsidRPr="00693564">
        <w:t>Indigenous population</w:t>
      </w:r>
      <w:r w:rsidR="00104992">
        <w:t>s</w:t>
      </w:r>
      <w:r w:rsidRPr="00693564">
        <w:t xml:space="preserve"> </w:t>
      </w:r>
      <w:r w:rsidR="002A4325">
        <w:t xml:space="preserve">(such as </w:t>
      </w:r>
      <w:r w:rsidRPr="00693564">
        <w:t>South</w:t>
      </w:r>
      <w:r w:rsidR="0010257F">
        <w:t> </w:t>
      </w:r>
      <w:r w:rsidRPr="00693564">
        <w:t>Australia and Tasmania</w:t>
      </w:r>
      <w:r w:rsidR="002A4325">
        <w:t>).</w:t>
      </w:r>
    </w:p>
    <w:p w14:paraId="168A5A0A" w14:textId="3F8352CC" w:rsidR="004D2749" w:rsidRDefault="004D2749" w:rsidP="004D2749">
      <w:pPr>
        <w:pStyle w:val="Heading5"/>
      </w:pPr>
      <w:r>
        <w:t xml:space="preserve">Urban </w:t>
      </w:r>
      <w:r w:rsidR="005B0B39">
        <w:t xml:space="preserve">transport </w:t>
      </w:r>
      <w:r w:rsidR="00756C21">
        <w:t>—</w:t>
      </w:r>
      <w:r w:rsidR="005B0B39">
        <w:t xml:space="preserve"> urban </w:t>
      </w:r>
      <w:r>
        <w:t xml:space="preserve">centre </w:t>
      </w:r>
      <w:r w:rsidR="005B0B39">
        <w:t>characteristics</w:t>
      </w:r>
    </w:p>
    <w:p w14:paraId="21EB392C" w14:textId="5220F6BC" w:rsidR="00491383" w:rsidRDefault="00491383" w:rsidP="00491383">
      <w:pPr>
        <w:pStyle w:val="CGCParaNumber"/>
      </w:pPr>
      <w:r>
        <w:t xml:space="preserve">Data show that States spend more providing urban transport services and infrastructure in larger cities </w:t>
      </w:r>
      <w:r w:rsidR="00847928">
        <w:t>with high population density</w:t>
      </w:r>
      <w:r w:rsidR="00785BD9">
        <w:t xml:space="preserve">. </w:t>
      </w:r>
      <w:r>
        <w:t>In larger</w:t>
      </w:r>
      <w:r w:rsidR="00843613">
        <w:t xml:space="preserve">, </w:t>
      </w:r>
      <w:r w:rsidR="00D02560">
        <w:t xml:space="preserve">more </w:t>
      </w:r>
      <w:r w:rsidR="00843613">
        <w:t>densely populated</w:t>
      </w:r>
      <w:r>
        <w:t xml:space="preserve"> cities, commuters </w:t>
      </w:r>
      <w:r w:rsidR="009C5AB5">
        <w:t xml:space="preserve">are more likely to </w:t>
      </w:r>
      <w:r>
        <w:t xml:space="preserve">use public transport </w:t>
      </w:r>
      <w:r w:rsidR="00203553">
        <w:t>in</w:t>
      </w:r>
      <w:r>
        <w:t xml:space="preserve"> response to </w:t>
      </w:r>
      <w:r w:rsidR="0060537F">
        <w:t>road</w:t>
      </w:r>
      <w:r>
        <w:t xml:space="preserve"> congestion</w:t>
      </w:r>
      <w:r w:rsidR="00596ED4">
        <w:t xml:space="preserve">, and </w:t>
      </w:r>
      <w:r>
        <w:t xml:space="preserve">public transport networks </w:t>
      </w:r>
      <w:r w:rsidR="00596ED4">
        <w:t xml:space="preserve">tend to be more complex. </w:t>
      </w:r>
      <w:r w:rsidR="00B54420">
        <w:t xml:space="preserve">The modal mix tends to </w:t>
      </w:r>
      <w:r w:rsidR="003836D7">
        <w:t xml:space="preserve">change as cities get bigger. In Australia, the five largest capital cities </w:t>
      </w:r>
      <w:r w:rsidR="009C3C10">
        <w:t>provide</w:t>
      </w:r>
      <w:r w:rsidR="00076326">
        <w:t xml:space="preserve"> </w:t>
      </w:r>
      <w:r w:rsidR="00563D21">
        <w:t xml:space="preserve">heavy rail </w:t>
      </w:r>
      <w:r w:rsidR="00603888">
        <w:t xml:space="preserve">services in addition to other modes, such as buses and </w:t>
      </w:r>
      <w:r w:rsidR="00462217">
        <w:t>light rail</w:t>
      </w:r>
      <w:r w:rsidR="00603888">
        <w:t xml:space="preserve">. </w:t>
      </w:r>
      <w:r>
        <w:t>Further, individual city geographical characteristics also influence the cost of providing public transport.</w:t>
      </w:r>
    </w:p>
    <w:p w14:paraId="54ACE243" w14:textId="74ECF2D4" w:rsidR="004D2749" w:rsidRPr="004D2749" w:rsidRDefault="00727612" w:rsidP="004D2749">
      <w:pPr>
        <w:pStyle w:val="CGCParaNumber"/>
      </w:pPr>
      <w:r>
        <w:fldChar w:fldCharType="begin"/>
      </w:r>
      <w:r>
        <w:instrText xml:space="preserve"> REF _Ref30526286 \h </w:instrText>
      </w:r>
      <w:r>
        <w:fldChar w:fldCharType="separate"/>
      </w:r>
      <w:r w:rsidR="003D49C2">
        <w:t>Table 4</w:t>
      </w:r>
      <w:r w:rsidR="003D49C2">
        <w:noBreakHyphen/>
      </w:r>
      <w:r w:rsidR="003D49C2">
        <w:rPr>
          <w:noProof/>
        </w:rPr>
        <w:t>2</w:t>
      </w:r>
      <w:r>
        <w:fldChar w:fldCharType="end"/>
      </w:r>
      <w:r w:rsidR="00491383">
        <w:t xml:space="preserve"> shows that New</w:t>
      </w:r>
      <w:r w:rsidR="00C22B6D">
        <w:t> </w:t>
      </w:r>
      <w:r w:rsidR="00491383">
        <w:t>South</w:t>
      </w:r>
      <w:r w:rsidR="00C22B6D">
        <w:t> </w:t>
      </w:r>
      <w:r w:rsidR="00491383">
        <w:t xml:space="preserve">Wales and Victoria, each with a very large capital city and </w:t>
      </w:r>
      <w:r w:rsidR="00C24BEE">
        <w:t>several</w:t>
      </w:r>
      <w:r w:rsidR="00491383">
        <w:t xml:space="preserve"> other larger cities, require more GST ($</w:t>
      </w:r>
      <w:r w:rsidR="00491383" w:rsidRPr="003E1334">
        <w:t>1</w:t>
      </w:r>
      <w:r w:rsidR="003E1334" w:rsidRPr="003E1334">
        <w:t>.6 </w:t>
      </w:r>
      <w:r w:rsidR="00491383" w:rsidRPr="003E1334">
        <w:t>billion</w:t>
      </w:r>
      <w:r w:rsidR="00491383">
        <w:t xml:space="preserve">) to deliver urban transport services, including infrastructure, at average levels. Other States require less than an equal per capita amount </w:t>
      </w:r>
      <w:r w:rsidR="00D84791">
        <w:t xml:space="preserve">of GST </w:t>
      </w:r>
      <w:r w:rsidR="00491383">
        <w:t>to be able to deliver equivalent services.</w:t>
      </w:r>
    </w:p>
    <w:p w14:paraId="7FAB5CF4" w14:textId="77777777" w:rsidR="005E5237" w:rsidRDefault="005E5237">
      <w:pPr>
        <w:tabs>
          <w:tab w:val="clear" w:pos="567"/>
        </w:tabs>
        <w:spacing w:before="0" w:after="160" w:line="259" w:lineRule="auto"/>
        <w:rPr>
          <w:rFonts w:ascii="Montserrat Semi Bold" w:eastAsiaTheme="majorEastAsia" w:hAnsi="Montserrat Semi Bold" w:cstheme="majorBidi"/>
          <w:color w:val="636466"/>
          <w:sz w:val="24"/>
        </w:rPr>
      </w:pPr>
      <w:r>
        <w:br w:type="page"/>
      </w:r>
    </w:p>
    <w:p w14:paraId="394BAD71" w14:textId="77777777" w:rsidR="004D2749" w:rsidRDefault="004D2749" w:rsidP="004D2749">
      <w:pPr>
        <w:pStyle w:val="Heading5"/>
      </w:pPr>
      <w:r>
        <w:lastRenderedPageBreak/>
        <w:t>Administrative scale</w:t>
      </w:r>
    </w:p>
    <w:p w14:paraId="6838CC95" w14:textId="522771CB" w:rsidR="000E1546" w:rsidRDefault="000E1546" w:rsidP="000E1546">
      <w:pPr>
        <w:pStyle w:val="CGCParaNumber"/>
      </w:pPr>
      <w:r>
        <w:t xml:space="preserve">States with small populations have intrinsically higher per capita costs because the minimum functions of government </w:t>
      </w:r>
      <w:r w:rsidR="00C223EC">
        <w:t>are</w:t>
      </w:r>
      <w:r>
        <w:t xml:space="preserve"> spread over a smaller number of residents. The administrative cost that would be incurred independent of population size has been estimated at $353</w:t>
      </w:r>
      <w:r w:rsidR="00020529">
        <w:t> </w:t>
      </w:r>
      <w:r>
        <w:t xml:space="preserve">million </w:t>
      </w:r>
      <w:r w:rsidR="001D0B83">
        <w:t>per State</w:t>
      </w:r>
      <w:r>
        <w:t xml:space="preserve"> in 2018</w:t>
      </w:r>
      <w:r w:rsidR="002B12C0">
        <w:noBreakHyphen/>
      </w:r>
      <w:r>
        <w:t>19.</w:t>
      </w:r>
      <w:r w:rsidR="003022DB">
        <w:rPr>
          <w:rStyle w:val="FootnoteReference"/>
        </w:rPr>
        <w:footnoteReference w:id="13"/>
      </w:r>
      <w:r>
        <w:t xml:space="preserve"> This includes costs associated with:</w:t>
      </w:r>
    </w:p>
    <w:p w14:paraId="660D52E2" w14:textId="77777777" w:rsidR="000E1546" w:rsidRDefault="000E1546" w:rsidP="002B12C0">
      <w:pPr>
        <w:pStyle w:val="CGCBullet1"/>
      </w:pPr>
      <w:r>
        <w:t>core head office functions of departments (for example, corporate services, policy and planning functions, but not all staffing and other resources delivering these functions)</w:t>
      </w:r>
    </w:p>
    <w:p w14:paraId="28319161" w14:textId="1FEF2F23" w:rsidR="000E1546" w:rsidRDefault="000E1546" w:rsidP="002B12C0">
      <w:pPr>
        <w:pStyle w:val="CGCBullet1"/>
      </w:pPr>
      <w:r>
        <w:t>services provided for the whole of the State (for example, the legislature, the judiciary, the Treasury, the revenue office and a State museum</w:t>
      </w:r>
      <w:r w:rsidR="00A55304">
        <w:t>,</w:t>
      </w:r>
      <w:r>
        <w:t xml:space="preserve"> but not all staffing and other resources delivering these services).</w:t>
      </w:r>
    </w:p>
    <w:p w14:paraId="2749A68A" w14:textId="59DAB550" w:rsidR="004D2749" w:rsidRDefault="000E1546" w:rsidP="004D2749">
      <w:pPr>
        <w:pStyle w:val="CGCParaNumber"/>
      </w:pPr>
      <w:r>
        <w:t>The</w:t>
      </w:r>
      <w:r w:rsidR="005D038E">
        <w:t>se</w:t>
      </w:r>
      <w:r>
        <w:t xml:space="preserve"> minimum costs represent $44 per capita in New</w:t>
      </w:r>
      <w:r w:rsidR="00C22B6D">
        <w:t> </w:t>
      </w:r>
      <w:r>
        <w:t>South</w:t>
      </w:r>
      <w:r w:rsidR="00C22B6D">
        <w:t> </w:t>
      </w:r>
      <w:r>
        <w:t>Wales but $1</w:t>
      </w:r>
      <w:r w:rsidR="00DA6C4E">
        <w:t>,</w:t>
      </w:r>
      <w:r>
        <w:t>446 per capita in the Northern</w:t>
      </w:r>
      <w:r w:rsidR="00C22B6D">
        <w:t> </w:t>
      </w:r>
      <w:r>
        <w:t xml:space="preserve">Territory. This results in a redistribution of </w:t>
      </w:r>
      <w:r w:rsidR="00271D9A">
        <w:t xml:space="preserve">about </w:t>
      </w:r>
      <w:r>
        <w:t>$</w:t>
      </w:r>
      <w:r w:rsidR="002C4CCB">
        <w:t>1.2 b</w:t>
      </w:r>
      <w:r w:rsidRPr="008A69A1">
        <w:t>illion</w:t>
      </w:r>
      <w:r>
        <w:t xml:space="preserve"> in GST from New</w:t>
      </w:r>
      <w:r w:rsidR="00C22B6D">
        <w:t> </w:t>
      </w:r>
      <w:r>
        <w:t>South</w:t>
      </w:r>
      <w:r w:rsidR="00C22B6D">
        <w:t> </w:t>
      </w:r>
      <w:r>
        <w:t xml:space="preserve">Wales, Victoria and Queensland to the other States, as shown in </w:t>
      </w:r>
      <w:r w:rsidR="00DA6C4E">
        <w:fldChar w:fldCharType="begin"/>
      </w:r>
      <w:r w:rsidR="00DA6C4E">
        <w:instrText xml:space="preserve"> REF _Ref30526286 \h </w:instrText>
      </w:r>
      <w:r w:rsidR="00DA6C4E">
        <w:fldChar w:fldCharType="separate"/>
      </w:r>
      <w:r w:rsidR="003D49C2">
        <w:t>Table 4</w:t>
      </w:r>
      <w:r w:rsidR="003D49C2">
        <w:noBreakHyphen/>
      </w:r>
      <w:r w:rsidR="003D49C2">
        <w:rPr>
          <w:noProof/>
        </w:rPr>
        <w:t>2</w:t>
      </w:r>
      <w:r w:rsidR="00DA6C4E">
        <w:fldChar w:fldCharType="end"/>
      </w:r>
      <w:r>
        <w:t>.</w:t>
      </w:r>
    </w:p>
    <w:p w14:paraId="0C0FD119" w14:textId="562E3EDD" w:rsidR="00A016EB" w:rsidRDefault="00A016EB" w:rsidP="00A016EB">
      <w:pPr>
        <w:pStyle w:val="Heading5"/>
      </w:pPr>
      <w:r>
        <w:t>Investment</w:t>
      </w:r>
      <w:r w:rsidR="003E5525">
        <w:t xml:space="preserve"> and Depreciation</w:t>
      </w:r>
    </w:p>
    <w:p w14:paraId="689F60FF" w14:textId="1FA1EB99" w:rsidR="00A016EB" w:rsidRDefault="000E3F05" w:rsidP="00A016EB">
      <w:pPr>
        <w:pStyle w:val="Heading6"/>
      </w:pPr>
      <w:r>
        <w:t>Capital requirement</w:t>
      </w:r>
    </w:p>
    <w:p w14:paraId="7E6DEA6B" w14:textId="4A12256A" w:rsidR="00C870F7" w:rsidRDefault="00C870F7" w:rsidP="00C870F7">
      <w:pPr>
        <w:pStyle w:val="CGCParaNumber"/>
      </w:pPr>
      <w:r>
        <w:t>States with faster grow</w:t>
      </w:r>
      <w:r w:rsidR="00633466">
        <w:t>ing</w:t>
      </w:r>
      <w:r>
        <w:t xml:space="preserve"> </w:t>
      </w:r>
      <w:r w:rsidR="00633466">
        <w:t>service</w:t>
      </w:r>
      <w:r>
        <w:t xml:space="preserve"> user populations, such as Victoria</w:t>
      </w:r>
      <w:r w:rsidR="00184FE6">
        <w:t>,</w:t>
      </w:r>
      <w:r>
        <w:t xml:space="preserve"> require more investment to maintain their standard of </w:t>
      </w:r>
      <w:r w:rsidR="00D35D10">
        <w:t>infrastructure</w:t>
      </w:r>
      <w:r>
        <w:t xml:space="preserve"> than </w:t>
      </w:r>
      <w:r w:rsidR="006E6A3F">
        <w:t>St</w:t>
      </w:r>
      <w:r>
        <w:t>ate</w:t>
      </w:r>
      <w:r w:rsidR="006E6A3F">
        <w:t>s</w:t>
      </w:r>
      <w:r>
        <w:t xml:space="preserve"> with slower growth</w:t>
      </w:r>
      <w:r w:rsidR="000B164A">
        <w:t>,</w:t>
      </w:r>
      <w:r>
        <w:t xml:space="preserve"> such as Western</w:t>
      </w:r>
      <w:r w:rsidR="007E6B15">
        <w:t> </w:t>
      </w:r>
      <w:r>
        <w:t>Australia, South</w:t>
      </w:r>
      <w:r w:rsidR="007E6B15">
        <w:t> </w:t>
      </w:r>
      <w:r>
        <w:t>Australia and the Northern</w:t>
      </w:r>
      <w:r w:rsidR="007E6B15">
        <w:t> </w:t>
      </w:r>
      <w:r>
        <w:t>Territory.</w:t>
      </w:r>
    </w:p>
    <w:p w14:paraId="7C3B5E1A" w14:textId="36C78A63" w:rsidR="000E3F05" w:rsidRPr="000E3F05" w:rsidRDefault="00C870F7" w:rsidP="000E3F05">
      <w:pPr>
        <w:pStyle w:val="CGCParaNumber"/>
      </w:pPr>
      <w:r>
        <w:t>Victoria’s user population</w:t>
      </w:r>
      <w:r w:rsidR="00C32739">
        <w:t>s</w:t>
      </w:r>
      <w:r>
        <w:t xml:space="preserve"> </w:t>
      </w:r>
      <w:r w:rsidR="00C32739">
        <w:t>are</w:t>
      </w:r>
      <w:r>
        <w:t xml:space="preserve"> growing faster than average in most </w:t>
      </w:r>
      <w:r w:rsidR="00A712A5">
        <w:t xml:space="preserve">service </w:t>
      </w:r>
      <w:r w:rsidR="00C32739">
        <w:t>areas</w:t>
      </w:r>
      <w:r>
        <w:t xml:space="preserve">, and </w:t>
      </w:r>
      <w:r w:rsidR="00AF17DB">
        <w:t xml:space="preserve">the State </w:t>
      </w:r>
      <w:r>
        <w:t xml:space="preserve">has above average needs for investment in most </w:t>
      </w:r>
      <w:r w:rsidR="00C30BA2">
        <w:t>areas of service delivery</w:t>
      </w:r>
      <w:r>
        <w:t xml:space="preserve">. </w:t>
      </w:r>
      <w:r w:rsidR="001A5270">
        <w:t>T</w:t>
      </w:r>
      <w:r>
        <w:t xml:space="preserve">his </w:t>
      </w:r>
      <w:r w:rsidR="001A5270">
        <w:t>is particularly apparent for</w:t>
      </w:r>
      <w:r>
        <w:t xml:space="preserve"> urban transport. </w:t>
      </w:r>
      <w:r w:rsidR="00370736">
        <w:t>The con</w:t>
      </w:r>
      <w:r w:rsidR="00444DA2">
        <w:t>centration of Victoria’s</w:t>
      </w:r>
      <w:r>
        <w:t xml:space="preserve"> population growth</w:t>
      </w:r>
      <w:r w:rsidR="00396A0F">
        <w:t xml:space="preserve"> in Melbourne</w:t>
      </w:r>
      <w:r w:rsidR="00444DA2">
        <w:t xml:space="preserve"> </w:t>
      </w:r>
      <w:r w:rsidR="00396A0F">
        <w:t xml:space="preserve">means </w:t>
      </w:r>
      <w:r w:rsidR="00444DA2">
        <w:t>that</w:t>
      </w:r>
      <w:r w:rsidR="00396A0F">
        <w:t xml:space="preserve"> </w:t>
      </w:r>
      <w:r>
        <w:t>Victoria is assessed as requiring nearly 60% of growth-related investment in urban transport</w:t>
      </w:r>
      <w:r w:rsidR="00105CEC">
        <w:t xml:space="preserve"> infrastructure</w:t>
      </w:r>
      <w:r>
        <w:t>, or $6</w:t>
      </w:r>
      <w:r w:rsidR="009E01F5">
        <w:t>15 </w:t>
      </w:r>
      <w:r>
        <w:t>million more than an EPC distribution.</w:t>
      </w:r>
      <w:r w:rsidR="00D8418D">
        <w:rPr>
          <w:rStyle w:val="FootnoteReference"/>
        </w:rPr>
        <w:footnoteReference w:id="14"/>
      </w:r>
    </w:p>
    <w:p w14:paraId="79C8AB9D" w14:textId="5B8704ED" w:rsidR="000E3F05" w:rsidRDefault="000E3F05" w:rsidP="000E3F05">
      <w:pPr>
        <w:pStyle w:val="Heading6"/>
      </w:pPr>
      <w:r>
        <w:t>Capital improvements</w:t>
      </w:r>
    </w:p>
    <w:p w14:paraId="50471B30" w14:textId="75F5C0C2" w:rsidR="003B254F" w:rsidRPr="000E3F05" w:rsidRDefault="003C7079" w:rsidP="003B254F">
      <w:pPr>
        <w:pStyle w:val="CGCParaNumber"/>
      </w:pPr>
      <w:r>
        <w:t>Growth</w:t>
      </w:r>
      <w:r w:rsidR="004A49B3" w:rsidRPr="004A49B3">
        <w:t xml:space="preserve"> in the average level </w:t>
      </w:r>
      <w:r w:rsidR="001C3456">
        <w:t xml:space="preserve">of </w:t>
      </w:r>
      <w:r w:rsidR="001E54BE">
        <w:t xml:space="preserve">State </w:t>
      </w:r>
      <w:r w:rsidR="00776FEC">
        <w:t>rural road</w:t>
      </w:r>
      <w:r w:rsidR="009D6B28">
        <w:t>, urban transport</w:t>
      </w:r>
      <w:r w:rsidR="00DF25F0">
        <w:t>,</w:t>
      </w:r>
      <w:r w:rsidR="009D6B28">
        <w:t xml:space="preserve"> </w:t>
      </w:r>
      <w:r w:rsidR="00E552AC">
        <w:t xml:space="preserve">health and justice assets </w:t>
      </w:r>
      <w:r w:rsidR="00364A8D">
        <w:t>result in higher</w:t>
      </w:r>
      <w:r w:rsidR="004A49B3" w:rsidRPr="004A49B3">
        <w:t xml:space="preserve"> infrastructure needs </w:t>
      </w:r>
      <w:r w:rsidR="0049195E">
        <w:t xml:space="preserve">for </w:t>
      </w:r>
      <w:r w:rsidR="004A49B3" w:rsidRPr="004A49B3">
        <w:t>States with above average user populations.</w:t>
      </w:r>
    </w:p>
    <w:p w14:paraId="34E4E38D" w14:textId="43593BBD" w:rsidR="000E3F05" w:rsidRDefault="000E3F05" w:rsidP="000E3F05">
      <w:pPr>
        <w:pStyle w:val="Heading6"/>
      </w:pPr>
      <w:r>
        <w:t>Cost of construction</w:t>
      </w:r>
    </w:p>
    <w:p w14:paraId="7DF719A8" w14:textId="307CD2FE" w:rsidR="003B254F" w:rsidRPr="000E3F05" w:rsidRDefault="001837A0" w:rsidP="003B254F">
      <w:pPr>
        <w:pStyle w:val="CGCParaNumber"/>
      </w:pPr>
      <w:r>
        <w:t>Western Australia and t</w:t>
      </w:r>
      <w:r w:rsidR="00E031CA">
        <w:t xml:space="preserve">he Northern Territory have longer rural road networks per capita, particularly in higher cost remote regions. </w:t>
      </w:r>
      <w:r w:rsidR="00B74B00">
        <w:t>As a result,</w:t>
      </w:r>
      <w:r w:rsidR="00E031CA">
        <w:t xml:space="preserve"> they face </w:t>
      </w:r>
      <w:r w:rsidR="006F6C70">
        <w:t>above average</w:t>
      </w:r>
      <w:r w:rsidR="00E031CA">
        <w:t xml:space="preserve"> rural road </w:t>
      </w:r>
      <w:r w:rsidR="0081066C">
        <w:t>construction</w:t>
      </w:r>
      <w:r w:rsidR="00DC3B5F">
        <w:t xml:space="preserve"> costs</w:t>
      </w:r>
      <w:r w:rsidR="00B91B9C">
        <w:t xml:space="preserve"> and require more GST </w:t>
      </w:r>
      <w:r w:rsidR="00E72CC6">
        <w:t xml:space="preserve">than other States </w:t>
      </w:r>
      <w:r w:rsidR="00B91B9C">
        <w:t xml:space="preserve">to </w:t>
      </w:r>
      <w:r w:rsidR="00FC4D42">
        <w:t xml:space="preserve">construct their </w:t>
      </w:r>
      <w:r w:rsidR="009B7963">
        <w:t>rural road networks</w:t>
      </w:r>
      <w:r w:rsidR="00497CC6">
        <w:t xml:space="preserve"> to the average standard</w:t>
      </w:r>
      <w:r w:rsidR="009B7963">
        <w:t>.</w:t>
      </w:r>
    </w:p>
    <w:p w14:paraId="3ABE0AF6" w14:textId="77777777" w:rsidR="005E5237" w:rsidRDefault="005E5237">
      <w:pPr>
        <w:tabs>
          <w:tab w:val="clear" w:pos="567"/>
        </w:tabs>
        <w:spacing w:before="0" w:after="160" w:line="259" w:lineRule="auto"/>
        <w:rPr>
          <w:rFonts w:ascii="Montserrat Semi Bold" w:eastAsiaTheme="majorEastAsia" w:hAnsi="Montserrat Semi Bold" w:cstheme="majorBidi"/>
          <w:color w:val="636466"/>
          <w:sz w:val="24"/>
        </w:rPr>
      </w:pPr>
      <w:r>
        <w:br w:type="page"/>
      </w:r>
    </w:p>
    <w:p w14:paraId="3E09FC5E" w14:textId="77777777" w:rsidR="000E3F05" w:rsidRDefault="000E3F05" w:rsidP="000E3F05">
      <w:pPr>
        <w:pStyle w:val="Heading5"/>
      </w:pPr>
      <w:r>
        <w:lastRenderedPageBreak/>
        <w:t>Wage costs</w:t>
      </w:r>
    </w:p>
    <w:p w14:paraId="3357707E" w14:textId="506677C8" w:rsidR="007D6775" w:rsidRPr="007D6775" w:rsidRDefault="0086766F" w:rsidP="000E3F05">
      <w:pPr>
        <w:pStyle w:val="CGCParaNumber"/>
      </w:pPr>
      <w:r w:rsidRPr="008C2EF6">
        <w:t xml:space="preserve">Wages and salaries represent the largest component of recurrent State </w:t>
      </w:r>
      <w:r w:rsidR="00B31A97">
        <w:t xml:space="preserve">expenses </w:t>
      </w:r>
      <w:r w:rsidRPr="008C2EF6">
        <w:t xml:space="preserve">and account for a significant share of expenses in nearly every </w:t>
      </w:r>
      <w:r w:rsidR="00791F99">
        <w:t xml:space="preserve">service </w:t>
      </w:r>
      <w:r>
        <w:t>area</w:t>
      </w:r>
      <w:r w:rsidRPr="008C2EF6">
        <w:t>.</w:t>
      </w:r>
      <w:r>
        <w:t xml:space="preserve"> </w:t>
      </w:r>
      <w:r w:rsidR="006423E6">
        <w:t>Comparable public sector employees in different States are paid different wages</w:t>
      </w:r>
      <w:r w:rsidR="00A1787A" w:rsidRPr="00F46B46">
        <w:t xml:space="preserve">, partly due to differences in </w:t>
      </w:r>
      <w:r w:rsidR="00A1787A" w:rsidRPr="00AD5F1F">
        <w:t>labour</w:t>
      </w:r>
      <w:r w:rsidR="00A1787A" w:rsidRPr="00F46B46">
        <w:t xml:space="preserve"> markets beyond the control of State governments.</w:t>
      </w:r>
    </w:p>
    <w:p w14:paraId="5951DDE8" w14:textId="4F8AA1A9" w:rsidR="00891957" w:rsidRDefault="00C13B0C" w:rsidP="000E3F05">
      <w:pPr>
        <w:pStyle w:val="CGCParaNumber"/>
      </w:pPr>
      <w:bookmarkStart w:id="68" w:name="_Ref31212711"/>
      <w:r>
        <w:t>The Commission measures the relative wage levels in each State using an econometric model based on private sector data from the ABS Characteristics of Employment survey (CoES). The model controls for differences between States in industry and occupation structure, as well as employee characteristics known to affect wages.</w:t>
      </w:r>
      <w:r w:rsidR="006A1E38">
        <w:t xml:space="preserve"> </w:t>
      </w:r>
      <w:r w:rsidR="00450EAF">
        <w:t xml:space="preserve">The </w:t>
      </w:r>
      <w:r w:rsidR="00A65504">
        <w:t>modell</w:t>
      </w:r>
      <w:r w:rsidR="00450EAF">
        <w:t>ed outcomes</w:t>
      </w:r>
      <w:r w:rsidR="004D4AB0">
        <w:t xml:space="preserve"> show </w:t>
      </w:r>
      <w:r w:rsidR="00633B9E">
        <w:t xml:space="preserve">substantial differences between </w:t>
      </w:r>
      <w:r w:rsidR="00B1172A">
        <w:t xml:space="preserve">States in </w:t>
      </w:r>
      <w:r w:rsidR="005D0DF0">
        <w:t>relative</w:t>
      </w:r>
      <w:r w:rsidR="00D76EBB">
        <w:t xml:space="preserve"> wage levels</w:t>
      </w:r>
      <w:r w:rsidR="002B5524">
        <w:t>,</w:t>
      </w:r>
      <w:r w:rsidR="00D73AB5">
        <w:t xml:space="preserve"> with </w:t>
      </w:r>
      <w:r w:rsidR="00884330">
        <w:t>New</w:t>
      </w:r>
      <w:r w:rsidR="00F46181">
        <w:t> </w:t>
      </w:r>
      <w:r w:rsidR="00884330">
        <w:t>South</w:t>
      </w:r>
      <w:r w:rsidR="00F46181">
        <w:t> </w:t>
      </w:r>
      <w:r w:rsidR="00884330">
        <w:t xml:space="preserve">Wales, </w:t>
      </w:r>
      <w:r w:rsidR="00D73AB5">
        <w:t>Western</w:t>
      </w:r>
      <w:r w:rsidR="00F46181">
        <w:t> </w:t>
      </w:r>
      <w:r w:rsidR="00D73AB5">
        <w:t xml:space="preserve">Australia, the </w:t>
      </w:r>
      <w:r w:rsidR="00F46181">
        <w:t xml:space="preserve">ACT </w:t>
      </w:r>
      <w:r w:rsidR="00D73AB5">
        <w:t>and the Northern</w:t>
      </w:r>
      <w:r w:rsidR="00884330">
        <w:t> </w:t>
      </w:r>
      <w:r w:rsidR="00D73AB5">
        <w:t xml:space="preserve">Territory </w:t>
      </w:r>
      <w:r w:rsidR="00240553">
        <w:t xml:space="preserve">generally having above average wage levels. </w:t>
      </w:r>
      <w:r w:rsidR="004E5FB3">
        <w:t>T</w:t>
      </w:r>
      <w:r w:rsidR="00B93DE3">
        <w:t xml:space="preserve">hese States require more GST </w:t>
      </w:r>
      <w:r w:rsidR="003827EF">
        <w:t>than other States</w:t>
      </w:r>
      <w:r w:rsidR="00B93DE3">
        <w:t xml:space="preserve"> to provide the </w:t>
      </w:r>
      <w:r w:rsidR="003827EF">
        <w:t>average</w:t>
      </w:r>
      <w:r w:rsidR="004E5FB3">
        <w:t xml:space="preserve"> </w:t>
      </w:r>
      <w:r w:rsidR="00A9596D">
        <w:t xml:space="preserve">level of services. </w:t>
      </w:r>
      <w:r w:rsidR="006960A3">
        <w:fldChar w:fldCharType="begin"/>
      </w:r>
      <w:r w:rsidR="006960A3">
        <w:instrText xml:space="preserve"> REF _Ref31212723 \h </w:instrText>
      </w:r>
      <w:r w:rsidR="006960A3">
        <w:fldChar w:fldCharType="separate"/>
      </w:r>
      <w:r w:rsidR="003D49C2">
        <w:t>Figure 4</w:t>
      </w:r>
      <w:r w:rsidR="003D49C2">
        <w:noBreakHyphen/>
      </w:r>
      <w:r w:rsidR="003D49C2">
        <w:rPr>
          <w:noProof/>
        </w:rPr>
        <w:t>5</w:t>
      </w:r>
      <w:r w:rsidR="006960A3">
        <w:fldChar w:fldCharType="end"/>
      </w:r>
      <w:r w:rsidR="005B0E58">
        <w:t xml:space="preserve"> shows the relative wage levels </w:t>
      </w:r>
      <w:r w:rsidR="00ED3DC4">
        <w:t>across the assessment years</w:t>
      </w:r>
      <w:r w:rsidR="006960A3">
        <w:t>.</w:t>
      </w:r>
    </w:p>
    <w:p w14:paraId="45F5AECF" w14:textId="6D053677" w:rsidR="003B389A" w:rsidRDefault="00AF55A0" w:rsidP="00AF55A0">
      <w:pPr>
        <w:pStyle w:val="Caption"/>
      </w:pPr>
      <w:bookmarkStart w:id="69" w:name="_Ref31212723"/>
      <w:r>
        <w:t xml:space="preserve">Figure </w:t>
      </w:r>
      <w:r w:rsidR="00213E2B">
        <w:t>4</w:t>
      </w:r>
      <w:r w:rsidR="00213E2B">
        <w:noBreakHyphen/>
      </w:r>
      <w:r>
        <w:fldChar w:fldCharType="begin"/>
      </w:r>
      <w:r>
        <w:instrText>SEQ Figure \* ARABIC</w:instrText>
      </w:r>
      <w:r>
        <w:fldChar w:fldCharType="separate"/>
      </w:r>
      <w:r w:rsidR="003D49C2">
        <w:rPr>
          <w:noProof/>
        </w:rPr>
        <w:t>5</w:t>
      </w:r>
      <w:r>
        <w:fldChar w:fldCharType="end"/>
      </w:r>
      <w:bookmarkEnd w:id="68"/>
      <w:bookmarkEnd w:id="69"/>
      <w:r>
        <w:t xml:space="preserve"> </w:t>
      </w:r>
      <w:r>
        <w:tab/>
        <w:t xml:space="preserve">Relative wage </w:t>
      </w:r>
      <w:r w:rsidR="00AB1B5A">
        <w:t>levels</w:t>
      </w:r>
      <w:r w:rsidR="00D70AF7">
        <w:t xml:space="preserve">, </w:t>
      </w:r>
      <w:r w:rsidR="00F21A7C">
        <w:t>2016-17</w:t>
      </w:r>
      <w:r w:rsidR="00D70AF7">
        <w:t xml:space="preserve"> to 2018-19</w:t>
      </w:r>
    </w:p>
    <w:p w14:paraId="2E3F012C" w14:textId="29D7DA1F" w:rsidR="00B014DB" w:rsidRPr="00B014DB" w:rsidRDefault="00BB2A80" w:rsidP="00936711">
      <w:r>
        <w:rPr>
          <w:noProof/>
        </w:rPr>
        <w:drawing>
          <wp:inline distT="0" distB="0" distL="0" distR="0" wp14:anchorId="5AD5A61D" wp14:editId="4EB68F0D">
            <wp:extent cx="5663565" cy="3542030"/>
            <wp:effectExtent l="0" t="0" r="0" b="1270"/>
            <wp:docPr id="12" name="Picture 12" descr="This bar chart shows relative wage levels between 2016-17 to 2018-19. Western Australia, the ACT and the Northern Territory have on average the highest relative wage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3565" cy="3542030"/>
                    </a:xfrm>
                    <a:prstGeom prst="rect">
                      <a:avLst/>
                    </a:prstGeom>
                    <a:noFill/>
                  </pic:spPr>
                </pic:pic>
              </a:graphicData>
            </a:graphic>
          </wp:inline>
        </w:drawing>
      </w:r>
    </w:p>
    <w:p w14:paraId="4E54A063" w14:textId="4E20C6E3" w:rsidR="004C4A48" w:rsidRPr="004C4A48" w:rsidRDefault="00212CED" w:rsidP="004C4A48">
      <w:pPr>
        <w:pStyle w:val="CGCTableFootnote"/>
      </w:pPr>
      <w:r w:rsidRPr="004E4D86">
        <w:t>Note:</w:t>
      </w:r>
      <w:r w:rsidRPr="004E4D86">
        <w:tab/>
      </w:r>
      <w:r w:rsidR="002E5940">
        <w:t xml:space="preserve">The results shown here are after the </w:t>
      </w:r>
      <w:r w:rsidR="007E068C">
        <w:t>Commission</w:t>
      </w:r>
      <w:r w:rsidRPr="004E4D86">
        <w:t xml:space="preserve"> has applied</w:t>
      </w:r>
      <w:r w:rsidR="007E068C">
        <w:t xml:space="preserve"> a</w:t>
      </w:r>
      <w:r w:rsidRPr="004E4D86">
        <w:t xml:space="preserve"> 12.5%</w:t>
      </w:r>
      <w:r w:rsidR="006A17F1">
        <w:t xml:space="preserve"> discount</w:t>
      </w:r>
      <w:r w:rsidRPr="004E4D86">
        <w:t>.</w:t>
      </w:r>
    </w:p>
    <w:p w14:paraId="45D9BD3A" w14:textId="348DC6E1" w:rsidR="006E5AE3" w:rsidRPr="006E5AE3" w:rsidRDefault="00212CED" w:rsidP="00A9596D">
      <w:pPr>
        <w:pStyle w:val="CGCTableFootnote"/>
        <w:keepNext/>
        <w:keepLines/>
      </w:pPr>
      <w:r w:rsidRPr="004E4D86">
        <w:t>Source:</w:t>
      </w:r>
      <w:r w:rsidRPr="004E4D86">
        <w:tab/>
        <w:t xml:space="preserve">Commission </w:t>
      </w:r>
      <w:r w:rsidR="00CF32D8">
        <w:t>calculation</w:t>
      </w:r>
      <w:r w:rsidRPr="004E4D86">
        <w:t xml:space="preserve"> based on CoES</w:t>
      </w:r>
      <w:r w:rsidR="00C377B9">
        <w:t xml:space="preserve"> data</w:t>
      </w:r>
      <w:r w:rsidRPr="004E4D86">
        <w:t>.</w:t>
      </w:r>
    </w:p>
    <w:p w14:paraId="3C8D7E77" w14:textId="77777777" w:rsidR="005E5237" w:rsidRDefault="005E5237">
      <w:pPr>
        <w:tabs>
          <w:tab w:val="clear" w:pos="567"/>
        </w:tabs>
        <w:spacing w:before="0" w:after="160" w:line="259" w:lineRule="auto"/>
        <w:rPr>
          <w:rFonts w:ascii="Montserrat Semi Bold" w:eastAsiaTheme="majorEastAsia" w:hAnsi="Montserrat Semi Bold" w:cstheme="majorBidi"/>
          <w:color w:val="636466"/>
          <w:sz w:val="24"/>
        </w:rPr>
      </w:pPr>
      <w:r>
        <w:br w:type="page"/>
      </w:r>
    </w:p>
    <w:p w14:paraId="5CD69F31" w14:textId="7AE6069B" w:rsidR="000E3F05" w:rsidRDefault="000E3F05" w:rsidP="000E3F05">
      <w:pPr>
        <w:pStyle w:val="Heading5"/>
      </w:pPr>
      <w:r>
        <w:lastRenderedPageBreak/>
        <w:t>Non-State service provision</w:t>
      </w:r>
    </w:p>
    <w:p w14:paraId="62443F2D" w14:textId="77777777" w:rsidR="008C201B" w:rsidRDefault="008C201B" w:rsidP="008C201B">
      <w:pPr>
        <w:pStyle w:val="CGCParaNumber"/>
      </w:pPr>
      <w:r>
        <w:t xml:space="preserve">The non-State sector provides some health and education services like those provided by State governments. For example: </w:t>
      </w:r>
    </w:p>
    <w:p w14:paraId="68A36686" w14:textId="38915E3C" w:rsidR="008C201B" w:rsidRDefault="008C201B" w:rsidP="003B256B">
      <w:pPr>
        <w:pStyle w:val="CGCBullet1"/>
      </w:pPr>
      <w:r>
        <w:t xml:space="preserve">people can visit </w:t>
      </w:r>
      <w:r w:rsidR="00A5375A">
        <w:t xml:space="preserve">a general practitioner </w:t>
      </w:r>
      <w:r w:rsidR="00FC0629">
        <w:t xml:space="preserve">for </w:t>
      </w:r>
      <w:r w:rsidR="00CB4E29">
        <w:t xml:space="preserve">conditions that might otherwise </w:t>
      </w:r>
      <w:r w:rsidR="004A5500">
        <w:t>be</w:t>
      </w:r>
      <w:r w:rsidR="0011757D">
        <w:t xml:space="preserve"> treated </w:t>
      </w:r>
      <w:r w:rsidR="003144B1">
        <w:t>in an emergency department</w:t>
      </w:r>
    </w:p>
    <w:p w14:paraId="428D97BE" w14:textId="757C3698" w:rsidR="008C201B" w:rsidRDefault="008C201B" w:rsidP="003B256B">
      <w:pPr>
        <w:pStyle w:val="CGCBullet1"/>
      </w:pPr>
      <w:r>
        <w:t>private hospital birthing services alleviate the need for such services in public hospita</w:t>
      </w:r>
      <w:r w:rsidR="009204C7">
        <w:t>ls</w:t>
      </w:r>
      <w:r>
        <w:t xml:space="preserve"> </w:t>
      </w:r>
    </w:p>
    <w:p w14:paraId="24D9C54C" w14:textId="0DEDE781" w:rsidR="000E3F05" w:rsidRDefault="008C201B" w:rsidP="004305DF">
      <w:pPr>
        <w:pStyle w:val="CGCBullet1"/>
      </w:pPr>
      <w:r>
        <w:t xml:space="preserve">school students attending private schools </w:t>
      </w:r>
      <w:r w:rsidR="000F2007">
        <w:t>impose a lower cost</w:t>
      </w:r>
      <w:r w:rsidR="006E7BDF">
        <w:t xml:space="preserve"> </w:t>
      </w:r>
      <w:r w:rsidR="002C33BE">
        <w:t>on</w:t>
      </w:r>
      <w:r w:rsidR="006E7BDF">
        <w:t xml:space="preserve"> </w:t>
      </w:r>
      <w:r w:rsidR="009520B9">
        <w:t xml:space="preserve">State governments </w:t>
      </w:r>
      <w:r w:rsidR="002877C6">
        <w:t>than students attending pu</w:t>
      </w:r>
      <w:r w:rsidR="00F91FF3">
        <w:t>blic schools</w:t>
      </w:r>
      <w:r>
        <w:t>.</w:t>
      </w:r>
    </w:p>
    <w:p w14:paraId="3BBA8684" w14:textId="31141C79" w:rsidR="001A5309" w:rsidRDefault="001A5309" w:rsidP="001A5309">
      <w:pPr>
        <w:pStyle w:val="CGCParaNumber"/>
      </w:pPr>
      <w:r>
        <w:t xml:space="preserve">If a State has above average </w:t>
      </w:r>
      <w:r w:rsidR="0068005B">
        <w:t>non-State sector service provision</w:t>
      </w:r>
      <w:r>
        <w:t xml:space="preserve">, this reduces the call on State services and improves the fiscal capacity of the State. </w:t>
      </w:r>
    </w:p>
    <w:p w14:paraId="5EEE9737" w14:textId="0F4BCE81" w:rsidR="001A5309" w:rsidRDefault="001A5309" w:rsidP="001A5309">
      <w:pPr>
        <w:pStyle w:val="CGCParaNumber"/>
      </w:pPr>
      <w:r>
        <w:t>Victoria, Western</w:t>
      </w:r>
      <w:r w:rsidR="0070794C">
        <w:t> </w:t>
      </w:r>
      <w:r>
        <w:t>Australia, South</w:t>
      </w:r>
      <w:r w:rsidR="0070794C">
        <w:t> </w:t>
      </w:r>
      <w:r>
        <w:t>Australia, Tasmania and the ACT have low</w:t>
      </w:r>
      <w:r w:rsidR="00B22846">
        <w:t>er</w:t>
      </w:r>
      <w:r>
        <w:t xml:space="preserve"> </w:t>
      </w:r>
      <w:r w:rsidR="00C608D4">
        <w:t xml:space="preserve">than average </w:t>
      </w:r>
      <w:r>
        <w:t>levels of non-State government health provision</w:t>
      </w:r>
      <w:r w:rsidR="00C600BD">
        <w:t>,</w:t>
      </w:r>
      <w:r>
        <w:t xml:space="preserve"> given their socio-demographic profile. This places greater pressure on their public health systems, requiring more GST, as shown in </w:t>
      </w:r>
      <w:r w:rsidR="000C0EA3">
        <w:fldChar w:fldCharType="begin"/>
      </w:r>
      <w:r w:rsidR="000C0EA3">
        <w:instrText xml:space="preserve"> REF _Ref31136034 \h </w:instrText>
      </w:r>
      <w:r w:rsidR="000C0EA3">
        <w:fldChar w:fldCharType="separate"/>
      </w:r>
      <w:r w:rsidR="003D49C2">
        <w:t>Table 4</w:t>
      </w:r>
      <w:r w:rsidR="003D49C2">
        <w:noBreakHyphen/>
      </w:r>
      <w:r w:rsidR="003D49C2">
        <w:rPr>
          <w:noProof/>
        </w:rPr>
        <w:t>5</w:t>
      </w:r>
      <w:r w:rsidR="000C0EA3">
        <w:fldChar w:fldCharType="end"/>
      </w:r>
      <w:r>
        <w:t>.</w:t>
      </w:r>
    </w:p>
    <w:p w14:paraId="5568C85C" w14:textId="71FBE90D" w:rsidR="004305DF" w:rsidRDefault="001A5309" w:rsidP="001A5309">
      <w:pPr>
        <w:pStyle w:val="CGCParaNumber"/>
      </w:pPr>
      <w:r>
        <w:t>New</w:t>
      </w:r>
      <w:r w:rsidR="0070794C">
        <w:t> </w:t>
      </w:r>
      <w:r>
        <w:t>South</w:t>
      </w:r>
      <w:r w:rsidR="0070794C">
        <w:t> </w:t>
      </w:r>
      <w:r>
        <w:t>Wales, Victoria and South</w:t>
      </w:r>
      <w:r w:rsidR="0070794C">
        <w:t> </w:t>
      </w:r>
      <w:r>
        <w:t>Australia have high</w:t>
      </w:r>
      <w:r w:rsidR="00E93C65">
        <w:t>er</w:t>
      </w:r>
      <w:r>
        <w:t xml:space="preserve"> levels of private schooling, and so </w:t>
      </w:r>
      <w:r w:rsidR="00857821">
        <w:t>lowe</w:t>
      </w:r>
      <w:r w:rsidR="00D56E66">
        <w:t xml:space="preserve">r </w:t>
      </w:r>
      <w:r w:rsidR="004A32C5">
        <w:t xml:space="preserve">government </w:t>
      </w:r>
      <w:r w:rsidR="000A6AAC">
        <w:t xml:space="preserve">school </w:t>
      </w:r>
      <w:r w:rsidR="004A32C5">
        <w:t>enrolments</w:t>
      </w:r>
      <w:r w:rsidR="000A6AAC">
        <w:t xml:space="preserve">, </w:t>
      </w:r>
      <w:r>
        <w:t>requir</w:t>
      </w:r>
      <w:r w:rsidR="000A6AAC">
        <w:t>ing</w:t>
      </w:r>
      <w:r>
        <w:t xml:space="preserve"> less GST. Conversely, </w:t>
      </w:r>
      <w:r w:rsidR="007F1B7D">
        <w:t>the</w:t>
      </w:r>
      <w:r>
        <w:t xml:space="preserve"> other States</w:t>
      </w:r>
      <w:r w:rsidR="007F1B7D">
        <w:t xml:space="preserve"> have relatively less private schooling</w:t>
      </w:r>
      <w:r>
        <w:t>, particularly Queensland, Western</w:t>
      </w:r>
      <w:r w:rsidR="00E33A50">
        <w:t> </w:t>
      </w:r>
      <w:r>
        <w:t>Australia and the Northern</w:t>
      </w:r>
      <w:r w:rsidR="00E33A50">
        <w:t> </w:t>
      </w:r>
      <w:r>
        <w:t xml:space="preserve">Territory, </w:t>
      </w:r>
      <w:r w:rsidR="006E391E">
        <w:t xml:space="preserve">resulting in higher </w:t>
      </w:r>
      <w:r w:rsidR="00A979E4">
        <w:t xml:space="preserve">government </w:t>
      </w:r>
      <w:r>
        <w:t>school</w:t>
      </w:r>
      <w:r w:rsidR="00A979E4">
        <w:t xml:space="preserve"> enrolments</w:t>
      </w:r>
      <w:r>
        <w:t xml:space="preserve">, and hence </w:t>
      </w:r>
      <w:r w:rsidR="00280A17">
        <w:t xml:space="preserve">those States </w:t>
      </w:r>
      <w:r>
        <w:t>require more GST.</w:t>
      </w:r>
    </w:p>
    <w:p w14:paraId="68DA022A" w14:textId="039236AF" w:rsidR="007A41F1" w:rsidRPr="007A41F1" w:rsidRDefault="00C851F3" w:rsidP="00E22AA8">
      <w:pPr>
        <w:pStyle w:val="Caption"/>
      </w:pPr>
      <w:bookmarkStart w:id="70" w:name="_Ref31136034"/>
      <w:r>
        <w:t>Table</w:t>
      </w:r>
      <w:r w:rsidR="007D5888">
        <w:t> </w:t>
      </w:r>
      <w:r w:rsidR="00213E2B">
        <w:t>4</w:t>
      </w:r>
      <w:r w:rsidR="00213E2B">
        <w:noBreakHyphen/>
      </w:r>
      <w:r>
        <w:fldChar w:fldCharType="begin"/>
      </w:r>
      <w:r>
        <w:instrText>SEQ Table \* ARABIC</w:instrText>
      </w:r>
      <w:r>
        <w:fldChar w:fldCharType="separate"/>
      </w:r>
      <w:r w:rsidR="003D49C2">
        <w:rPr>
          <w:noProof/>
        </w:rPr>
        <w:t>5</w:t>
      </w:r>
      <w:r>
        <w:fldChar w:fldCharType="end"/>
      </w:r>
      <w:bookmarkEnd w:id="70"/>
      <w:r>
        <w:tab/>
        <w:t>Illustrative impact of non-State service provision, 2020</w:t>
      </w:r>
      <w:r>
        <w:noBreakHyphen/>
        <w:t>21</w:t>
      </w:r>
    </w:p>
    <w:tbl>
      <w:tblPr>
        <w:tblW w:w="8902" w:type="dxa"/>
        <w:tblCellMar>
          <w:left w:w="0" w:type="dxa"/>
          <w:right w:w="0" w:type="dxa"/>
        </w:tblCellMar>
        <w:tblLook w:val="04A0" w:firstRow="1" w:lastRow="0" w:firstColumn="1" w:lastColumn="0" w:noHBand="0" w:noVBand="1"/>
      </w:tblPr>
      <w:tblGrid>
        <w:gridCol w:w="2669"/>
        <w:gridCol w:w="763"/>
        <w:gridCol w:w="703"/>
        <w:gridCol w:w="703"/>
        <w:gridCol w:w="644"/>
        <w:gridCol w:w="644"/>
        <w:gridCol w:w="644"/>
        <w:gridCol w:w="684"/>
        <w:gridCol w:w="644"/>
        <w:gridCol w:w="861"/>
      </w:tblGrid>
      <w:tr w:rsidR="0027344B" w:rsidRPr="0027344B" w14:paraId="52336309" w14:textId="77777777" w:rsidTr="00176BC8">
        <w:trPr>
          <w:trHeight w:val="375"/>
        </w:trPr>
        <w:tc>
          <w:tcPr>
            <w:tcW w:w="2700" w:type="dxa"/>
            <w:tcBorders>
              <w:top w:val="single" w:sz="4" w:space="0" w:color="ADD6EA"/>
              <w:left w:val="nil"/>
              <w:bottom w:val="single" w:sz="4" w:space="0" w:color="ADD6EA"/>
              <w:right w:val="nil"/>
            </w:tcBorders>
            <w:shd w:val="clear" w:color="000000" w:fill="006991"/>
            <w:vAlign w:val="center"/>
            <w:hideMark/>
          </w:tcPr>
          <w:p w14:paraId="180B0BB2" w14:textId="77777777" w:rsidR="0027344B" w:rsidRPr="0027344B" w:rsidRDefault="0027344B" w:rsidP="0027344B">
            <w:pPr>
              <w:tabs>
                <w:tab w:val="clear" w:pos="567"/>
              </w:tabs>
              <w:spacing w:before="0" w:line="240" w:lineRule="auto"/>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7ACC6AE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NSW</w:t>
            </w:r>
          </w:p>
        </w:tc>
        <w:tc>
          <w:tcPr>
            <w:tcW w:w="700" w:type="dxa"/>
            <w:tcBorders>
              <w:top w:val="single" w:sz="4" w:space="0" w:color="ADD6EA"/>
              <w:left w:val="nil"/>
              <w:bottom w:val="single" w:sz="4" w:space="0" w:color="ADD6EA"/>
              <w:right w:val="nil"/>
            </w:tcBorders>
            <w:shd w:val="clear" w:color="000000" w:fill="006991"/>
            <w:vAlign w:val="center"/>
            <w:hideMark/>
          </w:tcPr>
          <w:p w14:paraId="0F2E0573"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Vic</w:t>
            </w:r>
          </w:p>
        </w:tc>
        <w:tc>
          <w:tcPr>
            <w:tcW w:w="700" w:type="dxa"/>
            <w:tcBorders>
              <w:top w:val="single" w:sz="4" w:space="0" w:color="ADD6EA"/>
              <w:left w:val="nil"/>
              <w:bottom w:val="single" w:sz="4" w:space="0" w:color="ADD6EA"/>
              <w:right w:val="nil"/>
            </w:tcBorders>
            <w:shd w:val="clear" w:color="000000" w:fill="006991"/>
            <w:vAlign w:val="center"/>
            <w:hideMark/>
          </w:tcPr>
          <w:p w14:paraId="7393C50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06FB4703"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70DFF60F"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5AEF919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Tas</w:t>
            </w:r>
          </w:p>
        </w:tc>
        <w:tc>
          <w:tcPr>
            <w:tcW w:w="680" w:type="dxa"/>
            <w:tcBorders>
              <w:top w:val="single" w:sz="4" w:space="0" w:color="ADD6EA"/>
              <w:left w:val="nil"/>
              <w:bottom w:val="single" w:sz="4" w:space="0" w:color="ADD6EA"/>
              <w:right w:val="nil"/>
            </w:tcBorders>
            <w:shd w:val="clear" w:color="000000" w:fill="006991"/>
            <w:vAlign w:val="center"/>
            <w:hideMark/>
          </w:tcPr>
          <w:p w14:paraId="33B11650"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2BB1C757"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NT</w:t>
            </w:r>
          </w:p>
        </w:tc>
        <w:tc>
          <w:tcPr>
            <w:tcW w:w="860" w:type="dxa"/>
            <w:tcBorders>
              <w:top w:val="single" w:sz="4" w:space="0" w:color="ADD6EA"/>
              <w:left w:val="nil"/>
              <w:bottom w:val="single" w:sz="4" w:space="0" w:color="ADD6EA"/>
              <w:right w:val="nil"/>
            </w:tcBorders>
            <w:shd w:val="clear" w:color="000000" w:fill="006991"/>
            <w:vAlign w:val="center"/>
            <w:hideMark/>
          </w:tcPr>
          <w:p w14:paraId="5E392AFF"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27344B">
              <w:rPr>
                <w:rFonts w:ascii="Open Sans SemiBold" w:eastAsia="Times New Roman" w:hAnsi="Open Sans SemiBold" w:cs="Open Sans SemiBold"/>
                <w:color w:val="FFFFFF"/>
                <w:sz w:val="16"/>
                <w:szCs w:val="16"/>
                <w:lang w:val="en-AU" w:eastAsia="en-AU"/>
              </w:rPr>
              <w:t>Redist</w:t>
            </w:r>
          </w:p>
        </w:tc>
      </w:tr>
      <w:tr w:rsidR="0027344B" w:rsidRPr="0027344B" w14:paraId="1E6A1866" w14:textId="77777777" w:rsidTr="00176BC8">
        <w:trPr>
          <w:trHeight w:val="255"/>
        </w:trPr>
        <w:tc>
          <w:tcPr>
            <w:tcW w:w="2700" w:type="dxa"/>
            <w:tcBorders>
              <w:top w:val="nil"/>
              <w:left w:val="nil"/>
              <w:bottom w:val="single" w:sz="4" w:space="0" w:color="ADD6EA"/>
              <w:right w:val="nil"/>
            </w:tcBorders>
            <w:shd w:val="clear" w:color="000000" w:fill="B6D5E4"/>
            <w:noWrap/>
            <w:vAlign w:val="center"/>
            <w:hideMark/>
          </w:tcPr>
          <w:p w14:paraId="186B276A"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 </w:t>
            </w:r>
          </w:p>
        </w:tc>
        <w:tc>
          <w:tcPr>
            <w:tcW w:w="760" w:type="dxa"/>
            <w:tcBorders>
              <w:top w:val="nil"/>
              <w:left w:val="nil"/>
              <w:bottom w:val="single" w:sz="4" w:space="0" w:color="ADD6EA"/>
              <w:right w:val="nil"/>
            </w:tcBorders>
            <w:shd w:val="clear" w:color="000000" w:fill="B6D5E4"/>
            <w:noWrap/>
            <w:vAlign w:val="center"/>
            <w:hideMark/>
          </w:tcPr>
          <w:p w14:paraId="61D3CA7F"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700" w:type="dxa"/>
            <w:tcBorders>
              <w:top w:val="nil"/>
              <w:left w:val="nil"/>
              <w:bottom w:val="single" w:sz="4" w:space="0" w:color="ADD6EA"/>
              <w:right w:val="nil"/>
            </w:tcBorders>
            <w:shd w:val="clear" w:color="000000" w:fill="B6D5E4"/>
            <w:noWrap/>
            <w:vAlign w:val="center"/>
            <w:hideMark/>
          </w:tcPr>
          <w:p w14:paraId="150C64C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700" w:type="dxa"/>
            <w:tcBorders>
              <w:top w:val="nil"/>
              <w:left w:val="nil"/>
              <w:bottom w:val="single" w:sz="4" w:space="0" w:color="ADD6EA"/>
              <w:right w:val="nil"/>
            </w:tcBorders>
            <w:shd w:val="clear" w:color="000000" w:fill="B6D5E4"/>
            <w:noWrap/>
            <w:vAlign w:val="center"/>
            <w:hideMark/>
          </w:tcPr>
          <w:p w14:paraId="1783A6DA"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640" w:type="dxa"/>
            <w:tcBorders>
              <w:top w:val="nil"/>
              <w:left w:val="nil"/>
              <w:bottom w:val="single" w:sz="4" w:space="0" w:color="ADD6EA"/>
              <w:right w:val="nil"/>
            </w:tcBorders>
            <w:shd w:val="clear" w:color="000000" w:fill="B6D5E4"/>
            <w:noWrap/>
            <w:vAlign w:val="center"/>
            <w:hideMark/>
          </w:tcPr>
          <w:p w14:paraId="30A4AA4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640" w:type="dxa"/>
            <w:tcBorders>
              <w:top w:val="nil"/>
              <w:left w:val="nil"/>
              <w:bottom w:val="single" w:sz="4" w:space="0" w:color="ADD6EA"/>
              <w:right w:val="nil"/>
            </w:tcBorders>
            <w:shd w:val="clear" w:color="000000" w:fill="B6D5E4"/>
            <w:noWrap/>
            <w:vAlign w:val="center"/>
            <w:hideMark/>
          </w:tcPr>
          <w:p w14:paraId="3825184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640" w:type="dxa"/>
            <w:tcBorders>
              <w:top w:val="nil"/>
              <w:left w:val="nil"/>
              <w:bottom w:val="single" w:sz="4" w:space="0" w:color="ADD6EA"/>
              <w:right w:val="nil"/>
            </w:tcBorders>
            <w:shd w:val="clear" w:color="000000" w:fill="B6D5E4"/>
            <w:noWrap/>
            <w:vAlign w:val="center"/>
            <w:hideMark/>
          </w:tcPr>
          <w:p w14:paraId="0221DF6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680" w:type="dxa"/>
            <w:tcBorders>
              <w:top w:val="nil"/>
              <w:left w:val="nil"/>
              <w:bottom w:val="single" w:sz="4" w:space="0" w:color="ADD6EA"/>
              <w:right w:val="nil"/>
            </w:tcBorders>
            <w:shd w:val="clear" w:color="000000" w:fill="B6D5E4"/>
            <w:noWrap/>
            <w:vAlign w:val="center"/>
            <w:hideMark/>
          </w:tcPr>
          <w:p w14:paraId="6884F478"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640" w:type="dxa"/>
            <w:tcBorders>
              <w:top w:val="nil"/>
              <w:left w:val="nil"/>
              <w:bottom w:val="single" w:sz="4" w:space="0" w:color="ADD6EA"/>
              <w:right w:val="nil"/>
            </w:tcBorders>
            <w:shd w:val="clear" w:color="000000" w:fill="B6D5E4"/>
            <w:noWrap/>
            <w:vAlign w:val="center"/>
            <w:hideMark/>
          </w:tcPr>
          <w:p w14:paraId="4FA38F50"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c>
          <w:tcPr>
            <w:tcW w:w="860" w:type="dxa"/>
            <w:tcBorders>
              <w:top w:val="nil"/>
              <w:left w:val="nil"/>
              <w:bottom w:val="single" w:sz="4" w:space="0" w:color="ADD6EA"/>
              <w:right w:val="nil"/>
            </w:tcBorders>
            <w:shd w:val="clear" w:color="000000" w:fill="B6D5E4"/>
            <w:noWrap/>
            <w:vAlign w:val="center"/>
            <w:hideMark/>
          </w:tcPr>
          <w:p w14:paraId="50BDDA3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$m</w:t>
            </w:r>
          </w:p>
        </w:tc>
      </w:tr>
      <w:tr w:rsidR="0027344B" w:rsidRPr="0027344B" w14:paraId="3EC1F469" w14:textId="77777777" w:rsidTr="00176BC8">
        <w:trPr>
          <w:trHeight w:val="315"/>
        </w:trPr>
        <w:tc>
          <w:tcPr>
            <w:tcW w:w="2700" w:type="dxa"/>
            <w:tcBorders>
              <w:top w:val="nil"/>
              <w:left w:val="nil"/>
              <w:bottom w:val="single" w:sz="4" w:space="0" w:color="ADD6EA"/>
              <w:right w:val="nil"/>
            </w:tcBorders>
            <w:shd w:val="clear" w:color="000000" w:fill="FFFFFF"/>
            <w:vAlign w:val="bottom"/>
            <w:hideMark/>
          </w:tcPr>
          <w:p w14:paraId="6736CA68" w14:textId="77777777" w:rsidR="0027344B" w:rsidRPr="0027344B" w:rsidRDefault="0027344B" w:rsidP="0027344B">
            <w:pPr>
              <w:tabs>
                <w:tab w:val="clear" w:pos="567"/>
              </w:tabs>
              <w:spacing w:before="0" w:line="240" w:lineRule="auto"/>
              <w:rPr>
                <w:rFonts w:eastAsia="Times New Roman" w:cs="Open Sans Light"/>
                <w:sz w:val="16"/>
                <w:szCs w:val="16"/>
                <w:lang w:val="en-AU" w:eastAsia="en-AU"/>
              </w:rPr>
            </w:pPr>
            <w:r w:rsidRPr="0027344B">
              <w:rPr>
                <w:rFonts w:eastAsia="Times New Roman" w:cs="Open Sans Light"/>
                <w:sz w:val="16"/>
                <w:szCs w:val="16"/>
                <w:lang w:val="en-AU" w:eastAsia="en-AU"/>
              </w:rPr>
              <w:t>Health</w:t>
            </w:r>
          </w:p>
        </w:tc>
        <w:tc>
          <w:tcPr>
            <w:tcW w:w="760" w:type="dxa"/>
            <w:tcBorders>
              <w:top w:val="nil"/>
              <w:left w:val="nil"/>
              <w:bottom w:val="single" w:sz="4" w:space="0" w:color="ADD6EA"/>
              <w:right w:val="nil"/>
            </w:tcBorders>
            <w:shd w:val="clear" w:color="000000" w:fill="FFFFFF"/>
            <w:vAlign w:val="center"/>
            <w:hideMark/>
          </w:tcPr>
          <w:p w14:paraId="3BFFF151"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700" w:type="dxa"/>
            <w:tcBorders>
              <w:top w:val="nil"/>
              <w:left w:val="nil"/>
              <w:bottom w:val="single" w:sz="4" w:space="0" w:color="ADD6EA"/>
              <w:right w:val="nil"/>
            </w:tcBorders>
            <w:shd w:val="clear" w:color="000000" w:fill="FFFFFF"/>
            <w:vAlign w:val="center"/>
            <w:hideMark/>
          </w:tcPr>
          <w:p w14:paraId="64D97BBA"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700" w:type="dxa"/>
            <w:tcBorders>
              <w:top w:val="nil"/>
              <w:left w:val="nil"/>
              <w:bottom w:val="single" w:sz="4" w:space="0" w:color="ADD6EA"/>
              <w:right w:val="nil"/>
            </w:tcBorders>
            <w:shd w:val="clear" w:color="000000" w:fill="FFFFFF"/>
            <w:vAlign w:val="center"/>
            <w:hideMark/>
          </w:tcPr>
          <w:p w14:paraId="066C7D78"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640" w:type="dxa"/>
            <w:tcBorders>
              <w:top w:val="nil"/>
              <w:left w:val="nil"/>
              <w:bottom w:val="single" w:sz="4" w:space="0" w:color="ADD6EA"/>
              <w:right w:val="nil"/>
            </w:tcBorders>
            <w:shd w:val="clear" w:color="000000" w:fill="FFFFFF"/>
            <w:vAlign w:val="center"/>
            <w:hideMark/>
          </w:tcPr>
          <w:p w14:paraId="0B16117B"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640" w:type="dxa"/>
            <w:tcBorders>
              <w:top w:val="nil"/>
              <w:left w:val="nil"/>
              <w:bottom w:val="single" w:sz="4" w:space="0" w:color="ADD6EA"/>
              <w:right w:val="nil"/>
            </w:tcBorders>
            <w:shd w:val="clear" w:color="000000" w:fill="FFFFFF"/>
            <w:vAlign w:val="center"/>
            <w:hideMark/>
          </w:tcPr>
          <w:p w14:paraId="68A94797"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640" w:type="dxa"/>
            <w:tcBorders>
              <w:top w:val="nil"/>
              <w:left w:val="nil"/>
              <w:bottom w:val="single" w:sz="4" w:space="0" w:color="ADD6EA"/>
              <w:right w:val="nil"/>
            </w:tcBorders>
            <w:shd w:val="clear" w:color="000000" w:fill="FFFFFF"/>
            <w:vAlign w:val="center"/>
            <w:hideMark/>
          </w:tcPr>
          <w:p w14:paraId="412C56A1"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680" w:type="dxa"/>
            <w:tcBorders>
              <w:top w:val="nil"/>
              <w:left w:val="nil"/>
              <w:bottom w:val="single" w:sz="4" w:space="0" w:color="ADD6EA"/>
              <w:right w:val="nil"/>
            </w:tcBorders>
            <w:shd w:val="clear" w:color="000000" w:fill="FFFFFF"/>
            <w:vAlign w:val="center"/>
            <w:hideMark/>
          </w:tcPr>
          <w:p w14:paraId="5D04321B"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640" w:type="dxa"/>
            <w:tcBorders>
              <w:top w:val="nil"/>
              <w:left w:val="nil"/>
              <w:bottom w:val="single" w:sz="4" w:space="0" w:color="ADD6EA"/>
              <w:right w:val="nil"/>
            </w:tcBorders>
            <w:shd w:val="clear" w:color="000000" w:fill="FFFFFF"/>
            <w:vAlign w:val="center"/>
            <w:hideMark/>
          </w:tcPr>
          <w:p w14:paraId="05032AED"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c>
          <w:tcPr>
            <w:tcW w:w="860" w:type="dxa"/>
            <w:tcBorders>
              <w:top w:val="nil"/>
              <w:left w:val="nil"/>
              <w:bottom w:val="single" w:sz="4" w:space="0" w:color="ADD6EA"/>
              <w:right w:val="nil"/>
            </w:tcBorders>
            <w:shd w:val="clear" w:color="000000" w:fill="FFFFFF"/>
            <w:vAlign w:val="center"/>
            <w:hideMark/>
          </w:tcPr>
          <w:p w14:paraId="659275E6"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 </w:t>
            </w:r>
          </w:p>
        </w:tc>
      </w:tr>
      <w:tr w:rsidR="0027344B" w:rsidRPr="0027344B" w14:paraId="0B33E125" w14:textId="77777777" w:rsidTr="00176BC8">
        <w:trPr>
          <w:trHeight w:val="315"/>
        </w:trPr>
        <w:tc>
          <w:tcPr>
            <w:tcW w:w="2700" w:type="dxa"/>
            <w:tcBorders>
              <w:top w:val="nil"/>
              <w:left w:val="nil"/>
              <w:bottom w:val="single" w:sz="4" w:space="0" w:color="ADD6EA"/>
              <w:right w:val="nil"/>
            </w:tcBorders>
            <w:shd w:val="clear" w:color="000000" w:fill="FFFFFF"/>
            <w:vAlign w:val="bottom"/>
            <w:hideMark/>
          </w:tcPr>
          <w:p w14:paraId="31CA43A7" w14:textId="77777777" w:rsidR="0027344B" w:rsidRPr="0027344B" w:rsidRDefault="0027344B" w:rsidP="0027344B">
            <w:pPr>
              <w:tabs>
                <w:tab w:val="clear" w:pos="567"/>
              </w:tabs>
              <w:spacing w:before="0" w:line="240" w:lineRule="auto"/>
              <w:ind w:firstLineChars="100" w:firstLine="160"/>
              <w:rPr>
                <w:rFonts w:eastAsia="Times New Roman" w:cs="Open Sans Light"/>
                <w:sz w:val="16"/>
                <w:szCs w:val="16"/>
                <w:lang w:val="en-AU" w:eastAsia="en-AU"/>
              </w:rPr>
            </w:pPr>
            <w:r w:rsidRPr="0027344B">
              <w:rPr>
                <w:rFonts w:eastAsia="Times New Roman" w:cs="Open Sans Light"/>
                <w:sz w:val="16"/>
                <w:szCs w:val="16"/>
                <w:lang w:val="en-AU" w:eastAsia="en-AU"/>
              </w:rPr>
              <w:t>Admitted patients</w:t>
            </w:r>
          </w:p>
        </w:tc>
        <w:tc>
          <w:tcPr>
            <w:tcW w:w="760" w:type="dxa"/>
            <w:tcBorders>
              <w:top w:val="nil"/>
              <w:left w:val="nil"/>
              <w:bottom w:val="single" w:sz="4" w:space="0" w:color="ADD6EA"/>
              <w:right w:val="nil"/>
            </w:tcBorders>
            <w:shd w:val="clear" w:color="000000" w:fill="FFFFFF"/>
            <w:vAlign w:val="bottom"/>
            <w:hideMark/>
          </w:tcPr>
          <w:p w14:paraId="37921989"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30</w:t>
            </w:r>
          </w:p>
        </w:tc>
        <w:tc>
          <w:tcPr>
            <w:tcW w:w="700" w:type="dxa"/>
            <w:tcBorders>
              <w:top w:val="nil"/>
              <w:left w:val="nil"/>
              <w:bottom w:val="single" w:sz="4" w:space="0" w:color="ADD6EA"/>
              <w:right w:val="nil"/>
            </w:tcBorders>
            <w:shd w:val="clear" w:color="000000" w:fill="FFFFFF"/>
            <w:vAlign w:val="bottom"/>
            <w:hideMark/>
          </w:tcPr>
          <w:p w14:paraId="7AEA7BA0"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115</w:t>
            </w:r>
          </w:p>
        </w:tc>
        <w:tc>
          <w:tcPr>
            <w:tcW w:w="700" w:type="dxa"/>
            <w:tcBorders>
              <w:top w:val="nil"/>
              <w:left w:val="nil"/>
              <w:bottom w:val="single" w:sz="4" w:space="0" w:color="ADD6EA"/>
              <w:right w:val="nil"/>
            </w:tcBorders>
            <w:shd w:val="clear" w:color="000000" w:fill="FFFFFF"/>
            <w:vAlign w:val="bottom"/>
            <w:hideMark/>
          </w:tcPr>
          <w:p w14:paraId="1095A7AF"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-161</w:t>
            </w:r>
          </w:p>
        </w:tc>
        <w:tc>
          <w:tcPr>
            <w:tcW w:w="640" w:type="dxa"/>
            <w:tcBorders>
              <w:top w:val="nil"/>
              <w:left w:val="nil"/>
              <w:bottom w:val="single" w:sz="4" w:space="0" w:color="ADD6EA"/>
              <w:right w:val="nil"/>
            </w:tcBorders>
            <w:shd w:val="clear" w:color="000000" w:fill="FFFFFF"/>
            <w:vAlign w:val="bottom"/>
            <w:hideMark/>
          </w:tcPr>
          <w:p w14:paraId="584E901B"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15</w:t>
            </w:r>
          </w:p>
        </w:tc>
        <w:tc>
          <w:tcPr>
            <w:tcW w:w="640" w:type="dxa"/>
            <w:tcBorders>
              <w:top w:val="nil"/>
              <w:left w:val="nil"/>
              <w:bottom w:val="single" w:sz="4" w:space="0" w:color="ADD6EA"/>
              <w:right w:val="nil"/>
            </w:tcBorders>
            <w:shd w:val="clear" w:color="000000" w:fill="FFFFFF"/>
            <w:vAlign w:val="bottom"/>
            <w:hideMark/>
          </w:tcPr>
          <w:p w14:paraId="58FB4A1A"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-17</w:t>
            </w:r>
          </w:p>
        </w:tc>
        <w:tc>
          <w:tcPr>
            <w:tcW w:w="640" w:type="dxa"/>
            <w:tcBorders>
              <w:top w:val="nil"/>
              <w:left w:val="nil"/>
              <w:bottom w:val="single" w:sz="4" w:space="0" w:color="ADD6EA"/>
              <w:right w:val="nil"/>
            </w:tcBorders>
            <w:shd w:val="clear" w:color="000000" w:fill="FFFFFF"/>
            <w:vAlign w:val="bottom"/>
            <w:hideMark/>
          </w:tcPr>
          <w:p w14:paraId="3B56AFAC"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-21</w:t>
            </w:r>
          </w:p>
        </w:tc>
        <w:tc>
          <w:tcPr>
            <w:tcW w:w="680" w:type="dxa"/>
            <w:tcBorders>
              <w:top w:val="nil"/>
              <w:left w:val="nil"/>
              <w:bottom w:val="single" w:sz="4" w:space="0" w:color="ADD6EA"/>
              <w:right w:val="nil"/>
            </w:tcBorders>
            <w:shd w:val="clear" w:color="000000" w:fill="FFFFFF"/>
            <w:vAlign w:val="bottom"/>
            <w:hideMark/>
          </w:tcPr>
          <w:p w14:paraId="079E265D"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47</w:t>
            </w:r>
          </w:p>
        </w:tc>
        <w:tc>
          <w:tcPr>
            <w:tcW w:w="640" w:type="dxa"/>
            <w:tcBorders>
              <w:top w:val="nil"/>
              <w:left w:val="nil"/>
              <w:bottom w:val="single" w:sz="4" w:space="0" w:color="ADD6EA"/>
              <w:right w:val="nil"/>
            </w:tcBorders>
            <w:shd w:val="clear" w:color="000000" w:fill="FFFFFF"/>
            <w:vAlign w:val="bottom"/>
            <w:hideMark/>
          </w:tcPr>
          <w:p w14:paraId="59327F32"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-7</w:t>
            </w:r>
          </w:p>
        </w:tc>
        <w:tc>
          <w:tcPr>
            <w:tcW w:w="860" w:type="dxa"/>
            <w:tcBorders>
              <w:top w:val="nil"/>
              <w:left w:val="nil"/>
              <w:bottom w:val="single" w:sz="4" w:space="0" w:color="ADD6EA"/>
              <w:right w:val="nil"/>
            </w:tcBorders>
            <w:shd w:val="clear" w:color="000000" w:fill="FFFFFF"/>
            <w:vAlign w:val="bottom"/>
            <w:hideMark/>
          </w:tcPr>
          <w:p w14:paraId="014690F6"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206</w:t>
            </w:r>
          </w:p>
        </w:tc>
      </w:tr>
      <w:tr w:rsidR="0027344B" w:rsidRPr="0027344B" w14:paraId="1E2DAA26" w14:textId="77777777" w:rsidTr="00176BC8">
        <w:trPr>
          <w:trHeight w:val="315"/>
        </w:trPr>
        <w:tc>
          <w:tcPr>
            <w:tcW w:w="2700" w:type="dxa"/>
            <w:tcBorders>
              <w:top w:val="nil"/>
              <w:left w:val="nil"/>
              <w:bottom w:val="single" w:sz="4" w:space="0" w:color="ADD6EA"/>
              <w:right w:val="nil"/>
            </w:tcBorders>
            <w:shd w:val="clear" w:color="000000" w:fill="FFFFFF"/>
            <w:vAlign w:val="bottom"/>
            <w:hideMark/>
          </w:tcPr>
          <w:p w14:paraId="60510F9F" w14:textId="77777777" w:rsidR="0027344B" w:rsidRPr="0027344B" w:rsidRDefault="0027344B" w:rsidP="0027344B">
            <w:pPr>
              <w:tabs>
                <w:tab w:val="clear" w:pos="567"/>
              </w:tabs>
              <w:spacing w:before="0" w:line="240" w:lineRule="auto"/>
              <w:ind w:firstLineChars="100" w:firstLine="160"/>
              <w:rPr>
                <w:rFonts w:eastAsia="Times New Roman" w:cs="Open Sans Light"/>
                <w:sz w:val="16"/>
                <w:szCs w:val="16"/>
                <w:lang w:val="en-AU" w:eastAsia="en-AU"/>
              </w:rPr>
            </w:pPr>
            <w:r w:rsidRPr="0027344B">
              <w:rPr>
                <w:rFonts w:eastAsia="Times New Roman" w:cs="Open Sans Light"/>
                <w:sz w:val="16"/>
                <w:szCs w:val="16"/>
                <w:lang w:val="en-AU" w:eastAsia="en-AU"/>
              </w:rPr>
              <w:t>Emergency departments</w:t>
            </w:r>
          </w:p>
        </w:tc>
        <w:tc>
          <w:tcPr>
            <w:tcW w:w="760" w:type="dxa"/>
            <w:tcBorders>
              <w:top w:val="nil"/>
              <w:left w:val="nil"/>
              <w:bottom w:val="single" w:sz="4" w:space="0" w:color="ADD6EA"/>
              <w:right w:val="nil"/>
            </w:tcBorders>
            <w:shd w:val="clear" w:color="000000" w:fill="FFFFFF"/>
            <w:vAlign w:val="bottom"/>
            <w:hideMark/>
          </w:tcPr>
          <w:p w14:paraId="20D14189"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-15</w:t>
            </w:r>
          </w:p>
        </w:tc>
        <w:tc>
          <w:tcPr>
            <w:tcW w:w="700" w:type="dxa"/>
            <w:tcBorders>
              <w:top w:val="nil"/>
              <w:left w:val="nil"/>
              <w:bottom w:val="single" w:sz="4" w:space="0" w:color="ADD6EA"/>
              <w:right w:val="nil"/>
            </w:tcBorders>
            <w:shd w:val="clear" w:color="000000" w:fill="FFFFFF"/>
            <w:vAlign w:val="bottom"/>
            <w:hideMark/>
          </w:tcPr>
          <w:p w14:paraId="16CBDCD2"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5</w:t>
            </w:r>
          </w:p>
        </w:tc>
        <w:tc>
          <w:tcPr>
            <w:tcW w:w="700" w:type="dxa"/>
            <w:tcBorders>
              <w:top w:val="nil"/>
              <w:left w:val="nil"/>
              <w:bottom w:val="single" w:sz="4" w:space="0" w:color="ADD6EA"/>
              <w:right w:val="nil"/>
            </w:tcBorders>
            <w:shd w:val="clear" w:color="000000" w:fill="FFFFFF"/>
            <w:vAlign w:val="bottom"/>
            <w:hideMark/>
          </w:tcPr>
          <w:p w14:paraId="25E312AC"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-7</w:t>
            </w:r>
          </w:p>
        </w:tc>
        <w:tc>
          <w:tcPr>
            <w:tcW w:w="640" w:type="dxa"/>
            <w:tcBorders>
              <w:top w:val="nil"/>
              <w:left w:val="nil"/>
              <w:bottom w:val="single" w:sz="4" w:space="0" w:color="ADD6EA"/>
              <w:right w:val="nil"/>
            </w:tcBorders>
            <w:shd w:val="clear" w:color="000000" w:fill="FFFFFF"/>
            <w:vAlign w:val="bottom"/>
            <w:hideMark/>
          </w:tcPr>
          <w:p w14:paraId="135014AC"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7</w:t>
            </w:r>
          </w:p>
        </w:tc>
        <w:tc>
          <w:tcPr>
            <w:tcW w:w="640" w:type="dxa"/>
            <w:tcBorders>
              <w:top w:val="nil"/>
              <w:left w:val="nil"/>
              <w:bottom w:val="single" w:sz="4" w:space="0" w:color="ADD6EA"/>
              <w:right w:val="nil"/>
            </w:tcBorders>
            <w:shd w:val="clear" w:color="000000" w:fill="FFFFFF"/>
            <w:vAlign w:val="bottom"/>
            <w:hideMark/>
          </w:tcPr>
          <w:p w14:paraId="0235C934"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3</w:t>
            </w:r>
          </w:p>
        </w:tc>
        <w:tc>
          <w:tcPr>
            <w:tcW w:w="640" w:type="dxa"/>
            <w:tcBorders>
              <w:top w:val="nil"/>
              <w:left w:val="nil"/>
              <w:bottom w:val="single" w:sz="4" w:space="0" w:color="ADD6EA"/>
              <w:right w:val="nil"/>
            </w:tcBorders>
            <w:shd w:val="clear" w:color="000000" w:fill="FFFFFF"/>
            <w:vAlign w:val="bottom"/>
            <w:hideMark/>
          </w:tcPr>
          <w:p w14:paraId="647484A3"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3</w:t>
            </w:r>
          </w:p>
        </w:tc>
        <w:tc>
          <w:tcPr>
            <w:tcW w:w="680" w:type="dxa"/>
            <w:tcBorders>
              <w:top w:val="nil"/>
              <w:left w:val="nil"/>
              <w:bottom w:val="single" w:sz="4" w:space="0" w:color="ADD6EA"/>
              <w:right w:val="nil"/>
            </w:tcBorders>
            <w:shd w:val="clear" w:color="000000" w:fill="FFFFFF"/>
            <w:vAlign w:val="bottom"/>
            <w:hideMark/>
          </w:tcPr>
          <w:p w14:paraId="65115C9F"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4</w:t>
            </w:r>
          </w:p>
        </w:tc>
        <w:tc>
          <w:tcPr>
            <w:tcW w:w="640" w:type="dxa"/>
            <w:tcBorders>
              <w:top w:val="nil"/>
              <w:left w:val="nil"/>
              <w:bottom w:val="single" w:sz="4" w:space="0" w:color="ADD6EA"/>
              <w:right w:val="nil"/>
            </w:tcBorders>
            <w:shd w:val="clear" w:color="000000" w:fill="FFFFFF"/>
            <w:vAlign w:val="bottom"/>
            <w:hideMark/>
          </w:tcPr>
          <w:p w14:paraId="661B36D2"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w:t>
            </w:r>
          </w:p>
        </w:tc>
        <w:tc>
          <w:tcPr>
            <w:tcW w:w="860" w:type="dxa"/>
            <w:tcBorders>
              <w:top w:val="nil"/>
              <w:left w:val="nil"/>
              <w:bottom w:val="single" w:sz="4" w:space="0" w:color="ADD6EA"/>
              <w:right w:val="nil"/>
            </w:tcBorders>
            <w:shd w:val="clear" w:color="000000" w:fill="FFFFFF"/>
            <w:vAlign w:val="bottom"/>
            <w:hideMark/>
          </w:tcPr>
          <w:p w14:paraId="3D13082E"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23</w:t>
            </w:r>
          </w:p>
        </w:tc>
      </w:tr>
      <w:tr w:rsidR="0027344B" w:rsidRPr="0027344B" w14:paraId="4AA28BB3" w14:textId="77777777" w:rsidTr="00176BC8">
        <w:trPr>
          <w:trHeight w:val="315"/>
        </w:trPr>
        <w:tc>
          <w:tcPr>
            <w:tcW w:w="2700" w:type="dxa"/>
            <w:tcBorders>
              <w:top w:val="nil"/>
              <w:left w:val="nil"/>
              <w:bottom w:val="single" w:sz="4" w:space="0" w:color="ADD6EA"/>
              <w:right w:val="nil"/>
            </w:tcBorders>
            <w:shd w:val="clear" w:color="000000" w:fill="FFFFFF"/>
            <w:vAlign w:val="bottom"/>
            <w:hideMark/>
          </w:tcPr>
          <w:p w14:paraId="58E53AB0" w14:textId="77777777" w:rsidR="0027344B" w:rsidRPr="0027344B" w:rsidRDefault="0027344B" w:rsidP="0027344B">
            <w:pPr>
              <w:tabs>
                <w:tab w:val="clear" w:pos="567"/>
              </w:tabs>
              <w:spacing w:before="0" w:line="240" w:lineRule="auto"/>
              <w:ind w:firstLineChars="100" w:firstLine="160"/>
              <w:rPr>
                <w:rFonts w:eastAsia="Times New Roman" w:cs="Open Sans Light"/>
                <w:sz w:val="16"/>
                <w:szCs w:val="16"/>
                <w:lang w:val="en-AU" w:eastAsia="en-AU"/>
              </w:rPr>
            </w:pPr>
            <w:r w:rsidRPr="0027344B">
              <w:rPr>
                <w:rFonts w:eastAsia="Times New Roman" w:cs="Open Sans Light"/>
                <w:sz w:val="16"/>
                <w:szCs w:val="16"/>
                <w:lang w:val="en-AU" w:eastAsia="en-AU"/>
              </w:rPr>
              <w:t>Non-admitted patients</w:t>
            </w:r>
          </w:p>
        </w:tc>
        <w:tc>
          <w:tcPr>
            <w:tcW w:w="760" w:type="dxa"/>
            <w:tcBorders>
              <w:top w:val="nil"/>
              <w:left w:val="nil"/>
              <w:bottom w:val="single" w:sz="4" w:space="0" w:color="ADD6EA"/>
              <w:right w:val="nil"/>
            </w:tcBorders>
            <w:shd w:val="clear" w:color="000000" w:fill="FFFFFF"/>
            <w:vAlign w:val="bottom"/>
            <w:hideMark/>
          </w:tcPr>
          <w:p w14:paraId="6D094555"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-129</w:t>
            </w:r>
          </w:p>
        </w:tc>
        <w:tc>
          <w:tcPr>
            <w:tcW w:w="700" w:type="dxa"/>
            <w:tcBorders>
              <w:top w:val="nil"/>
              <w:left w:val="nil"/>
              <w:bottom w:val="single" w:sz="4" w:space="0" w:color="ADD6EA"/>
              <w:right w:val="nil"/>
            </w:tcBorders>
            <w:shd w:val="clear" w:color="000000" w:fill="FFFFFF"/>
            <w:vAlign w:val="bottom"/>
            <w:hideMark/>
          </w:tcPr>
          <w:p w14:paraId="17B5AE17"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37</w:t>
            </w:r>
          </w:p>
        </w:tc>
        <w:tc>
          <w:tcPr>
            <w:tcW w:w="700" w:type="dxa"/>
            <w:tcBorders>
              <w:top w:val="nil"/>
              <w:left w:val="nil"/>
              <w:bottom w:val="single" w:sz="4" w:space="0" w:color="ADD6EA"/>
              <w:right w:val="nil"/>
            </w:tcBorders>
            <w:shd w:val="clear" w:color="000000" w:fill="FFFFFF"/>
            <w:vAlign w:val="bottom"/>
            <w:hideMark/>
          </w:tcPr>
          <w:p w14:paraId="2FE46486"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-10</w:t>
            </w:r>
          </w:p>
        </w:tc>
        <w:tc>
          <w:tcPr>
            <w:tcW w:w="640" w:type="dxa"/>
            <w:tcBorders>
              <w:top w:val="nil"/>
              <w:left w:val="nil"/>
              <w:bottom w:val="single" w:sz="4" w:space="0" w:color="ADD6EA"/>
              <w:right w:val="nil"/>
            </w:tcBorders>
            <w:shd w:val="clear" w:color="000000" w:fill="FFFFFF"/>
            <w:vAlign w:val="bottom"/>
            <w:hideMark/>
          </w:tcPr>
          <w:p w14:paraId="67F13D0C"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74</w:t>
            </w:r>
          </w:p>
        </w:tc>
        <w:tc>
          <w:tcPr>
            <w:tcW w:w="640" w:type="dxa"/>
            <w:tcBorders>
              <w:top w:val="nil"/>
              <w:left w:val="nil"/>
              <w:bottom w:val="single" w:sz="4" w:space="0" w:color="ADD6EA"/>
              <w:right w:val="nil"/>
            </w:tcBorders>
            <w:shd w:val="clear" w:color="000000" w:fill="FFFFFF"/>
            <w:vAlign w:val="bottom"/>
            <w:hideMark/>
          </w:tcPr>
          <w:p w14:paraId="2CBFE36E"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11</w:t>
            </w:r>
          </w:p>
        </w:tc>
        <w:tc>
          <w:tcPr>
            <w:tcW w:w="640" w:type="dxa"/>
            <w:tcBorders>
              <w:top w:val="nil"/>
              <w:left w:val="nil"/>
              <w:bottom w:val="single" w:sz="4" w:space="0" w:color="ADD6EA"/>
              <w:right w:val="nil"/>
            </w:tcBorders>
            <w:shd w:val="clear" w:color="000000" w:fill="FFFFFF"/>
            <w:vAlign w:val="bottom"/>
            <w:hideMark/>
          </w:tcPr>
          <w:p w14:paraId="5884C648"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6</w:t>
            </w:r>
          </w:p>
        </w:tc>
        <w:tc>
          <w:tcPr>
            <w:tcW w:w="680" w:type="dxa"/>
            <w:tcBorders>
              <w:top w:val="nil"/>
              <w:left w:val="nil"/>
              <w:bottom w:val="single" w:sz="4" w:space="0" w:color="ADD6EA"/>
              <w:right w:val="nil"/>
            </w:tcBorders>
            <w:shd w:val="clear" w:color="000000" w:fill="FFFFFF"/>
            <w:vAlign w:val="bottom"/>
            <w:hideMark/>
          </w:tcPr>
          <w:p w14:paraId="78B79165"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8</w:t>
            </w:r>
          </w:p>
        </w:tc>
        <w:tc>
          <w:tcPr>
            <w:tcW w:w="640" w:type="dxa"/>
            <w:tcBorders>
              <w:top w:val="nil"/>
              <w:left w:val="nil"/>
              <w:bottom w:val="single" w:sz="4" w:space="0" w:color="ADD6EA"/>
              <w:right w:val="nil"/>
            </w:tcBorders>
            <w:shd w:val="clear" w:color="000000" w:fill="FFFFFF"/>
            <w:vAlign w:val="bottom"/>
            <w:hideMark/>
          </w:tcPr>
          <w:p w14:paraId="3551B658"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w:t>
            </w:r>
          </w:p>
        </w:tc>
        <w:tc>
          <w:tcPr>
            <w:tcW w:w="860" w:type="dxa"/>
            <w:tcBorders>
              <w:top w:val="nil"/>
              <w:left w:val="nil"/>
              <w:bottom w:val="single" w:sz="4" w:space="0" w:color="ADD6EA"/>
              <w:right w:val="nil"/>
            </w:tcBorders>
            <w:shd w:val="clear" w:color="000000" w:fill="FFFFFF"/>
            <w:vAlign w:val="bottom"/>
            <w:hideMark/>
          </w:tcPr>
          <w:p w14:paraId="1ACD221E"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139</w:t>
            </w:r>
          </w:p>
        </w:tc>
      </w:tr>
      <w:tr w:rsidR="0027344B" w:rsidRPr="0027344B" w14:paraId="0FFA6448" w14:textId="77777777" w:rsidTr="00176BC8">
        <w:trPr>
          <w:trHeight w:val="315"/>
        </w:trPr>
        <w:tc>
          <w:tcPr>
            <w:tcW w:w="2700" w:type="dxa"/>
            <w:tcBorders>
              <w:top w:val="nil"/>
              <w:left w:val="nil"/>
              <w:bottom w:val="single" w:sz="4" w:space="0" w:color="ADD6EA"/>
              <w:right w:val="nil"/>
            </w:tcBorders>
            <w:shd w:val="clear" w:color="000000" w:fill="FFFFFF"/>
            <w:vAlign w:val="bottom"/>
            <w:hideMark/>
          </w:tcPr>
          <w:p w14:paraId="58D631B6" w14:textId="77777777" w:rsidR="0027344B" w:rsidRPr="0027344B" w:rsidRDefault="0027344B" w:rsidP="0027344B">
            <w:pPr>
              <w:tabs>
                <w:tab w:val="clear" w:pos="567"/>
              </w:tabs>
              <w:spacing w:before="0" w:line="240" w:lineRule="auto"/>
              <w:ind w:firstLineChars="100" w:firstLine="160"/>
              <w:rPr>
                <w:rFonts w:eastAsia="Times New Roman" w:cs="Open Sans Light"/>
                <w:sz w:val="16"/>
                <w:szCs w:val="16"/>
                <w:lang w:val="en-AU" w:eastAsia="en-AU"/>
              </w:rPr>
            </w:pPr>
            <w:r w:rsidRPr="0027344B">
              <w:rPr>
                <w:rFonts w:eastAsia="Times New Roman" w:cs="Open Sans Light"/>
                <w:sz w:val="16"/>
                <w:szCs w:val="16"/>
                <w:lang w:val="en-AU" w:eastAsia="en-AU"/>
              </w:rPr>
              <w:t>Community and other health</w:t>
            </w:r>
          </w:p>
        </w:tc>
        <w:tc>
          <w:tcPr>
            <w:tcW w:w="760" w:type="dxa"/>
            <w:tcBorders>
              <w:top w:val="nil"/>
              <w:left w:val="nil"/>
              <w:bottom w:val="single" w:sz="4" w:space="0" w:color="ADD6EA"/>
              <w:right w:val="nil"/>
            </w:tcBorders>
            <w:shd w:val="clear" w:color="000000" w:fill="FFFFFF"/>
            <w:vAlign w:val="bottom"/>
            <w:hideMark/>
          </w:tcPr>
          <w:p w14:paraId="2C3DEB3C"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-83</w:t>
            </w:r>
          </w:p>
        </w:tc>
        <w:tc>
          <w:tcPr>
            <w:tcW w:w="700" w:type="dxa"/>
            <w:tcBorders>
              <w:top w:val="nil"/>
              <w:left w:val="nil"/>
              <w:bottom w:val="single" w:sz="4" w:space="0" w:color="ADD6EA"/>
              <w:right w:val="nil"/>
            </w:tcBorders>
            <w:shd w:val="clear" w:color="000000" w:fill="FFFFFF"/>
            <w:vAlign w:val="bottom"/>
            <w:hideMark/>
          </w:tcPr>
          <w:p w14:paraId="5E7627A6"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18</w:t>
            </w:r>
          </w:p>
        </w:tc>
        <w:tc>
          <w:tcPr>
            <w:tcW w:w="700" w:type="dxa"/>
            <w:tcBorders>
              <w:top w:val="nil"/>
              <w:left w:val="nil"/>
              <w:bottom w:val="single" w:sz="4" w:space="0" w:color="ADD6EA"/>
              <w:right w:val="nil"/>
            </w:tcBorders>
            <w:shd w:val="clear" w:color="000000" w:fill="FFFFFF"/>
            <w:vAlign w:val="bottom"/>
            <w:hideMark/>
          </w:tcPr>
          <w:p w14:paraId="75DBF6C0"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-20</w:t>
            </w:r>
          </w:p>
        </w:tc>
        <w:tc>
          <w:tcPr>
            <w:tcW w:w="640" w:type="dxa"/>
            <w:tcBorders>
              <w:top w:val="nil"/>
              <w:left w:val="nil"/>
              <w:bottom w:val="single" w:sz="4" w:space="0" w:color="ADD6EA"/>
              <w:right w:val="nil"/>
            </w:tcBorders>
            <w:shd w:val="clear" w:color="000000" w:fill="FFFFFF"/>
            <w:vAlign w:val="bottom"/>
            <w:hideMark/>
          </w:tcPr>
          <w:p w14:paraId="12960FBA"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59</w:t>
            </w:r>
          </w:p>
        </w:tc>
        <w:tc>
          <w:tcPr>
            <w:tcW w:w="640" w:type="dxa"/>
            <w:tcBorders>
              <w:top w:val="nil"/>
              <w:left w:val="nil"/>
              <w:bottom w:val="single" w:sz="4" w:space="0" w:color="ADD6EA"/>
              <w:right w:val="nil"/>
            </w:tcBorders>
            <w:shd w:val="clear" w:color="000000" w:fill="FFFFFF"/>
            <w:vAlign w:val="bottom"/>
            <w:hideMark/>
          </w:tcPr>
          <w:p w14:paraId="21E5FC4F"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9</w:t>
            </w:r>
          </w:p>
        </w:tc>
        <w:tc>
          <w:tcPr>
            <w:tcW w:w="640" w:type="dxa"/>
            <w:tcBorders>
              <w:top w:val="nil"/>
              <w:left w:val="nil"/>
              <w:bottom w:val="single" w:sz="4" w:space="0" w:color="ADD6EA"/>
              <w:right w:val="nil"/>
            </w:tcBorders>
            <w:shd w:val="clear" w:color="000000" w:fill="FFFFFF"/>
            <w:vAlign w:val="bottom"/>
            <w:hideMark/>
          </w:tcPr>
          <w:p w14:paraId="0F0D1CD9"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32</w:t>
            </w:r>
          </w:p>
        </w:tc>
        <w:tc>
          <w:tcPr>
            <w:tcW w:w="680" w:type="dxa"/>
            <w:tcBorders>
              <w:top w:val="nil"/>
              <w:left w:val="nil"/>
              <w:bottom w:val="single" w:sz="4" w:space="0" w:color="ADD6EA"/>
              <w:right w:val="nil"/>
            </w:tcBorders>
            <w:shd w:val="clear" w:color="000000" w:fill="FFFFFF"/>
            <w:vAlign w:val="bottom"/>
            <w:hideMark/>
          </w:tcPr>
          <w:p w14:paraId="05186283"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25</w:t>
            </w:r>
          </w:p>
        </w:tc>
        <w:tc>
          <w:tcPr>
            <w:tcW w:w="640" w:type="dxa"/>
            <w:tcBorders>
              <w:top w:val="nil"/>
              <w:left w:val="nil"/>
              <w:bottom w:val="single" w:sz="4" w:space="0" w:color="ADD6EA"/>
              <w:right w:val="nil"/>
            </w:tcBorders>
            <w:shd w:val="clear" w:color="000000" w:fill="FFFFFF"/>
            <w:vAlign w:val="bottom"/>
            <w:hideMark/>
          </w:tcPr>
          <w:p w14:paraId="1387FF7A"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-41</w:t>
            </w:r>
          </w:p>
        </w:tc>
        <w:tc>
          <w:tcPr>
            <w:tcW w:w="860" w:type="dxa"/>
            <w:tcBorders>
              <w:top w:val="nil"/>
              <w:left w:val="nil"/>
              <w:bottom w:val="single" w:sz="4" w:space="0" w:color="ADD6EA"/>
              <w:right w:val="nil"/>
            </w:tcBorders>
            <w:shd w:val="clear" w:color="000000" w:fill="FFFFFF"/>
            <w:vAlign w:val="bottom"/>
            <w:hideMark/>
          </w:tcPr>
          <w:p w14:paraId="6360B486" w14:textId="77777777" w:rsidR="0027344B" w:rsidRPr="0027344B" w:rsidRDefault="0027344B" w:rsidP="0027344B">
            <w:pPr>
              <w:tabs>
                <w:tab w:val="clear" w:pos="567"/>
              </w:tabs>
              <w:spacing w:before="0" w:line="240" w:lineRule="auto"/>
              <w:jc w:val="right"/>
              <w:rPr>
                <w:rFonts w:eastAsia="Times New Roman" w:cs="Open Sans Light"/>
                <w:sz w:val="16"/>
                <w:szCs w:val="16"/>
                <w:lang w:val="en-AU" w:eastAsia="en-AU"/>
              </w:rPr>
            </w:pPr>
            <w:r w:rsidRPr="0027344B">
              <w:rPr>
                <w:rFonts w:eastAsia="Times New Roman" w:cs="Open Sans Light"/>
                <w:sz w:val="16"/>
                <w:szCs w:val="16"/>
                <w:lang w:val="en-AU" w:eastAsia="en-AU"/>
              </w:rPr>
              <w:t>143</w:t>
            </w:r>
          </w:p>
        </w:tc>
      </w:tr>
      <w:tr w:rsidR="0027344B" w:rsidRPr="0027344B" w14:paraId="4E8FEE94" w14:textId="77777777" w:rsidTr="00176BC8">
        <w:trPr>
          <w:trHeight w:val="315"/>
        </w:trPr>
        <w:tc>
          <w:tcPr>
            <w:tcW w:w="2700" w:type="dxa"/>
            <w:tcBorders>
              <w:top w:val="nil"/>
              <w:left w:val="nil"/>
              <w:bottom w:val="single" w:sz="4" w:space="0" w:color="ADD6EA"/>
              <w:right w:val="nil"/>
            </w:tcBorders>
            <w:shd w:val="clear" w:color="000000" w:fill="D6E7F0"/>
            <w:vAlign w:val="bottom"/>
            <w:hideMark/>
          </w:tcPr>
          <w:p w14:paraId="13E5CB57" w14:textId="77777777" w:rsidR="0027344B" w:rsidRPr="0027344B" w:rsidRDefault="0027344B" w:rsidP="0027344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Total Health</w:t>
            </w:r>
          </w:p>
        </w:tc>
        <w:tc>
          <w:tcPr>
            <w:tcW w:w="760" w:type="dxa"/>
            <w:tcBorders>
              <w:top w:val="nil"/>
              <w:left w:val="nil"/>
              <w:bottom w:val="single" w:sz="4" w:space="0" w:color="ADD6EA"/>
              <w:right w:val="nil"/>
            </w:tcBorders>
            <w:shd w:val="clear" w:color="000000" w:fill="D6E7F0"/>
            <w:vAlign w:val="bottom"/>
            <w:hideMark/>
          </w:tcPr>
          <w:p w14:paraId="71B69062"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-197</w:t>
            </w:r>
          </w:p>
        </w:tc>
        <w:tc>
          <w:tcPr>
            <w:tcW w:w="700" w:type="dxa"/>
            <w:tcBorders>
              <w:top w:val="nil"/>
              <w:left w:val="nil"/>
              <w:bottom w:val="single" w:sz="4" w:space="0" w:color="ADD6EA"/>
              <w:right w:val="nil"/>
            </w:tcBorders>
            <w:shd w:val="clear" w:color="000000" w:fill="D6E7F0"/>
            <w:vAlign w:val="bottom"/>
            <w:hideMark/>
          </w:tcPr>
          <w:p w14:paraId="03CE0042"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175</w:t>
            </w:r>
          </w:p>
        </w:tc>
        <w:tc>
          <w:tcPr>
            <w:tcW w:w="700" w:type="dxa"/>
            <w:tcBorders>
              <w:top w:val="nil"/>
              <w:left w:val="nil"/>
              <w:bottom w:val="single" w:sz="4" w:space="0" w:color="ADD6EA"/>
              <w:right w:val="nil"/>
            </w:tcBorders>
            <w:shd w:val="clear" w:color="000000" w:fill="D6E7F0"/>
            <w:vAlign w:val="bottom"/>
            <w:hideMark/>
          </w:tcPr>
          <w:p w14:paraId="10EC92CF"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-197</w:t>
            </w:r>
          </w:p>
        </w:tc>
        <w:tc>
          <w:tcPr>
            <w:tcW w:w="640" w:type="dxa"/>
            <w:tcBorders>
              <w:top w:val="nil"/>
              <w:left w:val="nil"/>
              <w:bottom w:val="single" w:sz="4" w:space="0" w:color="ADD6EA"/>
              <w:right w:val="nil"/>
            </w:tcBorders>
            <w:shd w:val="clear" w:color="000000" w:fill="D6E7F0"/>
            <w:vAlign w:val="bottom"/>
            <w:hideMark/>
          </w:tcPr>
          <w:p w14:paraId="5EC8D6D4"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155</w:t>
            </w:r>
          </w:p>
        </w:tc>
        <w:tc>
          <w:tcPr>
            <w:tcW w:w="640" w:type="dxa"/>
            <w:tcBorders>
              <w:top w:val="nil"/>
              <w:left w:val="nil"/>
              <w:bottom w:val="single" w:sz="4" w:space="0" w:color="ADD6EA"/>
              <w:right w:val="nil"/>
            </w:tcBorders>
            <w:shd w:val="clear" w:color="000000" w:fill="D6E7F0"/>
            <w:vAlign w:val="bottom"/>
            <w:hideMark/>
          </w:tcPr>
          <w:p w14:paraId="59E675B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6</w:t>
            </w:r>
          </w:p>
        </w:tc>
        <w:tc>
          <w:tcPr>
            <w:tcW w:w="640" w:type="dxa"/>
            <w:tcBorders>
              <w:top w:val="nil"/>
              <w:left w:val="nil"/>
              <w:bottom w:val="single" w:sz="4" w:space="0" w:color="ADD6EA"/>
              <w:right w:val="nil"/>
            </w:tcBorders>
            <w:shd w:val="clear" w:color="000000" w:fill="D6E7F0"/>
            <w:vAlign w:val="bottom"/>
            <w:hideMark/>
          </w:tcPr>
          <w:p w14:paraId="793F644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20</w:t>
            </w:r>
          </w:p>
        </w:tc>
        <w:tc>
          <w:tcPr>
            <w:tcW w:w="680" w:type="dxa"/>
            <w:tcBorders>
              <w:top w:val="nil"/>
              <w:left w:val="nil"/>
              <w:bottom w:val="single" w:sz="4" w:space="0" w:color="ADD6EA"/>
              <w:right w:val="nil"/>
            </w:tcBorders>
            <w:shd w:val="clear" w:color="000000" w:fill="D6E7F0"/>
            <w:vAlign w:val="bottom"/>
            <w:hideMark/>
          </w:tcPr>
          <w:p w14:paraId="0FF77787"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84</w:t>
            </w:r>
          </w:p>
        </w:tc>
        <w:tc>
          <w:tcPr>
            <w:tcW w:w="640" w:type="dxa"/>
            <w:tcBorders>
              <w:top w:val="nil"/>
              <w:left w:val="nil"/>
              <w:bottom w:val="single" w:sz="4" w:space="0" w:color="ADD6EA"/>
              <w:right w:val="nil"/>
            </w:tcBorders>
            <w:shd w:val="clear" w:color="000000" w:fill="D6E7F0"/>
            <w:vAlign w:val="bottom"/>
            <w:hideMark/>
          </w:tcPr>
          <w:p w14:paraId="23B1274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-46</w:t>
            </w:r>
          </w:p>
        </w:tc>
        <w:tc>
          <w:tcPr>
            <w:tcW w:w="860" w:type="dxa"/>
            <w:tcBorders>
              <w:top w:val="nil"/>
              <w:left w:val="nil"/>
              <w:bottom w:val="single" w:sz="4" w:space="0" w:color="ADD6EA"/>
              <w:right w:val="nil"/>
            </w:tcBorders>
            <w:shd w:val="clear" w:color="000000" w:fill="D6E7F0"/>
            <w:vAlign w:val="bottom"/>
            <w:hideMark/>
          </w:tcPr>
          <w:p w14:paraId="5E3C68DE"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441</w:t>
            </w:r>
          </w:p>
        </w:tc>
      </w:tr>
      <w:tr w:rsidR="0027344B" w:rsidRPr="0027344B" w14:paraId="4C2A4813" w14:textId="77777777" w:rsidTr="00176BC8">
        <w:trPr>
          <w:trHeight w:val="315"/>
        </w:trPr>
        <w:tc>
          <w:tcPr>
            <w:tcW w:w="2700" w:type="dxa"/>
            <w:tcBorders>
              <w:top w:val="nil"/>
              <w:left w:val="nil"/>
              <w:bottom w:val="single" w:sz="4" w:space="0" w:color="ADD6EA"/>
              <w:right w:val="nil"/>
            </w:tcBorders>
            <w:shd w:val="clear" w:color="000000" w:fill="D6E7F0"/>
            <w:vAlign w:val="bottom"/>
            <w:hideMark/>
          </w:tcPr>
          <w:p w14:paraId="02C08D1E" w14:textId="77777777" w:rsidR="0027344B" w:rsidRPr="0027344B" w:rsidRDefault="0027344B" w:rsidP="0027344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Schools</w:t>
            </w:r>
          </w:p>
        </w:tc>
        <w:tc>
          <w:tcPr>
            <w:tcW w:w="760" w:type="dxa"/>
            <w:tcBorders>
              <w:top w:val="nil"/>
              <w:left w:val="nil"/>
              <w:bottom w:val="single" w:sz="4" w:space="0" w:color="ADD6EA"/>
              <w:right w:val="nil"/>
            </w:tcBorders>
            <w:shd w:val="clear" w:color="000000" w:fill="D6E7F0"/>
            <w:vAlign w:val="bottom"/>
            <w:hideMark/>
          </w:tcPr>
          <w:p w14:paraId="2FF27A3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-144</w:t>
            </w:r>
          </w:p>
        </w:tc>
        <w:tc>
          <w:tcPr>
            <w:tcW w:w="700" w:type="dxa"/>
            <w:tcBorders>
              <w:top w:val="nil"/>
              <w:left w:val="nil"/>
              <w:bottom w:val="single" w:sz="4" w:space="0" w:color="ADD6EA"/>
              <w:right w:val="nil"/>
            </w:tcBorders>
            <w:shd w:val="clear" w:color="000000" w:fill="D6E7F0"/>
            <w:vAlign w:val="bottom"/>
            <w:hideMark/>
          </w:tcPr>
          <w:p w14:paraId="044739F2"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-393</w:t>
            </w:r>
          </w:p>
        </w:tc>
        <w:tc>
          <w:tcPr>
            <w:tcW w:w="700" w:type="dxa"/>
            <w:tcBorders>
              <w:top w:val="nil"/>
              <w:left w:val="nil"/>
              <w:bottom w:val="single" w:sz="4" w:space="0" w:color="ADD6EA"/>
              <w:right w:val="nil"/>
            </w:tcBorders>
            <w:shd w:val="clear" w:color="000000" w:fill="D6E7F0"/>
            <w:vAlign w:val="bottom"/>
            <w:hideMark/>
          </w:tcPr>
          <w:p w14:paraId="3B86B89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368</w:t>
            </w:r>
          </w:p>
        </w:tc>
        <w:tc>
          <w:tcPr>
            <w:tcW w:w="640" w:type="dxa"/>
            <w:tcBorders>
              <w:top w:val="nil"/>
              <w:left w:val="nil"/>
              <w:bottom w:val="single" w:sz="4" w:space="0" w:color="ADD6EA"/>
              <w:right w:val="nil"/>
            </w:tcBorders>
            <w:shd w:val="clear" w:color="000000" w:fill="D6E7F0"/>
            <w:vAlign w:val="bottom"/>
            <w:hideMark/>
          </w:tcPr>
          <w:p w14:paraId="3A64D4E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124</w:t>
            </w:r>
          </w:p>
        </w:tc>
        <w:tc>
          <w:tcPr>
            <w:tcW w:w="640" w:type="dxa"/>
            <w:tcBorders>
              <w:top w:val="nil"/>
              <w:left w:val="nil"/>
              <w:bottom w:val="single" w:sz="4" w:space="0" w:color="ADD6EA"/>
              <w:right w:val="nil"/>
            </w:tcBorders>
            <w:shd w:val="clear" w:color="000000" w:fill="D6E7F0"/>
            <w:vAlign w:val="bottom"/>
            <w:hideMark/>
          </w:tcPr>
          <w:p w14:paraId="49492791"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-24</w:t>
            </w:r>
          </w:p>
        </w:tc>
        <w:tc>
          <w:tcPr>
            <w:tcW w:w="640" w:type="dxa"/>
            <w:tcBorders>
              <w:top w:val="nil"/>
              <w:left w:val="nil"/>
              <w:bottom w:val="single" w:sz="4" w:space="0" w:color="ADD6EA"/>
              <w:right w:val="nil"/>
            </w:tcBorders>
            <w:shd w:val="clear" w:color="000000" w:fill="D6E7F0"/>
            <w:vAlign w:val="bottom"/>
            <w:hideMark/>
          </w:tcPr>
          <w:p w14:paraId="167FCA9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20</w:t>
            </w:r>
          </w:p>
        </w:tc>
        <w:tc>
          <w:tcPr>
            <w:tcW w:w="680" w:type="dxa"/>
            <w:tcBorders>
              <w:top w:val="nil"/>
              <w:left w:val="nil"/>
              <w:bottom w:val="single" w:sz="4" w:space="0" w:color="ADD6EA"/>
              <w:right w:val="nil"/>
            </w:tcBorders>
            <w:shd w:val="clear" w:color="000000" w:fill="D6E7F0"/>
            <w:vAlign w:val="bottom"/>
            <w:hideMark/>
          </w:tcPr>
          <w:p w14:paraId="3F8C697C"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11</w:t>
            </w:r>
          </w:p>
        </w:tc>
        <w:tc>
          <w:tcPr>
            <w:tcW w:w="640" w:type="dxa"/>
            <w:tcBorders>
              <w:top w:val="nil"/>
              <w:left w:val="nil"/>
              <w:bottom w:val="single" w:sz="4" w:space="0" w:color="ADD6EA"/>
              <w:right w:val="nil"/>
            </w:tcBorders>
            <w:shd w:val="clear" w:color="000000" w:fill="D6E7F0"/>
            <w:vAlign w:val="bottom"/>
            <w:hideMark/>
          </w:tcPr>
          <w:p w14:paraId="08B7975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38</w:t>
            </w:r>
          </w:p>
        </w:tc>
        <w:tc>
          <w:tcPr>
            <w:tcW w:w="860" w:type="dxa"/>
            <w:tcBorders>
              <w:top w:val="nil"/>
              <w:left w:val="nil"/>
              <w:bottom w:val="single" w:sz="4" w:space="0" w:color="ADD6EA"/>
              <w:right w:val="nil"/>
            </w:tcBorders>
            <w:shd w:val="clear" w:color="000000" w:fill="D6E7F0"/>
            <w:vAlign w:val="bottom"/>
            <w:hideMark/>
          </w:tcPr>
          <w:p w14:paraId="06357731"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560</w:t>
            </w:r>
          </w:p>
        </w:tc>
      </w:tr>
      <w:tr w:rsidR="0027344B" w:rsidRPr="0027344B" w14:paraId="2637CEEC" w14:textId="77777777" w:rsidTr="00176BC8">
        <w:trPr>
          <w:trHeight w:val="315"/>
        </w:trPr>
        <w:tc>
          <w:tcPr>
            <w:tcW w:w="2700" w:type="dxa"/>
            <w:tcBorders>
              <w:top w:val="nil"/>
              <w:left w:val="nil"/>
              <w:bottom w:val="single" w:sz="4" w:space="0" w:color="ADD6EA"/>
              <w:right w:val="nil"/>
            </w:tcBorders>
            <w:shd w:val="clear" w:color="000000" w:fill="B6D5E4"/>
            <w:noWrap/>
            <w:vAlign w:val="bottom"/>
            <w:hideMark/>
          </w:tcPr>
          <w:p w14:paraId="0D1BE05D" w14:textId="77777777" w:rsidR="0027344B" w:rsidRPr="0027344B" w:rsidRDefault="0027344B" w:rsidP="0027344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Total</w:t>
            </w:r>
          </w:p>
        </w:tc>
        <w:tc>
          <w:tcPr>
            <w:tcW w:w="760" w:type="dxa"/>
            <w:tcBorders>
              <w:top w:val="nil"/>
              <w:left w:val="nil"/>
              <w:bottom w:val="single" w:sz="4" w:space="0" w:color="ADD6EA"/>
              <w:right w:val="nil"/>
            </w:tcBorders>
            <w:shd w:val="clear" w:color="000000" w:fill="B6D5E4"/>
            <w:noWrap/>
            <w:vAlign w:val="bottom"/>
            <w:hideMark/>
          </w:tcPr>
          <w:p w14:paraId="017B1300"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-341</w:t>
            </w:r>
          </w:p>
        </w:tc>
        <w:tc>
          <w:tcPr>
            <w:tcW w:w="700" w:type="dxa"/>
            <w:tcBorders>
              <w:top w:val="nil"/>
              <w:left w:val="nil"/>
              <w:bottom w:val="single" w:sz="4" w:space="0" w:color="ADD6EA"/>
              <w:right w:val="nil"/>
            </w:tcBorders>
            <w:shd w:val="clear" w:color="000000" w:fill="B6D5E4"/>
            <w:noWrap/>
            <w:vAlign w:val="bottom"/>
            <w:hideMark/>
          </w:tcPr>
          <w:p w14:paraId="699497DA"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-218</w:t>
            </w:r>
          </w:p>
        </w:tc>
        <w:tc>
          <w:tcPr>
            <w:tcW w:w="700" w:type="dxa"/>
            <w:tcBorders>
              <w:top w:val="nil"/>
              <w:left w:val="nil"/>
              <w:bottom w:val="single" w:sz="4" w:space="0" w:color="ADD6EA"/>
              <w:right w:val="nil"/>
            </w:tcBorders>
            <w:shd w:val="clear" w:color="000000" w:fill="B6D5E4"/>
            <w:noWrap/>
            <w:vAlign w:val="bottom"/>
            <w:hideMark/>
          </w:tcPr>
          <w:p w14:paraId="04927086"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171</w:t>
            </w:r>
          </w:p>
        </w:tc>
        <w:tc>
          <w:tcPr>
            <w:tcW w:w="640" w:type="dxa"/>
            <w:tcBorders>
              <w:top w:val="nil"/>
              <w:left w:val="nil"/>
              <w:bottom w:val="single" w:sz="4" w:space="0" w:color="ADD6EA"/>
              <w:right w:val="nil"/>
            </w:tcBorders>
            <w:shd w:val="clear" w:color="000000" w:fill="B6D5E4"/>
            <w:noWrap/>
            <w:vAlign w:val="bottom"/>
            <w:hideMark/>
          </w:tcPr>
          <w:p w14:paraId="00F379F5"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279</w:t>
            </w:r>
          </w:p>
        </w:tc>
        <w:tc>
          <w:tcPr>
            <w:tcW w:w="640" w:type="dxa"/>
            <w:tcBorders>
              <w:top w:val="nil"/>
              <w:left w:val="nil"/>
              <w:bottom w:val="single" w:sz="4" w:space="0" w:color="ADD6EA"/>
              <w:right w:val="nil"/>
            </w:tcBorders>
            <w:shd w:val="clear" w:color="000000" w:fill="B6D5E4"/>
            <w:noWrap/>
            <w:vAlign w:val="bottom"/>
            <w:hideMark/>
          </w:tcPr>
          <w:p w14:paraId="179A651A"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-17</w:t>
            </w:r>
          </w:p>
        </w:tc>
        <w:tc>
          <w:tcPr>
            <w:tcW w:w="640" w:type="dxa"/>
            <w:tcBorders>
              <w:top w:val="nil"/>
              <w:left w:val="nil"/>
              <w:bottom w:val="single" w:sz="4" w:space="0" w:color="ADD6EA"/>
              <w:right w:val="nil"/>
            </w:tcBorders>
            <w:shd w:val="clear" w:color="000000" w:fill="B6D5E4"/>
            <w:noWrap/>
            <w:vAlign w:val="bottom"/>
            <w:hideMark/>
          </w:tcPr>
          <w:p w14:paraId="192559A9"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40</w:t>
            </w:r>
          </w:p>
        </w:tc>
        <w:tc>
          <w:tcPr>
            <w:tcW w:w="680" w:type="dxa"/>
            <w:tcBorders>
              <w:top w:val="nil"/>
              <w:left w:val="nil"/>
              <w:bottom w:val="single" w:sz="4" w:space="0" w:color="ADD6EA"/>
              <w:right w:val="nil"/>
            </w:tcBorders>
            <w:shd w:val="clear" w:color="000000" w:fill="B6D5E4"/>
            <w:noWrap/>
            <w:vAlign w:val="bottom"/>
            <w:hideMark/>
          </w:tcPr>
          <w:p w14:paraId="48ED64C0"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95</w:t>
            </w:r>
          </w:p>
        </w:tc>
        <w:tc>
          <w:tcPr>
            <w:tcW w:w="640" w:type="dxa"/>
            <w:tcBorders>
              <w:top w:val="nil"/>
              <w:left w:val="nil"/>
              <w:bottom w:val="single" w:sz="4" w:space="0" w:color="ADD6EA"/>
              <w:right w:val="nil"/>
            </w:tcBorders>
            <w:shd w:val="clear" w:color="000000" w:fill="B6D5E4"/>
            <w:noWrap/>
            <w:vAlign w:val="bottom"/>
            <w:hideMark/>
          </w:tcPr>
          <w:p w14:paraId="563EEC5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-8</w:t>
            </w:r>
          </w:p>
        </w:tc>
        <w:tc>
          <w:tcPr>
            <w:tcW w:w="860" w:type="dxa"/>
            <w:tcBorders>
              <w:top w:val="nil"/>
              <w:left w:val="nil"/>
              <w:bottom w:val="single" w:sz="4" w:space="0" w:color="ADD6EA"/>
              <w:right w:val="nil"/>
            </w:tcBorders>
            <w:shd w:val="clear" w:color="000000" w:fill="B6D5E4"/>
            <w:noWrap/>
            <w:vAlign w:val="bottom"/>
            <w:hideMark/>
          </w:tcPr>
          <w:p w14:paraId="46FE560B" w14:textId="77777777" w:rsidR="0027344B" w:rsidRPr="0027344B" w:rsidRDefault="0027344B" w:rsidP="0027344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27344B">
              <w:rPr>
                <w:rFonts w:ascii="Open Sans SemiBold" w:eastAsia="Times New Roman" w:hAnsi="Open Sans SemiBold" w:cs="Open Sans SemiBold"/>
                <w:color w:val="000000"/>
                <w:sz w:val="16"/>
                <w:szCs w:val="16"/>
                <w:lang w:val="en-AU" w:eastAsia="en-AU"/>
              </w:rPr>
              <w:t>585</w:t>
            </w:r>
          </w:p>
        </w:tc>
      </w:tr>
    </w:tbl>
    <w:p w14:paraId="3DA6D678" w14:textId="5C818F34" w:rsidR="00C851F3" w:rsidRDefault="00C851F3" w:rsidP="00C851F3">
      <w:pPr>
        <w:pStyle w:val="CGCTablenote"/>
      </w:pPr>
      <w:r>
        <w:t>Source:</w:t>
      </w:r>
      <w:r>
        <w:tab/>
        <w:t>Commission calculation.</w:t>
      </w:r>
    </w:p>
    <w:p w14:paraId="69AADB4F" w14:textId="77777777" w:rsidR="00580C6B" w:rsidRDefault="00580C6B" w:rsidP="00E22AA8">
      <w:r>
        <w:br w:type="page"/>
      </w:r>
    </w:p>
    <w:p w14:paraId="0C7EF1A1" w14:textId="08095913" w:rsidR="004D2749" w:rsidRDefault="004D2749" w:rsidP="004D2749">
      <w:pPr>
        <w:pStyle w:val="Heading3"/>
      </w:pPr>
      <w:bookmarkStart w:id="71" w:name="_Toc33600563"/>
      <w:r>
        <w:lastRenderedPageBreak/>
        <w:t>State fiscal circumstances</w:t>
      </w:r>
      <w:bookmarkEnd w:id="71"/>
    </w:p>
    <w:p w14:paraId="7D085EDD" w14:textId="6EA1D81A" w:rsidR="004D2749" w:rsidRDefault="00266738" w:rsidP="00DB345C">
      <w:pPr>
        <w:pStyle w:val="Heading4"/>
        <w:spacing w:before="120"/>
      </w:pPr>
      <w:bookmarkStart w:id="72" w:name="_Toc33600564"/>
      <w:r>
        <w:t>New South Wales</w:t>
      </w:r>
      <w:bookmarkEnd w:id="72"/>
    </w:p>
    <w:p w14:paraId="70404FEA" w14:textId="76B7527A" w:rsidR="00417A9F" w:rsidRDefault="00417A9F" w:rsidP="00417A9F">
      <w:pPr>
        <w:pStyle w:val="CGCParaNumber"/>
      </w:pPr>
      <w:r>
        <w:t>New</w:t>
      </w:r>
      <w:r w:rsidR="00963F91">
        <w:t> </w:t>
      </w:r>
      <w:r>
        <w:t>South</w:t>
      </w:r>
      <w:r w:rsidR="00963F91">
        <w:t> </w:t>
      </w:r>
      <w:r>
        <w:t xml:space="preserve">Wales </w:t>
      </w:r>
      <w:r w:rsidR="00BE10E5">
        <w:t xml:space="preserve">is </w:t>
      </w:r>
      <w:r w:rsidR="00272834">
        <w:t>the</w:t>
      </w:r>
      <w:r w:rsidR="00BE10E5">
        <w:t xml:space="preserve"> State with </w:t>
      </w:r>
      <w:r w:rsidR="00000AAE">
        <w:t>the second strongest</w:t>
      </w:r>
      <w:r>
        <w:t xml:space="preserve"> </w:t>
      </w:r>
      <w:r w:rsidR="00634BF5">
        <w:t xml:space="preserve">fiscal capacity. </w:t>
      </w:r>
      <w:r w:rsidR="00DA6DEC">
        <w:t>Its</w:t>
      </w:r>
      <w:r>
        <w:t xml:space="preserve"> below average expense requirement reflect</w:t>
      </w:r>
      <w:r w:rsidR="00CB4BB1">
        <w:t>s</w:t>
      </w:r>
      <w:r>
        <w:t xml:space="preserve"> </w:t>
      </w:r>
      <w:r w:rsidR="00DA6DEC">
        <w:t>a</w:t>
      </w:r>
      <w:r>
        <w:t xml:space="preserve"> below average share of people living in </w:t>
      </w:r>
      <w:r w:rsidR="00EC680C">
        <w:t xml:space="preserve">more </w:t>
      </w:r>
      <w:r>
        <w:t xml:space="preserve">remote areas, </w:t>
      </w:r>
      <w:r w:rsidR="007A2F73">
        <w:t>economies of scale in administration</w:t>
      </w:r>
      <w:r>
        <w:t xml:space="preserve"> </w:t>
      </w:r>
      <w:r w:rsidR="00C71B01">
        <w:t xml:space="preserve">and </w:t>
      </w:r>
      <w:r>
        <w:t>above average non</w:t>
      </w:r>
      <w:r w:rsidR="00043637">
        <w:t>-</w:t>
      </w:r>
      <w:r>
        <w:t xml:space="preserve">State provision of health services. </w:t>
      </w:r>
      <w:r w:rsidR="00A40DA8">
        <w:t>New South Wales</w:t>
      </w:r>
      <w:r>
        <w:t xml:space="preserve"> also has an above average capacity to raise revenue, with a high value of property sales </w:t>
      </w:r>
      <w:r w:rsidR="002C2B2D">
        <w:t>and</w:t>
      </w:r>
      <w:r>
        <w:t xml:space="preserve"> </w:t>
      </w:r>
      <w:r w:rsidR="00BF49FD">
        <w:t xml:space="preserve">taxable </w:t>
      </w:r>
      <w:r>
        <w:t>land values</w:t>
      </w:r>
      <w:r w:rsidR="002C2B2D">
        <w:t>,</w:t>
      </w:r>
      <w:r>
        <w:t xml:space="preserve"> and above average taxable payrolls.</w:t>
      </w:r>
    </w:p>
    <w:p w14:paraId="51EC5E2C" w14:textId="24FB0C2A" w:rsidR="005F11DD" w:rsidRDefault="00417A9F" w:rsidP="00417A9F">
      <w:pPr>
        <w:pStyle w:val="CGCParaNumber"/>
      </w:pPr>
      <w:r>
        <w:t xml:space="preserve">Those effects on its fiscal capacity are partly offset by </w:t>
      </w:r>
      <w:r w:rsidR="0038522E">
        <w:t>its</w:t>
      </w:r>
      <w:r>
        <w:t xml:space="preserve"> above average investment requirement, mainly for urban transport, and a below average share of Commonwealth payments.</w:t>
      </w:r>
    </w:p>
    <w:p w14:paraId="55F62C30" w14:textId="45CBA737" w:rsidR="00B30614" w:rsidRPr="00B30614" w:rsidRDefault="007A2A05" w:rsidP="00B30614">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6</w:t>
      </w:r>
      <w:r>
        <w:fldChar w:fldCharType="end"/>
      </w:r>
      <w:r>
        <w:tab/>
        <w:t>Illustrative GST</w:t>
      </w:r>
      <w:r w:rsidR="00922552">
        <w:t>, New South Wales, 2020</w:t>
      </w:r>
      <w:r w:rsidR="00922552">
        <w:noBreakHyphen/>
        <w:t>21</w:t>
      </w:r>
    </w:p>
    <w:tbl>
      <w:tblPr>
        <w:tblW w:w="8902" w:type="dxa"/>
        <w:tblCellMar>
          <w:left w:w="0" w:type="dxa"/>
          <w:right w:w="28" w:type="dxa"/>
        </w:tblCellMar>
        <w:tblLook w:val="04A0" w:firstRow="1" w:lastRow="0" w:firstColumn="1" w:lastColumn="0" w:noHBand="0" w:noVBand="1"/>
      </w:tblPr>
      <w:tblGrid>
        <w:gridCol w:w="3990"/>
        <w:gridCol w:w="2506"/>
        <w:gridCol w:w="2406"/>
      </w:tblGrid>
      <w:tr w:rsidR="00677DD7" w:rsidRPr="00677DD7" w14:paraId="2015E6B7" w14:textId="77777777" w:rsidTr="00500FBE">
        <w:trPr>
          <w:trHeight w:val="258"/>
        </w:trPr>
        <w:tc>
          <w:tcPr>
            <w:tcW w:w="3990" w:type="dxa"/>
            <w:tcBorders>
              <w:top w:val="single" w:sz="4" w:space="0" w:color="ADD6EA"/>
              <w:left w:val="nil"/>
              <w:bottom w:val="single" w:sz="4" w:space="0" w:color="ADD6EA"/>
              <w:right w:val="nil"/>
            </w:tcBorders>
            <w:shd w:val="clear" w:color="000000" w:fill="006991"/>
            <w:vAlign w:val="center"/>
            <w:hideMark/>
          </w:tcPr>
          <w:p w14:paraId="5549D7F7" w14:textId="77777777" w:rsidR="00677DD7" w:rsidRPr="00677DD7" w:rsidRDefault="00677DD7" w:rsidP="00677DD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677DD7">
              <w:rPr>
                <w:rFonts w:ascii="Open Sans SemiBold" w:eastAsia="Times New Roman" w:hAnsi="Open Sans SemiBold" w:cs="Open Sans SemiBold"/>
                <w:color w:val="FFFFFF"/>
                <w:sz w:val="16"/>
                <w:szCs w:val="16"/>
                <w:lang w:val="en-AU" w:eastAsia="en-AU"/>
              </w:rPr>
              <w:t> </w:t>
            </w:r>
          </w:p>
        </w:tc>
        <w:tc>
          <w:tcPr>
            <w:tcW w:w="2506" w:type="dxa"/>
            <w:tcBorders>
              <w:top w:val="single" w:sz="4" w:space="0" w:color="ADD6EA"/>
              <w:left w:val="nil"/>
              <w:bottom w:val="single" w:sz="4" w:space="0" w:color="ADD6EA"/>
              <w:right w:val="nil"/>
            </w:tcBorders>
            <w:shd w:val="clear" w:color="000000" w:fill="006991"/>
            <w:vAlign w:val="center"/>
            <w:hideMark/>
          </w:tcPr>
          <w:p w14:paraId="0CEF0157" w14:textId="77777777" w:rsidR="00677DD7" w:rsidRPr="00677DD7" w:rsidRDefault="00677DD7" w:rsidP="00677DD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677DD7">
              <w:rPr>
                <w:rFonts w:ascii="Open Sans SemiBold" w:eastAsia="Times New Roman" w:hAnsi="Open Sans SemiBold" w:cs="Open Sans SemiBold"/>
                <w:color w:val="FFFFFF"/>
                <w:sz w:val="16"/>
                <w:szCs w:val="16"/>
                <w:lang w:val="en-AU" w:eastAsia="en-AU"/>
              </w:rPr>
              <w:t>$m</w:t>
            </w:r>
          </w:p>
        </w:tc>
        <w:tc>
          <w:tcPr>
            <w:tcW w:w="2406" w:type="dxa"/>
            <w:tcBorders>
              <w:top w:val="single" w:sz="4" w:space="0" w:color="ADD6EA"/>
              <w:left w:val="nil"/>
              <w:bottom w:val="single" w:sz="4" w:space="0" w:color="ADD6EA"/>
              <w:right w:val="nil"/>
            </w:tcBorders>
            <w:shd w:val="clear" w:color="000000" w:fill="006991"/>
            <w:vAlign w:val="center"/>
            <w:hideMark/>
          </w:tcPr>
          <w:p w14:paraId="48131B94" w14:textId="77777777" w:rsidR="00677DD7" w:rsidRPr="00677DD7" w:rsidRDefault="00677DD7" w:rsidP="00677DD7">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677DD7">
              <w:rPr>
                <w:rFonts w:ascii="Open Sans SemiBold" w:eastAsia="Times New Roman" w:hAnsi="Open Sans SemiBold" w:cs="Open Sans SemiBold"/>
                <w:color w:val="FFFFFF"/>
                <w:sz w:val="16"/>
                <w:szCs w:val="16"/>
                <w:lang w:val="en-AU" w:eastAsia="en-AU"/>
              </w:rPr>
              <w:t>$pc</w:t>
            </w:r>
          </w:p>
        </w:tc>
      </w:tr>
      <w:tr w:rsidR="00677DD7" w:rsidRPr="00677DD7" w14:paraId="5575D794"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0340CE2E" w14:textId="77777777" w:rsidR="00677DD7" w:rsidRPr="00677DD7" w:rsidRDefault="00677DD7" w:rsidP="00677DD7">
            <w:pPr>
              <w:tabs>
                <w:tab w:val="clear" w:pos="567"/>
              </w:tabs>
              <w:spacing w:before="0" w:line="240" w:lineRule="auto"/>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Equal per capita share</w:t>
            </w:r>
          </w:p>
        </w:tc>
        <w:tc>
          <w:tcPr>
            <w:tcW w:w="2506" w:type="dxa"/>
            <w:tcBorders>
              <w:top w:val="nil"/>
              <w:left w:val="nil"/>
              <w:bottom w:val="single" w:sz="4" w:space="0" w:color="ADD6EA"/>
              <w:right w:val="nil"/>
            </w:tcBorders>
            <w:shd w:val="clear" w:color="000000" w:fill="FFFFFF"/>
            <w:vAlign w:val="bottom"/>
            <w:hideMark/>
          </w:tcPr>
          <w:p w14:paraId="68326A10"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21,567</w:t>
            </w:r>
          </w:p>
        </w:tc>
        <w:tc>
          <w:tcPr>
            <w:tcW w:w="2406" w:type="dxa"/>
            <w:tcBorders>
              <w:top w:val="nil"/>
              <w:left w:val="nil"/>
              <w:bottom w:val="single" w:sz="4" w:space="0" w:color="ADD6EA"/>
              <w:right w:val="nil"/>
            </w:tcBorders>
            <w:shd w:val="clear" w:color="000000" w:fill="FFFFFF"/>
            <w:vAlign w:val="bottom"/>
            <w:hideMark/>
          </w:tcPr>
          <w:p w14:paraId="711BE039"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2,598</w:t>
            </w:r>
          </w:p>
        </w:tc>
      </w:tr>
      <w:tr w:rsidR="00677DD7" w:rsidRPr="00677DD7" w14:paraId="55F018EC"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24DC1FC2" w14:textId="77777777" w:rsidR="00677DD7" w:rsidRPr="00677DD7" w:rsidRDefault="00677DD7" w:rsidP="00677DD7">
            <w:pPr>
              <w:tabs>
                <w:tab w:val="clear" w:pos="567"/>
              </w:tabs>
              <w:spacing w:before="0" w:line="240" w:lineRule="auto"/>
              <w:rPr>
                <w:rFonts w:ascii="Open Sans SemiBold" w:eastAsia="Times New Roman" w:hAnsi="Open Sans SemiBold" w:cs="Open Sans SemiBold"/>
                <w:sz w:val="16"/>
                <w:szCs w:val="16"/>
                <w:lang w:val="en-AU" w:eastAsia="en-AU"/>
              </w:rPr>
            </w:pPr>
            <w:r w:rsidRPr="00677DD7">
              <w:rPr>
                <w:rFonts w:ascii="Open Sans SemiBold" w:eastAsia="Times New Roman" w:hAnsi="Open Sans SemiBold" w:cs="Open Sans SemiBold"/>
                <w:sz w:val="16"/>
                <w:szCs w:val="16"/>
                <w:lang w:val="en-AU" w:eastAsia="en-AU"/>
              </w:rPr>
              <w:t>Effect of assessed:</w:t>
            </w:r>
          </w:p>
        </w:tc>
        <w:tc>
          <w:tcPr>
            <w:tcW w:w="2506" w:type="dxa"/>
            <w:tcBorders>
              <w:top w:val="nil"/>
              <w:left w:val="nil"/>
              <w:bottom w:val="single" w:sz="4" w:space="0" w:color="ADD6EA"/>
              <w:right w:val="nil"/>
            </w:tcBorders>
            <w:shd w:val="clear" w:color="000000" w:fill="FFFFFF"/>
            <w:vAlign w:val="bottom"/>
            <w:hideMark/>
          </w:tcPr>
          <w:p w14:paraId="2BBB2AE5"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 </w:t>
            </w:r>
          </w:p>
        </w:tc>
        <w:tc>
          <w:tcPr>
            <w:tcW w:w="2406" w:type="dxa"/>
            <w:tcBorders>
              <w:top w:val="nil"/>
              <w:left w:val="nil"/>
              <w:bottom w:val="single" w:sz="4" w:space="0" w:color="ADD6EA"/>
              <w:right w:val="nil"/>
            </w:tcBorders>
            <w:shd w:val="clear" w:color="000000" w:fill="FFFFFF"/>
            <w:vAlign w:val="bottom"/>
            <w:hideMark/>
          </w:tcPr>
          <w:p w14:paraId="46696FBA"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 </w:t>
            </w:r>
          </w:p>
        </w:tc>
      </w:tr>
      <w:tr w:rsidR="00677DD7" w:rsidRPr="00677DD7" w14:paraId="4AD92E0B"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76F8F437" w14:textId="77777777" w:rsidR="00677DD7" w:rsidRPr="00677DD7" w:rsidRDefault="00677DD7" w:rsidP="00677DD7">
            <w:pPr>
              <w:tabs>
                <w:tab w:val="clear" w:pos="567"/>
              </w:tabs>
              <w:spacing w:before="0" w:line="240" w:lineRule="auto"/>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Expenses</w:t>
            </w:r>
          </w:p>
        </w:tc>
        <w:tc>
          <w:tcPr>
            <w:tcW w:w="2506" w:type="dxa"/>
            <w:tcBorders>
              <w:top w:val="nil"/>
              <w:left w:val="nil"/>
              <w:bottom w:val="single" w:sz="4" w:space="0" w:color="ADD6EA"/>
              <w:right w:val="nil"/>
            </w:tcBorders>
            <w:shd w:val="clear" w:color="000000" w:fill="FFFFFF"/>
            <w:vAlign w:val="bottom"/>
            <w:hideMark/>
          </w:tcPr>
          <w:p w14:paraId="47BDE40E"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-1,144</w:t>
            </w:r>
          </w:p>
        </w:tc>
        <w:tc>
          <w:tcPr>
            <w:tcW w:w="2406" w:type="dxa"/>
            <w:tcBorders>
              <w:top w:val="nil"/>
              <w:left w:val="nil"/>
              <w:bottom w:val="single" w:sz="4" w:space="0" w:color="ADD6EA"/>
              <w:right w:val="nil"/>
            </w:tcBorders>
            <w:shd w:val="clear" w:color="000000" w:fill="FFFFFF"/>
            <w:vAlign w:val="bottom"/>
            <w:hideMark/>
          </w:tcPr>
          <w:p w14:paraId="5AE2D383"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-138</w:t>
            </w:r>
          </w:p>
        </w:tc>
      </w:tr>
      <w:tr w:rsidR="00677DD7" w:rsidRPr="00677DD7" w14:paraId="709612B2"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08C83397" w14:textId="77777777" w:rsidR="00677DD7" w:rsidRPr="00677DD7" w:rsidRDefault="00677DD7" w:rsidP="00677DD7">
            <w:pPr>
              <w:tabs>
                <w:tab w:val="clear" w:pos="567"/>
              </w:tabs>
              <w:spacing w:before="0" w:line="240" w:lineRule="auto"/>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Investment</w:t>
            </w:r>
          </w:p>
        </w:tc>
        <w:tc>
          <w:tcPr>
            <w:tcW w:w="2506" w:type="dxa"/>
            <w:tcBorders>
              <w:top w:val="nil"/>
              <w:left w:val="nil"/>
              <w:bottom w:val="single" w:sz="4" w:space="0" w:color="ADD6EA"/>
              <w:right w:val="nil"/>
            </w:tcBorders>
            <w:shd w:val="clear" w:color="000000" w:fill="FFFFFF"/>
            <w:vAlign w:val="bottom"/>
            <w:hideMark/>
          </w:tcPr>
          <w:p w14:paraId="036FE84C"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89</w:t>
            </w:r>
          </w:p>
        </w:tc>
        <w:tc>
          <w:tcPr>
            <w:tcW w:w="2406" w:type="dxa"/>
            <w:tcBorders>
              <w:top w:val="nil"/>
              <w:left w:val="nil"/>
              <w:bottom w:val="single" w:sz="4" w:space="0" w:color="ADD6EA"/>
              <w:right w:val="nil"/>
            </w:tcBorders>
            <w:shd w:val="clear" w:color="000000" w:fill="FFFFFF"/>
            <w:vAlign w:val="bottom"/>
            <w:hideMark/>
          </w:tcPr>
          <w:p w14:paraId="772F672D"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11</w:t>
            </w:r>
          </w:p>
        </w:tc>
      </w:tr>
      <w:tr w:rsidR="00677DD7" w:rsidRPr="00677DD7" w14:paraId="350268B7"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48581F7D" w14:textId="77777777" w:rsidR="00677DD7" w:rsidRPr="00677DD7" w:rsidRDefault="00677DD7" w:rsidP="00677DD7">
            <w:pPr>
              <w:tabs>
                <w:tab w:val="clear" w:pos="567"/>
              </w:tabs>
              <w:spacing w:before="0" w:line="240" w:lineRule="auto"/>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Net borrowing</w:t>
            </w:r>
          </w:p>
        </w:tc>
        <w:tc>
          <w:tcPr>
            <w:tcW w:w="2506" w:type="dxa"/>
            <w:tcBorders>
              <w:top w:val="nil"/>
              <w:left w:val="nil"/>
              <w:bottom w:val="single" w:sz="4" w:space="0" w:color="ADD6EA"/>
              <w:right w:val="nil"/>
            </w:tcBorders>
            <w:shd w:val="clear" w:color="000000" w:fill="FFFFFF"/>
            <w:vAlign w:val="bottom"/>
            <w:hideMark/>
          </w:tcPr>
          <w:p w14:paraId="77BCDCBE"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22</w:t>
            </w:r>
          </w:p>
        </w:tc>
        <w:tc>
          <w:tcPr>
            <w:tcW w:w="2406" w:type="dxa"/>
            <w:tcBorders>
              <w:top w:val="nil"/>
              <w:left w:val="nil"/>
              <w:bottom w:val="single" w:sz="4" w:space="0" w:color="ADD6EA"/>
              <w:right w:val="nil"/>
            </w:tcBorders>
            <w:shd w:val="clear" w:color="000000" w:fill="FFFFFF"/>
            <w:vAlign w:val="bottom"/>
            <w:hideMark/>
          </w:tcPr>
          <w:p w14:paraId="236D592A"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3</w:t>
            </w:r>
          </w:p>
        </w:tc>
      </w:tr>
      <w:tr w:rsidR="00677DD7" w:rsidRPr="00677DD7" w14:paraId="0C56DE81" w14:textId="77777777" w:rsidTr="00500FBE">
        <w:trPr>
          <w:trHeight w:val="315"/>
        </w:trPr>
        <w:tc>
          <w:tcPr>
            <w:tcW w:w="3990" w:type="dxa"/>
            <w:tcBorders>
              <w:top w:val="nil"/>
              <w:left w:val="nil"/>
              <w:bottom w:val="single" w:sz="4" w:space="0" w:color="ADD6EA"/>
              <w:right w:val="nil"/>
            </w:tcBorders>
            <w:shd w:val="clear" w:color="auto" w:fill="auto"/>
            <w:vAlign w:val="bottom"/>
            <w:hideMark/>
          </w:tcPr>
          <w:p w14:paraId="387800C2" w14:textId="77777777" w:rsidR="00677DD7" w:rsidRPr="00677DD7" w:rsidRDefault="00677DD7" w:rsidP="00677DD7">
            <w:pPr>
              <w:tabs>
                <w:tab w:val="clear" w:pos="567"/>
              </w:tabs>
              <w:spacing w:before="0" w:line="240" w:lineRule="auto"/>
              <w:rPr>
                <w:rFonts w:eastAsia="Times New Roman" w:cs="Open Sans Light"/>
                <w:sz w:val="16"/>
                <w:szCs w:val="16"/>
                <w:lang w:val="en-AU" w:eastAsia="en-AU"/>
              </w:rPr>
            </w:pPr>
            <w:r w:rsidRPr="00677DD7">
              <w:rPr>
                <w:rFonts w:eastAsia="Times New Roman" w:cs="Open Sans Light"/>
                <w:sz w:val="16"/>
                <w:szCs w:val="16"/>
                <w:lang w:val="en-AU" w:eastAsia="en-AU"/>
              </w:rPr>
              <w:t>Revenue</w:t>
            </w:r>
          </w:p>
        </w:tc>
        <w:tc>
          <w:tcPr>
            <w:tcW w:w="2506" w:type="dxa"/>
            <w:tcBorders>
              <w:top w:val="nil"/>
              <w:left w:val="nil"/>
              <w:bottom w:val="single" w:sz="4" w:space="0" w:color="ADD6EA"/>
              <w:right w:val="nil"/>
            </w:tcBorders>
            <w:shd w:val="clear" w:color="000000" w:fill="FFFFFF"/>
            <w:vAlign w:val="bottom"/>
            <w:hideMark/>
          </w:tcPr>
          <w:p w14:paraId="6EC1E8DE"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-1,079</w:t>
            </w:r>
          </w:p>
        </w:tc>
        <w:tc>
          <w:tcPr>
            <w:tcW w:w="2406" w:type="dxa"/>
            <w:tcBorders>
              <w:top w:val="nil"/>
              <w:left w:val="nil"/>
              <w:bottom w:val="single" w:sz="4" w:space="0" w:color="ADD6EA"/>
              <w:right w:val="nil"/>
            </w:tcBorders>
            <w:shd w:val="clear" w:color="000000" w:fill="FFFFFF"/>
            <w:vAlign w:val="bottom"/>
            <w:hideMark/>
          </w:tcPr>
          <w:p w14:paraId="200F770D"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-130</w:t>
            </w:r>
          </w:p>
        </w:tc>
      </w:tr>
      <w:tr w:rsidR="00677DD7" w:rsidRPr="00677DD7" w14:paraId="412244EC" w14:textId="77777777" w:rsidTr="00500FBE">
        <w:trPr>
          <w:trHeight w:val="315"/>
        </w:trPr>
        <w:tc>
          <w:tcPr>
            <w:tcW w:w="3990" w:type="dxa"/>
            <w:tcBorders>
              <w:top w:val="nil"/>
              <w:left w:val="nil"/>
              <w:bottom w:val="single" w:sz="4" w:space="0" w:color="ADD6EA"/>
              <w:right w:val="nil"/>
            </w:tcBorders>
            <w:shd w:val="clear" w:color="000000" w:fill="FFFFFF"/>
            <w:vAlign w:val="bottom"/>
            <w:hideMark/>
          </w:tcPr>
          <w:p w14:paraId="7BA2B7DA" w14:textId="77777777" w:rsidR="00677DD7" w:rsidRPr="00677DD7" w:rsidRDefault="00677DD7" w:rsidP="00677DD7">
            <w:pPr>
              <w:tabs>
                <w:tab w:val="clear" w:pos="567"/>
              </w:tabs>
              <w:spacing w:before="0" w:line="240" w:lineRule="auto"/>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Commonwealth payments</w:t>
            </w:r>
          </w:p>
        </w:tc>
        <w:tc>
          <w:tcPr>
            <w:tcW w:w="2506" w:type="dxa"/>
            <w:tcBorders>
              <w:top w:val="nil"/>
              <w:left w:val="nil"/>
              <w:bottom w:val="single" w:sz="4" w:space="0" w:color="ADD6EA"/>
              <w:right w:val="nil"/>
            </w:tcBorders>
            <w:shd w:val="clear" w:color="000000" w:fill="FFFFFF"/>
            <w:vAlign w:val="bottom"/>
            <w:hideMark/>
          </w:tcPr>
          <w:p w14:paraId="2C7420DB"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376</w:t>
            </w:r>
          </w:p>
        </w:tc>
        <w:tc>
          <w:tcPr>
            <w:tcW w:w="2406" w:type="dxa"/>
            <w:tcBorders>
              <w:top w:val="nil"/>
              <w:left w:val="nil"/>
              <w:bottom w:val="single" w:sz="4" w:space="0" w:color="ADD6EA"/>
              <w:right w:val="nil"/>
            </w:tcBorders>
            <w:shd w:val="clear" w:color="000000" w:fill="FFFFFF"/>
            <w:vAlign w:val="bottom"/>
            <w:hideMark/>
          </w:tcPr>
          <w:p w14:paraId="7E1D325E" w14:textId="77777777" w:rsidR="00677DD7" w:rsidRPr="00677DD7" w:rsidRDefault="00677DD7" w:rsidP="00677DD7">
            <w:pPr>
              <w:tabs>
                <w:tab w:val="clear" w:pos="567"/>
              </w:tabs>
              <w:spacing w:before="0" w:line="240" w:lineRule="auto"/>
              <w:jc w:val="right"/>
              <w:rPr>
                <w:rFonts w:eastAsia="Times New Roman" w:cs="Open Sans Light"/>
                <w:color w:val="000000"/>
                <w:sz w:val="16"/>
                <w:szCs w:val="16"/>
                <w:lang w:val="en-AU" w:eastAsia="en-AU"/>
              </w:rPr>
            </w:pPr>
            <w:r w:rsidRPr="00677DD7">
              <w:rPr>
                <w:rFonts w:eastAsia="Times New Roman" w:cs="Open Sans Light"/>
                <w:color w:val="000000"/>
                <w:sz w:val="16"/>
                <w:szCs w:val="16"/>
                <w:lang w:val="en-AU" w:eastAsia="en-AU"/>
              </w:rPr>
              <w:t>45</w:t>
            </w:r>
          </w:p>
        </w:tc>
      </w:tr>
      <w:tr w:rsidR="00677DD7" w:rsidRPr="00677DD7" w14:paraId="51C25FAF" w14:textId="77777777" w:rsidTr="00500FBE">
        <w:trPr>
          <w:trHeight w:val="315"/>
        </w:trPr>
        <w:tc>
          <w:tcPr>
            <w:tcW w:w="3990" w:type="dxa"/>
            <w:tcBorders>
              <w:top w:val="nil"/>
              <w:left w:val="nil"/>
              <w:bottom w:val="single" w:sz="4" w:space="0" w:color="ADD6EA"/>
              <w:right w:val="nil"/>
            </w:tcBorders>
            <w:shd w:val="clear" w:color="000000" w:fill="B6D5E4"/>
            <w:vAlign w:val="bottom"/>
            <w:hideMark/>
          </w:tcPr>
          <w:p w14:paraId="5ABAE67A" w14:textId="77777777" w:rsidR="00677DD7" w:rsidRPr="00677DD7" w:rsidRDefault="00677DD7" w:rsidP="00677DD7">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677DD7">
              <w:rPr>
                <w:rFonts w:ascii="Open Sans SemiBold" w:eastAsia="Times New Roman" w:hAnsi="Open Sans SemiBold" w:cs="Open Sans SemiBold"/>
                <w:color w:val="000000"/>
                <w:sz w:val="16"/>
                <w:szCs w:val="16"/>
                <w:lang w:val="en-AU" w:eastAsia="en-AU"/>
              </w:rPr>
              <w:t>Illustrative GST</w:t>
            </w:r>
          </w:p>
        </w:tc>
        <w:tc>
          <w:tcPr>
            <w:tcW w:w="2506" w:type="dxa"/>
            <w:tcBorders>
              <w:top w:val="nil"/>
              <w:left w:val="nil"/>
              <w:bottom w:val="single" w:sz="4" w:space="0" w:color="ADD6EA"/>
              <w:right w:val="nil"/>
            </w:tcBorders>
            <w:shd w:val="clear" w:color="000000" w:fill="B6D5E4"/>
            <w:vAlign w:val="bottom"/>
            <w:hideMark/>
          </w:tcPr>
          <w:p w14:paraId="4F28C0DE" w14:textId="77777777" w:rsidR="00677DD7" w:rsidRPr="00677DD7" w:rsidRDefault="00677DD7" w:rsidP="00677DD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677DD7">
              <w:rPr>
                <w:rFonts w:ascii="Open Sans SemiBold" w:eastAsia="Times New Roman" w:hAnsi="Open Sans SemiBold" w:cs="Open Sans SemiBold"/>
                <w:color w:val="000000"/>
                <w:sz w:val="16"/>
                <w:szCs w:val="16"/>
                <w:lang w:val="en-AU" w:eastAsia="en-AU"/>
              </w:rPr>
              <w:t>19,832</w:t>
            </w:r>
          </w:p>
        </w:tc>
        <w:tc>
          <w:tcPr>
            <w:tcW w:w="2406" w:type="dxa"/>
            <w:tcBorders>
              <w:top w:val="nil"/>
              <w:left w:val="nil"/>
              <w:bottom w:val="single" w:sz="4" w:space="0" w:color="ADD6EA"/>
              <w:right w:val="nil"/>
            </w:tcBorders>
            <w:shd w:val="clear" w:color="000000" w:fill="B6D5E4"/>
            <w:vAlign w:val="bottom"/>
            <w:hideMark/>
          </w:tcPr>
          <w:p w14:paraId="697BE9B9" w14:textId="77777777" w:rsidR="00677DD7" w:rsidRPr="00677DD7" w:rsidRDefault="00677DD7" w:rsidP="00677DD7">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677DD7">
              <w:rPr>
                <w:rFonts w:ascii="Open Sans SemiBold" w:eastAsia="Times New Roman" w:hAnsi="Open Sans SemiBold" w:cs="Open Sans SemiBold"/>
                <w:color w:val="000000"/>
                <w:sz w:val="16"/>
                <w:szCs w:val="16"/>
                <w:lang w:val="en-AU" w:eastAsia="en-AU"/>
              </w:rPr>
              <w:t>2,389</w:t>
            </w:r>
          </w:p>
        </w:tc>
      </w:tr>
    </w:tbl>
    <w:p w14:paraId="47F3B7B7" w14:textId="04CDE241" w:rsidR="00AB1E6E" w:rsidRDefault="00AB1E6E" w:rsidP="00922552">
      <w:pPr>
        <w:pStyle w:val="CGCTablenote"/>
      </w:pPr>
      <w:r>
        <w:t>Note:</w:t>
      </w:r>
      <w:r>
        <w:tab/>
        <w:t>Table may not add due to rounding.</w:t>
      </w:r>
    </w:p>
    <w:p w14:paraId="658DD7BD" w14:textId="37596A1B" w:rsidR="00922552" w:rsidRPr="00922552" w:rsidRDefault="00922552" w:rsidP="00922552">
      <w:pPr>
        <w:pStyle w:val="CGCTablenote"/>
      </w:pPr>
      <w:r>
        <w:t>Source:</w:t>
      </w:r>
      <w:r>
        <w:tab/>
      </w:r>
      <w:r w:rsidR="00AB1E6E">
        <w:t>Commission calculation.</w:t>
      </w:r>
    </w:p>
    <w:p w14:paraId="25FD4365" w14:textId="73E59A38" w:rsidR="00266738" w:rsidRDefault="00266738" w:rsidP="00DB345C">
      <w:pPr>
        <w:pStyle w:val="Heading4"/>
        <w:spacing w:before="120"/>
      </w:pPr>
      <w:bookmarkStart w:id="73" w:name="_Toc33600565"/>
      <w:r>
        <w:t>Victoria</w:t>
      </w:r>
      <w:bookmarkEnd w:id="73"/>
    </w:p>
    <w:p w14:paraId="07C42505" w14:textId="7BDEBC56" w:rsidR="00426EA6" w:rsidRDefault="00426EA6" w:rsidP="00426EA6">
      <w:pPr>
        <w:pStyle w:val="CGCParaNumber"/>
      </w:pPr>
      <w:r>
        <w:t xml:space="preserve">Victoria </w:t>
      </w:r>
      <w:r w:rsidR="002C260D">
        <w:t>has the third highest fiscal capacity. Its</w:t>
      </w:r>
      <w:r>
        <w:t xml:space="preserve"> well below average expense requirement reflect</w:t>
      </w:r>
      <w:r w:rsidR="00C253E1">
        <w:t>s</w:t>
      </w:r>
      <w:r>
        <w:t xml:space="preserve"> its below average shares of government school enrolments, Indigenous people and people living in remote areas, </w:t>
      </w:r>
      <w:r w:rsidR="00557152">
        <w:t>as well as</w:t>
      </w:r>
      <w:r>
        <w:t xml:space="preserve"> economies of scale in administration.</w:t>
      </w:r>
    </w:p>
    <w:p w14:paraId="4A5A472F" w14:textId="3507469B" w:rsidR="005F11DD" w:rsidRDefault="0082577A" w:rsidP="00426EA6">
      <w:pPr>
        <w:pStyle w:val="CGCParaNumber"/>
      </w:pPr>
      <w:r>
        <w:t>Expense</w:t>
      </w:r>
      <w:r w:rsidR="00426EA6">
        <w:t xml:space="preserve"> effects on </w:t>
      </w:r>
      <w:r w:rsidR="00F82663">
        <w:t>Victoria’s</w:t>
      </w:r>
      <w:r w:rsidR="00426EA6">
        <w:t xml:space="preserve"> fiscal capacity are partly offset by its below average </w:t>
      </w:r>
      <w:r w:rsidR="0094259F">
        <w:t xml:space="preserve">revenue raising capacity, mainly due to </w:t>
      </w:r>
      <w:r w:rsidR="00426EA6">
        <w:t>below average mining production</w:t>
      </w:r>
      <w:r w:rsidR="0094259F">
        <w:t>,</w:t>
      </w:r>
      <w:r w:rsidR="00426EA6">
        <w:t xml:space="preserve"> and </w:t>
      </w:r>
      <w:r w:rsidR="00FB4678">
        <w:t xml:space="preserve">an </w:t>
      </w:r>
      <w:r w:rsidR="00426EA6">
        <w:t xml:space="preserve">above average </w:t>
      </w:r>
      <w:r w:rsidR="00082153">
        <w:t xml:space="preserve">urban </w:t>
      </w:r>
      <w:r w:rsidR="00BD3C7D">
        <w:t xml:space="preserve">transport </w:t>
      </w:r>
      <w:r w:rsidR="00082153">
        <w:t xml:space="preserve">investment requirement, </w:t>
      </w:r>
      <w:r w:rsidR="006B109F">
        <w:t xml:space="preserve">reflecting </w:t>
      </w:r>
      <w:r w:rsidR="00DC60FA">
        <w:t>above average population growth in Melbourne</w:t>
      </w:r>
      <w:r w:rsidR="00426EA6">
        <w:t>.</w:t>
      </w:r>
    </w:p>
    <w:p w14:paraId="0E48B0BB" w14:textId="0B33A84E" w:rsidR="00DA6D77" w:rsidRPr="00DA6D77" w:rsidRDefault="00AB1E6E" w:rsidP="00DA6D77">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7</w:t>
      </w:r>
      <w:r>
        <w:fldChar w:fldCharType="end"/>
      </w:r>
      <w:r>
        <w:tab/>
        <w:t>Illustrative GST, Victoria, 2020</w:t>
      </w:r>
      <w:r>
        <w:noBreakHyphen/>
        <w:t>21</w:t>
      </w:r>
    </w:p>
    <w:tbl>
      <w:tblPr>
        <w:tblW w:w="8902" w:type="dxa"/>
        <w:tblCellMar>
          <w:left w:w="0" w:type="dxa"/>
          <w:right w:w="28" w:type="dxa"/>
        </w:tblCellMar>
        <w:tblLook w:val="04A0" w:firstRow="1" w:lastRow="0" w:firstColumn="1" w:lastColumn="0" w:noHBand="0" w:noVBand="1"/>
      </w:tblPr>
      <w:tblGrid>
        <w:gridCol w:w="3992"/>
        <w:gridCol w:w="2505"/>
        <w:gridCol w:w="2405"/>
      </w:tblGrid>
      <w:tr w:rsidR="004E53AE" w:rsidRPr="004E53AE" w14:paraId="4FE917B3"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7D6613B7" w14:textId="77777777" w:rsidR="004E53AE" w:rsidRPr="004E53AE" w:rsidRDefault="004E53AE" w:rsidP="004E53A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E53AE">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500F40CD" w14:textId="77777777" w:rsidR="004E53AE" w:rsidRPr="004E53AE" w:rsidRDefault="004E53AE" w:rsidP="004E53A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E53AE">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7435D2E9" w14:textId="77777777" w:rsidR="004E53AE" w:rsidRPr="004E53AE" w:rsidRDefault="004E53AE" w:rsidP="004E53A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E53AE">
              <w:rPr>
                <w:rFonts w:ascii="Open Sans SemiBold" w:eastAsia="Times New Roman" w:hAnsi="Open Sans SemiBold" w:cs="Open Sans SemiBold"/>
                <w:color w:val="FFFFFF"/>
                <w:sz w:val="16"/>
                <w:szCs w:val="16"/>
                <w:lang w:val="en-AU" w:eastAsia="en-AU"/>
              </w:rPr>
              <w:t>$pc</w:t>
            </w:r>
          </w:p>
        </w:tc>
      </w:tr>
      <w:tr w:rsidR="004E53AE" w:rsidRPr="004E53AE" w14:paraId="05CD20BA"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C3F0CF6" w14:textId="77777777" w:rsidR="004E53AE" w:rsidRPr="004E53AE" w:rsidRDefault="004E53AE" w:rsidP="004E53AE">
            <w:pPr>
              <w:tabs>
                <w:tab w:val="clear" w:pos="567"/>
              </w:tabs>
              <w:spacing w:before="0" w:line="240" w:lineRule="auto"/>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59E11886"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17,752</w:t>
            </w:r>
          </w:p>
        </w:tc>
        <w:tc>
          <w:tcPr>
            <w:tcW w:w="2480" w:type="dxa"/>
            <w:tcBorders>
              <w:top w:val="nil"/>
              <w:left w:val="nil"/>
              <w:bottom w:val="single" w:sz="4" w:space="0" w:color="ADD6EA"/>
              <w:right w:val="nil"/>
            </w:tcBorders>
            <w:shd w:val="clear" w:color="000000" w:fill="FFFFFF"/>
            <w:vAlign w:val="bottom"/>
            <w:hideMark/>
          </w:tcPr>
          <w:p w14:paraId="2B76C0BF"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2,598</w:t>
            </w:r>
          </w:p>
        </w:tc>
      </w:tr>
      <w:tr w:rsidR="004E53AE" w:rsidRPr="004E53AE" w14:paraId="2BB3436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96D4209" w14:textId="77777777" w:rsidR="004E53AE" w:rsidRPr="004E53AE" w:rsidRDefault="004E53AE" w:rsidP="004E53AE">
            <w:pPr>
              <w:tabs>
                <w:tab w:val="clear" w:pos="567"/>
              </w:tabs>
              <w:spacing w:before="0" w:line="240" w:lineRule="auto"/>
              <w:rPr>
                <w:rFonts w:ascii="Open Sans SemiBold" w:eastAsia="Times New Roman" w:hAnsi="Open Sans SemiBold" w:cs="Open Sans SemiBold"/>
                <w:sz w:val="16"/>
                <w:szCs w:val="16"/>
                <w:lang w:val="en-AU" w:eastAsia="en-AU"/>
              </w:rPr>
            </w:pPr>
            <w:r w:rsidRPr="004E53AE">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5F8B0B2A"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7438376D"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 </w:t>
            </w:r>
          </w:p>
        </w:tc>
      </w:tr>
      <w:tr w:rsidR="004E53AE" w:rsidRPr="004E53AE" w14:paraId="08E52A0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172D114C" w14:textId="77777777" w:rsidR="004E53AE" w:rsidRPr="004E53AE" w:rsidRDefault="004E53AE" w:rsidP="004E53AE">
            <w:pPr>
              <w:tabs>
                <w:tab w:val="clear" w:pos="567"/>
              </w:tabs>
              <w:spacing w:before="0" w:line="240" w:lineRule="auto"/>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36FD4C67"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-4,689</w:t>
            </w:r>
          </w:p>
        </w:tc>
        <w:tc>
          <w:tcPr>
            <w:tcW w:w="2480" w:type="dxa"/>
            <w:tcBorders>
              <w:top w:val="nil"/>
              <w:left w:val="nil"/>
              <w:bottom w:val="single" w:sz="4" w:space="0" w:color="ADD6EA"/>
              <w:right w:val="nil"/>
            </w:tcBorders>
            <w:shd w:val="clear" w:color="000000" w:fill="FFFFFF"/>
            <w:vAlign w:val="bottom"/>
            <w:hideMark/>
          </w:tcPr>
          <w:p w14:paraId="2E68E34F"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-686</w:t>
            </w:r>
          </w:p>
        </w:tc>
      </w:tr>
      <w:tr w:rsidR="004E53AE" w:rsidRPr="004E53AE" w14:paraId="174DDF8B"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A898689" w14:textId="77777777" w:rsidR="004E53AE" w:rsidRPr="004E53AE" w:rsidRDefault="004E53AE" w:rsidP="004E53AE">
            <w:pPr>
              <w:tabs>
                <w:tab w:val="clear" w:pos="567"/>
              </w:tabs>
              <w:spacing w:before="0" w:line="240" w:lineRule="auto"/>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68FB209D"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263</w:t>
            </w:r>
          </w:p>
        </w:tc>
        <w:tc>
          <w:tcPr>
            <w:tcW w:w="2480" w:type="dxa"/>
            <w:tcBorders>
              <w:top w:val="nil"/>
              <w:left w:val="nil"/>
              <w:bottom w:val="single" w:sz="4" w:space="0" w:color="ADD6EA"/>
              <w:right w:val="nil"/>
            </w:tcBorders>
            <w:shd w:val="clear" w:color="000000" w:fill="FFFFFF"/>
            <w:vAlign w:val="bottom"/>
            <w:hideMark/>
          </w:tcPr>
          <w:p w14:paraId="051F27FE"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38</w:t>
            </w:r>
          </w:p>
        </w:tc>
      </w:tr>
      <w:tr w:rsidR="004E53AE" w:rsidRPr="004E53AE" w14:paraId="7878B18A"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18587AD" w14:textId="77777777" w:rsidR="004E53AE" w:rsidRPr="004E53AE" w:rsidRDefault="004E53AE" w:rsidP="004E53AE">
            <w:pPr>
              <w:tabs>
                <w:tab w:val="clear" w:pos="567"/>
              </w:tabs>
              <w:spacing w:before="0" w:line="240" w:lineRule="auto"/>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1AB2C9D2"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-174</w:t>
            </w:r>
          </w:p>
        </w:tc>
        <w:tc>
          <w:tcPr>
            <w:tcW w:w="2480" w:type="dxa"/>
            <w:tcBorders>
              <w:top w:val="nil"/>
              <w:left w:val="nil"/>
              <w:bottom w:val="single" w:sz="4" w:space="0" w:color="ADD6EA"/>
              <w:right w:val="nil"/>
            </w:tcBorders>
            <w:shd w:val="clear" w:color="000000" w:fill="FFFFFF"/>
            <w:vAlign w:val="bottom"/>
            <w:hideMark/>
          </w:tcPr>
          <w:p w14:paraId="57F54C30"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-25</w:t>
            </w:r>
          </w:p>
        </w:tc>
      </w:tr>
      <w:tr w:rsidR="004E53AE" w:rsidRPr="004E53AE" w14:paraId="34DC1C1B"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493FEEBF" w14:textId="77777777" w:rsidR="004E53AE" w:rsidRPr="004E53AE" w:rsidRDefault="004E53AE" w:rsidP="004E53AE">
            <w:pPr>
              <w:tabs>
                <w:tab w:val="clear" w:pos="567"/>
              </w:tabs>
              <w:spacing w:before="0" w:line="240" w:lineRule="auto"/>
              <w:rPr>
                <w:rFonts w:eastAsia="Times New Roman" w:cs="Open Sans Light"/>
                <w:sz w:val="16"/>
                <w:szCs w:val="16"/>
                <w:lang w:val="en-AU" w:eastAsia="en-AU"/>
              </w:rPr>
            </w:pPr>
            <w:r w:rsidRPr="004E53AE">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34B6F9B7"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2,763</w:t>
            </w:r>
          </w:p>
        </w:tc>
        <w:tc>
          <w:tcPr>
            <w:tcW w:w="2480" w:type="dxa"/>
            <w:tcBorders>
              <w:top w:val="nil"/>
              <w:left w:val="nil"/>
              <w:bottom w:val="single" w:sz="4" w:space="0" w:color="ADD6EA"/>
              <w:right w:val="nil"/>
            </w:tcBorders>
            <w:shd w:val="clear" w:color="000000" w:fill="FFFFFF"/>
            <w:vAlign w:val="bottom"/>
            <w:hideMark/>
          </w:tcPr>
          <w:p w14:paraId="6A96C3A2"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404</w:t>
            </w:r>
          </w:p>
        </w:tc>
      </w:tr>
      <w:tr w:rsidR="004E53AE" w:rsidRPr="004E53AE" w14:paraId="448D7A68"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7B2F141E" w14:textId="77777777" w:rsidR="004E53AE" w:rsidRPr="004E53AE" w:rsidRDefault="004E53AE" w:rsidP="004E53AE">
            <w:pPr>
              <w:tabs>
                <w:tab w:val="clear" w:pos="567"/>
              </w:tabs>
              <w:spacing w:before="0" w:line="240" w:lineRule="auto"/>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5823BAB5"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1,152</w:t>
            </w:r>
          </w:p>
        </w:tc>
        <w:tc>
          <w:tcPr>
            <w:tcW w:w="2480" w:type="dxa"/>
            <w:tcBorders>
              <w:top w:val="nil"/>
              <w:left w:val="nil"/>
              <w:bottom w:val="single" w:sz="4" w:space="0" w:color="ADD6EA"/>
              <w:right w:val="nil"/>
            </w:tcBorders>
            <w:shd w:val="clear" w:color="000000" w:fill="FFFFFF"/>
            <w:vAlign w:val="bottom"/>
            <w:hideMark/>
          </w:tcPr>
          <w:p w14:paraId="6DBE9CAD" w14:textId="77777777" w:rsidR="004E53AE" w:rsidRPr="004E53AE" w:rsidRDefault="004E53AE" w:rsidP="004E53AE">
            <w:pPr>
              <w:tabs>
                <w:tab w:val="clear" w:pos="567"/>
              </w:tabs>
              <w:spacing w:before="0" w:line="240" w:lineRule="auto"/>
              <w:jc w:val="right"/>
              <w:rPr>
                <w:rFonts w:eastAsia="Times New Roman" w:cs="Open Sans Light"/>
                <w:color w:val="000000"/>
                <w:sz w:val="16"/>
                <w:szCs w:val="16"/>
                <w:lang w:val="en-AU" w:eastAsia="en-AU"/>
              </w:rPr>
            </w:pPr>
            <w:r w:rsidRPr="004E53AE">
              <w:rPr>
                <w:rFonts w:eastAsia="Times New Roman" w:cs="Open Sans Light"/>
                <w:color w:val="000000"/>
                <w:sz w:val="16"/>
                <w:szCs w:val="16"/>
                <w:lang w:val="en-AU" w:eastAsia="en-AU"/>
              </w:rPr>
              <w:t>169</w:t>
            </w:r>
          </w:p>
        </w:tc>
      </w:tr>
      <w:tr w:rsidR="004E53AE" w:rsidRPr="004E53AE" w14:paraId="60431ECC"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029DAE71" w14:textId="77777777" w:rsidR="004E53AE" w:rsidRPr="004E53AE" w:rsidRDefault="004E53AE" w:rsidP="004E53AE">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4E53AE">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7639E38A" w14:textId="77777777" w:rsidR="004E53AE" w:rsidRPr="004E53AE" w:rsidRDefault="004E53AE" w:rsidP="004E53A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E53AE">
              <w:rPr>
                <w:rFonts w:ascii="Open Sans SemiBold" w:eastAsia="Times New Roman" w:hAnsi="Open Sans SemiBold" w:cs="Open Sans SemiBold"/>
                <w:color w:val="000000"/>
                <w:sz w:val="16"/>
                <w:szCs w:val="16"/>
                <w:lang w:val="en-AU" w:eastAsia="en-AU"/>
              </w:rPr>
              <w:t>17,068</w:t>
            </w:r>
          </w:p>
        </w:tc>
        <w:tc>
          <w:tcPr>
            <w:tcW w:w="2480" w:type="dxa"/>
            <w:tcBorders>
              <w:top w:val="nil"/>
              <w:left w:val="nil"/>
              <w:bottom w:val="single" w:sz="4" w:space="0" w:color="ADD6EA"/>
              <w:right w:val="nil"/>
            </w:tcBorders>
            <w:shd w:val="clear" w:color="000000" w:fill="B6D5E4"/>
            <w:vAlign w:val="bottom"/>
            <w:hideMark/>
          </w:tcPr>
          <w:p w14:paraId="25DB11B5" w14:textId="77777777" w:rsidR="004E53AE" w:rsidRPr="004E53AE" w:rsidRDefault="004E53AE" w:rsidP="004E53A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E53AE">
              <w:rPr>
                <w:rFonts w:ascii="Open Sans SemiBold" w:eastAsia="Times New Roman" w:hAnsi="Open Sans SemiBold" w:cs="Open Sans SemiBold"/>
                <w:color w:val="000000"/>
                <w:sz w:val="16"/>
                <w:szCs w:val="16"/>
                <w:lang w:val="en-AU" w:eastAsia="en-AU"/>
              </w:rPr>
              <w:t>2,498</w:t>
            </w:r>
          </w:p>
        </w:tc>
      </w:tr>
    </w:tbl>
    <w:p w14:paraId="551AEE17" w14:textId="77777777" w:rsidR="00AF73A2" w:rsidRDefault="00AF73A2" w:rsidP="00AF73A2">
      <w:pPr>
        <w:pStyle w:val="CGCTablenote"/>
      </w:pPr>
      <w:r>
        <w:t>Note:</w:t>
      </w:r>
      <w:r>
        <w:tab/>
        <w:t>Table may not add due to rounding.</w:t>
      </w:r>
    </w:p>
    <w:p w14:paraId="052CD23C" w14:textId="7C487103" w:rsidR="00AF73A2" w:rsidRPr="00922552" w:rsidRDefault="00AF73A2" w:rsidP="00AF73A2">
      <w:pPr>
        <w:pStyle w:val="CGCTablenote"/>
      </w:pPr>
      <w:r>
        <w:t>Source:</w:t>
      </w:r>
      <w:r>
        <w:tab/>
        <w:t>Commission calculation.</w:t>
      </w:r>
    </w:p>
    <w:p w14:paraId="3CA7208A" w14:textId="0469C532" w:rsidR="00266738" w:rsidRDefault="00266738" w:rsidP="00266738">
      <w:pPr>
        <w:pStyle w:val="Heading4"/>
      </w:pPr>
      <w:bookmarkStart w:id="74" w:name="_Toc33600566"/>
      <w:r>
        <w:lastRenderedPageBreak/>
        <w:t>Queensland</w:t>
      </w:r>
      <w:bookmarkEnd w:id="74"/>
    </w:p>
    <w:p w14:paraId="60CE4AAE" w14:textId="37D9BD9F" w:rsidR="00A23B81" w:rsidRDefault="00A23B81" w:rsidP="00A23B81">
      <w:pPr>
        <w:pStyle w:val="CGCParaNumber"/>
      </w:pPr>
      <w:r>
        <w:t>Queensland</w:t>
      </w:r>
      <w:r w:rsidR="00134424">
        <w:t xml:space="preserve"> </w:t>
      </w:r>
      <w:r w:rsidR="00CF24C4">
        <w:t>has</w:t>
      </w:r>
      <w:r w:rsidR="00774EFF">
        <w:t xml:space="preserve"> the </w:t>
      </w:r>
      <w:r w:rsidR="009A6C59">
        <w:t xml:space="preserve">fourth strongest </w:t>
      </w:r>
      <w:r>
        <w:t>fiscal capacity</w:t>
      </w:r>
      <w:r w:rsidR="004A1792">
        <w:t xml:space="preserve">. </w:t>
      </w:r>
      <w:r w:rsidR="00134424">
        <w:t>It</w:t>
      </w:r>
      <w:r>
        <w:t xml:space="preserve">s above average expense requirement </w:t>
      </w:r>
      <w:r w:rsidR="00B401DE">
        <w:t xml:space="preserve">reflects </w:t>
      </w:r>
      <w:r>
        <w:t xml:space="preserve">above average shares of Indigenous people and people living in </w:t>
      </w:r>
      <w:r w:rsidR="00A221BA">
        <w:t xml:space="preserve">regional and </w:t>
      </w:r>
      <w:r>
        <w:t>remote areas</w:t>
      </w:r>
      <w:r w:rsidR="000C4E8B">
        <w:t>,</w:t>
      </w:r>
      <w:r w:rsidR="00687864">
        <w:t xml:space="preserve"> and above average natural disaster relief expenses</w:t>
      </w:r>
      <w:r>
        <w:t xml:space="preserve">. </w:t>
      </w:r>
      <w:r w:rsidR="0006460B">
        <w:t>Queen</w:t>
      </w:r>
      <w:r w:rsidR="00441DD1">
        <w:t>s</w:t>
      </w:r>
      <w:r w:rsidR="0006460B">
        <w:t>land also has</w:t>
      </w:r>
      <w:r>
        <w:t xml:space="preserve"> below average revenue raising capacity </w:t>
      </w:r>
      <w:r w:rsidR="00090440">
        <w:t>due to</w:t>
      </w:r>
      <w:r>
        <w:t xml:space="preserve"> below average </w:t>
      </w:r>
      <w:r w:rsidR="00352092">
        <w:t>value</w:t>
      </w:r>
      <w:r w:rsidR="000618B5">
        <w:t>s</w:t>
      </w:r>
      <w:r>
        <w:t xml:space="preserve"> of property sales, taxable land and taxable </w:t>
      </w:r>
      <w:r w:rsidR="00352092">
        <w:t>payrolls</w:t>
      </w:r>
      <w:r>
        <w:t>.</w:t>
      </w:r>
    </w:p>
    <w:p w14:paraId="68BED0F3" w14:textId="561E2CA3" w:rsidR="005F11DD" w:rsidRDefault="00A23B81" w:rsidP="00A23B81">
      <w:pPr>
        <w:pStyle w:val="CGCParaNumber"/>
      </w:pPr>
      <w:r>
        <w:t xml:space="preserve">Those effects on </w:t>
      </w:r>
      <w:r w:rsidR="004966AB">
        <w:t>Queensland’s</w:t>
      </w:r>
      <w:r>
        <w:t xml:space="preserve"> fiscal capacity are partly offset by its above average mining production and </w:t>
      </w:r>
      <w:r w:rsidR="000C6BD0">
        <w:t xml:space="preserve">an above average </w:t>
      </w:r>
      <w:r>
        <w:t>share of Commonwealth payments.</w:t>
      </w:r>
    </w:p>
    <w:p w14:paraId="2384E0B1" w14:textId="0569991A" w:rsidR="000F1702" w:rsidRPr="000F1702" w:rsidRDefault="00874433" w:rsidP="000F1702">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8</w:t>
      </w:r>
      <w:r>
        <w:fldChar w:fldCharType="end"/>
      </w:r>
      <w:r>
        <w:tab/>
        <w:t>Illustrative GST, Queensland, 2020</w:t>
      </w:r>
      <w:r>
        <w:noBreakHyphen/>
        <w:t>21</w:t>
      </w:r>
    </w:p>
    <w:tbl>
      <w:tblPr>
        <w:tblW w:w="8902" w:type="dxa"/>
        <w:tblCellMar>
          <w:left w:w="0" w:type="dxa"/>
          <w:right w:w="28" w:type="dxa"/>
        </w:tblCellMar>
        <w:tblLook w:val="04A0" w:firstRow="1" w:lastRow="0" w:firstColumn="1" w:lastColumn="0" w:noHBand="0" w:noVBand="1"/>
      </w:tblPr>
      <w:tblGrid>
        <w:gridCol w:w="5032"/>
        <w:gridCol w:w="1390"/>
        <w:gridCol w:w="2480"/>
      </w:tblGrid>
      <w:tr w:rsidR="00054CFE" w:rsidRPr="00757B3A" w14:paraId="4D74156B" w14:textId="77777777" w:rsidTr="00500FBE">
        <w:trPr>
          <w:trHeight w:val="258"/>
        </w:trPr>
        <w:tc>
          <w:tcPr>
            <w:tcW w:w="0" w:type="auto"/>
            <w:tcBorders>
              <w:top w:val="single" w:sz="4" w:space="0" w:color="ADD6EA"/>
              <w:left w:val="nil"/>
              <w:bottom w:val="single" w:sz="4" w:space="0" w:color="ADD6EA"/>
              <w:right w:val="nil"/>
            </w:tcBorders>
            <w:shd w:val="clear" w:color="000000" w:fill="006991"/>
            <w:vAlign w:val="center"/>
            <w:hideMark/>
          </w:tcPr>
          <w:p w14:paraId="39BE657F" w14:textId="77777777" w:rsidR="00054CFE" w:rsidRPr="00054CFE" w:rsidRDefault="00054CFE" w:rsidP="00054CF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4CFE">
              <w:rPr>
                <w:rFonts w:ascii="Open Sans SemiBold" w:eastAsia="Times New Roman" w:hAnsi="Open Sans SemiBold" w:cs="Open Sans SemiBold"/>
                <w:color w:val="FFFFFF"/>
                <w:sz w:val="16"/>
                <w:szCs w:val="16"/>
                <w:lang w:val="en-AU" w:eastAsia="en-AU"/>
              </w:rPr>
              <w:t> </w:t>
            </w:r>
          </w:p>
        </w:tc>
        <w:tc>
          <w:tcPr>
            <w:tcW w:w="0" w:type="auto"/>
            <w:tcBorders>
              <w:top w:val="single" w:sz="4" w:space="0" w:color="ADD6EA"/>
              <w:left w:val="nil"/>
              <w:bottom w:val="single" w:sz="4" w:space="0" w:color="ADD6EA"/>
              <w:right w:val="nil"/>
            </w:tcBorders>
            <w:shd w:val="clear" w:color="000000" w:fill="006991"/>
            <w:vAlign w:val="center"/>
            <w:hideMark/>
          </w:tcPr>
          <w:p w14:paraId="58489DC4" w14:textId="77777777" w:rsidR="00054CFE" w:rsidRPr="00054CFE" w:rsidRDefault="00054CFE" w:rsidP="00054CF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4CFE">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74D93FDE" w14:textId="77777777" w:rsidR="00054CFE" w:rsidRPr="00054CFE" w:rsidRDefault="00054CFE" w:rsidP="00054CF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054CFE">
              <w:rPr>
                <w:rFonts w:ascii="Open Sans SemiBold" w:eastAsia="Times New Roman" w:hAnsi="Open Sans SemiBold" w:cs="Open Sans SemiBold"/>
                <w:color w:val="FFFFFF"/>
                <w:sz w:val="16"/>
                <w:szCs w:val="16"/>
                <w:lang w:val="en-AU" w:eastAsia="en-AU"/>
              </w:rPr>
              <w:t>$pc</w:t>
            </w:r>
          </w:p>
        </w:tc>
      </w:tr>
      <w:tr w:rsidR="00054CFE" w:rsidRPr="00757B3A" w14:paraId="152EE92F"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796687C1" w14:textId="77777777" w:rsidR="00054CFE" w:rsidRPr="00054CFE" w:rsidRDefault="00054CFE" w:rsidP="00054CFE">
            <w:pPr>
              <w:tabs>
                <w:tab w:val="clear" w:pos="567"/>
              </w:tabs>
              <w:spacing w:before="0" w:line="240" w:lineRule="auto"/>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Equal per capita share</w:t>
            </w:r>
          </w:p>
        </w:tc>
        <w:tc>
          <w:tcPr>
            <w:tcW w:w="0" w:type="auto"/>
            <w:tcBorders>
              <w:top w:val="nil"/>
              <w:left w:val="nil"/>
              <w:bottom w:val="single" w:sz="4" w:space="0" w:color="ADD6EA"/>
              <w:right w:val="nil"/>
            </w:tcBorders>
            <w:shd w:val="clear" w:color="000000" w:fill="FFFFFF"/>
            <w:vAlign w:val="bottom"/>
            <w:hideMark/>
          </w:tcPr>
          <w:p w14:paraId="6D72E7CE"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13,597</w:t>
            </w:r>
          </w:p>
        </w:tc>
        <w:tc>
          <w:tcPr>
            <w:tcW w:w="2480" w:type="dxa"/>
            <w:tcBorders>
              <w:top w:val="nil"/>
              <w:left w:val="nil"/>
              <w:bottom w:val="single" w:sz="4" w:space="0" w:color="ADD6EA"/>
              <w:right w:val="nil"/>
            </w:tcBorders>
            <w:shd w:val="clear" w:color="000000" w:fill="FFFFFF"/>
            <w:vAlign w:val="bottom"/>
            <w:hideMark/>
          </w:tcPr>
          <w:p w14:paraId="6C33AADE"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2,598</w:t>
            </w:r>
          </w:p>
        </w:tc>
      </w:tr>
      <w:tr w:rsidR="00054CFE" w:rsidRPr="00757B3A" w14:paraId="5239C6D4"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43B45E28" w14:textId="77777777" w:rsidR="00054CFE" w:rsidRPr="00054CFE" w:rsidRDefault="00054CFE" w:rsidP="00054CFE">
            <w:pPr>
              <w:tabs>
                <w:tab w:val="clear" w:pos="567"/>
              </w:tabs>
              <w:spacing w:before="0" w:line="240" w:lineRule="auto"/>
              <w:rPr>
                <w:rFonts w:ascii="Open Sans SemiBold" w:eastAsia="Times New Roman" w:hAnsi="Open Sans SemiBold" w:cs="Open Sans SemiBold"/>
                <w:sz w:val="16"/>
                <w:szCs w:val="16"/>
                <w:lang w:val="en-AU" w:eastAsia="en-AU"/>
              </w:rPr>
            </w:pPr>
            <w:r w:rsidRPr="00054CFE">
              <w:rPr>
                <w:rFonts w:ascii="Open Sans SemiBold" w:eastAsia="Times New Roman" w:hAnsi="Open Sans SemiBold" w:cs="Open Sans SemiBold"/>
                <w:sz w:val="16"/>
                <w:szCs w:val="16"/>
                <w:lang w:val="en-AU" w:eastAsia="en-AU"/>
              </w:rPr>
              <w:t>Effect of assessed:</w:t>
            </w:r>
          </w:p>
        </w:tc>
        <w:tc>
          <w:tcPr>
            <w:tcW w:w="0" w:type="auto"/>
            <w:tcBorders>
              <w:top w:val="nil"/>
              <w:left w:val="nil"/>
              <w:bottom w:val="single" w:sz="4" w:space="0" w:color="ADD6EA"/>
              <w:right w:val="nil"/>
            </w:tcBorders>
            <w:shd w:val="clear" w:color="000000" w:fill="FFFFFF"/>
            <w:vAlign w:val="bottom"/>
            <w:hideMark/>
          </w:tcPr>
          <w:p w14:paraId="798CF334"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2F5B0774"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 </w:t>
            </w:r>
          </w:p>
        </w:tc>
      </w:tr>
      <w:tr w:rsidR="00054CFE" w:rsidRPr="00757B3A" w14:paraId="582D0FE0"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0D8D9D1E" w14:textId="77777777" w:rsidR="00054CFE" w:rsidRPr="00054CFE" w:rsidRDefault="00054CFE" w:rsidP="00054CFE">
            <w:pPr>
              <w:tabs>
                <w:tab w:val="clear" w:pos="567"/>
              </w:tabs>
              <w:spacing w:before="0" w:line="240" w:lineRule="auto"/>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Expenses</w:t>
            </w:r>
          </w:p>
        </w:tc>
        <w:tc>
          <w:tcPr>
            <w:tcW w:w="0" w:type="auto"/>
            <w:tcBorders>
              <w:top w:val="nil"/>
              <w:left w:val="nil"/>
              <w:bottom w:val="single" w:sz="4" w:space="0" w:color="ADD6EA"/>
              <w:right w:val="nil"/>
            </w:tcBorders>
            <w:shd w:val="clear" w:color="000000" w:fill="FFFFFF"/>
            <w:vAlign w:val="bottom"/>
            <w:hideMark/>
          </w:tcPr>
          <w:p w14:paraId="0CD1432C"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1,295</w:t>
            </w:r>
          </w:p>
        </w:tc>
        <w:tc>
          <w:tcPr>
            <w:tcW w:w="2480" w:type="dxa"/>
            <w:tcBorders>
              <w:top w:val="nil"/>
              <w:left w:val="nil"/>
              <w:bottom w:val="single" w:sz="4" w:space="0" w:color="ADD6EA"/>
              <w:right w:val="nil"/>
            </w:tcBorders>
            <w:shd w:val="clear" w:color="000000" w:fill="FFFFFF"/>
            <w:vAlign w:val="bottom"/>
            <w:hideMark/>
          </w:tcPr>
          <w:p w14:paraId="530A9619"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247</w:t>
            </w:r>
          </w:p>
        </w:tc>
      </w:tr>
      <w:tr w:rsidR="00054CFE" w:rsidRPr="00757B3A" w14:paraId="45CDE4AF"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53C6F990" w14:textId="77777777" w:rsidR="00054CFE" w:rsidRPr="00054CFE" w:rsidRDefault="00054CFE" w:rsidP="00054CFE">
            <w:pPr>
              <w:tabs>
                <w:tab w:val="clear" w:pos="567"/>
              </w:tabs>
              <w:spacing w:before="0" w:line="240" w:lineRule="auto"/>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Investment</w:t>
            </w:r>
          </w:p>
        </w:tc>
        <w:tc>
          <w:tcPr>
            <w:tcW w:w="0" w:type="auto"/>
            <w:tcBorders>
              <w:top w:val="nil"/>
              <w:left w:val="nil"/>
              <w:bottom w:val="single" w:sz="4" w:space="0" w:color="ADD6EA"/>
              <w:right w:val="nil"/>
            </w:tcBorders>
            <w:shd w:val="clear" w:color="000000" w:fill="FFFFFF"/>
            <w:vAlign w:val="bottom"/>
            <w:hideMark/>
          </w:tcPr>
          <w:p w14:paraId="1360E674"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15</w:t>
            </w:r>
          </w:p>
        </w:tc>
        <w:tc>
          <w:tcPr>
            <w:tcW w:w="2480" w:type="dxa"/>
            <w:tcBorders>
              <w:top w:val="nil"/>
              <w:left w:val="nil"/>
              <w:bottom w:val="single" w:sz="4" w:space="0" w:color="ADD6EA"/>
              <w:right w:val="nil"/>
            </w:tcBorders>
            <w:shd w:val="clear" w:color="000000" w:fill="FFFFFF"/>
            <w:vAlign w:val="bottom"/>
            <w:hideMark/>
          </w:tcPr>
          <w:p w14:paraId="07759B27"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3</w:t>
            </w:r>
          </w:p>
        </w:tc>
      </w:tr>
      <w:tr w:rsidR="00054CFE" w:rsidRPr="00757B3A" w14:paraId="07ACEDDB"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06CAEC4A" w14:textId="77777777" w:rsidR="00054CFE" w:rsidRPr="00054CFE" w:rsidRDefault="00054CFE" w:rsidP="00054CFE">
            <w:pPr>
              <w:tabs>
                <w:tab w:val="clear" w:pos="567"/>
              </w:tabs>
              <w:spacing w:before="0" w:line="240" w:lineRule="auto"/>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Net borrowing</w:t>
            </w:r>
          </w:p>
        </w:tc>
        <w:tc>
          <w:tcPr>
            <w:tcW w:w="0" w:type="auto"/>
            <w:tcBorders>
              <w:top w:val="nil"/>
              <w:left w:val="nil"/>
              <w:bottom w:val="single" w:sz="4" w:space="0" w:color="ADD6EA"/>
              <w:right w:val="nil"/>
            </w:tcBorders>
            <w:shd w:val="clear" w:color="000000" w:fill="FFFFFF"/>
            <w:vAlign w:val="bottom"/>
            <w:hideMark/>
          </w:tcPr>
          <w:p w14:paraId="31D776C6"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-14</w:t>
            </w:r>
          </w:p>
        </w:tc>
        <w:tc>
          <w:tcPr>
            <w:tcW w:w="2480" w:type="dxa"/>
            <w:tcBorders>
              <w:top w:val="nil"/>
              <w:left w:val="nil"/>
              <w:bottom w:val="single" w:sz="4" w:space="0" w:color="ADD6EA"/>
              <w:right w:val="nil"/>
            </w:tcBorders>
            <w:shd w:val="clear" w:color="000000" w:fill="FFFFFF"/>
            <w:vAlign w:val="bottom"/>
            <w:hideMark/>
          </w:tcPr>
          <w:p w14:paraId="31F463FF"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-3</w:t>
            </w:r>
          </w:p>
        </w:tc>
      </w:tr>
      <w:tr w:rsidR="00054CFE" w:rsidRPr="00757B3A" w14:paraId="43F9C71A" w14:textId="77777777" w:rsidTr="00500FBE">
        <w:trPr>
          <w:trHeight w:val="315"/>
        </w:trPr>
        <w:tc>
          <w:tcPr>
            <w:tcW w:w="0" w:type="auto"/>
            <w:tcBorders>
              <w:top w:val="nil"/>
              <w:left w:val="nil"/>
              <w:bottom w:val="single" w:sz="4" w:space="0" w:color="ADD6EA"/>
              <w:right w:val="nil"/>
            </w:tcBorders>
            <w:shd w:val="clear" w:color="auto" w:fill="auto"/>
            <w:vAlign w:val="bottom"/>
            <w:hideMark/>
          </w:tcPr>
          <w:p w14:paraId="102D913A" w14:textId="77777777" w:rsidR="00054CFE" w:rsidRPr="00054CFE" w:rsidRDefault="00054CFE" w:rsidP="00054CFE">
            <w:pPr>
              <w:tabs>
                <w:tab w:val="clear" w:pos="567"/>
              </w:tabs>
              <w:spacing w:before="0" w:line="240" w:lineRule="auto"/>
              <w:rPr>
                <w:rFonts w:eastAsia="Times New Roman" w:cs="Open Sans Light"/>
                <w:sz w:val="16"/>
                <w:szCs w:val="16"/>
                <w:lang w:val="en-AU" w:eastAsia="en-AU"/>
              </w:rPr>
            </w:pPr>
            <w:r w:rsidRPr="00054CFE">
              <w:rPr>
                <w:rFonts w:eastAsia="Times New Roman" w:cs="Open Sans Light"/>
                <w:sz w:val="16"/>
                <w:szCs w:val="16"/>
                <w:lang w:val="en-AU" w:eastAsia="en-AU"/>
              </w:rPr>
              <w:t>Revenue</w:t>
            </w:r>
          </w:p>
        </w:tc>
        <w:tc>
          <w:tcPr>
            <w:tcW w:w="0" w:type="auto"/>
            <w:tcBorders>
              <w:top w:val="nil"/>
              <w:left w:val="nil"/>
              <w:bottom w:val="single" w:sz="4" w:space="0" w:color="ADD6EA"/>
              <w:right w:val="nil"/>
            </w:tcBorders>
            <w:shd w:val="clear" w:color="000000" w:fill="FFFFFF"/>
            <w:vAlign w:val="bottom"/>
            <w:hideMark/>
          </w:tcPr>
          <w:p w14:paraId="3F29070E"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276</w:t>
            </w:r>
          </w:p>
        </w:tc>
        <w:tc>
          <w:tcPr>
            <w:tcW w:w="2480" w:type="dxa"/>
            <w:tcBorders>
              <w:top w:val="nil"/>
              <w:left w:val="nil"/>
              <w:bottom w:val="single" w:sz="4" w:space="0" w:color="ADD6EA"/>
              <w:right w:val="nil"/>
            </w:tcBorders>
            <w:shd w:val="clear" w:color="000000" w:fill="FFFFFF"/>
            <w:vAlign w:val="bottom"/>
            <w:hideMark/>
          </w:tcPr>
          <w:p w14:paraId="24008BA4"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53</w:t>
            </w:r>
          </w:p>
        </w:tc>
      </w:tr>
      <w:tr w:rsidR="00054CFE" w:rsidRPr="00757B3A" w14:paraId="137A694C" w14:textId="77777777" w:rsidTr="00500FBE">
        <w:trPr>
          <w:trHeight w:val="315"/>
        </w:trPr>
        <w:tc>
          <w:tcPr>
            <w:tcW w:w="0" w:type="auto"/>
            <w:tcBorders>
              <w:top w:val="nil"/>
              <w:left w:val="nil"/>
              <w:bottom w:val="single" w:sz="4" w:space="0" w:color="ADD6EA"/>
              <w:right w:val="nil"/>
            </w:tcBorders>
            <w:shd w:val="clear" w:color="000000" w:fill="FFFFFF"/>
            <w:vAlign w:val="bottom"/>
            <w:hideMark/>
          </w:tcPr>
          <w:p w14:paraId="605816F2" w14:textId="77777777" w:rsidR="00054CFE" w:rsidRPr="00054CFE" w:rsidRDefault="00054CFE" w:rsidP="00054CFE">
            <w:pPr>
              <w:tabs>
                <w:tab w:val="clear" w:pos="567"/>
              </w:tabs>
              <w:spacing w:before="0" w:line="240" w:lineRule="auto"/>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Commonwealth payments</w:t>
            </w:r>
          </w:p>
        </w:tc>
        <w:tc>
          <w:tcPr>
            <w:tcW w:w="0" w:type="auto"/>
            <w:tcBorders>
              <w:top w:val="nil"/>
              <w:left w:val="nil"/>
              <w:bottom w:val="single" w:sz="4" w:space="0" w:color="ADD6EA"/>
              <w:right w:val="nil"/>
            </w:tcBorders>
            <w:shd w:val="clear" w:color="000000" w:fill="FFFFFF"/>
            <w:vAlign w:val="bottom"/>
            <w:hideMark/>
          </w:tcPr>
          <w:p w14:paraId="2E752E56"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-882</w:t>
            </w:r>
          </w:p>
        </w:tc>
        <w:tc>
          <w:tcPr>
            <w:tcW w:w="2480" w:type="dxa"/>
            <w:tcBorders>
              <w:top w:val="nil"/>
              <w:left w:val="nil"/>
              <w:bottom w:val="single" w:sz="4" w:space="0" w:color="ADD6EA"/>
              <w:right w:val="nil"/>
            </w:tcBorders>
            <w:shd w:val="clear" w:color="000000" w:fill="FFFFFF"/>
            <w:vAlign w:val="bottom"/>
            <w:hideMark/>
          </w:tcPr>
          <w:p w14:paraId="607F6CB6" w14:textId="77777777" w:rsidR="00054CFE" w:rsidRPr="00054CFE" w:rsidRDefault="00054CFE" w:rsidP="00054CFE">
            <w:pPr>
              <w:tabs>
                <w:tab w:val="clear" w:pos="567"/>
              </w:tabs>
              <w:spacing w:before="0" w:line="240" w:lineRule="auto"/>
              <w:jc w:val="right"/>
              <w:rPr>
                <w:rFonts w:eastAsia="Times New Roman" w:cs="Open Sans Light"/>
                <w:color w:val="000000"/>
                <w:sz w:val="16"/>
                <w:szCs w:val="16"/>
                <w:lang w:val="en-AU" w:eastAsia="en-AU"/>
              </w:rPr>
            </w:pPr>
            <w:r w:rsidRPr="00054CFE">
              <w:rPr>
                <w:rFonts w:eastAsia="Times New Roman" w:cs="Open Sans Light"/>
                <w:color w:val="000000"/>
                <w:sz w:val="16"/>
                <w:szCs w:val="16"/>
                <w:lang w:val="en-AU" w:eastAsia="en-AU"/>
              </w:rPr>
              <w:t>-169</w:t>
            </w:r>
          </w:p>
        </w:tc>
      </w:tr>
      <w:tr w:rsidR="00054CFE" w:rsidRPr="00757B3A" w14:paraId="4F2EB466" w14:textId="77777777" w:rsidTr="00500FBE">
        <w:trPr>
          <w:trHeight w:val="315"/>
        </w:trPr>
        <w:tc>
          <w:tcPr>
            <w:tcW w:w="0" w:type="auto"/>
            <w:tcBorders>
              <w:top w:val="nil"/>
              <w:left w:val="nil"/>
              <w:bottom w:val="single" w:sz="4" w:space="0" w:color="ADD6EA"/>
              <w:right w:val="nil"/>
            </w:tcBorders>
            <w:shd w:val="clear" w:color="000000" w:fill="B6D5E4"/>
            <w:vAlign w:val="bottom"/>
            <w:hideMark/>
          </w:tcPr>
          <w:p w14:paraId="5A2640A8" w14:textId="77777777" w:rsidR="00054CFE" w:rsidRPr="00054CFE" w:rsidRDefault="00054CFE" w:rsidP="00054CFE">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054CFE">
              <w:rPr>
                <w:rFonts w:ascii="Open Sans SemiBold" w:eastAsia="Times New Roman" w:hAnsi="Open Sans SemiBold" w:cs="Open Sans SemiBold"/>
                <w:color w:val="000000"/>
                <w:sz w:val="16"/>
                <w:szCs w:val="16"/>
                <w:lang w:val="en-AU" w:eastAsia="en-AU"/>
              </w:rPr>
              <w:t>Illustrative GST</w:t>
            </w:r>
          </w:p>
        </w:tc>
        <w:tc>
          <w:tcPr>
            <w:tcW w:w="0" w:type="auto"/>
            <w:tcBorders>
              <w:top w:val="nil"/>
              <w:left w:val="nil"/>
              <w:bottom w:val="single" w:sz="4" w:space="0" w:color="ADD6EA"/>
              <w:right w:val="nil"/>
            </w:tcBorders>
            <w:shd w:val="clear" w:color="000000" w:fill="B6D5E4"/>
            <w:vAlign w:val="bottom"/>
            <w:hideMark/>
          </w:tcPr>
          <w:p w14:paraId="088B41C7" w14:textId="77777777" w:rsidR="00054CFE" w:rsidRPr="00054CFE" w:rsidRDefault="00054CFE" w:rsidP="00054CF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4CFE">
              <w:rPr>
                <w:rFonts w:ascii="Open Sans SemiBold" w:eastAsia="Times New Roman" w:hAnsi="Open Sans SemiBold" w:cs="Open Sans SemiBold"/>
                <w:color w:val="000000"/>
                <w:sz w:val="16"/>
                <w:szCs w:val="16"/>
                <w:lang w:val="en-AU" w:eastAsia="en-AU"/>
              </w:rPr>
              <w:t>14,286</w:t>
            </w:r>
          </w:p>
        </w:tc>
        <w:tc>
          <w:tcPr>
            <w:tcW w:w="2480" w:type="dxa"/>
            <w:tcBorders>
              <w:top w:val="nil"/>
              <w:left w:val="nil"/>
              <w:bottom w:val="single" w:sz="4" w:space="0" w:color="ADD6EA"/>
              <w:right w:val="nil"/>
            </w:tcBorders>
            <w:shd w:val="clear" w:color="000000" w:fill="B6D5E4"/>
            <w:vAlign w:val="bottom"/>
            <w:hideMark/>
          </w:tcPr>
          <w:p w14:paraId="6167337A" w14:textId="77777777" w:rsidR="00054CFE" w:rsidRPr="00054CFE" w:rsidRDefault="00054CFE" w:rsidP="00054CF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054CFE">
              <w:rPr>
                <w:rFonts w:ascii="Open Sans SemiBold" w:eastAsia="Times New Roman" w:hAnsi="Open Sans SemiBold" w:cs="Open Sans SemiBold"/>
                <w:color w:val="000000"/>
                <w:sz w:val="16"/>
                <w:szCs w:val="16"/>
                <w:lang w:val="en-AU" w:eastAsia="en-AU"/>
              </w:rPr>
              <w:t>2,730</w:t>
            </w:r>
          </w:p>
        </w:tc>
      </w:tr>
    </w:tbl>
    <w:p w14:paraId="06DA141E" w14:textId="77777777" w:rsidR="00AF73A2" w:rsidRDefault="00AF73A2" w:rsidP="00AF73A2">
      <w:pPr>
        <w:pStyle w:val="CGCTablenote"/>
      </w:pPr>
      <w:r>
        <w:t>Note:</w:t>
      </w:r>
      <w:r>
        <w:tab/>
        <w:t>Table may not add due to rounding.</w:t>
      </w:r>
    </w:p>
    <w:p w14:paraId="77427732" w14:textId="1E4587A9" w:rsidR="00AF73A2" w:rsidRPr="00922552" w:rsidRDefault="00AF73A2" w:rsidP="00AF73A2">
      <w:pPr>
        <w:pStyle w:val="CGCTablenote"/>
      </w:pPr>
      <w:r>
        <w:t>Source:</w:t>
      </w:r>
      <w:r>
        <w:tab/>
        <w:t>Commission calculation.</w:t>
      </w:r>
    </w:p>
    <w:p w14:paraId="690D04FD" w14:textId="5CE1E211" w:rsidR="00266738" w:rsidRDefault="00266738" w:rsidP="00266738">
      <w:pPr>
        <w:pStyle w:val="Heading4"/>
      </w:pPr>
      <w:bookmarkStart w:id="75" w:name="_Toc33600567"/>
      <w:r>
        <w:t>Western Australia</w:t>
      </w:r>
      <w:bookmarkEnd w:id="75"/>
    </w:p>
    <w:p w14:paraId="47D4FC11" w14:textId="6A4C200C" w:rsidR="00813AD7" w:rsidRDefault="00813AD7" w:rsidP="00813AD7">
      <w:pPr>
        <w:pStyle w:val="CGCParaNumber"/>
      </w:pPr>
      <w:r>
        <w:t>Western</w:t>
      </w:r>
      <w:r w:rsidR="00963F91">
        <w:t> </w:t>
      </w:r>
      <w:r>
        <w:t xml:space="preserve">Australia </w:t>
      </w:r>
      <w:r w:rsidR="00B2534C">
        <w:t>has the strongest fiscal capacity among the States</w:t>
      </w:r>
      <w:r w:rsidR="00F50F32">
        <w:t>, mainly</w:t>
      </w:r>
      <w:r>
        <w:t xml:space="preserve"> due to </w:t>
      </w:r>
      <w:r w:rsidR="003E2F23">
        <w:t xml:space="preserve">its </w:t>
      </w:r>
      <w:r>
        <w:t xml:space="preserve">above average capacity </w:t>
      </w:r>
      <w:r w:rsidR="0060358F">
        <w:t>to raise</w:t>
      </w:r>
      <w:r>
        <w:t xml:space="preserve"> mining revenue and</w:t>
      </w:r>
      <w:r w:rsidR="0060358F">
        <w:t xml:space="preserve"> payroll tax</w:t>
      </w:r>
      <w:r>
        <w:t xml:space="preserve">. </w:t>
      </w:r>
    </w:p>
    <w:p w14:paraId="60AA821C" w14:textId="47D2B205" w:rsidR="005F11DD" w:rsidRPr="005F11DD" w:rsidRDefault="00466F61" w:rsidP="00813AD7">
      <w:pPr>
        <w:pStyle w:val="CGCParaNumber"/>
      </w:pPr>
      <w:r>
        <w:t xml:space="preserve">These effects on its </w:t>
      </w:r>
      <w:r w:rsidR="00E70717">
        <w:t>fiscal capacity are</w:t>
      </w:r>
      <w:r>
        <w:t xml:space="preserve"> partly offset by</w:t>
      </w:r>
      <w:r w:rsidR="00813AD7">
        <w:t xml:space="preserve"> high expense requirement</w:t>
      </w:r>
      <w:r w:rsidR="00E70717">
        <w:t>s</w:t>
      </w:r>
      <w:r w:rsidR="00813AD7">
        <w:t xml:space="preserve"> due to above average shares of Indigenous people and people in remote areas</w:t>
      </w:r>
      <w:r w:rsidR="000E5D4B">
        <w:t>, above average wage costs and b</w:t>
      </w:r>
      <w:r w:rsidR="00813AD7">
        <w:t>elow average non</w:t>
      </w:r>
      <w:r w:rsidR="00043637">
        <w:t>-</w:t>
      </w:r>
      <w:r w:rsidR="00813AD7">
        <w:t xml:space="preserve">State provision of health </w:t>
      </w:r>
      <w:r w:rsidR="00E636AE">
        <w:t xml:space="preserve">and school </w:t>
      </w:r>
      <w:r w:rsidR="00813AD7">
        <w:t>services.</w:t>
      </w:r>
    </w:p>
    <w:p w14:paraId="3C5D015F" w14:textId="5FB6508B" w:rsidR="00075D77" w:rsidRDefault="00075D77" w:rsidP="00075D77">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9</w:t>
      </w:r>
      <w:r>
        <w:fldChar w:fldCharType="end"/>
      </w:r>
      <w:r>
        <w:t xml:space="preserve"> </w:t>
      </w:r>
      <w:r>
        <w:tab/>
        <w:t>Illustrative GST, Western Australia, 2020</w:t>
      </w:r>
      <w:r>
        <w:noBreakHyphen/>
        <w:t>21</w:t>
      </w:r>
    </w:p>
    <w:tbl>
      <w:tblPr>
        <w:tblW w:w="8902" w:type="dxa"/>
        <w:tblCellMar>
          <w:left w:w="0" w:type="dxa"/>
          <w:right w:w="28" w:type="dxa"/>
        </w:tblCellMar>
        <w:tblLook w:val="04A0" w:firstRow="1" w:lastRow="0" w:firstColumn="1" w:lastColumn="0" w:noHBand="0" w:noVBand="1"/>
      </w:tblPr>
      <w:tblGrid>
        <w:gridCol w:w="3994"/>
        <w:gridCol w:w="2502"/>
        <w:gridCol w:w="2406"/>
      </w:tblGrid>
      <w:tr w:rsidR="00C0691B" w:rsidRPr="00BF4EB6" w14:paraId="08F4B479"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475AD765" w14:textId="77777777" w:rsidR="00C0691B" w:rsidRPr="00C0691B" w:rsidRDefault="00C0691B" w:rsidP="00C0691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0691B">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03061908" w14:textId="77777777" w:rsidR="00C0691B" w:rsidRPr="00C0691B" w:rsidRDefault="00C0691B" w:rsidP="00C0691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0691B">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1BFB0B7E" w14:textId="77777777" w:rsidR="00C0691B" w:rsidRPr="00C0691B" w:rsidRDefault="00C0691B" w:rsidP="00C0691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C0691B">
              <w:rPr>
                <w:rFonts w:ascii="Open Sans SemiBold" w:eastAsia="Times New Roman" w:hAnsi="Open Sans SemiBold" w:cs="Open Sans SemiBold"/>
                <w:color w:val="FFFFFF"/>
                <w:sz w:val="16"/>
                <w:szCs w:val="16"/>
                <w:lang w:val="en-AU" w:eastAsia="en-AU"/>
              </w:rPr>
              <w:t>$pc</w:t>
            </w:r>
          </w:p>
        </w:tc>
      </w:tr>
      <w:tr w:rsidR="00C0691B" w:rsidRPr="00BF4EB6" w14:paraId="165505DE"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EBC4C51" w14:textId="77777777" w:rsidR="00C0691B" w:rsidRPr="00C0691B" w:rsidRDefault="00C0691B" w:rsidP="00C0691B">
            <w:pPr>
              <w:tabs>
                <w:tab w:val="clear" w:pos="567"/>
              </w:tabs>
              <w:spacing w:before="0" w:line="240" w:lineRule="auto"/>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08C88869"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6,893</w:t>
            </w:r>
          </w:p>
        </w:tc>
        <w:tc>
          <w:tcPr>
            <w:tcW w:w="2480" w:type="dxa"/>
            <w:tcBorders>
              <w:top w:val="nil"/>
              <w:left w:val="nil"/>
              <w:bottom w:val="single" w:sz="4" w:space="0" w:color="ADD6EA"/>
              <w:right w:val="nil"/>
            </w:tcBorders>
            <w:shd w:val="clear" w:color="000000" w:fill="FFFFFF"/>
            <w:vAlign w:val="bottom"/>
            <w:hideMark/>
          </w:tcPr>
          <w:p w14:paraId="1025D47A"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2,598</w:t>
            </w:r>
          </w:p>
        </w:tc>
      </w:tr>
      <w:tr w:rsidR="00C0691B" w:rsidRPr="00BF4EB6" w14:paraId="27085D23"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6CEDC4E" w14:textId="77777777" w:rsidR="00C0691B" w:rsidRPr="00C0691B" w:rsidRDefault="00C0691B" w:rsidP="00C0691B">
            <w:pPr>
              <w:tabs>
                <w:tab w:val="clear" w:pos="567"/>
              </w:tabs>
              <w:spacing w:before="0" w:line="240" w:lineRule="auto"/>
              <w:rPr>
                <w:rFonts w:ascii="Open Sans SemiBold" w:eastAsia="Times New Roman" w:hAnsi="Open Sans SemiBold" w:cs="Open Sans SemiBold"/>
                <w:sz w:val="16"/>
                <w:szCs w:val="16"/>
                <w:lang w:val="en-AU" w:eastAsia="en-AU"/>
              </w:rPr>
            </w:pPr>
            <w:r w:rsidRPr="00C0691B">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58E68130"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1DF6FB03"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 </w:t>
            </w:r>
          </w:p>
        </w:tc>
      </w:tr>
      <w:tr w:rsidR="00C0691B" w:rsidRPr="00BF4EB6" w14:paraId="08A47959"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06E9C04A" w14:textId="77777777" w:rsidR="00C0691B" w:rsidRPr="00C0691B" w:rsidRDefault="00C0691B" w:rsidP="00C0691B">
            <w:pPr>
              <w:tabs>
                <w:tab w:val="clear" w:pos="567"/>
              </w:tabs>
              <w:spacing w:before="0" w:line="240" w:lineRule="auto"/>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50828FAE"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1,412</w:t>
            </w:r>
          </w:p>
        </w:tc>
        <w:tc>
          <w:tcPr>
            <w:tcW w:w="2480" w:type="dxa"/>
            <w:tcBorders>
              <w:top w:val="nil"/>
              <w:left w:val="nil"/>
              <w:bottom w:val="single" w:sz="4" w:space="0" w:color="ADD6EA"/>
              <w:right w:val="nil"/>
            </w:tcBorders>
            <w:shd w:val="clear" w:color="000000" w:fill="FFFFFF"/>
            <w:vAlign w:val="bottom"/>
            <w:hideMark/>
          </w:tcPr>
          <w:p w14:paraId="3BCED3EA"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532</w:t>
            </w:r>
          </w:p>
        </w:tc>
      </w:tr>
      <w:tr w:rsidR="00C0691B" w:rsidRPr="00BF4EB6" w14:paraId="6D8A9632"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8D00DCC" w14:textId="77777777" w:rsidR="00C0691B" w:rsidRPr="00C0691B" w:rsidRDefault="00C0691B" w:rsidP="00C0691B">
            <w:pPr>
              <w:tabs>
                <w:tab w:val="clear" w:pos="567"/>
              </w:tabs>
              <w:spacing w:before="0" w:line="240" w:lineRule="auto"/>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50AE0301"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-136</w:t>
            </w:r>
          </w:p>
        </w:tc>
        <w:tc>
          <w:tcPr>
            <w:tcW w:w="2480" w:type="dxa"/>
            <w:tcBorders>
              <w:top w:val="nil"/>
              <w:left w:val="nil"/>
              <w:bottom w:val="single" w:sz="4" w:space="0" w:color="ADD6EA"/>
              <w:right w:val="nil"/>
            </w:tcBorders>
            <w:shd w:val="clear" w:color="000000" w:fill="FFFFFF"/>
            <w:vAlign w:val="bottom"/>
            <w:hideMark/>
          </w:tcPr>
          <w:p w14:paraId="3EB62A89"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-51</w:t>
            </w:r>
          </w:p>
        </w:tc>
      </w:tr>
      <w:tr w:rsidR="00C0691B" w:rsidRPr="00BF4EB6" w14:paraId="03AA57C6"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78B0E07D" w14:textId="77777777" w:rsidR="00C0691B" w:rsidRPr="00C0691B" w:rsidRDefault="00C0691B" w:rsidP="00C0691B">
            <w:pPr>
              <w:tabs>
                <w:tab w:val="clear" w:pos="567"/>
              </w:tabs>
              <w:spacing w:before="0" w:line="240" w:lineRule="auto"/>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34A12401"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86</w:t>
            </w:r>
          </w:p>
        </w:tc>
        <w:tc>
          <w:tcPr>
            <w:tcW w:w="2480" w:type="dxa"/>
            <w:tcBorders>
              <w:top w:val="nil"/>
              <w:left w:val="nil"/>
              <w:bottom w:val="single" w:sz="4" w:space="0" w:color="ADD6EA"/>
              <w:right w:val="nil"/>
            </w:tcBorders>
            <w:shd w:val="clear" w:color="000000" w:fill="FFFFFF"/>
            <w:vAlign w:val="bottom"/>
            <w:hideMark/>
          </w:tcPr>
          <w:p w14:paraId="24EF194D"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32</w:t>
            </w:r>
          </w:p>
        </w:tc>
      </w:tr>
      <w:tr w:rsidR="00C0691B" w:rsidRPr="00BF4EB6" w14:paraId="4C099EC8"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38F5EE45" w14:textId="77777777" w:rsidR="00C0691B" w:rsidRPr="00C0691B" w:rsidRDefault="00C0691B" w:rsidP="00C0691B">
            <w:pPr>
              <w:tabs>
                <w:tab w:val="clear" w:pos="567"/>
              </w:tabs>
              <w:spacing w:before="0" w:line="240" w:lineRule="auto"/>
              <w:rPr>
                <w:rFonts w:eastAsia="Times New Roman" w:cs="Open Sans Light"/>
                <w:sz w:val="16"/>
                <w:szCs w:val="16"/>
                <w:lang w:val="en-AU" w:eastAsia="en-AU"/>
              </w:rPr>
            </w:pPr>
            <w:r w:rsidRPr="00C0691B">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4DC28E67"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-5,149</w:t>
            </w:r>
          </w:p>
        </w:tc>
        <w:tc>
          <w:tcPr>
            <w:tcW w:w="2480" w:type="dxa"/>
            <w:tcBorders>
              <w:top w:val="nil"/>
              <w:left w:val="nil"/>
              <w:bottom w:val="single" w:sz="4" w:space="0" w:color="ADD6EA"/>
              <w:right w:val="nil"/>
            </w:tcBorders>
            <w:shd w:val="clear" w:color="000000" w:fill="FFFFFF"/>
            <w:vAlign w:val="bottom"/>
            <w:hideMark/>
          </w:tcPr>
          <w:p w14:paraId="3BDDEE3E"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-1,941</w:t>
            </w:r>
          </w:p>
        </w:tc>
      </w:tr>
      <w:tr w:rsidR="00C0691B" w:rsidRPr="00BF4EB6" w14:paraId="4A786265"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81D4BD4" w14:textId="77777777" w:rsidR="00C0691B" w:rsidRPr="00C0691B" w:rsidRDefault="00C0691B" w:rsidP="00C0691B">
            <w:pPr>
              <w:tabs>
                <w:tab w:val="clear" w:pos="567"/>
              </w:tabs>
              <w:spacing w:before="0" w:line="240" w:lineRule="auto"/>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06F2D072"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0</w:t>
            </w:r>
          </w:p>
        </w:tc>
        <w:tc>
          <w:tcPr>
            <w:tcW w:w="2480" w:type="dxa"/>
            <w:tcBorders>
              <w:top w:val="nil"/>
              <w:left w:val="nil"/>
              <w:bottom w:val="single" w:sz="4" w:space="0" w:color="ADD6EA"/>
              <w:right w:val="nil"/>
            </w:tcBorders>
            <w:shd w:val="clear" w:color="000000" w:fill="FFFFFF"/>
            <w:vAlign w:val="bottom"/>
            <w:hideMark/>
          </w:tcPr>
          <w:p w14:paraId="2C336362" w14:textId="77777777" w:rsidR="00C0691B" w:rsidRPr="00C0691B" w:rsidRDefault="00C0691B" w:rsidP="00C0691B">
            <w:pPr>
              <w:tabs>
                <w:tab w:val="clear" w:pos="567"/>
              </w:tabs>
              <w:spacing w:before="0" w:line="240" w:lineRule="auto"/>
              <w:jc w:val="right"/>
              <w:rPr>
                <w:rFonts w:eastAsia="Times New Roman" w:cs="Open Sans Light"/>
                <w:color w:val="000000"/>
                <w:sz w:val="16"/>
                <w:szCs w:val="16"/>
                <w:lang w:val="en-AU" w:eastAsia="en-AU"/>
              </w:rPr>
            </w:pPr>
            <w:r w:rsidRPr="00C0691B">
              <w:rPr>
                <w:rFonts w:eastAsia="Times New Roman" w:cs="Open Sans Light"/>
                <w:color w:val="000000"/>
                <w:sz w:val="16"/>
                <w:szCs w:val="16"/>
                <w:lang w:val="en-AU" w:eastAsia="en-AU"/>
              </w:rPr>
              <w:t>0</w:t>
            </w:r>
          </w:p>
        </w:tc>
      </w:tr>
      <w:tr w:rsidR="00C0691B" w:rsidRPr="00BF4EB6" w14:paraId="651146FC"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07639496" w14:textId="77777777" w:rsidR="00C0691B" w:rsidRPr="00C0691B" w:rsidRDefault="00C0691B" w:rsidP="00C0691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C0691B">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1247F472" w14:textId="77777777" w:rsidR="00C0691B" w:rsidRPr="00C0691B" w:rsidRDefault="00C0691B" w:rsidP="00C0691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0691B">
              <w:rPr>
                <w:rFonts w:ascii="Open Sans SemiBold" w:eastAsia="Times New Roman" w:hAnsi="Open Sans SemiBold" w:cs="Open Sans SemiBold"/>
                <w:color w:val="000000"/>
                <w:sz w:val="16"/>
                <w:szCs w:val="16"/>
                <w:lang w:val="en-AU" w:eastAsia="en-AU"/>
              </w:rPr>
              <w:t>3,105</w:t>
            </w:r>
          </w:p>
        </w:tc>
        <w:tc>
          <w:tcPr>
            <w:tcW w:w="2480" w:type="dxa"/>
            <w:tcBorders>
              <w:top w:val="nil"/>
              <w:left w:val="nil"/>
              <w:bottom w:val="single" w:sz="4" w:space="0" w:color="ADD6EA"/>
              <w:right w:val="nil"/>
            </w:tcBorders>
            <w:shd w:val="clear" w:color="000000" w:fill="B6D5E4"/>
            <w:vAlign w:val="bottom"/>
            <w:hideMark/>
          </w:tcPr>
          <w:p w14:paraId="6D79647F" w14:textId="77777777" w:rsidR="00C0691B" w:rsidRPr="00C0691B" w:rsidRDefault="00C0691B" w:rsidP="00C0691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C0691B">
              <w:rPr>
                <w:rFonts w:ascii="Open Sans SemiBold" w:eastAsia="Times New Roman" w:hAnsi="Open Sans SemiBold" w:cs="Open Sans SemiBold"/>
                <w:color w:val="000000"/>
                <w:sz w:val="16"/>
                <w:szCs w:val="16"/>
                <w:lang w:val="en-AU" w:eastAsia="en-AU"/>
              </w:rPr>
              <w:t>1,170</w:t>
            </w:r>
          </w:p>
        </w:tc>
      </w:tr>
    </w:tbl>
    <w:p w14:paraId="5CDCAD48" w14:textId="77777777" w:rsidR="00075D77" w:rsidRDefault="00075D77" w:rsidP="00075D77">
      <w:pPr>
        <w:pStyle w:val="CGCTablenote"/>
      </w:pPr>
      <w:r>
        <w:t>Note:</w:t>
      </w:r>
      <w:r>
        <w:tab/>
        <w:t>Table may not add due to rounding.</w:t>
      </w:r>
    </w:p>
    <w:p w14:paraId="18F07C2C" w14:textId="6C7218B0" w:rsidR="00075D77" w:rsidRPr="00922552" w:rsidRDefault="00075D77" w:rsidP="00890D84">
      <w:pPr>
        <w:pStyle w:val="CGCTablenote"/>
      </w:pPr>
      <w:r>
        <w:t>Source:</w:t>
      </w:r>
      <w:r>
        <w:tab/>
        <w:t>Commission calculation.</w:t>
      </w:r>
    </w:p>
    <w:p w14:paraId="4B75EF02" w14:textId="084E6782" w:rsidR="00266738" w:rsidRDefault="00266738" w:rsidP="00C86BF3">
      <w:pPr>
        <w:pStyle w:val="Heading4"/>
        <w:keepLines/>
      </w:pPr>
      <w:bookmarkStart w:id="76" w:name="_Toc33600568"/>
      <w:r>
        <w:lastRenderedPageBreak/>
        <w:t>South Australia</w:t>
      </w:r>
      <w:bookmarkEnd w:id="76"/>
    </w:p>
    <w:p w14:paraId="13EADAA9" w14:textId="54BC0AD7" w:rsidR="00963F91" w:rsidRPr="009C163F" w:rsidRDefault="00963F91" w:rsidP="00C86BF3">
      <w:pPr>
        <w:pStyle w:val="CGCParaNumber"/>
        <w:keepNext/>
        <w:keepLines/>
      </w:pPr>
      <w:r w:rsidRPr="004C3D19">
        <w:t>South</w:t>
      </w:r>
      <w:r w:rsidR="00043637" w:rsidRPr="004C3D19">
        <w:t> </w:t>
      </w:r>
      <w:r w:rsidRPr="004C3D19">
        <w:t xml:space="preserve">Australia’s </w:t>
      </w:r>
      <w:r w:rsidR="0027238E" w:rsidRPr="004C3D19">
        <w:t xml:space="preserve">fiscal capacity is the third weakest. </w:t>
      </w:r>
      <w:r w:rsidR="00654AB1" w:rsidRPr="004C3D19">
        <w:t>I</w:t>
      </w:r>
      <w:r w:rsidRPr="004C3D19">
        <w:t>t</w:t>
      </w:r>
      <w:r w:rsidR="00654AB1" w:rsidRPr="004C3D19">
        <w:t xml:space="preserve"> has</w:t>
      </w:r>
      <w:r w:rsidRPr="004C3D19">
        <w:t xml:space="preserve"> below average capacity to </w:t>
      </w:r>
      <w:r w:rsidR="00174B89" w:rsidRPr="00E22AA8">
        <w:t>raise</w:t>
      </w:r>
      <w:r w:rsidRPr="00E22AA8">
        <w:t xml:space="preserve"> revenue from </w:t>
      </w:r>
      <w:r w:rsidR="00802728" w:rsidRPr="00E22AA8">
        <w:t xml:space="preserve">mining production, </w:t>
      </w:r>
      <w:r w:rsidRPr="00E22AA8">
        <w:t xml:space="preserve">property sales, taxable payrolls and taxable land values. </w:t>
      </w:r>
      <w:r w:rsidR="00374421" w:rsidRPr="00E22AA8">
        <w:t>I</w:t>
      </w:r>
      <w:r w:rsidRPr="00E22AA8">
        <w:t>t</w:t>
      </w:r>
      <w:r w:rsidR="00374421" w:rsidRPr="00E22AA8">
        <w:t xml:space="preserve"> al</w:t>
      </w:r>
      <w:r w:rsidRPr="00C86BF3">
        <w:t>s</w:t>
      </w:r>
      <w:r w:rsidR="00374421" w:rsidRPr="00C86BF3">
        <w:t>o has</w:t>
      </w:r>
      <w:r w:rsidRPr="00C86BF3">
        <w:t xml:space="preserve"> above average expense requirement</w:t>
      </w:r>
      <w:r w:rsidR="00416EB3" w:rsidRPr="002F6A74">
        <w:t>s</w:t>
      </w:r>
      <w:r w:rsidRPr="002F6A74">
        <w:t>, reflect</w:t>
      </w:r>
      <w:r w:rsidR="00374421" w:rsidRPr="0001758E">
        <w:t>ing</w:t>
      </w:r>
      <w:r w:rsidRPr="0051239D">
        <w:t xml:space="preserve"> its above average </w:t>
      </w:r>
      <w:r w:rsidR="00993BBE" w:rsidRPr="00276E62">
        <w:t>level of non</w:t>
      </w:r>
      <w:r w:rsidR="000E00AD">
        <w:noBreakHyphen/>
      </w:r>
      <w:r w:rsidR="00993BBE" w:rsidRPr="00276E62">
        <w:t>Indigenous disadvantage</w:t>
      </w:r>
      <w:r w:rsidR="00C516D1" w:rsidRPr="000904C8">
        <w:t xml:space="preserve"> and </w:t>
      </w:r>
      <w:r w:rsidR="001D19B6" w:rsidRPr="000E4AD4">
        <w:t>diseconomies of scale in administration</w:t>
      </w:r>
      <w:r w:rsidRPr="000E4AD4">
        <w:t>.</w:t>
      </w:r>
    </w:p>
    <w:p w14:paraId="42E598F4" w14:textId="0848CF9D" w:rsidR="005F11DD" w:rsidRDefault="00374421" w:rsidP="00963F91">
      <w:pPr>
        <w:pStyle w:val="CGCParaNumber"/>
      </w:pPr>
      <w:r>
        <w:t>Those effects on its fiscal capacity are</w:t>
      </w:r>
      <w:r w:rsidR="00963F91">
        <w:t xml:space="preserve"> partially offset by an above average share of Commonwealth payments and its below average investment requirement</w:t>
      </w:r>
      <w:r w:rsidR="00D16809">
        <w:t xml:space="preserve"> </w:t>
      </w:r>
      <w:r w:rsidR="00145DC2">
        <w:t xml:space="preserve">due to below average </w:t>
      </w:r>
      <w:r w:rsidR="0097399B">
        <w:t xml:space="preserve">growth in service </w:t>
      </w:r>
      <w:r w:rsidR="0070037F">
        <w:t xml:space="preserve">user </w:t>
      </w:r>
      <w:r w:rsidR="0097399B">
        <w:t>populations</w:t>
      </w:r>
      <w:r w:rsidR="00963F91">
        <w:t>.</w:t>
      </w:r>
    </w:p>
    <w:p w14:paraId="00BF60D3" w14:textId="465267F6" w:rsidR="00874433" w:rsidRDefault="00874433" w:rsidP="008E7C66">
      <w:pPr>
        <w:pStyle w:val="CGCTableHeading"/>
        <w:spacing w:before="200"/>
      </w:pPr>
      <w:r>
        <w:t xml:space="preserve">Table </w:t>
      </w:r>
      <w:r w:rsidR="00BB5935">
        <w:t>4</w:t>
      </w:r>
      <w:r w:rsidR="00BB5935">
        <w:noBreakHyphen/>
      </w:r>
      <w:r>
        <w:fldChar w:fldCharType="begin"/>
      </w:r>
      <w:r>
        <w:instrText>SEQ Table \* ARABIC</w:instrText>
      </w:r>
      <w:r>
        <w:fldChar w:fldCharType="separate"/>
      </w:r>
      <w:r w:rsidR="003D49C2">
        <w:rPr>
          <w:noProof/>
        </w:rPr>
        <w:t>10</w:t>
      </w:r>
      <w:r>
        <w:fldChar w:fldCharType="end"/>
      </w:r>
      <w:r>
        <w:tab/>
        <w:t>Illustrative GST, South Australia, 2020</w:t>
      </w:r>
      <w:r>
        <w:noBreakHyphen/>
        <w:t>21</w:t>
      </w:r>
    </w:p>
    <w:tbl>
      <w:tblPr>
        <w:tblW w:w="8902" w:type="dxa"/>
        <w:tblCellMar>
          <w:left w:w="0" w:type="dxa"/>
          <w:right w:w="28" w:type="dxa"/>
        </w:tblCellMar>
        <w:tblLook w:val="04A0" w:firstRow="1" w:lastRow="0" w:firstColumn="1" w:lastColumn="0" w:noHBand="0" w:noVBand="1"/>
      </w:tblPr>
      <w:tblGrid>
        <w:gridCol w:w="3994"/>
        <w:gridCol w:w="2502"/>
        <w:gridCol w:w="2406"/>
      </w:tblGrid>
      <w:tr w:rsidR="00A447AB" w:rsidRPr="00A447AB" w14:paraId="710D2F91"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422B10A7" w14:textId="77777777" w:rsidR="00A447AB" w:rsidRPr="00A447AB" w:rsidRDefault="00A447AB" w:rsidP="00A447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447AB">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092AAEB6" w14:textId="77777777" w:rsidR="00A447AB" w:rsidRPr="00A447AB" w:rsidRDefault="00A447AB" w:rsidP="00A447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447AB">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457D4001" w14:textId="77777777" w:rsidR="00A447AB" w:rsidRPr="00A447AB" w:rsidRDefault="00A447AB" w:rsidP="00A447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A447AB">
              <w:rPr>
                <w:rFonts w:ascii="Open Sans SemiBold" w:eastAsia="Times New Roman" w:hAnsi="Open Sans SemiBold" w:cs="Open Sans SemiBold"/>
                <w:color w:val="FFFFFF"/>
                <w:sz w:val="16"/>
                <w:szCs w:val="16"/>
                <w:lang w:val="en-AU" w:eastAsia="en-AU"/>
              </w:rPr>
              <w:t>$pc</w:t>
            </w:r>
          </w:p>
        </w:tc>
      </w:tr>
      <w:tr w:rsidR="00A447AB" w:rsidRPr="00A447AB" w14:paraId="01FFE13D"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21E6B946" w14:textId="77777777" w:rsidR="00A447AB" w:rsidRPr="00A447AB" w:rsidRDefault="00A447AB" w:rsidP="00A447AB">
            <w:pPr>
              <w:tabs>
                <w:tab w:val="clear" w:pos="567"/>
              </w:tabs>
              <w:spacing w:before="0" w:line="240" w:lineRule="auto"/>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2B5E85FA"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4,603</w:t>
            </w:r>
          </w:p>
        </w:tc>
        <w:tc>
          <w:tcPr>
            <w:tcW w:w="2480" w:type="dxa"/>
            <w:tcBorders>
              <w:top w:val="nil"/>
              <w:left w:val="nil"/>
              <w:bottom w:val="single" w:sz="4" w:space="0" w:color="ADD6EA"/>
              <w:right w:val="nil"/>
            </w:tcBorders>
            <w:shd w:val="clear" w:color="000000" w:fill="FFFFFF"/>
            <w:vAlign w:val="bottom"/>
            <w:hideMark/>
          </w:tcPr>
          <w:p w14:paraId="64468F9A"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2,598</w:t>
            </w:r>
          </w:p>
        </w:tc>
      </w:tr>
      <w:tr w:rsidR="00A447AB" w:rsidRPr="00A447AB" w14:paraId="3683364F"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0708FEA" w14:textId="77777777" w:rsidR="00A447AB" w:rsidRPr="00A447AB" w:rsidRDefault="00A447AB" w:rsidP="00A447AB">
            <w:pPr>
              <w:tabs>
                <w:tab w:val="clear" w:pos="567"/>
              </w:tabs>
              <w:spacing w:before="0" w:line="240" w:lineRule="auto"/>
              <w:rPr>
                <w:rFonts w:ascii="Open Sans SemiBold" w:eastAsia="Times New Roman" w:hAnsi="Open Sans SemiBold" w:cs="Open Sans SemiBold"/>
                <w:sz w:val="16"/>
                <w:szCs w:val="16"/>
                <w:lang w:val="en-AU" w:eastAsia="en-AU"/>
              </w:rPr>
            </w:pPr>
            <w:r w:rsidRPr="00A447AB">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094DEB0A"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0D3E9FC0"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 </w:t>
            </w:r>
          </w:p>
        </w:tc>
      </w:tr>
      <w:tr w:rsidR="00A447AB" w:rsidRPr="00A447AB" w14:paraId="775159E5"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62C738F5" w14:textId="77777777" w:rsidR="00A447AB" w:rsidRPr="00A447AB" w:rsidRDefault="00A447AB" w:rsidP="00A447AB">
            <w:pPr>
              <w:tabs>
                <w:tab w:val="clear" w:pos="567"/>
              </w:tabs>
              <w:spacing w:before="0" w:line="240" w:lineRule="auto"/>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0FE0FB0E"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181</w:t>
            </w:r>
          </w:p>
        </w:tc>
        <w:tc>
          <w:tcPr>
            <w:tcW w:w="2480" w:type="dxa"/>
            <w:tcBorders>
              <w:top w:val="nil"/>
              <w:left w:val="nil"/>
              <w:bottom w:val="single" w:sz="4" w:space="0" w:color="ADD6EA"/>
              <w:right w:val="nil"/>
            </w:tcBorders>
            <w:shd w:val="clear" w:color="000000" w:fill="FFFFFF"/>
            <w:vAlign w:val="bottom"/>
            <w:hideMark/>
          </w:tcPr>
          <w:p w14:paraId="450BF8B7"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102</w:t>
            </w:r>
          </w:p>
        </w:tc>
      </w:tr>
      <w:tr w:rsidR="00A447AB" w:rsidRPr="00A447AB" w14:paraId="512A14C3"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06F2A918" w14:textId="77777777" w:rsidR="00A447AB" w:rsidRPr="00A447AB" w:rsidRDefault="00A447AB" w:rsidP="00A447AB">
            <w:pPr>
              <w:tabs>
                <w:tab w:val="clear" w:pos="567"/>
              </w:tabs>
              <w:spacing w:before="0" w:line="240" w:lineRule="auto"/>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264DBDC9"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-405</w:t>
            </w:r>
          </w:p>
        </w:tc>
        <w:tc>
          <w:tcPr>
            <w:tcW w:w="2480" w:type="dxa"/>
            <w:tcBorders>
              <w:top w:val="nil"/>
              <w:left w:val="nil"/>
              <w:bottom w:val="single" w:sz="4" w:space="0" w:color="ADD6EA"/>
              <w:right w:val="nil"/>
            </w:tcBorders>
            <w:shd w:val="clear" w:color="000000" w:fill="FFFFFF"/>
            <w:vAlign w:val="bottom"/>
            <w:hideMark/>
          </w:tcPr>
          <w:p w14:paraId="0F76871D"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-229</w:t>
            </w:r>
          </w:p>
        </w:tc>
      </w:tr>
      <w:tr w:rsidR="00A447AB" w:rsidRPr="00A447AB" w14:paraId="35FA103A"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66B63A4" w14:textId="77777777" w:rsidR="00A447AB" w:rsidRPr="00A447AB" w:rsidRDefault="00A447AB" w:rsidP="00A447AB">
            <w:pPr>
              <w:tabs>
                <w:tab w:val="clear" w:pos="567"/>
              </w:tabs>
              <w:spacing w:before="0" w:line="240" w:lineRule="auto"/>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70DA6C82"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60</w:t>
            </w:r>
          </w:p>
        </w:tc>
        <w:tc>
          <w:tcPr>
            <w:tcW w:w="2480" w:type="dxa"/>
            <w:tcBorders>
              <w:top w:val="nil"/>
              <w:left w:val="nil"/>
              <w:bottom w:val="single" w:sz="4" w:space="0" w:color="ADD6EA"/>
              <w:right w:val="nil"/>
            </w:tcBorders>
            <w:shd w:val="clear" w:color="000000" w:fill="FFFFFF"/>
            <w:vAlign w:val="bottom"/>
            <w:hideMark/>
          </w:tcPr>
          <w:p w14:paraId="0681A094"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34</w:t>
            </w:r>
          </w:p>
        </w:tc>
      </w:tr>
      <w:tr w:rsidR="00A447AB" w:rsidRPr="00A447AB" w14:paraId="0C57861E"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554D5F54" w14:textId="77777777" w:rsidR="00A447AB" w:rsidRPr="00A447AB" w:rsidRDefault="00A447AB" w:rsidP="00A447AB">
            <w:pPr>
              <w:tabs>
                <w:tab w:val="clear" w:pos="567"/>
              </w:tabs>
              <w:spacing w:before="0" w:line="240" w:lineRule="auto"/>
              <w:rPr>
                <w:rFonts w:eastAsia="Times New Roman" w:cs="Open Sans Light"/>
                <w:sz w:val="16"/>
                <w:szCs w:val="16"/>
                <w:lang w:val="en-AU" w:eastAsia="en-AU"/>
              </w:rPr>
            </w:pPr>
            <w:r w:rsidRPr="00A447AB">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144F06B0"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2,057</w:t>
            </w:r>
          </w:p>
        </w:tc>
        <w:tc>
          <w:tcPr>
            <w:tcW w:w="2480" w:type="dxa"/>
            <w:tcBorders>
              <w:top w:val="nil"/>
              <w:left w:val="nil"/>
              <w:bottom w:val="single" w:sz="4" w:space="0" w:color="ADD6EA"/>
              <w:right w:val="nil"/>
            </w:tcBorders>
            <w:shd w:val="clear" w:color="000000" w:fill="FFFFFF"/>
            <w:vAlign w:val="bottom"/>
            <w:hideMark/>
          </w:tcPr>
          <w:p w14:paraId="36C05A5E"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1,161</w:t>
            </w:r>
          </w:p>
        </w:tc>
      </w:tr>
      <w:tr w:rsidR="00A447AB" w:rsidRPr="00A447AB" w14:paraId="4A7363FB"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14C0E8B2" w14:textId="77777777" w:rsidR="00A447AB" w:rsidRPr="00A447AB" w:rsidRDefault="00A447AB" w:rsidP="00A447AB">
            <w:pPr>
              <w:tabs>
                <w:tab w:val="clear" w:pos="567"/>
              </w:tabs>
              <w:spacing w:before="0" w:line="240" w:lineRule="auto"/>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47ABA631"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-236</w:t>
            </w:r>
          </w:p>
        </w:tc>
        <w:tc>
          <w:tcPr>
            <w:tcW w:w="2480" w:type="dxa"/>
            <w:tcBorders>
              <w:top w:val="nil"/>
              <w:left w:val="nil"/>
              <w:bottom w:val="single" w:sz="4" w:space="0" w:color="ADD6EA"/>
              <w:right w:val="nil"/>
            </w:tcBorders>
            <w:shd w:val="clear" w:color="000000" w:fill="FFFFFF"/>
            <w:vAlign w:val="bottom"/>
            <w:hideMark/>
          </w:tcPr>
          <w:p w14:paraId="1F13821D" w14:textId="77777777" w:rsidR="00A447AB" w:rsidRPr="00A447AB" w:rsidRDefault="00A447AB" w:rsidP="00A447AB">
            <w:pPr>
              <w:tabs>
                <w:tab w:val="clear" w:pos="567"/>
              </w:tabs>
              <w:spacing w:before="0" w:line="240" w:lineRule="auto"/>
              <w:jc w:val="right"/>
              <w:rPr>
                <w:rFonts w:eastAsia="Times New Roman" w:cs="Open Sans Light"/>
                <w:color w:val="000000"/>
                <w:sz w:val="16"/>
                <w:szCs w:val="16"/>
                <w:lang w:val="en-AU" w:eastAsia="en-AU"/>
              </w:rPr>
            </w:pPr>
            <w:r w:rsidRPr="00A447AB">
              <w:rPr>
                <w:rFonts w:eastAsia="Times New Roman" w:cs="Open Sans Light"/>
                <w:color w:val="000000"/>
                <w:sz w:val="16"/>
                <w:szCs w:val="16"/>
                <w:lang w:val="en-AU" w:eastAsia="en-AU"/>
              </w:rPr>
              <w:t>-133</w:t>
            </w:r>
          </w:p>
        </w:tc>
      </w:tr>
      <w:tr w:rsidR="00A447AB" w:rsidRPr="00A447AB" w14:paraId="2ECC2FBF"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47CF7F08" w14:textId="77777777" w:rsidR="00A447AB" w:rsidRPr="00A447AB" w:rsidRDefault="00A447AB" w:rsidP="00A447A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A447AB">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7E49307E" w14:textId="77777777" w:rsidR="00A447AB" w:rsidRPr="00A447AB" w:rsidRDefault="00A447AB" w:rsidP="00A447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A447AB">
              <w:rPr>
                <w:rFonts w:ascii="Open Sans SemiBold" w:eastAsia="Times New Roman" w:hAnsi="Open Sans SemiBold" w:cs="Open Sans SemiBold"/>
                <w:color w:val="000000"/>
                <w:sz w:val="16"/>
                <w:szCs w:val="16"/>
                <w:lang w:val="en-AU" w:eastAsia="en-AU"/>
              </w:rPr>
              <w:t>6,259</w:t>
            </w:r>
          </w:p>
        </w:tc>
        <w:tc>
          <w:tcPr>
            <w:tcW w:w="2480" w:type="dxa"/>
            <w:tcBorders>
              <w:top w:val="nil"/>
              <w:left w:val="nil"/>
              <w:bottom w:val="single" w:sz="4" w:space="0" w:color="ADD6EA"/>
              <w:right w:val="nil"/>
            </w:tcBorders>
            <w:shd w:val="clear" w:color="000000" w:fill="B6D5E4"/>
            <w:vAlign w:val="bottom"/>
            <w:hideMark/>
          </w:tcPr>
          <w:p w14:paraId="58D642C4" w14:textId="77777777" w:rsidR="00A447AB" w:rsidRPr="00A447AB" w:rsidRDefault="00A447AB" w:rsidP="00A447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A447AB">
              <w:rPr>
                <w:rFonts w:ascii="Open Sans SemiBold" w:eastAsia="Times New Roman" w:hAnsi="Open Sans SemiBold" w:cs="Open Sans SemiBold"/>
                <w:color w:val="000000"/>
                <w:sz w:val="16"/>
                <w:szCs w:val="16"/>
                <w:lang w:val="en-AU" w:eastAsia="en-AU"/>
              </w:rPr>
              <w:t>3,533</w:t>
            </w:r>
          </w:p>
        </w:tc>
      </w:tr>
    </w:tbl>
    <w:p w14:paraId="6E673E05" w14:textId="77777777" w:rsidR="00AF73A2" w:rsidRDefault="00AF73A2" w:rsidP="00AF73A2">
      <w:pPr>
        <w:pStyle w:val="CGCTablenote"/>
      </w:pPr>
      <w:r>
        <w:t>Note:</w:t>
      </w:r>
      <w:r>
        <w:tab/>
        <w:t>Table may not add due to rounding.</w:t>
      </w:r>
    </w:p>
    <w:p w14:paraId="09C33C0F" w14:textId="02246CD1" w:rsidR="00AF73A2" w:rsidRPr="00922552" w:rsidRDefault="00AF73A2" w:rsidP="00AF73A2">
      <w:pPr>
        <w:pStyle w:val="CGCTablenote"/>
      </w:pPr>
      <w:r>
        <w:t>Source:</w:t>
      </w:r>
      <w:r>
        <w:tab/>
        <w:t>Commission calculation.</w:t>
      </w:r>
    </w:p>
    <w:p w14:paraId="0D5EA4F7" w14:textId="7D29A15A" w:rsidR="00266738" w:rsidRDefault="00266738" w:rsidP="00E561D6">
      <w:pPr>
        <w:pStyle w:val="Heading4"/>
        <w:spacing w:before="200"/>
      </w:pPr>
      <w:bookmarkStart w:id="77" w:name="_Toc33600569"/>
      <w:r>
        <w:t>Tasmania</w:t>
      </w:r>
      <w:bookmarkEnd w:id="77"/>
    </w:p>
    <w:p w14:paraId="411FFC4C" w14:textId="31884A7A" w:rsidR="005F11DD" w:rsidRDefault="003F3EB5" w:rsidP="004B7BBC">
      <w:pPr>
        <w:pStyle w:val="CGCParaNumber"/>
      </w:pPr>
      <w:r>
        <w:t xml:space="preserve">Tasmania </w:t>
      </w:r>
      <w:r w:rsidR="00E906A3">
        <w:t>is</w:t>
      </w:r>
      <w:r w:rsidR="0013707D">
        <w:t xml:space="preserve"> the </w:t>
      </w:r>
      <w:r w:rsidR="00E906A3">
        <w:t xml:space="preserve">State with the </w:t>
      </w:r>
      <w:r w:rsidR="0013707D">
        <w:t>second weakest fiscal capacity. It</w:t>
      </w:r>
      <w:r>
        <w:t xml:space="preserve"> has </w:t>
      </w:r>
      <w:r w:rsidR="003A0ABA">
        <w:t xml:space="preserve">well below average </w:t>
      </w:r>
      <w:r>
        <w:t>revenue raising capacity, with well below average mining production, value of property sales</w:t>
      </w:r>
      <w:r w:rsidR="00A947E0">
        <w:t xml:space="preserve">, </w:t>
      </w:r>
      <w:r>
        <w:t>taxable payrolls and</w:t>
      </w:r>
      <w:r w:rsidR="00A947E0">
        <w:t xml:space="preserve"> taxable land values. </w:t>
      </w:r>
      <w:r>
        <w:t xml:space="preserve">In addition, it </w:t>
      </w:r>
      <w:r w:rsidR="00530C33">
        <w:t xml:space="preserve">faces above </w:t>
      </w:r>
      <w:r w:rsidR="000A0080">
        <w:t xml:space="preserve">average </w:t>
      </w:r>
      <w:r>
        <w:t xml:space="preserve">service delivery costs </w:t>
      </w:r>
      <w:r w:rsidR="00530C33">
        <w:t>due to</w:t>
      </w:r>
      <w:r>
        <w:t xml:space="preserve"> above average shares of people in regional areas</w:t>
      </w:r>
      <w:r w:rsidR="00CC5D75">
        <w:t>, above average level of non</w:t>
      </w:r>
      <w:r w:rsidR="000E00AD">
        <w:noBreakHyphen/>
      </w:r>
      <w:r w:rsidR="00CC5D75">
        <w:t>Indigenous disadvantage</w:t>
      </w:r>
      <w:r w:rsidR="00EF46F4">
        <w:t xml:space="preserve"> </w:t>
      </w:r>
      <w:r w:rsidR="00112AC6">
        <w:t>and</w:t>
      </w:r>
      <w:r>
        <w:t xml:space="preserve"> diseconomies of scale in administration.</w:t>
      </w:r>
    </w:p>
    <w:p w14:paraId="05F4A179" w14:textId="5D7CFC45" w:rsidR="00CA0E40" w:rsidRDefault="00CA0E40" w:rsidP="004B7BBC">
      <w:pPr>
        <w:pStyle w:val="CGCParaNumber"/>
      </w:pPr>
      <w:r>
        <w:t xml:space="preserve">These effects on its fiscal capacity </w:t>
      </w:r>
      <w:r w:rsidR="00982BF1">
        <w:t>a</w:t>
      </w:r>
      <w:r w:rsidR="00D218F8">
        <w:t>re partially offset by a below average investment requirement</w:t>
      </w:r>
      <w:r w:rsidR="00130120">
        <w:t xml:space="preserve"> due to below average </w:t>
      </w:r>
      <w:r w:rsidR="00E14606">
        <w:t>growth in service user populations.</w:t>
      </w:r>
    </w:p>
    <w:p w14:paraId="5CC8F013" w14:textId="06DF248A" w:rsidR="00874433" w:rsidRDefault="00874433" w:rsidP="004E5F2A">
      <w:pPr>
        <w:pStyle w:val="CGCTableHeading"/>
        <w:keepNext w:val="0"/>
        <w:keepLines w:val="0"/>
        <w:spacing w:before="200"/>
      </w:pPr>
      <w:r>
        <w:t xml:space="preserve">Table </w:t>
      </w:r>
      <w:r w:rsidR="00BB5935">
        <w:t>4</w:t>
      </w:r>
      <w:r w:rsidR="00BB5935">
        <w:noBreakHyphen/>
      </w:r>
      <w:r>
        <w:fldChar w:fldCharType="begin"/>
      </w:r>
      <w:r>
        <w:instrText>SEQ Table \* ARABIC</w:instrText>
      </w:r>
      <w:r>
        <w:fldChar w:fldCharType="separate"/>
      </w:r>
      <w:r w:rsidR="003D49C2">
        <w:rPr>
          <w:noProof/>
        </w:rPr>
        <w:t>11</w:t>
      </w:r>
      <w:r>
        <w:fldChar w:fldCharType="end"/>
      </w:r>
      <w:r>
        <w:tab/>
        <w:t>Illustrative GST, Tasmania, 2020</w:t>
      </w:r>
      <w:r>
        <w:noBreakHyphen/>
        <w:t>21</w:t>
      </w:r>
    </w:p>
    <w:tbl>
      <w:tblPr>
        <w:tblW w:w="8902" w:type="dxa"/>
        <w:tblCellMar>
          <w:left w:w="0" w:type="dxa"/>
          <w:right w:w="28" w:type="dxa"/>
        </w:tblCellMar>
        <w:tblLook w:val="04A0" w:firstRow="1" w:lastRow="0" w:firstColumn="1" w:lastColumn="0" w:noHBand="0" w:noVBand="1"/>
      </w:tblPr>
      <w:tblGrid>
        <w:gridCol w:w="3994"/>
        <w:gridCol w:w="2502"/>
        <w:gridCol w:w="2406"/>
      </w:tblGrid>
      <w:tr w:rsidR="004339BE" w:rsidRPr="002E56D2" w14:paraId="05D5A251"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592DC210" w14:textId="77777777" w:rsidR="004339BE" w:rsidRPr="004339BE" w:rsidRDefault="004339BE" w:rsidP="004339B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339BE">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4B7AD0E1" w14:textId="77777777" w:rsidR="004339BE" w:rsidRPr="004339BE" w:rsidRDefault="004339BE" w:rsidP="004339B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339BE">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41AC30B7" w14:textId="77777777" w:rsidR="004339BE" w:rsidRPr="004339BE" w:rsidRDefault="004339BE" w:rsidP="004339BE">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4339BE">
              <w:rPr>
                <w:rFonts w:ascii="Open Sans SemiBold" w:eastAsia="Times New Roman" w:hAnsi="Open Sans SemiBold" w:cs="Open Sans SemiBold"/>
                <w:color w:val="FFFFFF"/>
                <w:sz w:val="16"/>
                <w:szCs w:val="16"/>
                <w:lang w:val="en-AU" w:eastAsia="en-AU"/>
              </w:rPr>
              <w:t>$pc</w:t>
            </w:r>
          </w:p>
        </w:tc>
      </w:tr>
      <w:tr w:rsidR="004339BE" w:rsidRPr="002E56D2" w14:paraId="19AE45DE"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6FC0BBFD" w14:textId="77777777" w:rsidR="004339BE" w:rsidRPr="004339BE" w:rsidRDefault="004339BE" w:rsidP="004339BE">
            <w:pPr>
              <w:tabs>
                <w:tab w:val="clear" w:pos="567"/>
              </w:tabs>
              <w:spacing w:before="0" w:line="240" w:lineRule="auto"/>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4FF8CC73"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1,414</w:t>
            </w:r>
          </w:p>
        </w:tc>
        <w:tc>
          <w:tcPr>
            <w:tcW w:w="2480" w:type="dxa"/>
            <w:tcBorders>
              <w:top w:val="nil"/>
              <w:left w:val="nil"/>
              <w:bottom w:val="single" w:sz="4" w:space="0" w:color="ADD6EA"/>
              <w:right w:val="nil"/>
            </w:tcBorders>
            <w:shd w:val="clear" w:color="000000" w:fill="FFFFFF"/>
            <w:vAlign w:val="bottom"/>
            <w:hideMark/>
          </w:tcPr>
          <w:p w14:paraId="16C83537"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2,598</w:t>
            </w:r>
          </w:p>
        </w:tc>
      </w:tr>
      <w:tr w:rsidR="004339BE" w:rsidRPr="002E56D2" w14:paraId="63B277C9"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4DBB02AE" w14:textId="77777777" w:rsidR="004339BE" w:rsidRPr="004339BE" w:rsidRDefault="004339BE" w:rsidP="004339BE">
            <w:pPr>
              <w:tabs>
                <w:tab w:val="clear" w:pos="567"/>
              </w:tabs>
              <w:spacing w:before="0" w:line="240" w:lineRule="auto"/>
              <w:rPr>
                <w:rFonts w:ascii="Open Sans SemiBold" w:eastAsia="Times New Roman" w:hAnsi="Open Sans SemiBold" w:cs="Open Sans SemiBold"/>
                <w:sz w:val="16"/>
                <w:szCs w:val="16"/>
                <w:lang w:val="en-AU" w:eastAsia="en-AU"/>
              </w:rPr>
            </w:pPr>
            <w:r w:rsidRPr="004339BE">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1A62AD6C"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56A3C467"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 </w:t>
            </w:r>
          </w:p>
        </w:tc>
      </w:tr>
      <w:tr w:rsidR="004339BE" w:rsidRPr="002E56D2" w14:paraId="6AD4B5A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0AA4817" w14:textId="77777777" w:rsidR="004339BE" w:rsidRPr="004339BE" w:rsidRDefault="004339BE" w:rsidP="004339BE">
            <w:pPr>
              <w:tabs>
                <w:tab w:val="clear" w:pos="567"/>
              </w:tabs>
              <w:spacing w:before="0" w:line="240" w:lineRule="auto"/>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2F9C6DAD"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725</w:t>
            </w:r>
          </w:p>
        </w:tc>
        <w:tc>
          <w:tcPr>
            <w:tcW w:w="2480" w:type="dxa"/>
            <w:tcBorders>
              <w:top w:val="nil"/>
              <w:left w:val="nil"/>
              <w:bottom w:val="single" w:sz="4" w:space="0" w:color="ADD6EA"/>
              <w:right w:val="nil"/>
            </w:tcBorders>
            <w:shd w:val="clear" w:color="000000" w:fill="FFFFFF"/>
            <w:vAlign w:val="bottom"/>
            <w:hideMark/>
          </w:tcPr>
          <w:p w14:paraId="1F285F17"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1,332</w:t>
            </w:r>
          </w:p>
        </w:tc>
      </w:tr>
      <w:tr w:rsidR="004339BE" w:rsidRPr="002E56D2" w14:paraId="40B8FD7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7D494EEF" w14:textId="77777777" w:rsidR="004339BE" w:rsidRPr="004339BE" w:rsidRDefault="004339BE" w:rsidP="004339BE">
            <w:pPr>
              <w:tabs>
                <w:tab w:val="clear" w:pos="567"/>
              </w:tabs>
              <w:spacing w:before="0" w:line="240" w:lineRule="auto"/>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0066187F"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-129</w:t>
            </w:r>
          </w:p>
        </w:tc>
        <w:tc>
          <w:tcPr>
            <w:tcW w:w="2480" w:type="dxa"/>
            <w:tcBorders>
              <w:top w:val="nil"/>
              <w:left w:val="nil"/>
              <w:bottom w:val="single" w:sz="4" w:space="0" w:color="ADD6EA"/>
              <w:right w:val="nil"/>
            </w:tcBorders>
            <w:shd w:val="clear" w:color="000000" w:fill="FFFFFF"/>
            <w:vAlign w:val="bottom"/>
            <w:hideMark/>
          </w:tcPr>
          <w:p w14:paraId="67C66260"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-237</w:t>
            </w:r>
          </w:p>
        </w:tc>
      </w:tr>
      <w:tr w:rsidR="004339BE" w:rsidRPr="002E56D2" w14:paraId="0C0E53CE"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13E027AE" w14:textId="77777777" w:rsidR="004339BE" w:rsidRPr="004339BE" w:rsidRDefault="004339BE" w:rsidP="004339BE">
            <w:pPr>
              <w:tabs>
                <w:tab w:val="clear" w:pos="567"/>
              </w:tabs>
              <w:spacing w:before="0" w:line="240" w:lineRule="auto"/>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195EFE34"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11</w:t>
            </w:r>
          </w:p>
        </w:tc>
        <w:tc>
          <w:tcPr>
            <w:tcW w:w="2480" w:type="dxa"/>
            <w:tcBorders>
              <w:top w:val="nil"/>
              <w:left w:val="nil"/>
              <w:bottom w:val="single" w:sz="4" w:space="0" w:color="ADD6EA"/>
              <w:right w:val="nil"/>
            </w:tcBorders>
            <w:shd w:val="clear" w:color="000000" w:fill="FFFFFF"/>
            <w:vAlign w:val="bottom"/>
            <w:hideMark/>
          </w:tcPr>
          <w:p w14:paraId="6C4AC902"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21</w:t>
            </w:r>
          </w:p>
        </w:tc>
      </w:tr>
      <w:tr w:rsidR="004339BE" w:rsidRPr="002E56D2" w14:paraId="6570FC4D"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1CB1C5E7" w14:textId="77777777" w:rsidR="004339BE" w:rsidRPr="004339BE" w:rsidRDefault="004339BE" w:rsidP="004339BE">
            <w:pPr>
              <w:tabs>
                <w:tab w:val="clear" w:pos="567"/>
              </w:tabs>
              <w:spacing w:before="0" w:line="240" w:lineRule="auto"/>
              <w:rPr>
                <w:rFonts w:eastAsia="Times New Roman" w:cs="Open Sans Light"/>
                <w:sz w:val="16"/>
                <w:szCs w:val="16"/>
                <w:lang w:val="en-AU" w:eastAsia="en-AU"/>
              </w:rPr>
            </w:pPr>
            <w:r w:rsidRPr="004339BE">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6B01EE01"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755</w:t>
            </w:r>
          </w:p>
        </w:tc>
        <w:tc>
          <w:tcPr>
            <w:tcW w:w="2480" w:type="dxa"/>
            <w:tcBorders>
              <w:top w:val="nil"/>
              <w:left w:val="nil"/>
              <w:bottom w:val="single" w:sz="4" w:space="0" w:color="ADD6EA"/>
              <w:right w:val="nil"/>
            </w:tcBorders>
            <w:shd w:val="clear" w:color="000000" w:fill="FFFFFF"/>
            <w:vAlign w:val="bottom"/>
            <w:hideMark/>
          </w:tcPr>
          <w:p w14:paraId="44149A51"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1,387</w:t>
            </w:r>
          </w:p>
        </w:tc>
      </w:tr>
      <w:tr w:rsidR="004339BE" w:rsidRPr="002E56D2" w14:paraId="4D9E636B"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A8BFEDF" w14:textId="77777777" w:rsidR="004339BE" w:rsidRPr="004339BE" w:rsidRDefault="004339BE" w:rsidP="004339BE">
            <w:pPr>
              <w:tabs>
                <w:tab w:val="clear" w:pos="567"/>
              </w:tabs>
              <w:spacing w:before="0" w:line="240" w:lineRule="auto"/>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27BD963E"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-89</w:t>
            </w:r>
          </w:p>
        </w:tc>
        <w:tc>
          <w:tcPr>
            <w:tcW w:w="2480" w:type="dxa"/>
            <w:tcBorders>
              <w:top w:val="nil"/>
              <w:left w:val="nil"/>
              <w:bottom w:val="single" w:sz="4" w:space="0" w:color="ADD6EA"/>
              <w:right w:val="nil"/>
            </w:tcBorders>
            <w:shd w:val="clear" w:color="000000" w:fill="FFFFFF"/>
            <w:vAlign w:val="bottom"/>
            <w:hideMark/>
          </w:tcPr>
          <w:p w14:paraId="2F398B36" w14:textId="77777777" w:rsidR="004339BE" w:rsidRPr="004339BE" w:rsidRDefault="004339BE" w:rsidP="004339BE">
            <w:pPr>
              <w:tabs>
                <w:tab w:val="clear" w:pos="567"/>
              </w:tabs>
              <w:spacing w:before="0" w:line="240" w:lineRule="auto"/>
              <w:jc w:val="right"/>
              <w:rPr>
                <w:rFonts w:eastAsia="Times New Roman" w:cs="Open Sans Light"/>
                <w:color w:val="000000"/>
                <w:sz w:val="16"/>
                <w:szCs w:val="16"/>
                <w:lang w:val="en-AU" w:eastAsia="en-AU"/>
              </w:rPr>
            </w:pPr>
            <w:r w:rsidRPr="004339BE">
              <w:rPr>
                <w:rFonts w:eastAsia="Times New Roman" w:cs="Open Sans Light"/>
                <w:color w:val="000000"/>
                <w:sz w:val="16"/>
                <w:szCs w:val="16"/>
                <w:lang w:val="en-AU" w:eastAsia="en-AU"/>
              </w:rPr>
              <w:t>-163</w:t>
            </w:r>
          </w:p>
        </w:tc>
      </w:tr>
      <w:tr w:rsidR="004339BE" w:rsidRPr="002E56D2" w14:paraId="7DBACF29"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5058E0AE" w14:textId="77777777" w:rsidR="004339BE" w:rsidRPr="004339BE" w:rsidRDefault="004339BE" w:rsidP="004339BE">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4339BE">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7CB040C2" w14:textId="77777777" w:rsidR="004339BE" w:rsidRPr="004339BE" w:rsidRDefault="004339BE" w:rsidP="004339B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339BE">
              <w:rPr>
                <w:rFonts w:ascii="Open Sans SemiBold" w:eastAsia="Times New Roman" w:hAnsi="Open Sans SemiBold" w:cs="Open Sans SemiBold"/>
                <w:color w:val="000000"/>
                <w:sz w:val="16"/>
                <w:szCs w:val="16"/>
                <w:lang w:val="en-AU" w:eastAsia="en-AU"/>
              </w:rPr>
              <w:t>2,688</w:t>
            </w:r>
          </w:p>
        </w:tc>
        <w:tc>
          <w:tcPr>
            <w:tcW w:w="2480" w:type="dxa"/>
            <w:tcBorders>
              <w:top w:val="nil"/>
              <w:left w:val="nil"/>
              <w:bottom w:val="single" w:sz="4" w:space="0" w:color="ADD6EA"/>
              <w:right w:val="nil"/>
            </w:tcBorders>
            <w:shd w:val="clear" w:color="000000" w:fill="B6D5E4"/>
            <w:vAlign w:val="bottom"/>
            <w:hideMark/>
          </w:tcPr>
          <w:p w14:paraId="10B1529B" w14:textId="77777777" w:rsidR="004339BE" w:rsidRPr="004339BE" w:rsidRDefault="004339BE" w:rsidP="004339BE">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4339BE">
              <w:rPr>
                <w:rFonts w:ascii="Open Sans SemiBold" w:eastAsia="Times New Roman" w:hAnsi="Open Sans SemiBold" w:cs="Open Sans SemiBold"/>
                <w:color w:val="000000"/>
                <w:sz w:val="16"/>
                <w:szCs w:val="16"/>
                <w:lang w:val="en-AU" w:eastAsia="en-AU"/>
              </w:rPr>
              <w:t>4,937</w:t>
            </w:r>
          </w:p>
        </w:tc>
      </w:tr>
    </w:tbl>
    <w:p w14:paraId="7A15381B" w14:textId="77777777" w:rsidR="00AF73A2" w:rsidRDefault="00AF73A2" w:rsidP="004E5F2A">
      <w:pPr>
        <w:pStyle w:val="CGCTablenote"/>
      </w:pPr>
      <w:r>
        <w:t>Note:</w:t>
      </w:r>
      <w:r>
        <w:tab/>
        <w:t>Table may not add due to rounding.</w:t>
      </w:r>
    </w:p>
    <w:p w14:paraId="1B165FD1" w14:textId="26E384F3" w:rsidR="00AF73A2" w:rsidRPr="00922552" w:rsidRDefault="00AF73A2" w:rsidP="004E5F2A">
      <w:pPr>
        <w:pStyle w:val="CGCTablenote"/>
      </w:pPr>
      <w:r>
        <w:t>Source:</w:t>
      </w:r>
      <w:r>
        <w:tab/>
        <w:t>Commission calculation.</w:t>
      </w:r>
    </w:p>
    <w:p w14:paraId="10F5DF79" w14:textId="566F679C" w:rsidR="00266738" w:rsidRDefault="00AF73A2" w:rsidP="004E5F2A">
      <w:pPr>
        <w:pStyle w:val="Heading4"/>
        <w:keepLines/>
      </w:pPr>
      <w:bookmarkStart w:id="78" w:name="_Toc33600570"/>
      <w:r>
        <w:lastRenderedPageBreak/>
        <w:t>Australian Capital Territory</w:t>
      </w:r>
      <w:bookmarkEnd w:id="78"/>
    </w:p>
    <w:p w14:paraId="7F678262" w14:textId="41F25194" w:rsidR="00062670" w:rsidRDefault="00062670" w:rsidP="004E5F2A">
      <w:pPr>
        <w:pStyle w:val="CGCParaNumber"/>
        <w:keepNext/>
        <w:keepLines/>
      </w:pPr>
      <w:r>
        <w:t>The ACT</w:t>
      </w:r>
      <w:r w:rsidR="0013707D">
        <w:t xml:space="preserve"> has the fourth weakest fiscal capacity</w:t>
      </w:r>
      <w:r w:rsidR="00E906A3">
        <w:t xml:space="preserve"> among the States</w:t>
      </w:r>
      <w:r w:rsidR="0013707D">
        <w:t>.</w:t>
      </w:r>
      <w:r>
        <w:t xml:space="preserve"> </w:t>
      </w:r>
      <w:r w:rsidR="0013707D">
        <w:t>It</w:t>
      </w:r>
      <w:r>
        <w:t xml:space="preserve"> </w:t>
      </w:r>
      <w:r w:rsidR="005D5F6A">
        <w:t>has</w:t>
      </w:r>
      <w:r>
        <w:t xml:space="preserve"> below average capacity to raise revenue across most revenue bases. The ACT is unable to levy taxes on Commonwealth agencies, </w:t>
      </w:r>
      <w:r w:rsidR="0064338A">
        <w:t>including</w:t>
      </w:r>
      <w:r>
        <w:t xml:space="preserve"> on payrolls and land</w:t>
      </w:r>
      <w:r w:rsidR="00226D9E">
        <w:t>,</w:t>
      </w:r>
      <w:r w:rsidR="00D8675C">
        <w:t xml:space="preserve"> and </w:t>
      </w:r>
      <w:r>
        <w:t>has no mining industry</w:t>
      </w:r>
      <w:r w:rsidR="00226D9E">
        <w:t>.</w:t>
      </w:r>
      <w:r>
        <w:t xml:space="preserve"> </w:t>
      </w:r>
      <w:r w:rsidR="00226D9E">
        <w:t xml:space="preserve">The ACT also </w:t>
      </w:r>
      <w:r>
        <w:t xml:space="preserve">receives a below average share of Commonwealth payments. </w:t>
      </w:r>
    </w:p>
    <w:p w14:paraId="4CD8ACD5" w14:textId="143AA033" w:rsidR="005F11DD" w:rsidRDefault="00062670" w:rsidP="004E5F2A">
      <w:pPr>
        <w:pStyle w:val="CGCParaNumber"/>
        <w:keepNext/>
        <w:keepLines/>
      </w:pPr>
      <w:r>
        <w:t>The</w:t>
      </w:r>
      <w:r w:rsidR="007117A1">
        <w:t>se effects on the</w:t>
      </w:r>
      <w:r>
        <w:t xml:space="preserve"> ACT’s </w:t>
      </w:r>
      <w:r w:rsidR="007117A1">
        <w:t xml:space="preserve">fiscal capacity are </w:t>
      </w:r>
      <w:r w:rsidR="004127C6">
        <w:t xml:space="preserve">partly offset by </w:t>
      </w:r>
      <w:r w:rsidR="003A3B0F">
        <w:t xml:space="preserve">its </w:t>
      </w:r>
      <w:r w:rsidR="00EA25ED">
        <w:t xml:space="preserve">below </w:t>
      </w:r>
      <w:r w:rsidR="004127C6">
        <w:t xml:space="preserve">average </w:t>
      </w:r>
      <w:r>
        <w:t>expense requirement</w:t>
      </w:r>
      <w:r w:rsidR="003A3B0F">
        <w:t>, which reflects</w:t>
      </w:r>
      <w:r>
        <w:t xml:space="preserve"> </w:t>
      </w:r>
      <w:r w:rsidR="0016445A">
        <w:t xml:space="preserve">its </w:t>
      </w:r>
      <w:r w:rsidR="00353525">
        <w:t xml:space="preserve">highly urbanised population with a below average share of Indigenous people </w:t>
      </w:r>
      <w:r w:rsidR="001D1B0E">
        <w:t xml:space="preserve">and a </w:t>
      </w:r>
      <w:r w:rsidR="00353525">
        <w:t>low level of non-Indigenous disadvantage</w:t>
      </w:r>
      <w:r w:rsidR="00856FED">
        <w:t xml:space="preserve">, and its </w:t>
      </w:r>
      <w:r w:rsidR="002E5099">
        <w:t>below</w:t>
      </w:r>
      <w:r w:rsidR="00856FED">
        <w:t xml:space="preserve"> average investment requirement</w:t>
      </w:r>
      <w:r w:rsidR="001D1B0E">
        <w:t>.</w:t>
      </w:r>
    </w:p>
    <w:p w14:paraId="4AD0AF80" w14:textId="3E654A73" w:rsidR="00874433" w:rsidRDefault="00874433" w:rsidP="00874433">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12</w:t>
      </w:r>
      <w:r>
        <w:fldChar w:fldCharType="end"/>
      </w:r>
      <w:r>
        <w:tab/>
        <w:t xml:space="preserve">Illustrative GST, </w:t>
      </w:r>
      <w:r w:rsidR="00AF73A2">
        <w:t>ACT</w:t>
      </w:r>
      <w:r>
        <w:t>, 2020</w:t>
      </w:r>
      <w:r>
        <w:noBreakHyphen/>
        <w:t>21</w:t>
      </w:r>
    </w:p>
    <w:tbl>
      <w:tblPr>
        <w:tblW w:w="8902" w:type="dxa"/>
        <w:tblCellMar>
          <w:left w:w="0" w:type="dxa"/>
          <w:right w:w="28" w:type="dxa"/>
        </w:tblCellMar>
        <w:tblLook w:val="04A0" w:firstRow="1" w:lastRow="0" w:firstColumn="1" w:lastColumn="0" w:noHBand="0" w:noVBand="1"/>
      </w:tblPr>
      <w:tblGrid>
        <w:gridCol w:w="3994"/>
        <w:gridCol w:w="2502"/>
        <w:gridCol w:w="2406"/>
      </w:tblGrid>
      <w:tr w:rsidR="00DF1315" w:rsidRPr="00326371" w14:paraId="497C4340"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452AD82A" w14:textId="77777777" w:rsidR="00DF1315" w:rsidRPr="00E60C87" w:rsidRDefault="00DF1315" w:rsidP="00DF131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60C87">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17B3971B" w14:textId="77777777" w:rsidR="00DF1315" w:rsidRPr="00E60C87" w:rsidRDefault="00DF1315" w:rsidP="00DF131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60C87">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5FB8A419" w14:textId="77777777" w:rsidR="00DF1315" w:rsidRPr="00E60C87" w:rsidRDefault="00DF1315" w:rsidP="00DF1315">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60C87">
              <w:rPr>
                <w:rFonts w:ascii="Open Sans SemiBold" w:eastAsia="Times New Roman" w:hAnsi="Open Sans SemiBold" w:cs="Open Sans SemiBold"/>
                <w:color w:val="FFFFFF"/>
                <w:sz w:val="16"/>
                <w:szCs w:val="16"/>
                <w:lang w:val="en-AU" w:eastAsia="en-AU"/>
              </w:rPr>
              <w:t>$pc</w:t>
            </w:r>
          </w:p>
        </w:tc>
      </w:tr>
      <w:tr w:rsidR="00DF1315" w:rsidRPr="00326371" w14:paraId="7F82A35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F2CC4DE" w14:textId="77777777" w:rsidR="00DF1315" w:rsidRPr="00E60C87" w:rsidRDefault="00DF1315" w:rsidP="00DF1315">
            <w:pPr>
              <w:tabs>
                <w:tab w:val="clear" w:pos="567"/>
              </w:tabs>
              <w:spacing w:before="0" w:line="240" w:lineRule="auto"/>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33895197"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1,144</w:t>
            </w:r>
          </w:p>
        </w:tc>
        <w:tc>
          <w:tcPr>
            <w:tcW w:w="2480" w:type="dxa"/>
            <w:tcBorders>
              <w:top w:val="nil"/>
              <w:left w:val="nil"/>
              <w:bottom w:val="single" w:sz="4" w:space="0" w:color="ADD6EA"/>
              <w:right w:val="nil"/>
            </w:tcBorders>
            <w:shd w:val="clear" w:color="000000" w:fill="FFFFFF"/>
            <w:vAlign w:val="bottom"/>
            <w:hideMark/>
          </w:tcPr>
          <w:p w14:paraId="360BD8A3"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2,598</w:t>
            </w:r>
          </w:p>
        </w:tc>
      </w:tr>
      <w:tr w:rsidR="00DF1315" w:rsidRPr="00326371" w14:paraId="7939A499"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1C0BD9C" w14:textId="77777777" w:rsidR="00DF1315" w:rsidRPr="00E60C87" w:rsidRDefault="00DF1315" w:rsidP="00DF1315">
            <w:pPr>
              <w:tabs>
                <w:tab w:val="clear" w:pos="567"/>
              </w:tabs>
              <w:spacing w:before="0" w:line="240" w:lineRule="auto"/>
              <w:rPr>
                <w:rFonts w:ascii="Open Sans SemiBold" w:eastAsia="Times New Roman" w:hAnsi="Open Sans SemiBold" w:cs="Open Sans SemiBold"/>
                <w:sz w:val="16"/>
                <w:szCs w:val="16"/>
                <w:lang w:val="en-AU" w:eastAsia="en-AU"/>
              </w:rPr>
            </w:pPr>
            <w:r w:rsidRPr="00E60C87">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6A36D952"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553BFBD9"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 </w:t>
            </w:r>
          </w:p>
        </w:tc>
      </w:tr>
      <w:tr w:rsidR="00DF1315" w:rsidRPr="00326371" w14:paraId="58129B08"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36C6995" w14:textId="77777777" w:rsidR="00DF1315" w:rsidRPr="00E60C87" w:rsidRDefault="00DF1315" w:rsidP="00E60C87">
            <w:pPr>
              <w:tabs>
                <w:tab w:val="clear" w:pos="567"/>
              </w:tabs>
              <w:spacing w:before="0" w:line="240" w:lineRule="auto"/>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611B5776"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-195</w:t>
            </w:r>
          </w:p>
        </w:tc>
        <w:tc>
          <w:tcPr>
            <w:tcW w:w="2480" w:type="dxa"/>
            <w:tcBorders>
              <w:top w:val="nil"/>
              <w:left w:val="nil"/>
              <w:bottom w:val="single" w:sz="4" w:space="0" w:color="ADD6EA"/>
              <w:right w:val="nil"/>
            </w:tcBorders>
            <w:shd w:val="clear" w:color="000000" w:fill="FFFFFF"/>
            <w:vAlign w:val="bottom"/>
            <w:hideMark/>
          </w:tcPr>
          <w:p w14:paraId="70F73E01"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-442</w:t>
            </w:r>
          </w:p>
        </w:tc>
      </w:tr>
      <w:tr w:rsidR="00DF1315" w:rsidRPr="00326371" w14:paraId="71E8FBEF"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CD266AF" w14:textId="77777777" w:rsidR="00DF1315" w:rsidRPr="00E60C87" w:rsidRDefault="00DF1315" w:rsidP="00E60C87">
            <w:pPr>
              <w:tabs>
                <w:tab w:val="clear" w:pos="567"/>
              </w:tabs>
              <w:spacing w:before="0" w:line="240" w:lineRule="auto"/>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0EBA2D2E"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-92</w:t>
            </w:r>
          </w:p>
        </w:tc>
        <w:tc>
          <w:tcPr>
            <w:tcW w:w="2480" w:type="dxa"/>
            <w:tcBorders>
              <w:top w:val="nil"/>
              <w:left w:val="nil"/>
              <w:bottom w:val="single" w:sz="4" w:space="0" w:color="ADD6EA"/>
              <w:right w:val="nil"/>
            </w:tcBorders>
            <w:shd w:val="clear" w:color="000000" w:fill="FFFFFF"/>
            <w:vAlign w:val="bottom"/>
            <w:hideMark/>
          </w:tcPr>
          <w:p w14:paraId="1763FCE1"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-208</w:t>
            </w:r>
          </w:p>
        </w:tc>
      </w:tr>
      <w:tr w:rsidR="00DF1315" w:rsidRPr="00326371" w14:paraId="1538ADBE"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1215E282" w14:textId="77777777" w:rsidR="00DF1315" w:rsidRPr="00E60C87" w:rsidRDefault="00DF1315" w:rsidP="00E60C87">
            <w:pPr>
              <w:tabs>
                <w:tab w:val="clear" w:pos="567"/>
              </w:tabs>
              <w:spacing w:before="0" w:line="240" w:lineRule="auto"/>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6C9F513E"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-6</w:t>
            </w:r>
          </w:p>
        </w:tc>
        <w:tc>
          <w:tcPr>
            <w:tcW w:w="2480" w:type="dxa"/>
            <w:tcBorders>
              <w:top w:val="nil"/>
              <w:left w:val="nil"/>
              <w:bottom w:val="single" w:sz="4" w:space="0" w:color="ADD6EA"/>
              <w:right w:val="nil"/>
            </w:tcBorders>
            <w:shd w:val="clear" w:color="000000" w:fill="FFFFFF"/>
            <w:vAlign w:val="bottom"/>
            <w:hideMark/>
          </w:tcPr>
          <w:p w14:paraId="36FCA452"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-13</w:t>
            </w:r>
          </w:p>
        </w:tc>
      </w:tr>
      <w:tr w:rsidR="00DF1315" w:rsidRPr="00326371" w14:paraId="3734F36F"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3A6DFE3B" w14:textId="77777777" w:rsidR="00DF1315" w:rsidRPr="00E60C87" w:rsidRDefault="00DF1315" w:rsidP="00E60C87">
            <w:pPr>
              <w:tabs>
                <w:tab w:val="clear" w:pos="567"/>
              </w:tabs>
              <w:spacing w:before="0" w:line="240" w:lineRule="auto"/>
              <w:rPr>
                <w:rFonts w:eastAsia="Times New Roman" w:cs="Open Sans Light"/>
                <w:sz w:val="16"/>
                <w:szCs w:val="16"/>
                <w:lang w:val="en-AU" w:eastAsia="en-AU"/>
              </w:rPr>
            </w:pPr>
            <w:r w:rsidRPr="00E60C87">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28BEFDB8"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376</w:t>
            </w:r>
          </w:p>
        </w:tc>
        <w:tc>
          <w:tcPr>
            <w:tcW w:w="2480" w:type="dxa"/>
            <w:tcBorders>
              <w:top w:val="nil"/>
              <w:left w:val="nil"/>
              <w:bottom w:val="single" w:sz="4" w:space="0" w:color="ADD6EA"/>
              <w:right w:val="nil"/>
            </w:tcBorders>
            <w:shd w:val="clear" w:color="000000" w:fill="FFFFFF"/>
            <w:vAlign w:val="bottom"/>
            <w:hideMark/>
          </w:tcPr>
          <w:p w14:paraId="42183EFB"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854</w:t>
            </w:r>
          </w:p>
        </w:tc>
      </w:tr>
      <w:tr w:rsidR="00DF1315" w:rsidRPr="00326371" w14:paraId="67B89B5D"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056BB169" w14:textId="77777777" w:rsidR="00DF1315" w:rsidRPr="00E60C87" w:rsidRDefault="00DF1315" w:rsidP="00E60C87">
            <w:pPr>
              <w:tabs>
                <w:tab w:val="clear" w:pos="567"/>
              </w:tabs>
              <w:spacing w:before="0" w:line="240" w:lineRule="auto"/>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0F81B295"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91</w:t>
            </w:r>
          </w:p>
        </w:tc>
        <w:tc>
          <w:tcPr>
            <w:tcW w:w="2480" w:type="dxa"/>
            <w:tcBorders>
              <w:top w:val="nil"/>
              <w:left w:val="nil"/>
              <w:bottom w:val="single" w:sz="4" w:space="0" w:color="ADD6EA"/>
              <w:right w:val="nil"/>
            </w:tcBorders>
            <w:shd w:val="clear" w:color="000000" w:fill="FFFFFF"/>
            <w:vAlign w:val="bottom"/>
            <w:hideMark/>
          </w:tcPr>
          <w:p w14:paraId="7DACC2C3" w14:textId="77777777" w:rsidR="00DF1315" w:rsidRPr="00E60C87" w:rsidRDefault="00DF1315" w:rsidP="00DF1315">
            <w:pPr>
              <w:tabs>
                <w:tab w:val="clear" w:pos="567"/>
              </w:tabs>
              <w:spacing w:before="0" w:line="240" w:lineRule="auto"/>
              <w:jc w:val="right"/>
              <w:rPr>
                <w:rFonts w:eastAsia="Times New Roman" w:cs="Open Sans Light"/>
                <w:color w:val="000000"/>
                <w:sz w:val="16"/>
                <w:szCs w:val="16"/>
                <w:lang w:val="en-AU" w:eastAsia="en-AU"/>
              </w:rPr>
            </w:pPr>
            <w:r w:rsidRPr="00E60C87">
              <w:rPr>
                <w:rFonts w:eastAsia="Times New Roman" w:cs="Open Sans Light"/>
                <w:color w:val="000000"/>
                <w:sz w:val="16"/>
                <w:szCs w:val="16"/>
                <w:lang w:val="en-AU" w:eastAsia="en-AU"/>
              </w:rPr>
              <w:t>206</w:t>
            </w:r>
          </w:p>
        </w:tc>
      </w:tr>
      <w:tr w:rsidR="00DF1315" w:rsidRPr="00326371" w14:paraId="61CA5F47"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302D279C" w14:textId="77777777" w:rsidR="00DF1315" w:rsidRPr="00E60C87" w:rsidRDefault="00DF1315" w:rsidP="00DF1315">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E60C87">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4F5569EE" w14:textId="77777777" w:rsidR="00DF1315" w:rsidRPr="00E60C87" w:rsidRDefault="00DF1315" w:rsidP="00DF1315">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60C87">
              <w:rPr>
                <w:rFonts w:ascii="Open Sans SemiBold" w:eastAsia="Times New Roman" w:hAnsi="Open Sans SemiBold" w:cs="Open Sans SemiBold"/>
                <w:color w:val="000000"/>
                <w:sz w:val="16"/>
                <w:szCs w:val="16"/>
                <w:lang w:val="en-AU" w:eastAsia="en-AU"/>
              </w:rPr>
              <w:t>1,319</w:t>
            </w:r>
          </w:p>
        </w:tc>
        <w:tc>
          <w:tcPr>
            <w:tcW w:w="2480" w:type="dxa"/>
            <w:tcBorders>
              <w:top w:val="nil"/>
              <w:left w:val="nil"/>
              <w:bottom w:val="single" w:sz="4" w:space="0" w:color="ADD6EA"/>
              <w:right w:val="nil"/>
            </w:tcBorders>
            <w:shd w:val="clear" w:color="000000" w:fill="B6D5E4"/>
            <w:vAlign w:val="bottom"/>
            <w:hideMark/>
          </w:tcPr>
          <w:p w14:paraId="1ACDBCA2" w14:textId="77777777" w:rsidR="00DF1315" w:rsidRPr="00E60C87" w:rsidRDefault="00DF1315" w:rsidP="00DF1315">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60C87">
              <w:rPr>
                <w:rFonts w:ascii="Open Sans SemiBold" w:eastAsia="Times New Roman" w:hAnsi="Open Sans SemiBold" w:cs="Open Sans SemiBold"/>
                <w:color w:val="000000"/>
                <w:sz w:val="16"/>
                <w:szCs w:val="16"/>
                <w:lang w:val="en-AU" w:eastAsia="en-AU"/>
              </w:rPr>
              <w:t>2,995</w:t>
            </w:r>
          </w:p>
        </w:tc>
      </w:tr>
    </w:tbl>
    <w:p w14:paraId="19D65DB0" w14:textId="77777777" w:rsidR="00AF73A2" w:rsidRDefault="00AF73A2" w:rsidP="00352A44">
      <w:pPr>
        <w:pStyle w:val="CGCTablenote"/>
        <w:keepNext/>
        <w:keepLines/>
      </w:pPr>
      <w:r>
        <w:t>Note:</w:t>
      </w:r>
      <w:r>
        <w:tab/>
        <w:t>Table may not add due to rounding.</w:t>
      </w:r>
    </w:p>
    <w:p w14:paraId="4FD4F464" w14:textId="4A6F309E" w:rsidR="00AF73A2" w:rsidRPr="00922552" w:rsidRDefault="00AF73A2" w:rsidP="00352A44">
      <w:pPr>
        <w:pStyle w:val="CGCTablenote"/>
        <w:keepNext/>
        <w:keepLines/>
      </w:pPr>
      <w:r>
        <w:t>Source:</w:t>
      </w:r>
      <w:r>
        <w:tab/>
        <w:t>Commission calculation.</w:t>
      </w:r>
    </w:p>
    <w:p w14:paraId="0532A0A1" w14:textId="0A71153A" w:rsidR="00266738" w:rsidRDefault="00266738" w:rsidP="00266738">
      <w:pPr>
        <w:pStyle w:val="Heading4"/>
      </w:pPr>
      <w:bookmarkStart w:id="79" w:name="_Toc33600571"/>
      <w:r>
        <w:t>Northern</w:t>
      </w:r>
      <w:r w:rsidR="00C251FF">
        <w:t> </w:t>
      </w:r>
      <w:r>
        <w:t>Territory</w:t>
      </w:r>
      <w:bookmarkEnd w:id="79"/>
    </w:p>
    <w:p w14:paraId="5F1E75C3" w14:textId="4B89CACB" w:rsidR="00AE78E5" w:rsidRDefault="00357663" w:rsidP="001C3A8D">
      <w:pPr>
        <w:pStyle w:val="CGCParaNumber"/>
      </w:pPr>
      <w:r>
        <w:t>The Northern</w:t>
      </w:r>
      <w:r w:rsidR="00043637">
        <w:t> </w:t>
      </w:r>
      <w:r>
        <w:t>Territory</w:t>
      </w:r>
      <w:r w:rsidR="00DC5252">
        <w:t xml:space="preserve"> is the fiscally weakest State. </w:t>
      </w:r>
      <w:r w:rsidR="002C091D">
        <w:t>This</w:t>
      </w:r>
      <w:r>
        <w:t xml:space="preserve"> primarily </w:t>
      </w:r>
      <w:r w:rsidR="002C091D">
        <w:t>reflects</w:t>
      </w:r>
      <w:r>
        <w:t xml:space="preserve"> its </w:t>
      </w:r>
      <w:r w:rsidR="002C091D">
        <w:t xml:space="preserve">well </w:t>
      </w:r>
      <w:r>
        <w:t>above average expense requirement</w:t>
      </w:r>
      <w:r w:rsidR="00593D13">
        <w:t xml:space="preserve"> due to</w:t>
      </w:r>
      <w:r>
        <w:t xml:space="preserve"> above average shares of high cost population groups, including exceptionally high proportions of Indigenous people and people living in remote areas. </w:t>
      </w:r>
      <w:r w:rsidR="006D253C">
        <w:t>It also faces diseconomies of scale in administration.</w:t>
      </w:r>
      <w:r>
        <w:t xml:space="preserve"> These effects are reinforced by its </w:t>
      </w:r>
      <w:r w:rsidR="00956489">
        <w:t xml:space="preserve">above </w:t>
      </w:r>
      <w:r>
        <w:t xml:space="preserve">average </w:t>
      </w:r>
      <w:r w:rsidR="00956489">
        <w:t>investment requirement</w:t>
      </w:r>
      <w:r w:rsidR="004D6C59">
        <w:t>,</w:t>
      </w:r>
      <w:r w:rsidR="00956489">
        <w:t xml:space="preserve"> </w:t>
      </w:r>
      <w:r w:rsidR="00222078">
        <w:t xml:space="preserve">mainly </w:t>
      </w:r>
      <w:r w:rsidR="00957671">
        <w:t>for</w:t>
      </w:r>
      <w:r w:rsidR="00956489">
        <w:t xml:space="preserve"> </w:t>
      </w:r>
      <w:r w:rsidR="0021778D">
        <w:t>rura</w:t>
      </w:r>
      <w:r w:rsidR="00EA4CEE">
        <w:t>l roads</w:t>
      </w:r>
      <w:r w:rsidR="006101CB">
        <w:t>.</w:t>
      </w:r>
      <w:r>
        <w:t xml:space="preserve"> </w:t>
      </w:r>
    </w:p>
    <w:p w14:paraId="4022307C" w14:textId="77028EAA" w:rsidR="005F11DD" w:rsidRDefault="00380C2A" w:rsidP="001C3A8D">
      <w:pPr>
        <w:pStyle w:val="CGCParaNumber"/>
      </w:pPr>
      <w:r>
        <w:t xml:space="preserve">The Northern Territory’s </w:t>
      </w:r>
      <w:r w:rsidR="00357663">
        <w:t>above average need for assistance is partially met through an above average share of Commonwealth payments.</w:t>
      </w:r>
    </w:p>
    <w:p w14:paraId="6B5C5AD2" w14:textId="0EB0B247" w:rsidR="00874433" w:rsidRDefault="00874433" w:rsidP="00874433">
      <w:pPr>
        <w:pStyle w:val="CGCTableHeading"/>
      </w:pPr>
      <w:r>
        <w:t xml:space="preserve">Table </w:t>
      </w:r>
      <w:r w:rsidR="00BB5935">
        <w:t>4</w:t>
      </w:r>
      <w:r w:rsidR="00BB5935">
        <w:noBreakHyphen/>
      </w:r>
      <w:r>
        <w:fldChar w:fldCharType="begin"/>
      </w:r>
      <w:r>
        <w:instrText>SEQ Table \* ARABIC</w:instrText>
      </w:r>
      <w:r>
        <w:fldChar w:fldCharType="separate"/>
      </w:r>
      <w:r w:rsidR="003D49C2">
        <w:rPr>
          <w:noProof/>
        </w:rPr>
        <w:t>13</w:t>
      </w:r>
      <w:r>
        <w:fldChar w:fldCharType="end"/>
      </w:r>
      <w:r>
        <w:tab/>
        <w:t>Illustrative GST, Northern Territory, 2020</w:t>
      </w:r>
      <w:r>
        <w:noBreakHyphen/>
        <w:t>21</w:t>
      </w:r>
    </w:p>
    <w:tbl>
      <w:tblPr>
        <w:tblW w:w="8902" w:type="dxa"/>
        <w:tblCellMar>
          <w:left w:w="0" w:type="dxa"/>
          <w:right w:w="28" w:type="dxa"/>
        </w:tblCellMar>
        <w:tblLook w:val="04A0" w:firstRow="1" w:lastRow="0" w:firstColumn="1" w:lastColumn="0" w:noHBand="0" w:noVBand="1"/>
      </w:tblPr>
      <w:tblGrid>
        <w:gridCol w:w="3993"/>
        <w:gridCol w:w="2501"/>
        <w:gridCol w:w="2408"/>
      </w:tblGrid>
      <w:tr w:rsidR="007255AB" w:rsidRPr="006B3D81" w14:paraId="7B6150AD" w14:textId="77777777" w:rsidTr="00500FBE">
        <w:trPr>
          <w:trHeight w:val="258"/>
        </w:trPr>
        <w:tc>
          <w:tcPr>
            <w:tcW w:w="4100" w:type="dxa"/>
            <w:tcBorders>
              <w:top w:val="single" w:sz="4" w:space="0" w:color="ADD6EA"/>
              <w:left w:val="nil"/>
              <w:bottom w:val="single" w:sz="4" w:space="0" w:color="ADD6EA"/>
              <w:right w:val="nil"/>
            </w:tcBorders>
            <w:shd w:val="clear" w:color="000000" w:fill="006991"/>
            <w:vAlign w:val="center"/>
            <w:hideMark/>
          </w:tcPr>
          <w:p w14:paraId="250929ED" w14:textId="77777777" w:rsidR="007255AB" w:rsidRPr="007255AB" w:rsidRDefault="007255AB" w:rsidP="007255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255AB">
              <w:rPr>
                <w:rFonts w:ascii="Open Sans SemiBold" w:eastAsia="Times New Roman" w:hAnsi="Open Sans SemiBold" w:cs="Open Sans SemiBold"/>
                <w:color w:val="FFFFFF"/>
                <w:sz w:val="16"/>
                <w:szCs w:val="16"/>
                <w:lang w:val="en-AU" w:eastAsia="en-AU"/>
              </w:rPr>
              <w:t> </w:t>
            </w:r>
          </w:p>
        </w:tc>
        <w:tc>
          <w:tcPr>
            <w:tcW w:w="2580" w:type="dxa"/>
            <w:tcBorders>
              <w:top w:val="single" w:sz="4" w:space="0" w:color="ADD6EA"/>
              <w:left w:val="nil"/>
              <w:bottom w:val="single" w:sz="4" w:space="0" w:color="ADD6EA"/>
              <w:right w:val="nil"/>
            </w:tcBorders>
            <w:shd w:val="clear" w:color="000000" w:fill="006991"/>
            <w:vAlign w:val="center"/>
            <w:hideMark/>
          </w:tcPr>
          <w:p w14:paraId="6B9A37EA" w14:textId="77777777" w:rsidR="007255AB" w:rsidRPr="007255AB" w:rsidRDefault="007255AB" w:rsidP="007255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255AB">
              <w:rPr>
                <w:rFonts w:ascii="Open Sans SemiBold" w:eastAsia="Times New Roman" w:hAnsi="Open Sans SemiBold" w:cs="Open Sans SemiBold"/>
                <w:color w:val="FFFFFF"/>
                <w:sz w:val="16"/>
                <w:szCs w:val="16"/>
                <w:lang w:val="en-AU" w:eastAsia="en-AU"/>
              </w:rPr>
              <w:t>$m</w:t>
            </w:r>
          </w:p>
        </w:tc>
        <w:tc>
          <w:tcPr>
            <w:tcW w:w="2480" w:type="dxa"/>
            <w:tcBorders>
              <w:top w:val="single" w:sz="4" w:space="0" w:color="ADD6EA"/>
              <w:left w:val="nil"/>
              <w:bottom w:val="single" w:sz="4" w:space="0" w:color="ADD6EA"/>
              <w:right w:val="nil"/>
            </w:tcBorders>
            <w:shd w:val="clear" w:color="000000" w:fill="006991"/>
            <w:vAlign w:val="center"/>
            <w:hideMark/>
          </w:tcPr>
          <w:p w14:paraId="165FFC5E" w14:textId="77777777" w:rsidR="007255AB" w:rsidRPr="007255AB" w:rsidRDefault="007255AB" w:rsidP="007255AB">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7255AB">
              <w:rPr>
                <w:rFonts w:ascii="Open Sans SemiBold" w:eastAsia="Times New Roman" w:hAnsi="Open Sans SemiBold" w:cs="Open Sans SemiBold"/>
                <w:color w:val="FFFFFF"/>
                <w:sz w:val="16"/>
                <w:szCs w:val="16"/>
                <w:lang w:val="en-AU" w:eastAsia="en-AU"/>
              </w:rPr>
              <w:t>$pc</w:t>
            </w:r>
          </w:p>
        </w:tc>
      </w:tr>
      <w:tr w:rsidR="007255AB" w:rsidRPr="006B3D81" w14:paraId="52C70FF8"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5F60F555" w14:textId="77777777" w:rsidR="007255AB" w:rsidRPr="007255AB" w:rsidRDefault="007255AB" w:rsidP="007255AB">
            <w:pPr>
              <w:tabs>
                <w:tab w:val="clear" w:pos="567"/>
              </w:tabs>
              <w:spacing w:before="0" w:line="240" w:lineRule="auto"/>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Equal per capita share</w:t>
            </w:r>
          </w:p>
        </w:tc>
        <w:tc>
          <w:tcPr>
            <w:tcW w:w="2580" w:type="dxa"/>
            <w:tcBorders>
              <w:top w:val="nil"/>
              <w:left w:val="nil"/>
              <w:bottom w:val="single" w:sz="4" w:space="0" w:color="ADD6EA"/>
              <w:right w:val="nil"/>
            </w:tcBorders>
            <w:shd w:val="clear" w:color="000000" w:fill="FFFFFF"/>
            <w:vAlign w:val="bottom"/>
            <w:hideMark/>
          </w:tcPr>
          <w:p w14:paraId="25B09AB8"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639</w:t>
            </w:r>
          </w:p>
        </w:tc>
        <w:tc>
          <w:tcPr>
            <w:tcW w:w="2480" w:type="dxa"/>
            <w:tcBorders>
              <w:top w:val="nil"/>
              <w:left w:val="nil"/>
              <w:bottom w:val="single" w:sz="4" w:space="0" w:color="ADD6EA"/>
              <w:right w:val="nil"/>
            </w:tcBorders>
            <w:shd w:val="clear" w:color="000000" w:fill="FFFFFF"/>
            <w:vAlign w:val="bottom"/>
            <w:hideMark/>
          </w:tcPr>
          <w:p w14:paraId="032C3A59"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2,598</w:t>
            </w:r>
          </w:p>
        </w:tc>
      </w:tr>
      <w:tr w:rsidR="007255AB" w:rsidRPr="006B3D81" w14:paraId="419E5BD4"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9BC7A4F" w14:textId="77777777" w:rsidR="007255AB" w:rsidRPr="007255AB" w:rsidRDefault="007255AB" w:rsidP="007255AB">
            <w:pPr>
              <w:tabs>
                <w:tab w:val="clear" w:pos="567"/>
              </w:tabs>
              <w:spacing w:before="0" w:line="240" w:lineRule="auto"/>
              <w:rPr>
                <w:rFonts w:ascii="Open Sans SemiBold" w:eastAsia="Times New Roman" w:hAnsi="Open Sans SemiBold" w:cs="Open Sans SemiBold"/>
                <w:sz w:val="16"/>
                <w:szCs w:val="16"/>
                <w:lang w:val="en-AU" w:eastAsia="en-AU"/>
              </w:rPr>
            </w:pPr>
            <w:r w:rsidRPr="007255AB">
              <w:rPr>
                <w:rFonts w:ascii="Open Sans SemiBold" w:eastAsia="Times New Roman" w:hAnsi="Open Sans SemiBold" w:cs="Open Sans SemiBold"/>
                <w:sz w:val="16"/>
                <w:szCs w:val="16"/>
                <w:lang w:val="en-AU" w:eastAsia="en-AU"/>
              </w:rPr>
              <w:t>Effect of assessed:</w:t>
            </w:r>
          </w:p>
        </w:tc>
        <w:tc>
          <w:tcPr>
            <w:tcW w:w="2580" w:type="dxa"/>
            <w:tcBorders>
              <w:top w:val="nil"/>
              <w:left w:val="nil"/>
              <w:bottom w:val="single" w:sz="4" w:space="0" w:color="ADD6EA"/>
              <w:right w:val="nil"/>
            </w:tcBorders>
            <w:shd w:val="clear" w:color="000000" w:fill="FFFFFF"/>
            <w:vAlign w:val="bottom"/>
            <w:hideMark/>
          </w:tcPr>
          <w:p w14:paraId="0EACF1AF"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 </w:t>
            </w:r>
          </w:p>
        </w:tc>
        <w:tc>
          <w:tcPr>
            <w:tcW w:w="2480" w:type="dxa"/>
            <w:tcBorders>
              <w:top w:val="nil"/>
              <w:left w:val="nil"/>
              <w:bottom w:val="single" w:sz="4" w:space="0" w:color="ADD6EA"/>
              <w:right w:val="nil"/>
            </w:tcBorders>
            <w:shd w:val="clear" w:color="000000" w:fill="FFFFFF"/>
            <w:vAlign w:val="bottom"/>
            <w:hideMark/>
          </w:tcPr>
          <w:p w14:paraId="1BC076E8"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 </w:t>
            </w:r>
          </w:p>
        </w:tc>
      </w:tr>
      <w:tr w:rsidR="007255AB" w:rsidRPr="006B3D81" w14:paraId="494344B6"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73359AAC" w14:textId="77777777" w:rsidR="007255AB" w:rsidRPr="007255AB" w:rsidRDefault="007255AB" w:rsidP="007255AB">
            <w:pPr>
              <w:tabs>
                <w:tab w:val="clear" w:pos="567"/>
              </w:tabs>
              <w:spacing w:before="0" w:line="240" w:lineRule="auto"/>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Expenses</w:t>
            </w:r>
          </w:p>
        </w:tc>
        <w:tc>
          <w:tcPr>
            <w:tcW w:w="2580" w:type="dxa"/>
            <w:tcBorders>
              <w:top w:val="nil"/>
              <w:left w:val="nil"/>
              <w:bottom w:val="single" w:sz="4" w:space="0" w:color="ADD6EA"/>
              <w:right w:val="nil"/>
            </w:tcBorders>
            <w:shd w:val="clear" w:color="000000" w:fill="FFFFFF"/>
            <w:vAlign w:val="bottom"/>
            <w:hideMark/>
          </w:tcPr>
          <w:p w14:paraId="6A7B9D56"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2,415</w:t>
            </w:r>
          </w:p>
        </w:tc>
        <w:tc>
          <w:tcPr>
            <w:tcW w:w="2480" w:type="dxa"/>
            <w:tcBorders>
              <w:top w:val="nil"/>
              <w:left w:val="nil"/>
              <w:bottom w:val="single" w:sz="4" w:space="0" w:color="ADD6EA"/>
              <w:right w:val="nil"/>
            </w:tcBorders>
            <w:shd w:val="clear" w:color="000000" w:fill="FFFFFF"/>
            <w:vAlign w:val="bottom"/>
            <w:hideMark/>
          </w:tcPr>
          <w:p w14:paraId="234FD8F7"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9,817</w:t>
            </w:r>
          </w:p>
        </w:tc>
      </w:tr>
      <w:tr w:rsidR="007255AB" w:rsidRPr="006B3D81" w14:paraId="5F9D9EDE"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4AFD0CF" w14:textId="77777777" w:rsidR="007255AB" w:rsidRPr="007255AB" w:rsidRDefault="007255AB" w:rsidP="007255AB">
            <w:pPr>
              <w:tabs>
                <w:tab w:val="clear" w:pos="567"/>
              </w:tabs>
              <w:spacing w:before="0" w:line="240" w:lineRule="auto"/>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Investment</w:t>
            </w:r>
          </w:p>
        </w:tc>
        <w:tc>
          <w:tcPr>
            <w:tcW w:w="2580" w:type="dxa"/>
            <w:tcBorders>
              <w:top w:val="nil"/>
              <w:left w:val="nil"/>
              <w:bottom w:val="single" w:sz="4" w:space="0" w:color="ADD6EA"/>
              <w:right w:val="nil"/>
            </w:tcBorders>
            <w:shd w:val="clear" w:color="000000" w:fill="FFFFFF"/>
            <w:vAlign w:val="bottom"/>
            <w:hideMark/>
          </w:tcPr>
          <w:p w14:paraId="57EA751B"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394</w:t>
            </w:r>
          </w:p>
        </w:tc>
        <w:tc>
          <w:tcPr>
            <w:tcW w:w="2480" w:type="dxa"/>
            <w:tcBorders>
              <w:top w:val="nil"/>
              <w:left w:val="nil"/>
              <w:bottom w:val="single" w:sz="4" w:space="0" w:color="ADD6EA"/>
              <w:right w:val="nil"/>
            </w:tcBorders>
            <w:shd w:val="clear" w:color="000000" w:fill="FFFFFF"/>
            <w:vAlign w:val="bottom"/>
            <w:hideMark/>
          </w:tcPr>
          <w:p w14:paraId="589B79D4"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1,603</w:t>
            </w:r>
          </w:p>
        </w:tc>
      </w:tr>
      <w:tr w:rsidR="007255AB" w:rsidRPr="006B3D81" w14:paraId="55B2CCBB"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3CE49738" w14:textId="77777777" w:rsidR="007255AB" w:rsidRPr="007255AB" w:rsidRDefault="007255AB" w:rsidP="007255AB">
            <w:pPr>
              <w:tabs>
                <w:tab w:val="clear" w:pos="567"/>
              </w:tabs>
              <w:spacing w:before="0" w:line="240" w:lineRule="auto"/>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Net borrowing</w:t>
            </w:r>
          </w:p>
        </w:tc>
        <w:tc>
          <w:tcPr>
            <w:tcW w:w="2580" w:type="dxa"/>
            <w:tcBorders>
              <w:top w:val="nil"/>
              <w:left w:val="nil"/>
              <w:bottom w:val="single" w:sz="4" w:space="0" w:color="ADD6EA"/>
              <w:right w:val="nil"/>
            </w:tcBorders>
            <w:shd w:val="clear" w:color="000000" w:fill="FFFFFF"/>
            <w:vAlign w:val="bottom"/>
            <w:hideMark/>
          </w:tcPr>
          <w:p w14:paraId="288A20C1"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15</w:t>
            </w:r>
          </w:p>
        </w:tc>
        <w:tc>
          <w:tcPr>
            <w:tcW w:w="2480" w:type="dxa"/>
            <w:tcBorders>
              <w:top w:val="nil"/>
              <w:left w:val="nil"/>
              <w:bottom w:val="single" w:sz="4" w:space="0" w:color="ADD6EA"/>
              <w:right w:val="nil"/>
            </w:tcBorders>
            <w:shd w:val="clear" w:color="000000" w:fill="FFFFFF"/>
            <w:vAlign w:val="bottom"/>
            <w:hideMark/>
          </w:tcPr>
          <w:p w14:paraId="561744AF"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61</w:t>
            </w:r>
          </w:p>
        </w:tc>
      </w:tr>
      <w:tr w:rsidR="007255AB" w:rsidRPr="006B3D81" w14:paraId="6E607D6F" w14:textId="77777777" w:rsidTr="00500FBE">
        <w:trPr>
          <w:trHeight w:val="315"/>
        </w:trPr>
        <w:tc>
          <w:tcPr>
            <w:tcW w:w="4100" w:type="dxa"/>
            <w:tcBorders>
              <w:top w:val="nil"/>
              <w:left w:val="nil"/>
              <w:bottom w:val="single" w:sz="4" w:space="0" w:color="ADD6EA"/>
              <w:right w:val="nil"/>
            </w:tcBorders>
            <w:shd w:val="clear" w:color="auto" w:fill="auto"/>
            <w:vAlign w:val="bottom"/>
            <w:hideMark/>
          </w:tcPr>
          <w:p w14:paraId="476515FF" w14:textId="77777777" w:rsidR="007255AB" w:rsidRPr="007255AB" w:rsidRDefault="007255AB" w:rsidP="007255AB">
            <w:pPr>
              <w:tabs>
                <w:tab w:val="clear" w:pos="567"/>
              </w:tabs>
              <w:spacing w:before="0" w:line="240" w:lineRule="auto"/>
              <w:rPr>
                <w:rFonts w:eastAsia="Times New Roman" w:cs="Open Sans Light"/>
                <w:sz w:val="16"/>
                <w:szCs w:val="16"/>
                <w:lang w:val="en-AU" w:eastAsia="en-AU"/>
              </w:rPr>
            </w:pPr>
            <w:r w:rsidRPr="007255AB">
              <w:rPr>
                <w:rFonts w:eastAsia="Times New Roman" w:cs="Open Sans Light"/>
                <w:sz w:val="16"/>
                <w:szCs w:val="16"/>
                <w:lang w:val="en-AU" w:eastAsia="en-AU"/>
              </w:rPr>
              <w:t>Revenue</w:t>
            </w:r>
          </w:p>
        </w:tc>
        <w:tc>
          <w:tcPr>
            <w:tcW w:w="2580" w:type="dxa"/>
            <w:tcBorders>
              <w:top w:val="nil"/>
              <w:left w:val="nil"/>
              <w:bottom w:val="single" w:sz="4" w:space="0" w:color="ADD6EA"/>
              <w:right w:val="nil"/>
            </w:tcBorders>
            <w:shd w:val="clear" w:color="000000" w:fill="FFFFFF"/>
            <w:vAlign w:val="bottom"/>
            <w:hideMark/>
          </w:tcPr>
          <w:p w14:paraId="0C09BF57"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1</w:t>
            </w:r>
          </w:p>
        </w:tc>
        <w:tc>
          <w:tcPr>
            <w:tcW w:w="2480" w:type="dxa"/>
            <w:tcBorders>
              <w:top w:val="nil"/>
              <w:left w:val="nil"/>
              <w:bottom w:val="single" w:sz="4" w:space="0" w:color="ADD6EA"/>
              <w:right w:val="nil"/>
            </w:tcBorders>
            <w:shd w:val="clear" w:color="000000" w:fill="FFFFFF"/>
            <w:vAlign w:val="bottom"/>
            <w:hideMark/>
          </w:tcPr>
          <w:p w14:paraId="6CFE2F10"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6</w:t>
            </w:r>
          </w:p>
        </w:tc>
      </w:tr>
      <w:tr w:rsidR="007255AB" w:rsidRPr="006B3D81" w14:paraId="0C386409" w14:textId="77777777" w:rsidTr="00500FBE">
        <w:trPr>
          <w:trHeight w:val="315"/>
        </w:trPr>
        <w:tc>
          <w:tcPr>
            <w:tcW w:w="4100" w:type="dxa"/>
            <w:tcBorders>
              <w:top w:val="nil"/>
              <w:left w:val="nil"/>
              <w:bottom w:val="single" w:sz="4" w:space="0" w:color="ADD6EA"/>
              <w:right w:val="nil"/>
            </w:tcBorders>
            <w:shd w:val="clear" w:color="000000" w:fill="FFFFFF"/>
            <w:vAlign w:val="bottom"/>
            <w:hideMark/>
          </w:tcPr>
          <w:p w14:paraId="06B8F8A6" w14:textId="77777777" w:rsidR="007255AB" w:rsidRPr="007255AB" w:rsidRDefault="007255AB" w:rsidP="007255AB">
            <w:pPr>
              <w:tabs>
                <w:tab w:val="clear" w:pos="567"/>
              </w:tabs>
              <w:spacing w:before="0" w:line="240" w:lineRule="auto"/>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Commonwealth payments</w:t>
            </w:r>
          </w:p>
        </w:tc>
        <w:tc>
          <w:tcPr>
            <w:tcW w:w="2580" w:type="dxa"/>
            <w:tcBorders>
              <w:top w:val="nil"/>
              <w:left w:val="nil"/>
              <w:bottom w:val="single" w:sz="4" w:space="0" w:color="ADD6EA"/>
              <w:right w:val="nil"/>
            </w:tcBorders>
            <w:shd w:val="clear" w:color="000000" w:fill="FFFFFF"/>
            <w:vAlign w:val="bottom"/>
            <w:hideMark/>
          </w:tcPr>
          <w:p w14:paraId="0127AC62"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-412</w:t>
            </w:r>
          </w:p>
        </w:tc>
        <w:tc>
          <w:tcPr>
            <w:tcW w:w="2480" w:type="dxa"/>
            <w:tcBorders>
              <w:top w:val="nil"/>
              <w:left w:val="nil"/>
              <w:bottom w:val="single" w:sz="4" w:space="0" w:color="ADD6EA"/>
              <w:right w:val="nil"/>
            </w:tcBorders>
            <w:shd w:val="clear" w:color="000000" w:fill="FFFFFF"/>
            <w:vAlign w:val="bottom"/>
            <w:hideMark/>
          </w:tcPr>
          <w:p w14:paraId="6A0CE84B" w14:textId="77777777" w:rsidR="007255AB" w:rsidRPr="007255AB" w:rsidRDefault="007255AB" w:rsidP="007255AB">
            <w:pPr>
              <w:tabs>
                <w:tab w:val="clear" w:pos="567"/>
              </w:tabs>
              <w:spacing w:before="0" w:line="240" w:lineRule="auto"/>
              <w:jc w:val="right"/>
              <w:rPr>
                <w:rFonts w:eastAsia="Times New Roman" w:cs="Open Sans Light"/>
                <w:color w:val="000000"/>
                <w:sz w:val="16"/>
                <w:szCs w:val="16"/>
                <w:lang w:val="en-AU" w:eastAsia="en-AU"/>
              </w:rPr>
            </w:pPr>
            <w:r w:rsidRPr="007255AB">
              <w:rPr>
                <w:rFonts w:eastAsia="Times New Roman" w:cs="Open Sans Light"/>
                <w:color w:val="000000"/>
                <w:sz w:val="16"/>
                <w:szCs w:val="16"/>
                <w:lang w:val="en-AU" w:eastAsia="en-AU"/>
              </w:rPr>
              <w:t>-1,675</w:t>
            </w:r>
          </w:p>
        </w:tc>
      </w:tr>
      <w:tr w:rsidR="007255AB" w:rsidRPr="006B3D81" w14:paraId="746F3F08" w14:textId="77777777" w:rsidTr="00500FBE">
        <w:trPr>
          <w:trHeight w:val="315"/>
        </w:trPr>
        <w:tc>
          <w:tcPr>
            <w:tcW w:w="4100" w:type="dxa"/>
            <w:tcBorders>
              <w:top w:val="nil"/>
              <w:left w:val="nil"/>
              <w:bottom w:val="single" w:sz="4" w:space="0" w:color="ADD6EA"/>
              <w:right w:val="nil"/>
            </w:tcBorders>
            <w:shd w:val="clear" w:color="000000" w:fill="B6D5E4"/>
            <w:vAlign w:val="bottom"/>
            <w:hideMark/>
          </w:tcPr>
          <w:p w14:paraId="6A626397" w14:textId="77777777" w:rsidR="007255AB" w:rsidRPr="007255AB" w:rsidRDefault="007255AB" w:rsidP="007255AB">
            <w:pPr>
              <w:tabs>
                <w:tab w:val="clear" w:pos="567"/>
              </w:tabs>
              <w:spacing w:before="0" w:line="240" w:lineRule="auto"/>
              <w:rPr>
                <w:rFonts w:ascii="Open Sans SemiBold" w:eastAsia="Times New Roman" w:hAnsi="Open Sans SemiBold" w:cs="Open Sans SemiBold"/>
                <w:color w:val="000000"/>
                <w:sz w:val="16"/>
                <w:szCs w:val="16"/>
                <w:lang w:val="en-AU" w:eastAsia="en-AU"/>
              </w:rPr>
            </w:pPr>
            <w:r w:rsidRPr="007255AB">
              <w:rPr>
                <w:rFonts w:ascii="Open Sans SemiBold" w:eastAsia="Times New Roman" w:hAnsi="Open Sans SemiBold" w:cs="Open Sans SemiBold"/>
                <w:color w:val="000000"/>
                <w:sz w:val="16"/>
                <w:szCs w:val="16"/>
                <w:lang w:val="en-AU" w:eastAsia="en-AU"/>
              </w:rPr>
              <w:t>Illustrative GST</w:t>
            </w:r>
          </w:p>
        </w:tc>
        <w:tc>
          <w:tcPr>
            <w:tcW w:w="2580" w:type="dxa"/>
            <w:tcBorders>
              <w:top w:val="nil"/>
              <w:left w:val="nil"/>
              <w:bottom w:val="single" w:sz="4" w:space="0" w:color="ADD6EA"/>
              <w:right w:val="nil"/>
            </w:tcBorders>
            <w:shd w:val="clear" w:color="000000" w:fill="B6D5E4"/>
            <w:vAlign w:val="bottom"/>
            <w:hideMark/>
          </w:tcPr>
          <w:p w14:paraId="5B938C25" w14:textId="77777777" w:rsidR="007255AB" w:rsidRPr="007255AB" w:rsidRDefault="007255AB" w:rsidP="007255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255AB">
              <w:rPr>
                <w:rFonts w:ascii="Open Sans SemiBold" w:eastAsia="Times New Roman" w:hAnsi="Open Sans SemiBold" w:cs="Open Sans SemiBold"/>
                <w:color w:val="000000"/>
                <w:sz w:val="16"/>
                <w:szCs w:val="16"/>
                <w:lang w:val="en-AU" w:eastAsia="en-AU"/>
              </w:rPr>
              <w:t>3,053</w:t>
            </w:r>
          </w:p>
        </w:tc>
        <w:tc>
          <w:tcPr>
            <w:tcW w:w="2480" w:type="dxa"/>
            <w:tcBorders>
              <w:top w:val="nil"/>
              <w:left w:val="nil"/>
              <w:bottom w:val="single" w:sz="4" w:space="0" w:color="ADD6EA"/>
              <w:right w:val="nil"/>
            </w:tcBorders>
            <w:shd w:val="clear" w:color="000000" w:fill="B6D5E4"/>
            <w:vAlign w:val="bottom"/>
            <w:hideMark/>
          </w:tcPr>
          <w:p w14:paraId="46743DAF" w14:textId="77777777" w:rsidR="007255AB" w:rsidRPr="007255AB" w:rsidRDefault="007255AB" w:rsidP="007255AB">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7255AB">
              <w:rPr>
                <w:rFonts w:ascii="Open Sans SemiBold" w:eastAsia="Times New Roman" w:hAnsi="Open Sans SemiBold" w:cs="Open Sans SemiBold"/>
                <w:color w:val="000000"/>
                <w:sz w:val="16"/>
                <w:szCs w:val="16"/>
                <w:lang w:val="en-AU" w:eastAsia="en-AU"/>
              </w:rPr>
              <w:t>12,410</w:t>
            </w:r>
          </w:p>
        </w:tc>
      </w:tr>
    </w:tbl>
    <w:p w14:paraId="2482DE5E" w14:textId="77777777" w:rsidR="00AF73A2" w:rsidRDefault="00AF73A2" w:rsidP="00AF73A2">
      <w:pPr>
        <w:pStyle w:val="CGCTablenote"/>
      </w:pPr>
      <w:r>
        <w:t>Note:</w:t>
      </w:r>
      <w:r>
        <w:tab/>
        <w:t>Table may not add due to rounding.</w:t>
      </w:r>
    </w:p>
    <w:p w14:paraId="4B998A60" w14:textId="26A8FB10" w:rsidR="00AF73A2" w:rsidRPr="00922552" w:rsidRDefault="00AF73A2" w:rsidP="00AF73A2">
      <w:pPr>
        <w:pStyle w:val="CGCTablenote"/>
      </w:pPr>
      <w:r>
        <w:t>Source:</w:t>
      </w:r>
      <w:r>
        <w:tab/>
        <w:t>Commission calculation.</w:t>
      </w:r>
    </w:p>
    <w:p w14:paraId="7C465D83" w14:textId="6102833F" w:rsidR="004D2749" w:rsidRDefault="004D2749" w:rsidP="005F11DD">
      <w:pPr>
        <w:pStyle w:val="Heading3"/>
      </w:pPr>
      <w:bookmarkStart w:id="80" w:name="_Toc33600572"/>
      <w:r>
        <w:lastRenderedPageBreak/>
        <w:t>Size of the equali</w:t>
      </w:r>
      <w:r w:rsidR="00A67C47">
        <w:t>s</w:t>
      </w:r>
      <w:r>
        <w:t>ation task</w:t>
      </w:r>
      <w:bookmarkEnd w:id="80"/>
    </w:p>
    <w:p w14:paraId="149D3DC3" w14:textId="58E923C1" w:rsidR="005F11DD" w:rsidRDefault="00A67C47" w:rsidP="005F11DD">
      <w:pPr>
        <w:pStyle w:val="CGCParaNumber"/>
      </w:pPr>
      <w:r w:rsidRPr="00A67C47">
        <w:t xml:space="preserve">States have different fiscal capacities </w:t>
      </w:r>
      <w:r w:rsidR="00D772A3">
        <w:t>prior to</w:t>
      </w:r>
      <w:r w:rsidRPr="00A67C47">
        <w:t xml:space="preserve"> equalisation. The distribution of GST revenue both increases and equalises those capacities for all States. The size of the equalisation task is determined by the variation in their initial fiscal capacities. </w:t>
      </w:r>
      <w:r w:rsidR="00C764F7">
        <w:t>The larger the divergence in State fisc</w:t>
      </w:r>
      <w:r w:rsidR="006470B5">
        <w:t>al capacities, the</w:t>
      </w:r>
      <w:r w:rsidRPr="00A67C47">
        <w:t xml:space="preserve"> more GST is required to achieve equalisation.</w:t>
      </w:r>
    </w:p>
    <w:p w14:paraId="175AC46E" w14:textId="77777777" w:rsidR="008A0C5F" w:rsidRDefault="00237625" w:rsidP="005F11DD">
      <w:pPr>
        <w:pStyle w:val="CGCParaNumber"/>
      </w:pPr>
      <w:r w:rsidRPr="00237625">
        <w:t>The process of distributing GST revenue can be thought of in two different ways.</w:t>
      </w:r>
    </w:p>
    <w:p w14:paraId="0592C83A" w14:textId="01076D09" w:rsidR="00237625" w:rsidRDefault="00F913BC" w:rsidP="00237625">
      <w:pPr>
        <w:pStyle w:val="CGCBullet1"/>
      </w:pPr>
      <w:r w:rsidRPr="00F913BC">
        <w:t xml:space="preserve">GST revenue is first distributed on a population basis, raising the fiscal capacity of all States equally. Then there is a redistribution </w:t>
      </w:r>
      <w:r w:rsidR="00532D91">
        <w:t xml:space="preserve">of a proportion of this revenue </w:t>
      </w:r>
      <w:r w:rsidRPr="00F913BC">
        <w:t>to achieve equalisation – from States with above average capacity to those with below average capacity. The size of this redistribution is one measure of the equalisation task.</w:t>
      </w:r>
    </w:p>
    <w:p w14:paraId="525EA8A9" w14:textId="7772740F" w:rsidR="00F61E28" w:rsidRDefault="005747A0" w:rsidP="005747A0">
      <w:pPr>
        <w:pStyle w:val="CGCBullet1"/>
      </w:pPr>
      <w:r w:rsidRPr="005747A0">
        <w:t>GST revenue is first distributed to bring the initial fiscal capacities of all States to that of the strongest. The remaining GST is then distributed equally among all States. The GST required to achieve the first step is an alternative measure of the equalisation task.</w:t>
      </w:r>
    </w:p>
    <w:p w14:paraId="2528C9E0" w14:textId="02023724" w:rsidR="00DE6E42" w:rsidRDefault="00F61E28" w:rsidP="00F34323">
      <w:pPr>
        <w:pStyle w:val="CGCParaNumber"/>
      </w:pPr>
      <w:r w:rsidRPr="00F61E28">
        <w:t xml:space="preserve">These two measures, which can be expressed in dollars or as a proportion of GST revenue, highlight different aspects of the equalisation task. The first identifies the aggregate transfer from an EPC distribution </w:t>
      </w:r>
      <w:r w:rsidR="00BF5662">
        <w:t>from</w:t>
      </w:r>
      <w:r w:rsidRPr="00F61E28">
        <w:t xml:space="preserve"> States with above average fiscal capacities to States with below average fiscal capacities. The second identifies the difference between the strongest State and the average of the others.</w:t>
      </w:r>
    </w:p>
    <w:p w14:paraId="3DE5845E" w14:textId="77777777" w:rsidR="005747A0" w:rsidRDefault="00DE6E42" w:rsidP="00F34323">
      <w:pPr>
        <w:pStyle w:val="CGCParaNumber"/>
      </w:pPr>
      <w:r w:rsidRPr="00DE6E42">
        <w:t>However, note that these are conceptual illustrations of equalisation only and do not reflect what the Commission does in practice. For example, to take the second approach described above, the Commission’s objective is not in fact to ‘level up’ seven States to the fiscal capacity of the fiscally strongest State; rather, it seeks to ensure that every State, including the fiscally strongest, has the same capacity to provide the average standard of State services.</w:t>
      </w:r>
    </w:p>
    <w:p w14:paraId="287B0B3E" w14:textId="4886D9BE" w:rsidR="007E5A9C" w:rsidRDefault="007E5A9C" w:rsidP="00F34323">
      <w:pPr>
        <w:pStyle w:val="CGCParaNumber"/>
      </w:pPr>
      <w:r w:rsidRPr="0081199E">
        <w:t xml:space="preserve">In relation to the first measure, </w:t>
      </w:r>
      <w:r w:rsidR="007D29F6" w:rsidRPr="0081199E">
        <w:fldChar w:fldCharType="begin"/>
      </w:r>
      <w:r w:rsidR="007D29F6" w:rsidRPr="0081199E">
        <w:instrText xml:space="preserve"> REF _Ref30513170 \h </w:instrText>
      </w:r>
      <w:r w:rsidR="004F16F8" w:rsidRPr="0081199E">
        <w:instrText xml:space="preserve"> \* MERGEFORMAT </w:instrText>
      </w:r>
      <w:r w:rsidR="007D29F6" w:rsidRPr="0081199E">
        <w:fldChar w:fldCharType="separate"/>
      </w:r>
      <w:r w:rsidR="003D49C2">
        <w:t xml:space="preserve">Figure </w:t>
      </w:r>
      <w:r w:rsidR="003D49C2">
        <w:rPr>
          <w:noProof/>
        </w:rPr>
        <w:t>4</w:t>
      </w:r>
      <w:r w:rsidR="003D49C2">
        <w:rPr>
          <w:noProof/>
        </w:rPr>
        <w:noBreakHyphen/>
        <w:t>6</w:t>
      </w:r>
      <w:r w:rsidR="007D29F6" w:rsidRPr="0081199E">
        <w:fldChar w:fldCharType="end"/>
      </w:r>
      <w:r w:rsidRPr="0081199E">
        <w:t xml:space="preserve"> </w:t>
      </w:r>
      <w:r w:rsidR="00145AF3" w:rsidRPr="0081199E">
        <w:t>shows that the proportion of GST redistributed to the States with below average fiscal capacities increased between 2010</w:t>
      </w:r>
      <w:r w:rsidR="0091265D" w:rsidRPr="0081199E">
        <w:noBreakHyphen/>
      </w:r>
      <w:r w:rsidR="00145AF3" w:rsidRPr="0081199E">
        <w:t>11 and 2016</w:t>
      </w:r>
      <w:r w:rsidR="0091265D" w:rsidRPr="0081199E">
        <w:noBreakHyphen/>
      </w:r>
      <w:r w:rsidR="00145AF3" w:rsidRPr="0081199E">
        <w:t>17, mainly due to the deterioration in Queensland’s assessed fiscal capacity.</w:t>
      </w:r>
      <w:r w:rsidR="003F428F">
        <w:rPr>
          <w:rStyle w:val="FootnoteReference"/>
        </w:rPr>
        <w:footnoteReference w:id="15"/>
      </w:r>
      <w:r w:rsidR="00145AF3" w:rsidRPr="0081199E">
        <w:t xml:space="preserve"> Since that time, the proportion has decreased.</w:t>
      </w:r>
      <w:r w:rsidR="00145AF3" w:rsidRPr="00145AF3">
        <w:t xml:space="preserve"> In this </w:t>
      </w:r>
      <w:r w:rsidR="003A396B">
        <w:t>review</w:t>
      </w:r>
      <w:r w:rsidR="00145AF3" w:rsidRPr="00145AF3">
        <w:t xml:space="preserve">, </w:t>
      </w:r>
      <w:r w:rsidR="00145AF3" w:rsidRPr="006D4D93">
        <w:t>9.</w:t>
      </w:r>
      <w:r w:rsidR="004379F1">
        <w:t>2</w:t>
      </w:r>
      <w:r w:rsidR="00145AF3" w:rsidRPr="006D4D93">
        <w:t>%</w:t>
      </w:r>
      <w:r w:rsidR="00145AF3" w:rsidRPr="00145AF3">
        <w:t xml:space="preserve"> of the GST pool is redistributed to the four less populous States and Queensland to achieve fiscal equalisation, down from </w:t>
      </w:r>
      <w:r w:rsidR="0091265D" w:rsidRPr="006D4D93">
        <w:t>9</w:t>
      </w:r>
      <w:r w:rsidR="00145AF3" w:rsidRPr="006D4D93">
        <w:t>.</w:t>
      </w:r>
      <w:r w:rsidR="0091265D" w:rsidRPr="006D4D93">
        <w:t>5</w:t>
      </w:r>
      <w:r w:rsidR="00145AF3" w:rsidRPr="006D4D93">
        <w:t>%</w:t>
      </w:r>
      <w:r w:rsidR="00145AF3" w:rsidRPr="00145AF3">
        <w:t xml:space="preserve"> in last year’s update, reflecting </w:t>
      </w:r>
      <w:r w:rsidR="00145AF3" w:rsidRPr="004F16F8">
        <w:t>the improvement in Queensland’s assessed fiscal capacity.</w:t>
      </w:r>
    </w:p>
    <w:p w14:paraId="5BAF446B" w14:textId="5EA5A829" w:rsidR="00145AF3" w:rsidRDefault="00266861" w:rsidP="00F34323">
      <w:pPr>
        <w:pStyle w:val="CGCParaNumber"/>
      </w:pPr>
      <w:r w:rsidRPr="00266861">
        <w:t xml:space="preserve">In this </w:t>
      </w:r>
      <w:r w:rsidR="00096496">
        <w:t>review</w:t>
      </w:r>
      <w:r w:rsidRPr="00266861">
        <w:t>, the redistribution in 20</w:t>
      </w:r>
      <w:r w:rsidR="00096496">
        <w:t>20</w:t>
      </w:r>
      <w:r w:rsidR="00096496">
        <w:noBreakHyphen/>
        <w:t>2</w:t>
      </w:r>
      <w:r w:rsidRPr="00266861">
        <w:t xml:space="preserve">1 to the four less populous States accounts for </w:t>
      </w:r>
      <w:r w:rsidRPr="004F16F8">
        <w:t>8</w:t>
      </w:r>
      <w:r w:rsidR="00DA3F8B">
        <w:t>9</w:t>
      </w:r>
      <w:r w:rsidRPr="004F16F8">
        <w:t>%</w:t>
      </w:r>
      <w:r w:rsidRPr="00266861">
        <w:t xml:space="preserve"> of the </w:t>
      </w:r>
      <w:r w:rsidRPr="00C52976">
        <w:t>$6.</w:t>
      </w:r>
      <w:r w:rsidR="004D6B7A">
        <w:t>2</w:t>
      </w:r>
      <w:r w:rsidR="00C52976">
        <w:t> </w:t>
      </w:r>
      <w:r w:rsidRPr="00C52976">
        <w:t>billion GST</w:t>
      </w:r>
      <w:r w:rsidRPr="00266861">
        <w:t xml:space="preserve"> redistribution shown in</w:t>
      </w:r>
      <w:r>
        <w:t xml:space="preserve"> </w:t>
      </w:r>
      <w:r w:rsidR="005B3AD3" w:rsidRPr="004F16F8">
        <w:fldChar w:fldCharType="begin"/>
      </w:r>
      <w:r w:rsidR="005B3AD3" w:rsidRPr="004F16F8">
        <w:instrText xml:space="preserve"> REF _Ref30513170 \h </w:instrText>
      </w:r>
      <w:r w:rsidR="004F16F8">
        <w:instrText xml:space="preserve"> \* MERGEFORMAT </w:instrText>
      </w:r>
      <w:r w:rsidR="005B3AD3" w:rsidRPr="004F16F8">
        <w:fldChar w:fldCharType="separate"/>
      </w:r>
      <w:r w:rsidR="003D49C2">
        <w:t xml:space="preserve">Figure </w:t>
      </w:r>
      <w:r w:rsidR="003D49C2">
        <w:rPr>
          <w:noProof/>
        </w:rPr>
        <w:t>4</w:t>
      </w:r>
      <w:r w:rsidR="003D49C2">
        <w:rPr>
          <w:noProof/>
        </w:rPr>
        <w:noBreakHyphen/>
        <w:t>6</w:t>
      </w:r>
      <w:r w:rsidR="005B3AD3" w:rsidRPr="004F16F8">
        <w:fldChar w:fldCharType="end"/>
      </w:r>
      <w:r w:rsidR="005B3AD3" w:rsidRPr="004F16F8">
        <w:t>.</w:t>
      </w:r>
      <w:r>
        <w:t xml:space="preserve"> </w:t>
      </w:r>
      <w:r w:rsidR="00741659" w:rsidRPr="00617995">
        <w:t xml:space="preserve">These States have about </w:t>
      </w:r>
      <w:r w:rsidR="00741659" w:rsidRPr="004F16F8">
        <w:t>11.</w:t>
      </w:r>
      <w:r w:rsidR="004F37DC">
        <w:t>5</w:t>
      </w:r>
      <w:r w:rsidR="00741659" w:rsidRPr="004F16F8">
        <w:t>%</w:t>
      </w:r>
      <w:r w:rsidR="00741659" w:rsidRPr="00617995">
        <w:t xml:space="preserve"> of Australia’s population and receive </w:t>
      </w:r>
      <w:r w:rsidR="00741659" w:rsidRPr="004F16F8">
        <w:t>19.</w:t>
      </w:r>
      <w:r w:rsidR="00F27F58">
        <w:t>7</w:t>
      </w:r>
      <w:r w:rsidR="00741659" w:rsidRPr="004F16F8">
        <w:t>%</w:t>
      </w:r>
      <w:r w:rsidR="00741659" w:rsidRPr="00617995">
        <w:t xml:space="preserve"> of the GST, which is similar to the long</w:t>
      </w:r>
      <w:r w:rsidR="00741659" w:rsidRPr="00617995">
        <w:noBreakHyphen/>
        <w:t xml:space="preserve">term average proportion of </w:t>
      </w:r>
      <w:r w:rsidR="00741659" w:rsidRPr="004F16F8">
        <w:t>20.4%</w:t>
      </w:r>
      <w:r w:rsidR="00741659" w:rsidRPr="00617995">
        <w:t>. Redistribution to these States is mostly the result of weaker revenue bases and higher service delivery costs.</w:t>
      </w:r>
    </w:p>
    <w:p w14:paraId="3F5D1ACC" w14:textId="1E8FE937" w:rsidR="007E5A9C" w:rsidRDefault="007E5A9C" w:rsidP="003F4674">
      <w:pPr>
        <w:pStyle w:val="CGCTableHeading"/>
      </w:pPr>
      <w:bookmarkStart w:id="81" w:name="_Ref30513170"/>
      <w:r>
        <w:lastRenderedPageBreak/>
        <w:t xml:space="preserve">Figure </w:t>
      </w:r>
      <w:r w:rsidR="00BB5935">
        <w:t>4</w:t>
      </w:r>
      <w:r w:rsidR="00BB5935">
        <w:noBreakHyphen/>
      </w:r>
      <w:r>
        <w:fldChar w:fldCharType="begin"/>
      </w:r>
      <w:r>
        <w:instrText>SEQ Figure \* ARABIC</w:instrText>
      </w:r>
      <w:r>
        <w:fldChar w:fldCharType="separate"/>
      </w:r>
      <w:r w:rsidR="003D49C2">
        <w:rPr>
          <w:noProof/>
        </w:rPr>
        <w:t>6</w:t>
      </w:r>
      <w:r>
        <w:fldChar w:fldCharType="end"/>
      </w:r>
      <w:bookmarkEnd w:id="81"/>
      <w:r>
        <w:tab/>
        <w:t>Proportion of the GST redistributed to States with below average fiscal capacities</w:t>
      </w:r>
      <w:r w:rsidR="00FB3903">
        <w:t>, 2000</w:t>
      </w:r>
      <w:r w:rsidR="00FB3903">
        <w:noBreakHyphen/>
        <w:t>01 to 2020</w:t>
      </w:r>
      <w:r w:rsidR="00FB3903">
        <w:noBreakHyphen/>
        <w:t>21</w:t>
      </w:r>
    </w:p>
    <w:p w14:paraId="7C7139A5" w14:textId="28D5C4B8" w:rsidR="00FB3903" w:rsidRDefault="007E23E4" w:rsidP="00FB3903">
      <w:r>
        <w:rPr>
          <w:noProof/>
        </w:rPr>
        <w:drawing>
          <wp:inline distT="0" distB="0" distL="0" distR="0" wp14:anchorId="4FC84ABB" wp14:editId="72975DE9">
            <wp:extent cx="5663565" cy="3578860"/>
            <wp:effectExtent l="0" t="0" r="0" b="2540"/>
            <wp:docPr id="1742106038" name="Picture 728468244" descr="This stacked area chart shows that the GST redistribution required is typically between 8% and 13% with the chart ending at around 9% currently. It displays the 4 less populous states and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468244"/>
                    <pic:cNvPicPr/>
                  </pic:nvPicPr>
                  <pic:blipFill>
                    <a:blip r:embed="rId59">
                      <a:extLst>
                        <a:ext uri="{28A0092B-C50C-407E-A947-70E740481C1C}">
                          <a14:useLocalDpi xmlns:a14="http://schemas.microsoft.com/office/drawing/2010/main" val="0"/>
                        </a:ext>
                      </a:extLst>
                    </a:blip>
                    <a:stretch>
                      <a:fillRect/>
                    </a:stretch>
                  </pic:blipFill>
                  <pic:spPr>
                    <a:xfrm>
                      <a:off x="0" y="0"/>
                      <a:ext cx="5663565" cy="3578860"/>
                    </a:xfrm>
                    <a:prstGeom prst="rect">
                      <a:avLst/>
                    </a:prstGeom>
                  </pic:spPr>
                </pic:pic>
              </a:graphicData>
            </a:graphic>
          </wp:inline>
        </w:drawing>
      </w:r>
    </w:p>
    <w:p w14:paraId="6354521B" w14:textId="3BB4613D" w:rsidR="00FB3903" w:rsidRDefault="00FB3903" w:rsidP="00FB3903">
      <w:pPr>
        <w:pStyle w:val="CGCTablenote"/>
      </w:pPr>
      <w:r>
        <w:t>Source:</w:t>
      </w:r>
      <w:r>
        <w:tab/>
      </w:r>
      <w:r w:rsidR="007849AA">
        <w:t>Commission calculation.</w:t>
      </w:r>
    </w:p>
    <w:p w14:paraId="3581FD59" w14:textId="5BF2E9CB" w:rsidR="00B92C96" w:rsidRDefault="000C4BC4" w:rsidP="00B92C96">
      <w:pPr>
        <w:pStyle w:val="CGCParaNumber"/>
      </w:pPr>
      <w:r>
        <w:fldChar w:fldCharType="begin"/>
      </w:r>
      <w:r>
        <w:instrText xml:space="preserve"> REF _Ref30513517 \h </w:instrText>
      </w:r>
      <w:r>
        <w:fldChar w:fldCharType="separate"/>
      </w:r>
      <w:r w:rsidR="003D49C2">
        <w:t>Figure 4</w:t>
      </w:r>
      <w:r w:rsidR="003D49C2">
        <w:noBreakHyphen/>
      </w:r>
      <w:r w:rsidR="003D49C2">
        <w:rPr>
          <w:noProof/>
        </w:rPr>
        <w:t>7</w:t>
      </w:r>
      <w:r>
        <w:fldChar w:fldCharType="end"/>
      </w:r>
      <w:r w:rsidR="00AC6A55">
        <w:t xml:space="preserve"> </w:t>
      </w:r>
      <w:r w:rsidR="003E2E6B" w:rsidRPr="003E2E6B">
        <w:t>shows the contribution of States with above average fiscal capacities to the GST redistribution. Western</w:t>
      </w:r>
      <w:r w:rsidR="00B92A8E">
        <w:t> </w:t>
      </w:r>
      <w:r w:rsidR="003E2E6B" w:rsidRPr="003E2E6B">
        <w:t xml:space="preserve">Australia’s assessed fiscal capacity </w:t>
      </w:r>
      <w:r w:rsidR="00B92A8E">
        <w:t xml:space="preserve">increased in this </w:t>
      </w:r>
      <w:r w:rsidR="00176D28">
        <w:t>review</w:t>
      </w:r>
      <w:r w:rsidR="00A87FAC">
        <w:t>,</w:t>
      </w:r>
      <w:r w:rsidR="00176D28">
        <w:t xml:space="preserve"> </w:t>
      </w:r>
      <w:r w:rsidR="00B92A8E">
        <w:t xml:space="preserve">after having </w:t>
      </w:r>
      <w:r w:rsidR="003E2E6B" w:rsidRPr="003E2E6B">
        <w:t>f</w:t>
      </w:r>
      <w:r w:rsidR="00B92A8E">
        <w:t>a</w:t>
      </w:r>
      <w:r w:rsidR="003E2E6B" w:rsidRPr="003E2E6B">
        <w:t>ll</w:t>
      </w:r>
      <w:r w:rsidR="00B92A8E">
        <w:t>en</w:t>
      </w:r>
      <w:r w:rsidR="003E2E6B" w:rsidRPr="003E2E6B">
        <w:t xml:space="preserve"> in th</w:t>
      </w:r>
      <w:r w:rsidR="00B92A8E">
        <w:t xml:space="preserve">e previous </w:t>
      </w:r>
      <w:r w:rsidR="00176D28">
        <w:t xml:space="preserve">four </w:t>
      </w:r>
      <w:r w:rsidR="003E2E6B" w:rsidRPr="003E2E6B">
        <w:t>update</w:t>
      </w:r>
      <w:r w:rsidR="00B92A8E">
        <w:t>s.</w:t>
      </w:r>
      <w:r w:rsidR="003E2E6B" w:rsidRPr="003E2E6B">
        <w:t xml:space="preserve"> </w:t>
      </w:r>
      <w:r w:rsidR="00B92A8E">
        <w:t>Prior to that</w:t>
      </w:r>
      <w:r w:rsidR="00EB485E">
        <w:t>,</w:t>
      </w:r>
      <w:r w:rsidR="00B92A8E">
        <w:t xml:space="preserve"> Western Australia’s assessed fiscal capacity </w:t>
      </w:r>
      <w:r w:rsidR="003E2E6B" w:rsidRPr="003E2E6B">
        <w:t>increase</w:t>
      </w:r>
      <w:r w:rsidR="00B92A8E">
        <w:t>d</w:t>
      </w:r>
      <w:r w:rsidR="003E2E6B" w:rsidRPr="003E2E6B">
        <w:t xml:space="preserve"> in all but one of the nine preceding years. New</w:t>
      </w:r>
      <w:r w:rsidR="00B92A8E">
        <w:t> </w:t>
      </w:r>
      <w:r w:rsidR="003E2E6B" w:rsidRPr="003E2E6B">
        <w:t>South</w:t>
      </w:r>
      <w:r w:rsidR="00B92A8E">
        <w:t> </w:t>
      </w:r>
      <w:r w:rsidR="003E2E6B" w:rsidRPr="003E2E6B">
        <w:t>Wales’ assessed fiscal capacity has</w:t>
      </w:r>
      <w:r w:rsidR="00063077">
        <w:t xml:space="preserve"> </w:t>
      </w:r>
      <w:r w:rsidR="003E2E6B" w:rsidRPr="003E2E6B">
        <w:t xml:space="preserve">fallen </w:t>
      </w:r>
      <w:r w:rsidR="001A1151">
        <w:t xml:space="preserve">for the second year in a row, </w:t>
      </w:r>
      <w:r w:rsidR="003E2E6B" w:rsidRPr="003E2E6B">
        <w:t xml:space="preserve">in this </w:t>
      </w:r>
      <w:r w:rsidR="00063077">
        <w:t>review</w:t>
      </w:r>
      <w:r w:rsidR="003E2E6B" w:rsidRPr="003E2E6B">
        <w:t xml:space="preserve">. This follows an increase in its assessed fiscal capacity in the </w:t>
      </w:r>
      <w:r w:rsidR="008544F3">
        <w:t>preceding</w:t>
      </w:r>
      <w:r w:rsidR="003E2E6B" w:rsidRPr="003E2E6B">
        <w:t xml:space="preserve"> four years. In contrast, Victoria’s assessed fiscal capacity has increased </w:t>
      </w:r>
      <w:r w:rsidR="00077A3C">
        <w:t xml:space="preserve">for </w:t>
      </w:r>
      <w:r w:rsidR="00C32B0F">
        <w:t>the second year in a row</w:t>
      </w:r>
      <w:r w:rsidR="003E2E6B" w:rsidRPr="003E2E6B">
        <w:t>, following decrease</w:t>
      </w:r>
      <w:r w:rsidR="00C32B0F">
        <w:t>s</w:t>
      </w:r>
      <w:r w:rsidR="003E2E6B" w:rsidRPr="003E2E6B">
        <w:t xml:space="preserve"> in the </w:t>
      </w:r>
      <w:r w:rsidR="00654781">
        <w:t xml:space="preserve">preceding </w:t>
      </w:r>
      <w:r w:rsidR="003E2E6B" w:rsidRPr="003E2E6B">
        <w:t>four years.</w:t>
      </w:r>
    </w:p>
    <w:p w14:paraId="258C06B7" w14:textId="3A3BC744" w:rsidR="003E2E6B" w:rsidRDefault="003E2E6B" w:rsidP="003F4674">
      <w:pPr>
        <w:pStyle w:val="Caption"/>
      </w:pPr>
      <w:bookmarkStart w:id="82" w:name="_Ref30513517"/>
      <w:r>
        <w:lastRenderedPageBreak/>
        <w:t xml:space="preserve">Figure </w:t>
      </w:r>
      <w:r w:rsidR="00BB008C">
        <w:t>4</w:t>
      </w:r>
      <w:r w:rsidR="00BB008C">
        <w:noBreakHyphen/>
      </w:r>
      <w:r>
        <w:fldChar w:fldCharType="begin"/>
      </w:r>
      <w:r>
        <w:instrText>SEQ Figure \* ARABIC</w:instrText>
      </w:r>
      <w:r>
        <w:fldChar w:fldCharType="separate"/>
      </w:r>
      <w:r w:rsidR="003D49C2">
        <w:rPr>
          <w:noProof/>
        </w:rPr>
        <w:t>7</w:t>
      </w:r>
      <w:r>
        <w:fldChar w:fldCharType="end"/>
      </w:r>
      <w:bookmarkEnd w:id="82"/>
      <w:r>
        <w:tab/>
      </w:r>
      <w:r w:rsidR="00AB450A">
        <w:t>Proportion of the GST redistributed from States with above average fiscal capacities, 2000</w:t>
      </w:r>
      <w:r w:rsidR="00AB450A">
        <w:noBreakHyphen/>
        <w:t>01 to 2020</w:t>
      </w:r>
      <w:r w:rsidR="00AB450A">
        <w:noBreakHyphen/>
        <w:t>21</w:t>
      </w:r>
    </w:p>
    <w:p w14:paraId="33F10910" w14:textId="750913E6" w:rsidR="001D7A36" w:rsidRDefault="00E63402" w:rsidP="001D7A36">
      <w:r>
        <w:rPr>
          <w:noProof/>
        </w:rPr>
        <w:drawing>
          <wp:inline distT="0" distB="0" distL="0" distR="0" wp14:anchorId="71AAC225" wp14:editId="2476E3B7">
            <wp:extent cx="5663565" cy="3572510"/>
            <wp:effectExtent l="0" t="0" r="0" b="8890"/>
            <wp:docPr id="66053328" name="Picture 728468245" descr="This stacked area chart shows that the GST redistribution required is typically between 8% and 13% with the chart ending at around 9% currently. It displays the 4 most populous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468245"/>
                    <pic:cNvPicPr/>
                  </pic:nvPicPr>
                  <pic:blipFill>
                    <a:blip r:embed="rId60">
                      <a:extLst>
                        <a:ext uri="{28A0092B-C50C-407E-A947-70E740481C1C}">
                          <a14:useLocalDpi xmlns:a14="http://schemas.microsoft.com/office/drawing/2010/main" val="0"/>
                        </a:ext>
                      </a:extLst>
                    </a:blip>
                    <a:stretch>
                      <a:fillRect/>
                    </a:stretch>
                  </pic:blipFill>
                  <pic:spPr>
                    <a:xfrm>
                      <a:off x="0" y="0"/>
                      <a:ext cx="5663565" cy="3572510"/>
                    </a:xfrm>
                    <a:prstGeom prst="rect">
                      <a:avLst/>
                    </a:prstGeom>
                  </pic:spPr>
                </pic:pic>
              </a:graphicData>
            </a:graphic>
          </wp:inline>
        </w:drawing>
      </w:r>
    </w:p>
    <w:p w14:paraId="4651B38E" w14:textId="1203457E" w:rsidR="001D7A36" w:rsidRDefault="001D7A36" w:rsidP="001D7A36">
      <w:pPr>
        <w:pStyle w:val="CGCTablenote"/>
      </w:pPr>
      <w:r>
        <w:t>Source:</w:t>
      </w:r>
      <w:r w:rsidR="007849AA">
        <w:tab/>
        <w:t>Commission calculation.</w:t>
      </w:r>
    </w:p>
    <w:p w14:paraId="21FAA3BD" w14:textId="3F0DC0D9" w:rsidR="00825B96" w:rsidRDefault="00CC1849" w:rsidP="00CC1849">
      <w:pPr>
        <w:pStyle w:val="CGCParaNumber"/>
      </w:pPr>
      <w:r w:rsidRPr="00CC1849">
        <w:t xml:space="preserve">The second measure of </w:t>
      </w:r>
      <w:r w:rsidR="00020015">
        <w:t>redistribution</w:t>
      </w:r>
      <w:r w:rsidRPr="00CC1849">
        <w:t xml:space="preserve"> reveals a different aspect of the equalisation task. </w:t>
      </w:r>
      <w:r w:rsidR="00796650">
        <w:fldChar w:fldCharType="begin"/>
      </w:r>
      <w:r w:rsidR="00796650">
        <w:instrText xml:space="preserve"> REF _Ref30513987 \h </w:instrText>
      </w:r>
      <w:r w:rsidR="00796650">
        <w:fldChar w:fldCharType="separate"/>
      </w:r>
      <w:r w:rsidR="003D49C2">
        <w:t>Table 4</w:t>
      </w:r>
      <w:r w:rsidR="003D49C2">
        <w:noBreakHyphen/>
      </w:r>
      <w:r w:rsidR="003D49C2">
        <w:rPr>
          <w:noProof/>
        </w:rPr>
        <w:t>14</w:t>
      </w:r>
      <w:r w:rsidR="00796650">
        <w:fldChar w:fldCharType="end"/>
      </w:r>
      <w:r w:rsidRPr="00CC1849">
        <w:t xml:space="preserve"> shows the size of the equalisation requirement in 2020</w:t>
      </w:r>
      <w:r w:rsidR="00694F6A">
        <w:noBreakHyphen/>
        <w:t>21</w:t>
      </w:r>
      <w:r w:rsidRPr="00CC1849">
        <w:t>. All States, except Western</w:t>
      </w:r>
      <w:r w:rsidR="00BF0C96">
        <w:t> </w:t>
      </w:r>
      <w:r w:rsidRPr="00CC1849">
        <w:t>Australia, require different per capita amounts of GST to achieve the same fiscal capacity as Western</w:t>
      </w:r>
      <w:r w:rsidR="00BF0C96">
        <w:t> </w:t>
      </w:r>
      <w:r w:rsidRPr="00CC1849">
        <w:t>Australia, the State with the strongest fiscal capacity. The remainder of the GST revenue is shared equally between all States, including Western</w:t>
      </w:r>
      <w:r w:rsidR="00BF0C96">
        <w:t> </w:t>
      </w:r>
      <w:r w:rsidRPr="00CC1849">
        <w:t>Australia, so that all States have the capacity to provide the same (average) level of service. In 2020</w:t>
      </w:r>
      <w:r w:rsidR="00D54880">
        <w:noBreakHyphen/>
        <w:t>21</w:t>
      </w:r>
      <w:r w:rsidRPr="00CC1849">
        <w:t xml:space="preserve">, about </w:t>
      </w:r>
      <w:r w:rsidR="00FB7048" w:rsidRPr="00FB7048">
        <w:t>55</w:t>
      </w:r>
      <w:r w:rsidRPr="00FB7048">
        <w:t>%</w:t>
      </w:r>
      <w:r w:rsidRPr="00CC1849">
        <w:t xml:space="preserve"> of the GST revenue will be needed for all States to achieve the same fiscal capacity as Western</w:t>
      </w:r>
      <w:r w:rsidR="00BF0C96">
        <w:t> </w:t>
      </w:r>
      <w:r w:rsidRPr="00CC1849">
        <w:t>Australia.</w:t>
      </w:r>
    </w:p>
    <w:p w14:paraId="11166FC7" w14:textId="5023D565" w:rsidR="00CC1849" w:rsidRDefault="00CC1849" w:rsidP="00CC1849">
      <w:pPr>
        <w:pStyle w:val="CGCTableHeading"/>
      </w:pPr>
      <w:bookmarkStart w:id="83" w:name="_Ref30513987"/>
      <w:r>
        <w:t xml:space="preserve">Table </w:t>
      </w:r>
      <w:r w:rsidR="0098450D">
        <w:t>4</w:t>
      </w:r>
      <w:r w:rsidR="0098450D">
        <w:noBreakHyphen/>
      </w:r>
      <w:r>
        <w:fldChar w:fldCharType="begin"/>
      </w:r>
      <w:r>
        <w:instrText>SEQ Table \* ARABIC</w:instrText>
      </w:r>
      <w:r>
        <w:fldChar w:fldCharType="separate"/>
      </w:r>
      <w:r w:rsidR="003D49C2">
        <w:rPr>
          <w:noProof/>
        </w:rPr>
        <w:t>14</w:t>
      </w:r>
      <w:r>
        <w:fldChar w:fldCharType="end"/>
      </w:r>
      <w:bookmarkEnd w:id="83"/>
      <w:r>
        <w:tab/>
        <w:t>Illustrative distribution of GST, 2020</w:t>
      </w:r>
      <w:r>
        <w:noBreakHyphen/>
        <w:t>21</w:t>
      </w:r>
    </w:p>
    <w:tbl>
      <w:tblPr>
        <w:tblW w:w="8902" w:type="dxa"/>
        <w:tblCellMar>
          <w:left w:w="0" w:type="dxa"/>
          <w:right w:w="28" w:type="dxa"/>
        </w:tblCellMar>
        <w:tblLook w:val="04A0" w:firstRow="1" w:lastRow="0" w:firstColumn="1" w:lastColumn="0" w:noHBand="0" w:noVBand="1"/>
      </w:tblPr>
      <w:tblGrid>
        <w:gridCol w:w="2294"/>
        <w:gridCol w:w="734"/>
        <w:gridCol w:w="734"/>
        <w:gridCol w:w="734"/>
        <w:gridCol w:w="734"/>
        <w:gridCol w:w="734"/>
        <w:gridCol w:w="734"/>
        <w:gridCol w:w="734"/>
        <w:gridCol w:w="736"/>
        <w:gridCol w:w="734"/>
      </w:tblGrid>
      <w:tr w:rsidR="00E43109" w:rsidRPr="00E43109" w14:paraId="2B220EE2" w14:textId="77777777" w:rsidTr="00500FBE">
        <w:trPr>
          <w:trHeight w:val="375"/>
        </w:trPr>
        <w:tc>
          <w:tcPr>
            <w:tcW w:w="2320" w:type="dxa"/>
            <w:tcBorders>
              <w:top w:val="single" w:sz="4" w:space="0" w:color="ADD6EA"/>
              <w:left w:val="nil"/>
              <w:bottom w:val="single" w:sz="4" w:space="0" w:color="ADD6EA"/>
              <w:right w:val="nil"/>
            </w:tcBorders>
            <w:shd w:val="clear" w:color="000000" w:fill="006991"/>
            <w:vAlign w:val="center"/>
            <w:hideMark/>
          </w:tcPr>
          <w:p w14:paraId="4CAC1801"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 </w:t>
            </w:r>
          </w:p>
        </w:tc>
        <w:tc>
          <w:tcPr>
            <w:tcW w:w="740" w:type="dxa"/>
            <w:tcBorders>
              <w:top w:val="single" w:sz="4" w:space="0" w:color="ADD6EA"/>
              <w:left w:val="nil"/>
              <w:bottom w:val="single" w:sz="4" w:space="0" w:color="ADD6EA"/>
              <w:right w:val="nil"/>
            </w:tcBorders>
            <w:shd w:val="clear" w:color="000000" w:fill="006991"/>
            <w:vAlign w:val="center"/>
            <w:hideMark/>
          </w:tcPr>
          <w:p w14:paraId="0121C2B2"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NSW</w:t>
            </w:r>
          </w:p>
        </w:tc>
        <w:tc>
          <w:tcPr>
            <w:tcW w:w="740" w:type="dxa"/>
            <w:tcBorders>
              <w:top w:val="single" w:sz="4" w:space="0" w:color="ADD6EA"/>
              <w:left w:val="nil"/>
              <w:bottom w:val="single" w:sz="4" w:space="0" w:color="ADD6EA"/>
              <w:right w:val="nil"/>
            </w:tcBorders>
            <w:shd w:val="clear" w:color="000000" w:fill="006991"/>
            <w:vAlign w:val="center"/>
            <w:hideMark/>
          </w:tcPr>
          <w:p w14:paraId="0736E276"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Vic</w:t>
            </w:r>
          </w:p>
        </w:tc>
        <w:tc>
          <w:tcPr>
            <w:tcW w:w="740" w:type="dxa"/>
            <w:tcBorders>
              <w:top w:val="single" w:sz="4" w:space="0" w:color="ADD6EA"/>
              <w:left w:val="nil"/>
              <w:bottom w:val="single" w:sz="4" w:space="0" w:color="ADD6EA"/>
              <w:right w:val="nil"/>
            </w:tcBorders>
            <w:shd w:val="clear" w:color="000000" w:fill="006991"/>
            <w:vAlign w:val="center"/>
            <w:hideMark/>
          </w:tcPr>
          <w:p w14:paraId="5F9A7A65"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Qld</w:t>
            </w:r>
          </w:p>
        </w:tc>
        <w:tc>
          <w:tcPr>
            <w:tcW w:w="740" w:type="dxa"/>
            <w:tcBorders>
              <w:top w:val="single" w:sz="4" w:space="0" w:color="ADD6EA"/>
              <w:left w:val="nil"/>
              <w:bottom w:val="single" w:sz="4" w:space="0" w:color="ADD6EA"/>
              <w:right w:val="nil"/>
            </w:tcBorders>
            <w:shd w:val="clear" w:color="000000" w:fill="006991"/>
            <w:vAlign w:val="center"/>
            <w:hideMark/>
          </w:tcPr>
          <w:p w14:paraId="44565C81"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WA</w:t>
            </w:r>
          </w:p>
        </w:tc>
        <w:tc>
          <w:tcPr>
            <w:tcW w:w="740" w:type="dxa"/>
            <w:tcBorders>
              <w:top w:val="single" w:sz="4" w:space="0" w:color="ADD6EA"/>
              <w:left w:val="nil"/>
              <w:bottom w:val="single" w:sz="4" w:space="0" w:color="ADD6EA"/>
              <w:right w:val="nil"/>
            </w:tcBorders>
            <w:shd w:val="clear" w:color="000000" w:fill="006991"/>
            <w:vAlign w:val="center"/>
            <w:hideMark/>
          </w:tcPr>
          <w:p w14:paraId="4027A0EC"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SA</w:t>
            </w:r>
          </w:p>
        </w:tc>
        <w:tc>
          <w:tcPr>
            <w:tcW w:w="740" w:type="dxa"/>
            <w:tcBorders>
              <w:top w:val="single" w:sz="4" w:space="0" w:color="ADD6EA"/>
              <w:left w:val="nil"/>
              <w:bottom w:val="single" w:sz="4" w:space="0" w:color="ADD6EA"/>
              <w:right w:val="nil"/>
            </w:tcBorders>
            <w:shd w:val="clear" w:color="000000" w:fill="006991"/>
            <w:vAlign w:val="center"/>
            <w:hideMark/>
          </w:tcPr>
          <w:p w14:paraId="4B555254"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Tas</w:t>
            </w:r>
          </w:p>
        </w:tc>
        <w:tc>
          <w:tcPr>
            <w:tcW w:w="740" w:type="dxa"/>
            <w:tcBorders>
              <w:top w:val="single" w:sz="4" w:space="0" w:color="ADD6EA"/>
              <w:left w:val="nil"/>
              <w:bottom w:val="single" w:sz="4" w:space="0" w:color="ADD6EA"/>
              <w:right w:val="nil"/>
            </w:tcBorders>
            <w:shd w:val="clear" w:color="000000" w:fill="006991"/>
            <w:vAlign w:val="center"/>
            <w:hideMark/>
          </w:tcPr>
          <w:p w14:paraId="23443D21"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ACT</w:t>
            </w:r>
          </w:p>
        </w:tc>
        <w:tc>
          <w:tcPr>
            <w:tcW w:w="740" w:type="dxa"/>
            <w:tcBorders>
              <w:top w:val="single" w:sz="4" w:space="0" w:color="ADD6EA"/>
              <w:left w:val="nil"/>
              <w:bottom w:val="single" w:sz="4" w:space="0" w:color="ADD6EA"/>
              <w:right w:val="nil"/>
            </w:tcBorders>
            <w:shd w:val="clear" w:color="000000" w:fill="006991"/>
            <w:vAlign w:val="center"/>
            <w:hideMark/>
          </w:tcPr>
          <w:p w14:paraId="0BE9E1F3"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NT</w:t>
            </w:r>
          </w:p>
        </w:tc>
        <w:tc>
          <w:tcPr>
            <w:tcW w:w="740" w:type="dxa"/>
            <w:tcBorders>
              <w:top w:val="single" w:sz="4" w:space="0" w:color="ADD6EA"/>
              <w:left w:val="nil"/>
              <w:bottom w:val="single" w:sz="4" w:space="0" w:color="ADD6EA"/>
              <w:right w:val="nil"/>
            </w:tcBorders>
            <w:shd w:val="clear" w:color="000000" w:fill="006991"/>
            <w:vAlign w:val="center"/>
            <w:hideMark/>
          </w:tcPr>
          <w:p w14:paraId="268DDB48"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FFFFFF"/>
                <w:sz w:val="16"/>
                <w:szCs w:val="16"/>
                <w:lang w:val="en-AU" w:eastAsia="en-AU"/>
              </w:rPr>
            </w:pPr>
            <w:r w:rsidRPr="00E43109">
              <w:rPr>
                <w:rFonts w:ascii="Open Sans SemiBold" w:eastAsia="Times New Roman" w:hAnsi="Open Sans SemiBold" w:cs="Open Sans SemiBold"/>
                <w:color w:val="FFFFFF"/>
                <w:sz w:val="16"/>
                <w:szCs w:val="16"/>
                <w:lang w:val="en-AU" w:eastAsia="en-AU"/>
              </w:rPr>
              <w:t>Ave</w:t>
            </w:r>
          </w:p>
        </w:tc>
      </w:tr>
      <w:tr w:rsidR="00E43109" w:rsidRPr="00E43109" w14:paraId="37D34A3F" w14:textId="77777777" w:rsidTr="00500FBE">
        <w:trPr>
          <w:trHeight w:val="259"/>
        </w:trPr>
        <w:tc>
          <w:tcPr>
            <w:tcW w:w="2320" w:type="dxa"/>
            <w:tcBorders>
              <w:top w:val="nil"/>
              <w:left w:val="nil"/>
              <w:bottom w:val="single" w:sz="4" w:space="0" w:color="ADD6EA"/>
              <w:right w:val="nil"/>
            </w:tcBorders>
            <w:shd w:val="clear" w:color="000000" w:fill="B6D5E4"/>
            <w:vAlign w:val="center"/>
            <w:hideMark/>
          </w:tcPr>
          <w:p w14:paraId="54A1B0A5" w14:textId="77777777" w:rsidR="00E43109" w:rsidRPr="00E43109" w:rsidRDefault="00E43109" w:rsidP="00E43109">
            <w:pPr>
              <w:tabs>
                <w:tab w:val="clear" w:pos="567"/>
              </w:tabs>
              <w:spacing w:before="0" w:line="240" w:lineRule="auto"/>
              <w:rPr>
                <w:rFonts w:eastAsia="Times New Roman" w:cs="Open Sans Light"/>
                <w:color w:val="000000"/>
                <w:sz w:val="16"/>
                <w:szCs w:val="16"/>
                <w:lang w:val="en-AU" w:eastAsia="en-AU"/>
              </w:rPr>
            </w:pPr>
            <w:r w:rsidRPr="00E43109">
              <w:rPr>
                <w:rFonts w:eastAsia="Times New Roman" w:cs="Open Sans Light"/>
                <w:color w:val="000000"/>
                <w:sz w:val="16"/>
                <w:szCs w:val="16"/>
                <w:lang w:val="en-AU" w:eastAsia="en-AU"/>
              </w:rPr>
              <w:t> </w:t>
            </w:r>
          </w:p>
        </w:tc>
        <w:tc>
          <w:tcPr>
            <w:tcW w:w="740" w:type="dxa"/>
            <w:tcBorders>
              <w:top w:val="nil"/>
              <w:left w:val="nil"/>
              <w:bottom w:val="single" w:sz="4" w:space="0" w:color="ADD6EA"/>
              <w:right w:val="nil"/>
            </w:tcBorders>
            <w:shd w:val="clear" w:color="000000" w:fill="B6D5E4"/>
            <w:vAlign w:val="center"/>
            <w:hideMark/>
          </w:tcPr>
          <w:p w14:paraId="5A027ACA"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2C2D70D9"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664F0A06"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0140762E"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210268B4"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74777863"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26525FBF"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412FE24D"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c>
          <w:tcPr>
            <w:tcW w:w="740" w:type="dxa"/>
            <w:tcBorders>
              <w:top w:val="nil"/>
              <w:left w:val="nil"/>
              <w:bottom w:val="single" w:sz="4" w:space="0" w:color="ADD6EA"/>
              <w:right w:val="nil"/>
            </w:tcBorders>
            <w:shd w:val="clear" w:color="000000" w:fill="B6D5E4"/>
            <w:vAlign w:val="center"/>
            <w:hideMark/>
          </w:tcPr>
          <w:p w14:paraId="65097B7D" w14:textId="77777777" w:rsidR="00E43109" w:rsidRPr="00E43109" w:rsidRDefault="00E43109" w:rsidP="00E43109">
            <w:pPr>
              <w:tabs>
                <w:tab w:val="clear" w:pos="567"/>
              </w:tabs>
              <w:spacing w:before="0" w:line="240" w:lineRule="auto"/>
              <w:jc w:val="right"/>
              <w:rPr>
                <w:rFonts w:ascii="Open Sans SemiBold" w:eastAsia="Times New Roman" w:hAnsi="Open Sans SemiBold" w:cs="Open Sans SemiBold"/>
                <w:color w:val="000000"/>
                <w:sz w:val="16"/>
                <w:szCs w:val="16"/>
                <w:lang w:val="en-AU" w:eastAsia="en-AU"/>
              </w:rPr>
            </w:pPr>
            <w:r w:rsidRPr="00E43109">
              <w:rPr>
                <w:rFonts w:ascii="Open Sans SemiBold" w:eastAsia="Times New Roman" w:hAnsi="Open Sans SemiBold" w:cs="Open Sans SemiBold"/>
                <w:color w:val="000000"/>
                <w:sz w:val="16"/>
                <w:szCs w:val="16"/>
                <w:lang w:val="en-AU" w:eastAsia="en-AU"/>
              </w:rPr>
              <w:t>$pc</w:t>
            </w:r>
          </w:p>
        </w:tc>
      </w:tr>
      <w:tr w:rsidR="00E43109" w:rsidRPr="00E43109" w14:paraId="78880AF1" w14:textId="77777777" w:rsidTr="00500FBE">
        <w:trPr>
          <w:trHeight w:val="315"/>
        </w:trPr>
        <w:tc>
          <w:tcPr>
            <w:tcW w:w="2320" w:type="dxa"/>
            <w:tcBorders>
              <w:top w:val="nil"/>
              <w:left w:val="nil"/>
              <w:bottom w:val="single" w:sz="4" w:space="0" w:color="ADD6EA"/>
              <w:right w:val="nil"/>
            </w:tcBorders>
            <w:shd w:val="clear" w:color="auto" w:fill="auto"/>
            <w:vAlign w:val="bottom"/>
            <w:hideMark/>
          </w:tcPr>
          <w:p w14:paraId="3FD41293" w14:textId="77777777" w:rsidR="00E43109" w:rsidRPr="00E43109" w:rsidRDefault="00E43109" w:rsidP="00E43109">
            <w:pPr>
              <w:tabs>
                <w:tab w:val="clear" w:pos="567"/>
              </w:tabs>
              <w:spacing w:before="0" w:line="240" w:lineRule="auto"/>
              <w:rPr>
                <w:rFonts w:eastAsia="Times New Roman" w:cs="Open Sans Light"/>
                <w:sz w:val="16"/>
                <w:szCs w:val="16"/>
                <w:lang w:val="en-AU" w:eastAsia="en-AU"/>
              </w:rPr>
            </w:pPr>
            <w:r w:rsidRPr="00E43109">
              <w:rPr>
                <w:rFonts w:eastAsia="Times New Roman" w:cs="Open Sans Light"/>
                <w:sz w:val="16"/>
                <w:szCs w:val="16"/>
                <w:lang w:val="en-AU" w:eastAsia="en-AU"/>
              </w:rPr>
              <w:t>Equal per capita</w:t>
            </w:r>
          </w:p>
        </w:tc>
        <w:tc>
          <w:tcPr>
            <w:tcW w:w="740" w:type="dxa"/>
            <w:tcBorders>
              <w:top w:val="nil"/>
              <w:left w:val="nil"/>
              <w:bottom w:val="single" w:sz="4" w:space="0" w:color="ADD6EA"/>
              <w:right w:val="nil"/>
            </w:tcBorders>
            <w:shd w:val="clear" w:color="auto" w:fill="auto"/>
            <w:vAlign w:val="bottom"/>
            <w:hideMark/>
          </w:tcPr>
          <w:p w14:paraId="45D97A60"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4338A11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6E881477"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75860CC4"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32A4BF01"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75405051"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3F563427"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691B9867"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62B2984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r>
      <w:tr w:rsidR="00E43109" w:rsidRPr="00E43109" w14:paraId="7B7BA12E" w14:textId="77777777" w:rsidTr="00500FBE">
        <w:trPr>
          <w:trHeight w:val="315"/>
        </w:trPr>
        <w:tc>
          <w:tcPr>
            <w:tcW w:w="2320" w:type="dxa"/>
            <w:tcBorders>
              <w:top w:val="nil"/>
              <w:left w:val="nil"/>
              <w:bottom w:val="single" w:sz="4" w:space="0" w:color="ADD6EA"/>
              <w:right w:val="nil"/>
            </w:tcBorders>
            <w:shd w:val="clear" w:color="auto" w:fill="auto"/>
            <w:vAlign w:val="bottom"/>
            <w:hideMark/>
          </w:tcPr>
          <w:p w14:paraId="1618C021" w14:textId="77777777" w:rsidR="00E43109" w:rsidRPr="00E43109" w:rsidRDefault="00E43109" w:rsidP="00E43109">
            <w:pPr>
              <w:tabs>
                <w:tab w:val="clear" w:pos="567"/>
              </w:tabs>
              <w:spacing w:before="0" w:line="240" w:lineRule="auto"/>
              <w:rPr>
                <w:rFonts w:eastAsia="Times New Roman" w:cs="Open Sans Light"/>
                <w:sz w:val="16"/>
                <w:szCs w:val="16"/>
                <w:lang w:val="en-AU" w:eastAsia="en-AU"/>
              </w:rPr>
            </w:pPr>
            <w:r w:rsidRPr="00E43109">
              <w:rPr>
                <w:rFonts w:eastAsia="Times New Roman" w:cs="Open Sans Light"/>
                <w:sz w:val="16"/>
                <w:szCs w:val="16"/>
                <w:lang w:val="en-AU" w:eastAsia="en-AU"/>
              </w:rPr>
              <w:t>Equalisation requirement</w:t>
            </w:r>
          </w:p>
        </w:tc>
        <w:tc>
          <w:tcPr>
            <w:tcW w:w="740" w:type="dxa"/>
            <w:tcBorders>
              <w:top w:val="nil"/>
              <w:left w:val="nil"/>
              <w:bottom w:val="single" w:sz="4" w:space="0" w:color="ADD6EA"/>
              <w:right w:val="nil"/>
            </w:tcBorders>
            <w:shd w:val="clear" w:color="auto" w:fill="auto"/>
            <w:vAlign w:val="bottom"/>
            <w:hideMark/>
          </w:tcPr>
          <w:p w14:paraId="4E8F8023"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1,219</w:t>
            </w:r>
          </w:p>
        </w:tc>
        <w:tc>
          <w:tcPr>
            <w:tcW w:w="740" w:type="dxa"/>
            <w:tcBorders>
              <w:top w:val="nil"/>
              <w:left w:val="nil"/>
              <w:bottom w:val="single" w:sz="4" w:space="0" w:color="ADD6EA"/>
              <w:right w:val="nil"/>
            </w:tcBorders>
            <w:shd w:val="clear" w:color="auto" w:fill="auto"/>
            <w:vAlign w:val="bottom"/>
            <w:hideMark/>
          </w:tcPr>
          <w:p w14:paraId="7233A9DC"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1,328</w:t>
            </w:r>
          </w:p>
        </w:tc>
        <w:tc>
          <w:tcPr>
            <w:tcW w:w="740" w:type="dxa"/>
            <w:tcBorders>
              <w:top w:val="nil"/>
              <w:left w:val="nil"/>
              <w:bottom w:val="single" w:sz="4" w:space="0" w:color="ADD6EA"/>
              <w:right w:val="nil"/>
            </w:tcBorders>
            <w:shd w:val="clear" w:color="auto" w:fill="auto"/>
            <w:vAlign w:val="bottom"/>
            <w:hideMark/>
          </w:tcPr>
          <w:p w14:paraId="4308536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1,560</w:t>
            </w:r>
          </w:p>
        </w:tc>
        <w:tc>
          <w:tcPr>
            <w:tcW w:w="740" w:type="dxa"/>
            <w:tcBorders>
              <w:top w:val="nil"/>
              <w:left w:val="nil"/>
              <w:bottom w:val="single" w:sz="4" w:space="0" w:color="ADD6EA"/>
              <w:right w:val="nil"/>
            </w:tcBorders>
            <w:shd w:val="clear" w:color="auto" w:fill="auto"/>
            <w:vAlign w:val="bottom"/>
            <w:hideMark/>
          </w:tcPr>
          <w:p w14:paraId="3173B72F"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0</w:t>
            </w:r>
          </w:p>
        </w:tc>
        <w:tc>
          <w:tcPr>
            <w:tcW w:w="740" w:type="dxa"/>
            <w:tcBorders>
              <w:top w:val="nil"/>
              <w:left w:val="nil"/>
              <w:bottom w:val="single" w:sz="4" w:space="0" w:color="ADD6EA"/>
              <w:right w:val="nil"/>
            </w:tcBorders>
            <w:shd w:val="clear" w:color="auto" w:fill="auto"/>
            <w:vAlign w:val="bottom"/>
            <w:hideMark/>
          </w:tcPr>
          <w:p w14:paraId="3F476515"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2,363</w:t>
            </w:r>
          </w:p>
        </w:tc>
        <w:tc>
          <w:tcPr>
            <w:tcW w:w="740" w:type="dxa"/>
            <w:tcBorders>
              <w:top w:val="nil"/>
              <w:left w:val="nil"/>
              <w:bottom w:val="single" w:sz="4" w:space="0" w:color="ADD6EA"/>
              <w:right w:val="nil"/>
            </w:tcBorders>
            <w:shd w:val="clear" w:color="auto" w:fill="auto"/>
            <w:vAlign w:val="bottom"/>
            <w:hideMark/>
          </w:tcPr>
          <w:p w14:paraId="30FDBCC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3,767</w:t>
            </w:r>
          </w:p>
        </w:tc>
        <w:tc>
          <w:tcPr>
            <w:tcW w:w="740" w:type="dxa"/>
            <w:tcBorders>
              <w:top w:val="nil"/>
              <w:left w:val="nil"/>
              <w:bottom w:val="single" w:sz="4" w:space="0" w:color="ADD6EA"/>
              <w:right w:val="nil"/>
            </w:tcBorders>
            <w:shd w:val="clear" w:color="auto" w:fill="auto"/>
            <w:vAlign w:val="bottom"/>
            <w:hideMark/>
          </w:tcPr>
          <w:p w14:paraId="113F280F"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1,825</w:t>
            </w:r>
          </w:p>
        </w:tc>
        <w:tc>
          <w:tcPr>
            <w:tcW w:w="740" w:type="dxa"/>
            <w:tcBorders>
              <w:top w:val="nil"/>
              <w:left w:val="nil"/>
              <w:bottom w:val="single" w:sz="4" w:space="0" w:color="ADD6EA"/>
              <w:right w:val="nil"/>
            </w:tcBorders>
            <w:shd w:val="clear" w:color="auto" w:fill="auto"/>
            <w:vAlign w:val="bottom"/>
            <w:hideMark/>
          </w:tcPr>
          <w:p w14:paraId="3EF08929"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11,239</w:t>
            </w:r>
          </w:p>
        </w:tc>
        <w:tc>
          <w:tcPr>
            <w:tcW w:w="740" w:type="dxa"/>
            <w:tcBorders>
              <w:top w:val="nil"/>
              <w:left w:val="nil"/>
              <w:bottom w:val="single" w:sz="4" w:space="0" w:color="ADD6EA"/>
              <w:right w:val="nil"/>
            </w:tcBorders>
            <w:shd w:val="clear" w:color="auto" w:fill="auto"/>
            <w:vAlign w:val="bottom"/>
            <w:hideMark/>
          </w:tcPr>
          <w:p w14:paraId="2CCACF33"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1,428</w:t>
            </w:r>
          </w:p>
        </w:tc>
      </w:tr>
      <w:tr w:rsidR="00E43109" w:rsidRPr="00E43109" w14:paraId="06292CC4" w14:textId="77777777" w:rsidTr="00500FBE">
        <w:trPr>
          <w:trHeight w:val="315"/>
        </w:trPr>
        <w:tc>
          <w:tcPr>
            <w:tcW w:w="2320" w:type="dxa"/>
            <w:tcBorders>
              <w:top w:val="nil"/>
              <w:left w:val="nil"/>
              <w:bottom w:val="single" w:sz="4" w:space="0" w:color="ADD6EA"/>
              <w:right w:val="nil"/>
            </w:tcBorders>
            <w:shd w:val="clear" w:color="auto" w:fill="auto"/>
            <w:vAlign w:val="bottom"/>
            <w:hideMark/>
          </w:tcPr>
          <w:p w14:paraId="50E350C1" w14:textId="77777777" w:rsidR="00E43109" w:rsidRPr="00E43109" w:rsidRDefault="00E43109" w:rsidP="00E43109">
            <w:pPr>
              <w:tabs>
                <w:tab w:val="clear" w:pos="567"/>
              </w:tabs>
              <w:spacing w:before="0" w:line="240" w:lineRule="auto"/>
              <w:rPr>
                <w:rFonts w:eastAsia="Times New Roman" w:cs="Open Sans Light"/>
                <w:sz w:val="16"/>
                <w:szCs w:val="16"/>
                <w:lang w:val="en-AU" w:eastAsia="en-AU"/>
              </w:rPr>
            </w:pPr>
            <w:r w:rsidRPr="00E43109">
              <w:rPr>
                <w:rFonts w:eastAsia="Times New Roman" w:cs="Open Sans Light"/>
                <w:sz w:val="16"/>
                <w:szCs w:val="16"/>
                <w:lang w:val="en-AU" w:eastAsia="en-AU"/>
              </w:rPr>
              <w:t>Per capita allocation</w:t>
            </w:r>
          </w:p>
        </w:tc>
        <w:tc>
          <w:tcPr>
            <w:tcW w:w="740" w:type="dxa"/>
            <w:tcBorders>
              <w:top w:val="nil"/>
              <w:left w:val="nil"/>
              <w:bottom w:val="single" w:sz="4" w:space="0" w:color="ADD6EA"/>
              <w:right w:val="nil"/>
            </w:tcBorders>
            <w:shd w:val="clear" w:color="auto" w:fill="auto"/>
            <w:vAlign w:val="bottom"/>
            <w:hideMark/>
          </w:tcPr>
          <w:p w14:paraId="3B9DDD7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2,389</w:t>
            </w:r>
          </w:p>
        </w:tc>
        <w:tc>
          <w:tcPr>
            <w:tcW w:w="740" w:type="dxa"/>
            <w:tcBorders>
              <w:top w:val="nil"/>
              <w:left w:val="nil"/>
              <w:bottom w:val="single" w:sz="4" w:space="0" w:color="ADD6EA"/>
              <w:right w:val="nil"/>
            </w:tcBorders>
            <w:shd w:val="clear" w:color="auto" w:fill="auto"/>
            <w:vAlign w:val="bottom"/>
            <w:hideMark/>
          </w:tcPr>
          <w:p w14:paraId="32453662"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2,498</w:t>
            </w:r>
          </w:p>
        </w:tc>
        <w:tc>
          <w:tcPr>
            <w:tcW w:w="740" w:type="dxa"/>
            <w:tcBorders>
              <w:top w:val="nil"/>
              <w:left w:val="nil"/>
              <w:bottom w:val="single" w:sz="4" w:space="0" w:color="ADD6EA"/>
              <w:right w:val="nil"/>
            </w:tcBorders>
            <w:shd w:val="clear" w:color="auto" w:fill="auto"/>
            <w:vAlign w:val="bottom"/>
            <w:hideMark/>
          </w:tcPr>
          <w:p w14:paraId="24440A85"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2,730</w:t>
            </w:r>
          </w:p>
        </w:tc>
        <w:tc>
          <w:tcPr>
            <w:tcW w:w="740" w:type="dxa"/>
            <w:tcBorders>
              <w:top w:val="nil"/>
              <w:left w:val="nil"/>
              <w:bottom w:val="single" w:sz="4" w:space="0" w:color="ADD6EA"/>
              <w:right w:val="nil"/>
            </w:tcBorders>
            <w:shd w:val="clear" w:color="auto" w:fill="auto"/>
            <w:vAlign w:val="bottom"/>
            <w:hideMark/>
          </w:tcPr>
          <w:p w14:paraId="61545DA4"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1,170</w:t>
            </w:r>
          </w:p>
        </w:tc>
        <w:tc>
          <w:tcPr>
            <w:tcW w:w="740" w:type="dxa"/>
            <w:tcBorders>
              <w:top w:val="nil"/>
              <w:left w:val="nil"/>
              <w:bottom w:val="single" w:sz="4" w:space="0" w:color="ADD6EA"/>
              <w:right w:val="nil"/>
            </w:tcBorders>
            <w:shd w:val="clear" w:color="auto" w:fill="auto"/>
            <w:vAlign w:val="bottom"/>
            <w:hideMark/>
          </w:tcPr>
          <w:p w14:paraId="7C9947CC"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3,533</w:t>
            </w:r>
          </w:p>
        </w:tc>
        <w:tc>
          <w:tcPr>
            <w:tcW w:w="740" w:type="dxa"/>
            <w:tcBorders>
              <w:top w:val="nil"/>
              <w:left w:val="nil"/>
              <w:bottom w:val="single" w:sz="4" w:space="0" w:color="ADD6EA"/>
              <w:right w:val="nil"/>
            </w:tcBorders>
            <w:shd w:val="clear" w:color="auto" w:fill="auto"/>
            <w:vAlign w:val="bottom"/>
            <w:hideMark/>
          </w:tcPr>
          <w:p w14:paraId="1F645A8B"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4,937</w:t>
            </w:r>
          </w:p>
        </w:tc>
        <w:tc>
          <w:tcPr>
            <w:tcW w:w="740" w:type="dxa"/>
            <w:tcBorders>
              <w:top w:val="nil"/>
              <w:left w:val="nil"/>
              <w:bottom w:val="single" w:sz="4" w:space="0" w:color="ADD6EA"/>
              <w:right w:val="nil"/>
            </w:tcBorders>
            <w:shd w:val="clear" w:color="auto" w:fill="auto"/>
            <w:vAlign w:val="bottom"/>
            <w:hideMark/>
          </w:tcPr>
          <w:p w14:paraId="67F23CAB"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2,995</w:t>
            </w:r>
          </w:p>
        </w:tc>
        <w:tc>
          <w:tcPr>
            <w:tcW w:w="740" w:type="dxa"/>
            <w:tcBorders>
              <w:top w:val="nil"/>
              <w:left w:val="nil"/>
              <w:bottom w:val="single" w:sz="4" w:space="0" w:color="ADD6EA"/>
              <w:right w:val="nil"/>
            </w:tcBorders>
            <w:shd w:val="clear" w:color="auto" w:fill="auto"/>
            <w:vAlign w:val="bottom"/>
            <w:hideMark/>
          </w:tcPr>
          <w:p w14:paraId="530E5279"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12,410</w:t>
            </w:r>
          </w:p>
        </w:tc>
        <w:tc>
          <w:tcPr>
            <w:tcW w:w="740" w:type="dxa"/>
            <w:tcBorders>
              <w:top w:val="nil"/>
              <w:left w:val="nil"/>
              <w:bottom w:val="single" w:sz="4" w:space="0" w:color="ADD6EA"/>
              <w:right w:val="nil"/>
            </w:tcBorders>
            <w:shd w:val="clear" w:color="auto" w:fill="auto"/>
            <w:vAlign w:val="bottom"/>
            <w:hideMark/>
          </w:tcPr>
          <w:p w14:paraId="677ECA71" w14:textId="77777777" w:rsidR="00E43109" w:rsidRPr="00E43109" w:rsidRDefault="00E43109" w:rsidP="00E43109">
            <w:pPr>
              <w:tabs>
                <w:tab w:val="clear" w:pos="567"/>
              </w:tabs>
              <w:spacing w:before="0" w:line="240" w:lineRule="auto"/>
              <w:jc w:val="right"/>
              <w:rPr>
                <w:rFonts w:eastAsia="Times New Roman" w:cs="Open Sans Light"/>
                <w:sz w:val="16"/>
                <w:szCs w:val="16"/>
                <w:lang w:val="en-AU" w:eastAsia="en-AU"/>
              </w:rPr>
            </w:pPr>
            <w:r w:rsidRPr="00E43109">
              <w:rPr>
                <w:rFonts w:eastAsia="Times New Roman" w:cs="Open Sans Light"/>
                <w:sz w:val="16"/>
                <w:szCs w:val="16"/>
                <w:lang w:val="en-AU" w:eastAsia="en-AU"/>
              </w:rPr>
              <w:t>2,598</w:t>
            </w:r>
          </w:p>
        </w:tc>
      </w:tr>
    </w:tbl>
    <w:p w14:paraId="0E0344D4" w14:textId="228DAE91" w:rsidR="00CC1849" w:rsidRDefault="00CC1849" w:rsidP="00CC1849">
      <w:pPr>
        <w:pStyle w:val="CGCTablenote"/>
      </w:pPr>
      <w:r>
        <w:t>Source:</w:t>
      </w:r>
      <w:r>
        <w:tab/>
        <w:t>Commission calculation.</w:t>
      </w:r>
    </w:p>
    <w:p w14:paraId="61317B2A" w14:textId="67546F5B" w:rsidR="008B64B7" w:rsidRDefault="001C2D48" w:rsidP="001C2D48">
      <w:pPr>
        <w:pStyle w:val="CGCParaNumber"/>
      </w:pPr>
      <w:r>
        <w:t>This</w:t>
      </w:r>
      <w:r w:rsidR="00C02D29">
        <w:t xml:space="preserve"> </w:t>
      </w:r>
      <w:r w:rsidR="00C02D29" w:rsidRPr="00C02D29">
        <w:t>measure of the size of the equalisation task increased rapidly prior to 2017</w:t>
      </w:r>
      <w:r w:rsidR="00C02D29">
        <w:noBreakHyphen/>
      </w:r>
      <w:r w:rsidR="00C02D29" w:rsidRPr="00C02D29">
        <w:t>18. From 2000</w:t>
      </w:r>
      <w:r w:rsidR="00C02D29">
        <w:noBreakHyphen/>
      </w:r>
      <w:r w:rsidR="00C02D29" w:rsidRPr="00C02D29">
        <w:t>01 to 2007</w:t>
      </w:r>
      <w:r w:rsidR="00CA6151">
        <w:noBreakHyphen/>
      </w:r>
      <w:r w:rsidR="00C02D29" w:rsidRPr="00C02D29">
        <w:t>08, it fluctuated between 14% and 17% of GST revenue, as first Victoria and then New</w:t>
      </w:r>
      <w:r w:rsidR="00C02D29">
        <w:t> </w:t>
      </w:r>
      <w:r w:rsidR="00C02D29" w:rsidRPr="00C02D29">
        <w:t>South</w:t>
      </w:r>
      <w:r w:rsidR="00C02D29">
        <w:t> </w:t>
      </w:r>
      <w:r w:rsidR="00C02D29" w:rsidRPr="00C02D29">
        <w:t>Wales became the fiscally strongest State. In 2008</w:t>
      </w:r>
      <w:r w:rsidR="00CA1278">
        <w:noBreakHyphen/>
      </w:r>
      <w:r w:rsidR="00C02D29" w:rsidRPr="00C02D29">
        <w:t>09, Western</w:t>
      </w:r>
      <w:r w:rsidR="00CA1278">
        <w:t> </w:t>
      </w:r>
      <w:r w:rsidR="00C02D29" w:rsidRPr="00C02D29">
        <w:t>Australia became the fiscally strongest State. As Western</w:t>
      </w:r>
      <w:r w:rsidR="00CA1278">
        <w:t> </w:t>
      </w:r>
      <w:r w:rsidR="00C02D29" w:rsidRPr="00C02D29">
        <w:t>Australia’s fiscal capacity became progressively stronger, this measure of the size of the equalisation task increased from 14% of the pool in 2008</w:t>
      </w:r>
      <w:r w:rsidR="00BC6DD4">
        <w:noBreakHyphen/>
      </w:r>
      <w:r w:rsidR="00C02D29" w:rsidRPr="00C02D29">
        <w:t>09 to 70% in 201</w:t>
      </w:r>
      <w:r w:rsidR="00055F3F">
        <w:t>5</w:t>
      </w:r>
      <w:r w:rsidR="00CA1278">
        <w:noBreakHyphen/>
      </w:r>
      <w:r w:rsidR="00C02D29" w:rsidRPr="00C02D29">
        <w:t>1</w:t>
      </w:r>
      <w:r w:rsidR="00055F3F">
        <w:t>6</w:t>
      </w:r>
      <w:r w:rsidR="00C02D29" w:rsidRPr="00C02D29">
        <w:t xml:space="preserve">. With the </w:t>
      </w:r>
      <w:r w:rsidR="00BC4C56">
        <w:t xml:space="preserve">relative </w:t>
      </w:r>
      <w:r w:rsidR="00C02D29" w:rsidRPr="00C02D29">
        <w:t>decline in Western</w:t>
      </w:r>
      <w:r w:rsidR="00CA1278">
        <w:t> </w:t>
      </w:r>
      <w:r w:rsidR="00C02D29" w:rsidRPr="00C02D29">
        <w:t xml:space="preserve">Australia’s fiscal capacity, </w:t>
      </w:r>
      <w:r w:rsidR="003C3831">
        <w:t>i</w:t>
      </w:r>
      <w:r w:rsidR="00C02D29" w:rsidRPr="00C02D29">
        <w:t xml:space="preserve">t fell to 48% in </w:t>
      </w:r>
      <w:r w:rsidR="00C02D29" w:rsidRPr="00337EDC">
        <w:t>2019</w:t>
      </w:r>
      <w:r w:rsidR="00CA1278" w:rsidRPr="00337EDC">
        <w:noBreakHyphen/>
      </w:r>
      <w:r w:rsidR="00C02D29" w:rsidRPr="00337EDC">
        <w:t>20</w:t>
      </w:r>
      <w:r w:rsidR="00383579">
        <w:t xml:space="preserve">, </w:t>
      </w:r>
      <w:r w:rsidR="00BC1C87">
        <w:t xml:space="preserve">but has risen </w:t>
      </w:r>
      <w:r w:rsidR="00F93353">
        <w:t xml:space="preserve">to </w:t>
      </w:r>
      <w:r w:rsidR="0039698F">
        <w:t>5</w:t>
      </w:r>
      <w:r w:rsidR="008157AA">
        <w:t>5%</w:t>
      </w:r>
      <w:r w:rsidR="00743DB2">
        <w:t xml:space="preserve"> in this review</w:t>
      </w:r>
      <w:r w:rsidR="002826F9">
        <w:t xml:space="preserve"> </w:t>
      </w:r>
      <w:r w:rsidR="004C6CC4">
        <w:t xml:space="preserve">as </w:t>
      </w:r>
      <w:r w:rsidR="005D0214">
        <w:t>W</w:t>
      </w:r>
      <w:r w:rsidR="00AD00CF">
        <w:t>estern</w:t>
      </w:r>
      <w:r w:rsidR="005E7EFE">
        <w:t> </w:t>
      </w:r>
      <w:r w:rsidR="005D0214">
        <w:t>A</w:t>
      </w:r>
      <w:r w:rsidR="00AD00CF">
        <w:t>ustralia</w:t>
      </w:r>
      <w:r w:rsidR="005D0214">
        <w:t xml:space="preserve">’s </w:t>
      </w:r>
      <w:r w:rsidR="00535844">
        <w:t xml:space="preserve">fiscal </w:t>
      </w:r>
      <w:r w:rsidR="00AD00CF">
        <w:t>capacity</w:t>
      </w:r>
      <w:r w:rsidR="00BC4C56">
        <w:t xml:space="preserve"> has strengthened</w:t>
      </w:r>
      <w:r w:rsidR="00C02D29" w:rsidRPr="00C02D29">
        <w:t xml:space="preserve">. </w:t>
      </w:r>
    </w:p>
    <w:p w14:paraId="582E12CC" w14:textId="36D247F9" w:rsidR="001C2D48" w:rsidRDefault="003B13CC" w:rsidP="001C2D48">
      <w:pPr>
        <w:pStyle w:val="CGCParaNumber"/>
      </w:pPr>
      <w:r>
        <w:lastRenderedPageBreak/>
        <w:t xml:space="preserve">The </w:t>
      </w:r>
      <w:r w:rsidR="00434F10">
        <w:t>greater the d</w:t>
      </w:r>
      <w:r w:rsidR="007B45BF">
        <w:t>i</w:t>
      </w:r>
      <w:r w:rsidR="00434F10">
        <w:t>ffere</w:t>
      </w:r>
      <w:r w:rsidR="007B45BF">
        <w:t xml:space="preserve">nce between relative fiscal capacity and population share, the </w:t>
      </w:r>
      <w:r w:rsidR="00E275D9">
        <w:t xml:space="preserve">greater the equalisation requirement. </w:t>
      </w:r>
      <w:r w:rsidR="005A10DD">
        <w:t xml:space="preserve">For example, </w:t>
      </w:r>
      <w:r w:rsidR="000456BE">
        <w:t xml:space="preserve">where </w:t>
      </w:r>
      <w:r w:rsidR="004666FF">
        <w:t>a</w:t>
      </w:r>
      <w:r w:rsidR="000456BE">
        <w:t xml:space="preserve"> fiscally </w:t>
      </w:r>
      <w:r w:rsidR="00EC4387">
        <w:t>stronger State has a relatively large population</w:t>
      </w:r>
      <w:r w:rsidR="003C7058">
        <w:t xml:space="preserve"> (such as New South Wales or Victoria)</w:t>
      </w:r>
      <w:r w:rsidR="008103B3">
        <w:t xml:space="preserve">, it will mean a </w:t>
      </w:r>
      <w:r w:rsidR="002D1102">
        <w:t xml:space="preserve">smaller share </w:t>
      </w:r>
      <w:r w:rsidR="00AF1E39">
        <w:t>of the pool is required to achieve equalisation. Conversely, w</w:t>
      </w:r>
      <w:r w:rsidR="00C02D29" w:rsidRPr="00C02D29">
        <w:t>here the fiscally stronge</w:t>
      </w:r>
      <w:r w:rsidR="004666FF">
        <w:t>r</w:t>
      </w:r>
      <w:r w:rsidR="00C02D29" w:rsidRPr="00C02D29">
        <w:t xml:space="preserve"> State has a relatively small population, it will necessarily mean a large</w:t>
      </w:r>
      <w:r w:rsidR="00C8696E">
        <w:t>r</w:t>
      </w:r>
      <w:r w:rsidR="00C02D29" w:rsidRPr="00C02D29">
        <w:t xml:space="preserve"> share of the pool is required to achieve equalisation. </w:t>
      </w:r>
      <w:r w:rsidR="00C8696E">
        <w:t>Put simply, p</w:t>
      </w:r>
      <w:r w:rsidR="00C02D29" w:rsidRPr="00C02D29">
        <w:t>opulation differences between the fiscally strongest and other States affect the size of the equalisation task.</w:t>
      </w:r>
    </w:p>
    <w:p w14:paraId="0A000BF5" w14:textId="77777777" w:rsidR="0012153B" w:rsidRDefault="0012153B" w:rsidP="0012153B">
      <w:pPr>
        <w:pStyle w:val="CGCParaNumber"/>
      </w:pPr>
      <w:r>
        <w:t>Neither measure perfectly captures the totality of how the equalisation task has evolved over time. Taken together they show:</w:t>
      </w:r>
    </w:p>
    <w:p w14:paraId="3ED77C23" w14:textId="63CEC3E1" w:rsidR="0012153B" w:rsidRDefault="0012153B" w:rsidP="0012153B">
      <w:pPr>
        <w:pStyle w:val="CGCBullet1"/>
      </w:pPr>
      <w:r>
        <w:t xml:space="preserve">the equalisation task required for the less populous States together has been greater in </w:t>
      </w:r>
      <w:r w:rsidR="00290083">
        <w:t>past</w:t>
      </w:r>
      <w:r>
        <w:t xml:space="preserve"> years</w:t>
      </w:r>
      <w:r w:rsidR="009D6139">
        <w:t>,</w:t>
      </w:r>
      <w:r>
        <w:t xml:space="preserve"> but fell in the three most recent </w:t>
      </w:r>
      <w:r w:rsidR="00290083">
        <w:t>inquiries</w:t>
      </w:r>
    </w:p>
    <w:p w14:paraId="6BC22527" w14:textId="77777777" w:rsidR="0012153B" w:rsidRDefault="0012153B" w:rsidP="0012153B">
      <w:pPr>
        <w:pStyle w:val="CGCBullet1"/>
      </w:pPr>
      <w:r>
        <w:t>because Queensland's fiscal capacity fluctuates around the average, it sometimes adds to, and sometimes moderates, the equalisation task</w:t>
      </w:r>
    </w:p>
    <w:p w14:paraId="12182C3A" w14:textId="74993FD3" w:rsidR="0012153B" w:rsidRDefault="0012153B" w:rsidP="0012153B">
      <w:pPr>
        <w:pStyle w:val="CGCBullet1"/>
      </w:pPr>
      <w:r>
        <w:t>the task of 'catching up' with Western</w:t>
      </w:r>
      <w:r w:rsidR="009D6139">
        <w:t> </w:t>
      </w:r>
      <w:r>
        <w:t>Australia grew significantly prior to 2017</w:t>
      </w:r>
      <w:r w:rsidR="009D6139">
        <w:noBreakHyphen/>
      </w:r>
      <w:r>
        <w:t>18 (reflecting the unprecedented increase in that State's own</w:t>
      </w:r>
      <w:r w:rsidR="007D3A49">
        <w:t>-</w:t>
      </w:r>
      <w:r>
        <w:t xml:space="preserve">source revenues, largely driven by the global commodities boom), but </w:t>
      </w:r>
      <w:r w:rsidR="00246C7D">
        <w:t xml:space="preserve">subsequently </w:t>
      </w:r>
      <w:r>
        <w:t>eased</w:t>
      </w:r>
      <w:r w:rsidR="00246C7D">
        <w:t xml:space="preserve"> until the latest year</w:t>
      </w:r>
      <w:r>
        <w:t>.</w:t>
      </w:r>
    </w:p>
    <w:p w14:paraId="606F5EE4" w14:textId="753BC369" w:rsidR="003D4B25" w:rsidRDefault="0012153B" w:rsidP="0012153B">
      <w:pPr>
        <w:pStyle w:val="CGCParaNumber"/>
      </w:pPr>
      <w:r>
        <w:t>A time series of per capita relativities since the introduction of the GST in 2000</w:t>
      </w:r>
      <w:r w:rsidR="009D6139">
        <w:noBreakHyphen/>
      </w:r>
      <w:r>
        <w:t xml:space="preserve">01 is available in the supporting information for this update on the </w:t>
      </w:r>
      <w:hyperlink r:id="rId61" w:history="1">
        <w:r w:rsidR="00EF3BA6">
          <w:rPr>
            <w:rStyle w:val="Hyperlink"/>
          </w:rPr>
          <w:t>Commission's website</w:t>
        </w:r>
      </w:hyperlink>
      <w:r w:rsidR="00EF3BA6">
        <w:t xml:space="preserve"> </w:t>
      </w:r>
      <w:r>
        <w:t>(https://www.cgc.gov.au). An overview of Commonwealth</w:t>
      </w:r>
      <w:r w:rsidR="00EF3BA6">
        <w:noBreakHyphen/>
      </w:r>
      <w:r>
        <w:t>State financial relations in Australia, including a discussion of horizontal and vertical fiscal imbalances, is also available on the Commission's website</w:t>
      </w:r>
      <w:r w:rsidR="004D4297">
        <w:t>.</w:t>
      </w:r>
    </w:p>
    <w:p w14:paraId="31EA681B" w14:textId="25559CDC" w:rsidR="00DC2AC2" w:rsidRDefault="0012153B" w:rsidP="003D4B25">
      <w:pPr>
        <w:sectPr w:rsidR="00DC2AC2" w:rsidSect="00E22AA8">
          <w:footerReference w:type="default" r:id="rId62"/>
          <w:footerReference w:type="first" r:id="rId63"/>
          <w:pgSz w:w="11907" w:h="16840" w:code="9"/>
          <w:pgMar w:top="1418" w:right="1474" w:bottom="1418" w:left="1474" w:header="709" w:footer="567" w:gutter="0"/>
          <w:cols w:space="720"/>
          <w:titlePg/>
          <w:docGrid w:linePitch="360"/>
        </w:sectPr>
      </w:pPr>
      <w:r>
        <w:t>.</w:t>
      </w:r>
    </w:p>
    <w:p w14:paraId="765A127C" w14:textId="64CB91E1" w:rsidR="00951BE5" w:rsidRDefault="006D087D" w:rsidP="006D087D">
      <w:pPr>
        <w:pStyle w:val="Heading2"/>
      </w:pPr>
      <w:bookmarkStart w:id="84" w:name="_Toc33600573"/>
      <w:r>
        <w:lastRenderedPageBreak/>
        <w:t>5</w:t>
      </w:r>
      <w:r w:rsidR="004B7400">
        <w:tab/>
      </w:r>
      <w:r w:rsidR="001D6D17">
        <w:t>Quality assurance</w:t>
      </w:r>
      <w:bookmarkEnd w:id="84"/>
    </w:p>
    <w:p w14:paraId="78841ECC" w14:textId="14099077" w:rsidR="001D6D17" w:rsidRDefault="00355BF5" w:rsidP="00C86BF3">
      <w:pPr>
        <w:pStyle w:val="CGCParaNumber"/>
        <w:numPr>
          <w:ilvl w:val="0"/>
          <w:numId w:val="32"/>
        </w:numPr>
        <w:ind w:left="567" w:hanging="567"/>
      </w:pPr>
      <w:r w:rsidRPr="00355BF5">
        <w:t>The terms of reference (clause 7</w:t>
      </w:r>
      <w:r w:rsidR="00095925">
        <w:t>(</w:t>
      </w:r>
      <w:r w:rsidRPr="00355BF5">
        <w:t>d</w:t>
      </w:r>
      <w:r w:rsidR="00095925">
        <w:t>)</w:t>
      </w:r>
      <w:r w:rsidRPr="00355BF5">
        <w:t>) for the 2020</w:t>
      </w:r>
      <w:r w:rsidR="00E73337">
        <w:t> </w:t>
      </w:r>
      <w:r w:rsidRPr="00355BF5">
        <w:t>Review ask the Commission to ‘ensure robust quality assurance processes’ are adopted in preparing assessments. This chapter sets out the quality assurance (QA) processes the Commission applied in this review to comply with this requirement.</w:t>
      </w:r>
    </w:p>
    <w:p w14:paraId="0EAD78C1" w14:textId="46E3C4CD" w:rsidR="00CD0C00" w:rsidRDefault="002551EB" w:rsidP="002551EB">
      <w:pPr>
        <w:pStyle w:val="Heading3"/>
      </w:pPr>
      <w:bookmarkStart w:id="85" w:name="_Toc33600574"/>
      <w:r>
        <w:t>Approach</w:t>
      </w:r>
      <w:bookmarkEnd w:id="85"/>
    </w:p>
    <w:p w14:paraId="40AD0136" w14:textId="42BE9650" w:rsidR="001E5485" w:rsidRDefault="001E5485" w:rsidP="001E5485">
      <w:pPr>
        <w:pStyle w:val="CGCParaNumber"/>
      </w:pPr>
      <w:r>
        <w:t xml:space="preserve">The QA approach used in this review is described in the QA Strategic Plan, which is available on the </w:t>
      </w:r>
      <w:hyperlink r:id="rId64" w:history="1">
        <w:r w:rsidR="0001339C">
          <w:rPr>
            <w:rStyle w:val="Hyperlink"/>
          </w:rPr>
          <w:t>Commission’s website</w:t>
        </w:r>
      </w:hyperlink>
      <w:r w:rsidR="0001339C">
        <w:t xml:space="preserve"> </w:t>
      </w:r>
      <w:r>
        <w:t xml:space="preserve">(http://www.cgc.gov.au). The approach for this review was based on </w:t>
      </w:r>
      <w:r w:rsidR="00474F1B">
        <w:t xml:space="preserve">the </w:t>
      </w:r>
      <w:r>
        <w:t>2015</w:t>
      </w:r>
      <w:r w:rsidR="00264A7B">
        <w:t> </w:t>
      </w:r>
      <w:r>
        <w:t xml:space="preserve">Review plan, which the Commission revised after consulting with the States. The plan seeks to ensure: </w:t>
      </w:r>
    </w:p>
    <w:p w14:paraId="4D1B7B4C" w14:textId="76334807" w:rsidR="001E5485" w:rsidRDefault="001E5485" w:rsidP="00BA64D5">
      <w:pPr>
        <w:pStyle w:val="CGCBullet1"/>
      </w:pPr>
      <w:r>
        <w:t>Commission decisions are evidence</w:t>
      </w:r>
      <w:r w:rsidR="001A0C9D">
        <w:t>-</w:t>
      </w:r>
      <w:r>
        <w:t>based and transparent</w:t>
      </w:r>
    </w:p>
    <w:p w14:paraId="26AA3A73" w14:textId="016222F1" w:rsidR="001E5485" w:rsidRDefault="001E5485" w:rsidP="00BA64D5">
      <w:pPr>
        <w:pStyle w:val="CGCBullet1"/>
      </w:pPr>
      <w:r>
        <w:t>the data used in assessments are fit for purpose and of good quality</w:t>
      </w:r>
    </w:p>
    <w:p w14:paraId="37F2095E" w14:textId="0F7E29BF" w:rsidR="001E5485" w:rsidRDefault="001E5485" w:rsidP="009D6626">
      <w:pPr>
        <w:pStyle w:val="CGCBullet1"/>
      </w:pPr>
      <w:r>
        <w:t>the data and methods used in assessments reflect Commission decisions</w:t>
      </w:r>
    </w:p>
    <w:p w14:paraId="480CA09E" w14:textId="26CD68F4" w:rsidR="001E5485" w:rsidRDefault="001E5485" w:rsidP="009D6626">
      <w:pPr>
        <w:pStyle w:val="CGCBullet1"/>
      </w:pPr>
      <w:r>
        <w:t>calculations are simple and accurate</w:t>
      </w:r>
    </w:p>
    <w:p w14:paraId="268E6AEC" w14:textId="4AB6B627" w:rsidR="001E5485" w:rsidRDefault="001E5485" w:rsidP="009D6626">
      <w:pPr>
        <w:pStyle w:val="CGCBullet1"/>
      </w:pPr>
      <w:r>
        <w:t>the relativities are reported in a transparent and verifiable manner.</w:t>
      </w:r>
    </w:p>
    <w:p w14:paraId="2040B7FA" w14:textId="1A239C61" w:rsidR="001E5485" w:rsidRDefault="001E5485" w:rsidP="001E5485">
      <w:pPr>
        <w:pStyle w:val="CGCParaNumber"/>
      </w:pPr>
      <w:r>
        <w:t>The main elements of the 2020</w:t>
      </w:r>
      <w:r w:rsidR="00C46573">
        <w:t> </w:t>
      </w:r>
      <w:r>
        <w:t>Review QA approach were to:</w:t>
      </w:r>
    </w:p>
    <w:p w14:paraId="160731C7" w14:textId="74CDE6FE" w:rsidR="001E5485" w:rsidRDefault="001E5485" w:rsidP="00C46573">
      <w:pPr>
        <w:pStyle w:val="CGCBullet1"/>
      </w:pPr>
      <w:r>
        <w:t>develop and implement a comprehensive work program in consultation with States</w:t>
      </w:r>
    </w:p>
    <w:p w14:paraId="75550868" w14:textId="6946F1CF" w:rsidR="001E5485" w:rsidRDefault="001E5485" w:rsidP="00C46573">
      <w:pPr>
        <w:pStyle w:val="CGCBullet1"/>
      </w:pPr>
      <w:r>
        <w:t>establish equalisation principles and assessment guidelines consistent with the terms of reference to provide a consistent decision-making framework</w:t>
      </w:r>
      <w:r w:rsidR="006F6FF5">
        <w:rPr>
          <w:rStyle w:val="FootnoteReference"/>
        </w:rPr>
        <w:footnoteReference w:id="16"/>
      </w:r>
    </w:p>
    <w:p w14:paraId="5D58D94F" w14:textId="52C5262A" w:rsidR="001E5485" w:rsidRDefault="001E5485" w:rsidP="004A6DAE">
      <w:pPr>
        <w:pStyle w:val="CGCBullet1"/>
      </w:pPr>
      <w:r>
        <w:t>use external experts and consultants as appropriate to provide input into the Commission’s assessment approach and methods</w:t>
      </w:r>
    </w:p>
    <w:p w14:paraId="6A782B0A" w14:textId="7055EEAC" w:rsidR="001E5485" w:rsidRDefault="001E5485" w:rsidP="007074EA">
      <w:pPr>
        <w:pStyle w:val="CGCBullet1"/>
      </w:pPr>
      <w:r>
        <w:t>use a reliable and auditable calculation system</w:t>
      </w:r>
    </w:p>
    <w:p w14:paraId="79362280" w14:textId="2BB23F63" w:rsidR="001E5485" w:rsidRDefault="001E5485" w:rsidP="007074EA">
      <w:pPr>
        <w:pStyle w:val="CGCBullet1"/>
      </w:pPr>
      <w:r>
        <w:t>perform internal checks of calculations to detect errors and engage external parties to audit the calculations</w:t>
      </w:r>
    </w:p>
    <w:p w14:paraId="3C4A3E85" w14:textId="70367907" w:rsidR="001E5485" w:rsidRDefault="001E5485" w:rsidP="007074EA">
      <w:pPr>
        <w:pStyle w:val="CGCBullet1"/>
      </w:pPr>
      <w:r>
        <w:t>consult States throughout the review on the development of assessments and processes</w:t>
      </w:r>
    </w:p>
    <w:p w14:paraId="32E9A4E2" w14:textId="611EFAA5" w:rsidR="005D2578" w:rsidRDefault="001E5485" w:rsidP="00974334">
      <w:pPr>
        <w:pStyle w:val="CGCBullet1"/>
      </w:pPr>
      <w:r>
        <w:t>report staff proposals, Commission decisions, methods and results in a transparent way, including through the release to States of all calculations contributing to the final relativities.</w:t>
      </w:r>
    </w:p>
    <w:p w14:paraId="2974190A" w14:textId="7EA45574" w:rsidR="00732648" w:rsidRDefault="00732648" w:rsidP="00732648">
      <w:pPr>
        <w:pStyle w:val="Heading3"/>
      </w:pPr>
      <w:bookmarkStart w:id="86" w:name="_Toc33600575"/>
      <w:r>
        <w:t>Implementation</w:t>
      </w:r>
      <w:bookmarkEnd w:id="86"/>
    </w:p>
    <w:p w14:paraId="33A88CF4" w14:textId="0D8A1635" w:rsidR="00156937" w:rsidRDefault="00156937" w:rsidP="00156937">
      <w:pPr>
        <w:pStyle w:val="CGCParaNumber"/>
      </w:pPr>
      <w:r>
        <w:t xml:space="preserve">The Commission commenced implementing some aspects of the QA plan before it was </w:t>
      </w:r>
      <w:r w:rsidRPr="004500BF">
        <w:rPr>
          <w:lang w:val="en-AU"/>
        </w:rPr>
        <w:t>finalised</w:t>
      </w:r>
      <w:r>
        <w:t xml:space="preserve"> in October</w:t>
      </w:r>
      <w:r w:rsidR="000B3B3F">
        <w:t> </w:t>
      </w:r>
      <w:r>
        <w:t>2018. These included the development of a clear work program, and the establishment of the principles and guidelines for the conduct of the review.</w:t>
      </w:r>
    </w:p>
    <w:p w14:paraId="4192701C" w14:textId="20BBE031" w:rsidR="00156937" w:rsidRDefault="00156937" w:rsidP="00156937">
      <w:pPr>
        <w:pStyle w:val="CGCParaNumber"/>
      </w:pPr>
      <w:r>
        <w:t>Table 1-2 in Chapter 1 of Volume 2 shows the timing of key consultations during the review, which are an important element of the QA process. Chapter 33</w:t>
      </w:r>
      <w:r w:rsidR="00E3706F">
        <w:t>,</w:t>
      </w:r>
      <w:r>
        <w:t xml:space="preserve"> Volume 2</w:t>
      </w:r>
      <w:r w:rsidR="00E3706F">
        <w:t>,</w:t>
      </w:r>
      <w:r w:rsidR="00103310">
        <w:t xml:space="preserve"> Part B</w:t>
      </w:r>
      <w:r>
        <w:t xml:space="preserve"> provides </w:t>
      </w:r>
      <w:r>
        <w:lastRenderedPageBreak/>
        <w:t xml:space="preserve">details of all discussion papers, position papers and reports issued by the Commission. Submissions from States are available on the </w:t>
      </w:r>
      <w:hyperlink r:id="rId65" w:history="1">
        <w:r w:rsidR="00B55285">
          <w:rPr>
            <w:rStyle w:val="Hyperlink"/>
          </w:rPr>
          <w:t>Commission’s website</w:t>
        </w:r>
      </w:hyperlink>
      <w:r>
        <w:t xml:space="preserve"> (http://www.cgc.gov.au).</w:t>
      </w:r>
    </w:p>
    <w:p w14:paraId="20D5EF15" w14:textId="09578281" w:rsidR="00156937" w:rsidRDefault="00156937" w:rsidP="00156937">
      <w:pPr>
        <w:pStyle w:val="CGCParaNumber"/>
      </w:pPr>
      <w:r>
        <w:t>The final checking of calculations and validation of results for the 2020</w:t>
      </w:r>
      <w:r w:rsidR="008D76AC">
        <w:t> </w:t>
      </w:r>
      <w:r>
        <w:t>Review occurred during January and February 2020. This included checking of the calculations by external auditors</w:t>
      </w:r>
      <w:r w:rsidR="00981E5D">
        <w:t xml:space="preserve"> covered in </w:t>
      </w:r>
      <w:r w:rsidR="00983B8C">
        <w:t xml:space="preserve">paragraph </w:t>
      </w:r>
      <w:r w:rsidR="00983B8C">
        <w:fldChar w:fldCharType="begin"/>
      </w:r>
      <w:r w:rsidR="00983B8C">
        <w:instrText xml:space="preserve"> REF _Ref32844110 \r \h </w:instrText>
      </w:r>
      <w:r w:rsidR="00983B8C">
        <w:fldChar w:fldCharType="separate"/>
      </w:r>
      <w:r w:rsidR="003D49C2">
        <w:t>16</w:t>
      </w:r>
      <w:r w:rsidR="00983B8C">
        <w:fldChar w:fldCharType="end"/>
      </w:r>
      <w:r>
        <w:t>.</w:t>
      </w:r>
    </w:p>
    <w:p w14:paraId="57DB524B" w14:textId="04D811E2" w:rsidR="00156937" w:rsidRDefault="00156937" w:rsidP="00156937">
      <w:pPr>
        <w:pStyle w:val="CGCParaNumber"/>
      </w:pPr>
      <w:r>
        <w:t xml:space="preserve">Transparency in reporting the assessment methods, decisions and results are important parts of </w:t>
      </w:r>
      <w:r w:rsidR="00493799">
        <w:t xml:space="preserve">the </w:t>
      </w:r>
      <w:r>
        <w:t xml:space="preserve">QA process. The final report, supporting information and a full copy of the calculation </w:t>
      </w:r>
      <w:r w:rsidR="00D1500C">
        <w:t>workbooks</w:t>
      </w:r>
      <w:r>
        <w:t xml:space="preserve"> were released to States on 28</w:t>
      </w:r>
      <w:r w:rsidR="00E85DF5">
        <w:t> </w:t>
      </w:r>
      <w:r>
        <w:t>February</w:t>
      </w:r>
      <w:r w:rsidR="00E85DF5">
        <w:t> </w:t>
      </w:r>
      <w:r>
        <w:t>2020, supporting full transparency of Commission decisions and calculations.</w:t>
      </w:r>
    </w:p>
    <w:p w14:paraId="1D7E9D91" w14:textId="7D096232" w:rsidR="00156937" w:rsidRDefault="00156937" w:rsidP="00156937">
      <w:pPr>
        <w:pStyle w:val="CGCParaNumber"/>
      </w:pPr>
      <w:r>
        <w:t>The Commission considers these QA activities comply with the requirements of the QA</w:t>
      </w:r>
      <w:r w:rsidR="00304FB6">
        <w:t> </w:t>
      </w:r>
      <w:r>
        <w:t xml:space="preserve">Strategic Plan and the terms of reference. This includes compliance with the requirement in the plan to provide advice to States on any significant method changes in assessments between the draft and the final report and the requirement in </w:t>
      </w:r>
      <w:r w:rsidR="00A637D1">
        <w:t>c</w:t>
      </w:r>
      <w:r>
        <w:t>lause 3(b) of the terms of reference to consult with States on them.</w:t>
      </w:r>
    </w:p>
    <w:p w14:paraId="220794DB" w14:textId="0CF7EC1B" w:rsidR="00732648" w:rsidRDefault="00156937" w:rsidP="00156937">
      <w:pPr>
        <w:pStyle w:val="CGCParaNumber"/>
      </w:pPr>
      <w:r>
        <w:t xml:space="preserve">The rest of this chapter provides information on the outcomes of the </w:t>
      </w:r>
      <w:r w:rsidR="005E6FFE">
        <w:t>main</w:t>
      </w:r>
      <w:r>
        <w:t xml:space="preserve"> QA activities.</w:t>
      </w:r>
    </w:p>
    <w:p w14:paraId="58BB6F82" w14:textId="6120D6CD" w:rsidR="00042D4E" w:rsidRDefault="00042D4E" w:rsidP="00042D4E">
      <w:pPr>
        <w:pStyle w:val="Heading3"/>
      </w:pPr>
      <w:bookmarkStart w:id="87" w:name="_Toc33600576"/>
      <w:r>
        <w:t xml:space="preserve">Use </w:t>
      </w:r>
      <w:r w:rsidR="000E098C">
        <w:t xml:space="preserve">of </w:t>
      </w:r>
      <w:r>
        <w:t>external experts</w:t>
      </w:r>
      <w:bookmarkEnd w:id="87"/>
    </w:p>
    <w:p w14:paraId="2A084F77" w14:textId="0C65F17A" w:rsidR="002175F3" w:rsidRDefault="002175F3" w:rsidP="002175F3">
      <w:pPr>
        <w:pStyle w:val="CGCParaNumber"/>
      </w:pPr>
      <w:r>
        <w:t xml:space="preserve">The Commission engaged consultants to advise on methodological issues for </w:t>
      </w:r>
      <w:r w:rsidR="00E10525">
        <w:t xml:space="preserve">the </w:t>
      </w:r>
      <w:r>
        <w:t>urban transport assessment and elasticity adjustments for revenue assessment</w:t>
      </w:r>
      <w:r w:rsidR="009661C6">
        <w:t>s.</w:t>
      </w:r>
      <w:r>
        <w:t xml:space="preserve"> The Commission consulted the States during the conduct of these consultancies. The consultant</w:t>
      </w:r>
      <w:r w:rsidR="003A63C3">
        <w:t>s’</w:t>
      </w:r>
      <w:r>
        <w:t xml:space="preserve"> reports were </w:t>
      </w:r>
      <w:r w:rsidR="00D105B3">
        <w:t xml:space="preserve">provided </w:t>
      </w:r>
      <w:r>
        <w:t xml:space="preserve">to the States for comment. The reports are available on the </w:t>
      </w:r>
      <w:hyperlink r:id="rId66" w:history="1">
        <w:r w:rsidR="004F3DBF" w:rsidRPr="004F3DBF">
          <w:rPr>
            <w:rStyle w:val="Hyperlink"/>
          </w:rPr>
          <w:t>Commission’s website</w:t>
        </w:r>
      </w:hyperlink>
      <w:r w:rsidR="004F3DBF">
        <w:t xml:space="preserve"> </w:t>
      </w:r>
      <w:r>
        <w:t>(http://www.cgc.gov.au).</w:t>
      </w:r>
    </w:p>
    <w:p w14:paraId="4A8BF535" w14:textId="49400A1C" w:rsidR="00042D4E" w:rsidRPr="00042D4E" w:rsidRDefault="002175F3" w:rsidP="002175F3">
      <w:pPr>
        <w:pStyle w:val="CGCParaNumber"/>
      </w:pPr>
      <w:r>
        <w:t>The Commission used the outcome of the urban transport consultancy to develop the new urban transport assessment, which it considers a significant improvement to the 2015</w:t>
      </w:r>
      <w:r w:rsidR="00D13958">
        <w:t> </w:t>
      </w:r>
      <w:r>
        <w:t>Review assessment. It did not implement elasticity adjustments for the revenue assessments because it was unclear that equalisation is improved by applying single adjustments to often significantly divergent tax rates in some parts of assessments but not others.</w:t>
      </w:r>
    </w:p>
    <w:p w14:paraId="0A61C72E" w14:textId="77777777" w:rsidR="00E51BBA" w:rsidRDefault="003E2D6D" w:rsidP="003E2D6D">
      <w:pPr>
        <w:pStyle w:val="Heading3"/>
      </w:pPr>
      <w:bookmarkStart w:id="88" w:name="_Toc33600577"/>
      <w:r>
        <w:t>The Commission’s decision making processes</w:t>
      </w:r>
      <w:bookmarkEnd w:id="88"/>
    </w:p>
    <w:p w14:paraId="6812CFB7" w14:textId="4A82D1E8" w:rsidR="0060078D" w:rsidRDefault="0060078D" w:rsidP="0060078D">
      <w:pPr>
        <w:pStyle w:val="CGCParaNumber"/>
      </w:pPr>
      <w:r>
        <w:t xml:space="preserve">The Commission is satisfied it has </w:t>
      </w:r>
      <w:r w:rsidR="00B947EF">
        <w:t>under</w:t>
      </w:r>
      <w:r>
        <w:t>taken due processes in reaching its decisions on assessments.</w:t>
      </w:r>
      <w:r w:rsidR="007271C7">
        <w:t xml:space="preserve"> </w:t>
      </w:r>
      <w:r>
        <w:t xml:space="preserve">It has: </w:t>
      </w:r>
    </w:p>
    <w:p w14:paraId="7EEF625C" w14:textId="58875558" w:rsidR="0060078D" w:rsidRDefault="0060078D" w:rsidP="007271C7">
      <w:pPr>
        <w:pStyle w:val="CGCBullet1"/>
      </w:pPr>
      <w:r>
        <w:t>followed the work program</w:t>
      </w:r>
    </w:p>
    <w:p w14:paraId="729ED073" w14:textId="4B46F83D" w:rsidR="0060078D" w:rsidRDefault="0060078D" w:rsidP="007271C7">
      <w:pPr>
        <w:pStyle w:val="CGCBullet1"/>
      </w:pPr>
      <w:r>
        <w:t>applied the assessment guidelines when developing assessment methods</w:t>
      </w:r>
    </w:p>
    <w:p w14:paraId="6022CEA6" w14:textId="7CAE14DF" w:rsidR="0060078D" w:rsidRDefault="0060078D" w:rsidP="007A0F18">
      <w:pPr>
        <w:pStyle w:val="CGCBullet1"/>
      </w:pPr>
      <w:r>
        <w:t>used the best data available for the assessments</w:t>
      </w:r>
    </w:p>
    <w:p w14:paraId="75E89244" w14:textId="3D63B19D" w:rsidR="0060078D" w:rsidRDefault="0060078D" w:rsidP="007A0F18">
      <w:pPr>
        <w:pStyle w:val="CGCBullet1"/>
      </w:pPr>
      <w:r>
        <w:t>applied discounting or adjustments consistently across assessments and provided reasons for application of specific discounts to assessments in its report</w:t>
      </w:r>
    </w:p>
    <w:p w14:paraId="19C48096" w14:textId="374DD66E" w:rsidR="0060078D" w:rsidRDefault="0060078D" w:rsidP="00C94D6D">
      <w:pPr>
        <w:pStyle w:val="CGCBullet1"/>
      </w:pPr>
      <w:r>
        <w:t>provided opportunities for States to provide inputs at appropriate stages of the review</w:t>
      </w:r>
    </w:p>
    <w:p w14:paraId="7CAC5D8E" w14:textId="4028100E" w:rsidR="0060078D" w:rsidRDefault="0060078D" w:rsidP="00563265">
      <w:pPr>
        <w:pStyle w:val="CGCBullet1"/>
      </w:pPr>
      <w:r>
        <w:t>considered State comments in submissions and other materials provided by States including during State visits</w:t>
      </w:r>
    </w:p>
    <w:p w14:paraId="181B9C82" w14:textId="5A472700" w:rsidR="003E2D6D" w:rsidRDefault="0060078D" w:rsidP="00563265">
      <w:pPr>
        <w:pStyle w:val="CGCBullet1"/>
      </w:pPr>
      <w:r>
        <w:t xml:space="preserve">recorded Commission meeting minutes that </w:t>
      </w:r>
      <w:r w:rsidR="00ED5CD4">
        <w:t>document</w:t>
      </w:r>
      <w:r>
        <w:t xml:space="preserve"> Commission discussion and decisions.</w:t>
      </w:r>
    </w:p>
    <w:p w14:paraId="7943F208" w14:textId="77777777" w:rsidR="00B9449F" w:rsidRDefault="00B9449F" w:rsidP="00B9449F">
      <w:pPr>
        <w:pStyle w:val="Heading3"/>
      </w:pPr>
      <w:bookmarkStart w:id="89" w:name="_Toc33600578"/>
      <w:r>
        <w:lastRenderedPageBreak/>
        <w:t>Checking calculations</w:t>
      </w:r>
      <w:bookmarkEnd w:id="89"/>
    </w:p>
    <w:p w14:paraId="2798BF79" w14:textId="06E99D5F" w:rsidR="004E4DCB" w:rsidRDefault="004E4DCB" w:rsidP="004E4DCB">
      <w:pPr>
        <w:pStyle w:val="CGCParaNumber"/>
      </w:pPr>
      <w:r>
        <w:t>The Commission completed a series of rigorous checks of all its calculations used to generate the GST relativities. All calculations were checked by Commission staff and external auditors, and covered the entire chain of the calculations leading to the relativities.</w:t>
      </w:r>
    </w:p>
    <w:p w14:paraId="67443BF5" w14:textId="12879348" w:rsidR="004E4DCB" w:rsidRDefault="004E4DCB" w:rsidP="004E4DCB">
      <w:pPr>
        <w:pStyle w:val="CGCParaNumber"/>
      </w:pPr>
      <w:r>
        <w:t>The Commission has a checking plan that provides guidance on the scope and nature of checks. All staff followed the</w:t>
      </w:r>
      <w:r w:rsidR="00390940">
        <w:t xml:space="preserve"> checking</w:t>
      </w:r>
      <w:r>
        <w:t xml:space="preserve"> plan. All calculations were checked three times internally — by the assessment officer, the assessment team leader and another officer not involved in the original calculation. In addition, calculations using 2020</w:t>
      </w:r>
      <w:r w:rsidR="00070A00">
        <w:t> </w:t>
      </w:r>
      <w:r>
        <w:t>Review methods were built twice. This ‘double coding’ provided an additional level of assurance about the accuracy of the calculations.</w:t>
      </w:r>
    </w:p>
    <w:p w14:paraId="5486E6E9" w14:textId="066C2607" w:rsidR="004E4DCB" w:rsidRDefault="004E4DCB" w:rsidP="004E4DCB">
      <w:pPr>
        <w:pStyle w:val="CGCParaNumber"/>
      </w:pPr>
      <w:r>
        <w:t>Following an internal review of checking processes, Commission staff introduced new processes for specifying the scope and nature of checks for each assessment, and a new automated system for recording progress and outcomes from the checking process.</w:t>
      </w:r>
    </w:p>
    <w:p w14:paraId="3B0F38C6" w14:textId="42354CDB" w:rsidR="00B9449F" w:rsidRDefault="004E4DCB" w:rsidP="004E4DCB">
      <w:pPr>
        <w:pStyle w:val="CGCParaNumber"/>
      </w:pPr>
      <w:bookmarkStart w:id="90" w:name="_Ref32844110"/>
      <w:r>
        <w:t xml:space="preserve">The Commission also engaged officers from the Commonwealth Treasury </w:t>
      </w:r>
      <w:r w:rsidR="00460C46">
        <w:t xml:space="preserve">with relevant technical expertise </w:t>
      </w:r>
      <w:r>
        <w:t>to check the calculations. These checks were done after internal checks were completed. No major errors were found during this process.</w:t>
      </w:r>
      <w:bookmarkEnd w:id="90"/>
    </w:p>
    <w:p w14:paraId="4DCF3D96" w14:textId="77777777" w:rsidR="006B02AC" w:rsidRDefault="006B02AC" w:rsidP="006B02AC">
      <w:pPr>
        <w:pStyle w:val="Heading3"/>
      </w:pPr>
      <w:bookmarkStart w:id="91" w:name="_Toc33600579"/>
      <w:r>
        <w:t>Reporting of methods, decisions and results</w:t>
      </w:r>
      <w:bookmarkEnd w:id="91"/>
    </w:p>
    <w:p w14:paraId="75212A1F" w14:textId="37263490" w:rsidR="00BA1B88" w:rsidRDefault="00BA1B88" w:rsidP="00BA1B88">
      <w:pPr>
        <w:pStyle w:val="CGCParaNumber"/>
      </w:pPr>
      <w:r>
        <w:t xml:space="preserve">Transparency and accuracy in reporting the assessment methods, decisions and results are important </w:t>
      </w:r>
      <w:r w:rsidR="00346591">
        <w:t>in ensuring</w:t>
      </w:r>
      <w:r>
        <w:t xml:space="preserve"> high quality outputs. </w:t>
      </w:r>
    </w:p>
    <w:p w14:paraId="5853AF14" w14:textId="77777777" w:rsidR="00BA1B88" w:rsidRDefault="00BA1B88" w:rsidP="00BA1B88">
      <w:pPr>
        <w:pStyle w:val="CGCParaNumber"/>
      </w:pPr>
      <w:r>
        <w:t xml:space="preserve">The Commission undertook a comprehensive program of proofreading and checking of tables and results to ensure they aligned with the original calculations. </w:t>
      </w:r>
    </w:p>
    <w:p w14:paraId="51FD46E5" w14:textId="51FE8739" w:rsidR="006B02AC" w:rsidRDefault="00BA1B88" w:rsidP="00BA1B88">
      <w:pPr>
        <w:pStyle w:val="CGCParaNumber"/>
      </w:pPr>
      <w:r>
        <w:t xml:space="preserve">The Commission posted all its discussion papers, State submissions </w:t>
      </w:r>
      <w:r w:rsidR="00F90E8D">
        <w:t>on</w:t>
      </w:r>
      <w:r>
        <w:t xml:space="preserve"> those papers, draft and final reports on the </w:t>
      </w:r>
      <w:hyperlink r:id="rId67" w:history="1">
        <w:r w:rsidR="00BC25C1">
          <w:rPr>
            <w:rStyle w:val="Hyperlink"/>
          </w:rPr>
          <w:t>Commission’s website</w:t>
        </w:r>
      </w:hyperlink>
      <w:r w:rsidR="00BC25C1">
        <w:t xml:space="preserve"> </w:t>
      </w:r>
      <w:r>
        <w:t>(https://www.cgc.gov.au). It continued to post additional material on the website to help explain the Commission’s work more simply and transparently. This material aims to help the public, as well as staff of the Commonwealth and State treasuries, understand the Australian fiscal equalisation system and the Commission’s work.</w:t>
      </w:r>
    </w:p>
    <w:p w14:paraId="49C30F77" w14:textId="77777777" w:rsidR="00041BF6" w:rsidRDefault="00041BF6" w:rsidP="006A73E7">
      <w:pPr>
        <w:pStyle w:val="Heading3"/>
        <w:keepLines/>
      </w:pPr>
      <w:bookmarkStart w:id="92" w:name="_Toc33600580"/>
      <w:r>
        <w:t>Conclusion</w:t>
      </w:r>
      <w:bookmarkEnd w:id="92"/>
    </w:p>
    <w:p w14:paraId="224325B1" w14:textId="72198A6F" w:rsidR="003A2745" w:rsidRDefault="00B8468F" w:rsidP="003A2745">
      <w:pPr>
        <w:pStyle w:val="CGCParaNumber"/>
        <w:keepLines/>
      </w:pPr>
      <w:r w:rsidRPr="00B8468F">
        <w:t xml:space="preserve">The Commission </w:t>
      </w:r>
      <w:r w:rsidR="00D84791">
        <w:t>considers</w:t>
      </w:r>
      <w:r w:rsidRPr="00B8468F">
        <w:t xml:space="preserve"> that, in preparing assessments, it has used robust quality assurance processes as required by the terms of reference. However, no quality assurance process can guarantee 100% accuracy in outcomes. Despite the diligent use of the procedures and processes set out in the QA Strategic Plan, there may still be undetected errors in calculations or unintended omissions in transparently explaining Commission decision</w:t>
      </w:r>
      <w:r w:rsidR="00C329C0">
        <w:t>s</w:t>
      </w:r>
      <w:r w:rsidR="003D4B25">
        <w:t xml:space="preserve">. </w:t>
      </w:r>
    </w:p>
    <w:p w14:paraId="4092CFCB" w14:textId="77777777" w:rsidR="003A2745" w:rsidRDefault="003A2745" w:rsidP="003A2745"/>
    <w:p w14:paraId="487F1D12" w14:textId="77777777" w:rsidR="00060C2D" w:rsidRDefault="00060C2D" w:rsidP="003A2745">
      <w:pPr>
        <w:sectPr w:rsidR="00060C2D" w:rsidSect="00E22AA8">
          <w:footerReference w:type="default" r:id="rId68"/>
          <w:footerReference w:type="first" r:id="rId69"/>
          <w:pgSz w:w="11907" w:h="16840" w:code="9"/>
          <w:pgMar w:top="1418" w:right="1474" w:bottom="1418" w:left="1474" w:header="720" w:footer="567" w:gutter="0"/>
          <w:cols w:space="720"/>
          <w:titlePg/>
          <w:docGrid w:linePitch="360"/>
        </w:sectPr>
      </w:pPr>
    </w:p>
    <w:p w14:paraId="31623FCB" w14:textId="77777777" w:rsidR="003C34C1" w:rsidRPr="003C34C1" w:rsidRDefault="003C34C1" w:rsidP="003C34C1">
      <w:pPr>
        <w:rPr>
          <w:rFonts w:eastAsia="Calibri" w:cs="Open Sans Light"/>
          <w:szCs w:val="20"/>
          <w:lang w:val="en-AU"/>
        </w:rPr>
      </w:pPr>
      <w:r w:rsidRPr="003C34C1">
        <w:rPr>
          <w:rFonts w:eastAsia="Calibri" w:cs="Times New Roman"/>
          <w:noProof/>
          <w:lang w:val="en-AU"/>
        </w:rPr>
        <w:lastRenderedPageBreak/>
        <w:drawing>
          <wp:anchor distT="0" distB="0" distL="114300" distR="114300" simplePos="0" relativeHeight="251658242" behindDoc="1" locked="0" layoutInCell="1" allowOverlap="1" wp14:anchorId="570E69D9" wp14:editId="5EFF9BB9">
            <wp:simplePos x="0" y="0"/>
            <wp:positionH relativeFrom="page">
              <wp:posOffset>-117043</wp:posOffset>
            </wp:positionH>
            <wp:positionV relativeFrom="page">
              <wp:posOffset>-1141171</wp:posOffset>
            </wp:positionV>
            <wp:extent cx="8545830" cy="11814048"/>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50028" cy="11819851"/>
                    </a:xfrm>
                    <a:prstGeom prst="rect">
                      <a:avLst/>
                    </a:prstGeom>
                    <a:noFill/>
                  </pic:spPr>
                </pic:pic>
              </a:graphicData>
            </a:graphic>
            <wp14:sizeRelH relativeFrom="margin">
              <wp14:pctWidth>0</wp14:pctWidth>
            </wp14:sizeRelH>
            <wp14:sizeRelV relativeFrom="margin">
              <wp14:pctHeight>0</wp14:pctHeight>
            </wp14:sizeRelV>
          </wp:anchor>
        </w:drawing>
      </w:r>
    </w:p>
    <w:p w14:paraId="21361123" w14:textId="77777777" w:rsidR="003C34C1" w:rsidRPr="003C34C1" w:rsidRDefault="003C34C1" w:rsidP="003C34C1">
      <w:pPr>
        <w:rPr>
          <w:rFonts w:eastAsia="Calibri" w:cs="Open Sans Light"/>
          <w:szCs w:val="20"/>
          <w:lang w:val="en-AU"/>
        </w:rPr>
      </w:pPr>
    </w:p>
    <w:p w14:paraId="323C1CA5" w14:textId="77777777" w:rsidR="003C34C1" w:rsidRPr="003C34C1" w:rsidRDefault="003C34C1" w:rsidP="003C34C1">
      <w:pPr>
        <w:rPr>
          <w:rFonts w:eastAsia="Calibri" w:cs="Open Sans Light"/>
          <w:szCs w:val="20"/>
          <w:lang w:val="en-AU"/>
        </w:rPr>
      </w:pPr>
    </w:p>
    <w:p w14:paraId="4723B0DF" w14:textId="77777777" w:rsidR="003C34C1" w:rsidRPr="003C34C1" w:rsidRDefault="003C34C1" w:rsidP="003C34C1">
      <w:pPr>
        <w:rPr>
          <w:rFonts w:eastAsia="Calibri" w:cs="Open Sans Light"/>
          <w:szCs w:val="20"/>
          <w:lang w:val="en-AU"/>
        </w:rPr>
      </w:pPr>
    </w:p>
    <w:p w14:paraId="3F452710" w14:textId="77777777" w:rsidR="003C34C1" w:rsidRPr="003C34C1" w:rsidRDefault="003C34C1" w:rsidP="003C34C1">
      <w:pPr>
        <w:rPr>
          <w:rFonts w:eastAsia="Calibri" w:cs="Open Sans Light"/>
          <w:szCs w:val="20"/>
          <w:lang w:val="en-AU"/>
        </w:rPr>
      </w:pPr>
    </w:p>
    <w:p w14:paraId="5AF878A9" w14:textId="77777777" w:rsidR="003C34C1" w:rsidRPr="003C34C1" w:rsidRDefault="003C34C1" w:rsidP="003C34C1">
      <w:pPr>
        <w:rPr>
          <w:rFonts w:eastAsia="Calibri" w:cs="Open Sans Light"/>
          <w:szCs w:val="20"/>
          <w:lang w:val="en-AU"/>
        </w:rPr>
      </w:pPr>
    </w:p>
    <w:p w14:paraId="0939E229" w14:textId="77777777" w:rsidR="003C34C1" w:rsidRPr="003C34C1" w:rsidRDefault="003C34C1" w:rsidP="003C34C1">
      <w:pPr>
        <w:rPr>
          <w:rFonts w:eastAsia="Calibri" w:cs="Open Sans Light"/>
          <w:szCs w:val="20"/>
          <w:lang w:val="en-AU"/>
        </w:rPr>
      </w:pPr>
    </w:p>
    <w:p w14:paraId="0CA5EE8D" w14:textId="77777777" w:rsidR="003C34C1" w:rsidRPr="003C34C1" w:rsidRDefault="003C34C1" w:rsidP="003C34C1">
      <w:pPr>
        <w:rPr>
          <w:rFonts w:eastAsia="Calibri" w:cs="Open Sans Light"/>
          <w:szCs w:val="20"/>
          <w:lang w:val="en-AU"/>
        </w:rPr>
      </w:pPr>
    </w:p>
    <w:p w14:paraId="54BD5EC7" w14:textId="77777777" w:rsidR="003C34C1" w:rsidRPr="003C34C1" w:rsidRDefault="003C34C1" w:rsidP="003C34C1">
      <w:pPr>
        <w:rPr>
          <w:rFonts w:eastAsia="Calibri" w:cs="Open Sans Light"/>
          <w:szCs w:val="20"/>
          <w:lang w:val="en-AU"/>
        </w:rPr>
      </w:pPr>
    </w:p>
    <w:p w14:paraId="7FE9E409" w14:textId="77777777" w:rsidR="003C34C1" w:rsidRPr="003C34C1" w:rsidRDefault="003C34C1" w:rsidP="003C34C1">
      <w:pPr>
        <w:rPr>
          <w:rFonts w:eastAsia="Calibri" w:cs="Open Sans Light"/>
          <w:szCs w:val="20"/>
          <w:lang w:val="en-AU"/>
        </w:rPr>
      </w:pPr>
    </w:p>
    <w:p w14:paraId="4ADE351D" w14:textId="77777777" w:rsidR="003C34C1" w:rsidRPr="003C34C1" w:rsidRDefault="003C34C1" w:rsidP="003C34C1">
      <w:pPr>
        <w:rPr>
          <w:rFonts w:eastAsia="Calibri" w:cs="Open Sans Light"/>
          <w:szCs w:val="20"/>
          <w:lang w:val="en-AU"/>
        </w:rPr>
      </w:pPr>
    </w:p>
    <w:p w14:paraId="49A87F83" w14:textId="77777777" w:rsidR="003C34C1" w:rsidRPr="003C34C1" w:rsidRDefault="003C34C1" w:rsidP="003C34C1">
      <w:pPr>
        <w:rPr>
          <w:rFonts w:eastAsia="Calibri" w:cs="Open Sans Light"/>
          <w:szCs w:val="20"/>
          <w:lang w:val="en-AU"/>
        </w:rPr>
      </w:pPr>
    </w:p>
    <w:p w14:paraId="6030A698" w14:textId="77777777" w:rsidR="003C34C1" w:rsidRPr="003C34C1" w:rsidRDefault="003C34C1" w:rsidP="003C34C1">
      <w:pPr>
        <w:rPr>
          <w:rFonts w:eastAsia="Calibri" w:cs="Open Sans Light"/>
          <w:szCs w:val="20"/>
          <w:lang w:val="en-AU"/>
        </w:rPr>
      </w:pPr>
    </w:p>
    <w:p w14:paraId="45740589" w14:textId="77777777" w:rsidR="003C34C1" w:rsidRPr="00324303" w:rsidRDefault="003C34C1" w:rsidP="00324303">
      <w:pPr>
        <w:pStyle w:val="Publicationtitle3"/>
      </w:pPr>
      <w:r w:rsidRPr="00324303">
        <w:t>cgc.gov.au</w:t>
      </w:r>
    </w:p>
    <w:p w14:paraId="0F053D54" w14:textId="77777777" w:rsidR="003C34C1" w:rsidRPr="003C34C1" w:rsidRDefault="003C34C1" w:rsidP="003C34C1">
      <w:pPr>
        <w:rPr>
          <w:rFonts w:eastAsia="Calibri" w:cs="Times New Roman"/>
          <w:lang w:val="en-AU"/>
        </w:rPr>
      </w:pPr>
    </w:p>
    <w:p w14:paraId="6B119C9B" w14:textId="5CF545AE" w:rsidR="003A2745" w:rsidRDefault="003A2745" w:rsidP="003A2745"/>
    <w:p w14:paraId="7C8B0F59" w14:textId="77777777" w:rsidR="003C34C1" w:rsidRDefault="003C34C1" w:rsidP="003A2745"/>
    <w:sectPr w:rsidR="003C34C1" w:rsidSect="00E22AA8">
      <w:footerReference w:type="first" r:id="rId71"/>
      <w:pgSz w:w="11907" w:h="16840" w:code="9"/>
      <w:pgMar w:top="1418" w:right="1474" w:bottom="1418" w:left="1474"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AC45A" w14:textId="77777777" w:rsidR="006B490F" w:rsidRDefault="006B490F" w:rsidP="00816858">
      <w:pPr>
        <w:spacing w:before="0" w:line="240" w:lineRule="auto"/>
      </w:pPr>
      <w:r>
        <w:separator/>
      </w:r>
    </w:p>
  </w:endnote>
  <w:endnote w:type="continuationSeparator" w:id="0">
    <w:p w14:paraId="7B5C68D1" w14:textId="77777777" w:rsidR="006B490F" w:rsidRDefault="006B490F" w:rsidP="00816858">
      <w:pPr>
        <w:spacing w:before="0" w:line="240" w:lineRule="auto"/>
      </w:pPr>
      <w:r>
        <w:continuationSeparator/>
      </w:r>
    </w:p>
  </w:endnote>
  <w:endnote w:type="continuationNotice" w:id="1">
    <w:p w14:paraId="37EA158D" w14:textId="77777777" w:rsidR="006B490F" w:rsidRDefault="006B490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Ultra Light">
    <w:altName w:val="Calibri"/>
    <w:panose1 w:val="000003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 Bold">
    <w:altName w:val="Calibri"/>
    <w:panose1 w:val="00000900000000000000"/>
    <w:charset w:val="00"/>
    <w:family w:val="modern"/>
    <w:notTrueType/>
    <w:pitch w:val="variable"/>
    <w:sig w:usb0="00000007" w:usb1="00000000" w:usb2="00000000" w:usb3="00000000" w:csb0="00000093" w:csb1="00000000"/>
  </w:font>
  <w:font w:name="Montserrat Semi Bold">
    <w:altName w:val="Calibri"/>
    <w:panose1 w:val="00000700000000000000"/>
    <w:charset w:val="00"/>
    <w:family w:val="modern"/>
    <w:notTrueType/>
    <w:pitch w:val="variable"/>
    <w:sig w:usb0="00000007" w:usb1="00000000" w:usb2="00000000" w:usb3="00000000" w:csb0="00000093" w:csb1="00000000"/>
  </w:font>
  <w:font w:name="Open Sans SemiBold">
    <w:altName w:val="Segoe UI"/>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159E" w14:textId="77777777" w:rsidR="007E0020" w:rsidRDefault="007E00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CA6A5" w14:textId="07228F5F" w:rsidR="007E0020" w:rsidRDefault="00203C34">
    <w:pPr>
      <w:pStyle w:val="Footer"/>
    </w:pPr>
    <w:r>
      <w:t xml:space="preserve">Chapter 3 State by State changes </w:t>
    </w:r>
    <w:r>
      <w:tab/>
    </w:r>
    <w:r>
      <w:tab/>
      <w:t xml:space="preserve"> </w:t>
    </w:r>
    <w:sdt>
      <w:sdtPr>
        <w:id w:val="11373724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A141" w14:textId="24FF0A6A" w:rsidR="00CD0C00" w:rsidRDefault="00CD0C00">
    <w:pPr>
      <w:pStyle w:val="Footer"/>
    </w:pPr>
    <w:r>
      <w:t xml:space="preserve">Chapter 4 Why State relative fiscal capacities differ </w:t>
    </w:r>
    <w:r>
      <w:tab/>
    </w:r>
    <w:sdt>
      <w:sdtPr>
        <w:id w:val="12025091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59E08" w14:textId="77777777" w:rsidR="00CD0C00" w:rsidRDefault="00CD0C00">
    <w:pPr>
      <w:pStyle w:val="Footer"/>
    </w:pPr>
    <w:r>
      <w:tab/>
    </w:r>
    <w:r>
      <w:tab/>
      <w:t xml:space="preserve"> </w:t>
    </w:r>
    <w:sdt>
      <w:sdtPr>
        <w:id w:val="-9528598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C94FE" w14:textId="3D955588" w:rsidR="00EB380F" w:rsidRDefault="002E6A5F">
    <w:pPr>
      <w:pStyle w:val="Footer"/>
    </w:pPr>
    <w:r w:rsidRPr="002E6A5F">
      <w:t>Chapter 5 Quality assurance</w:t>
    </w:r>
    <w:r>
      <w:tab/>
    </w:r>
    <w:r>
      <w:tab/>
    </w:r>
    <w:sdt>
      <w:sdtPr>
        <w:id w:val="2914052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23EB" w14:textId="04B85B37" w:rsidR="007E0020" w:rsidRDefault="00B24500">
    <w:pPr>
      <w:pStyle w:val="Footer"/>
    </w:pPr>
    <w:r>
      <w:tab/>
    </w:r>
    <w:r>
      <w:tab/>
      <w:t xml:space="preserve"> </w:t>
    </w:r>
    <w:sdt>
      <w:sdtPr>
        <w:id w:val="-1061999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23A2" w14:textId="0D0BA6B1" w:rsidR="003C34C1" w:rsidRDefault="003C34C1">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501011"/>
      <w:docPartObj>
        <w:docPartGallery w:val="Page Numbers (Bottom of Page)"/>
        <w:docPartUnique/>
      </w:docPartObj>
    </w:sdtPr>
    <w:sdtEndPr>
      <w:rPr>
        <w:noProof/>
      </w:rPr>
    </w:sdtEndPr>
    <w:sdtContent>
      <w:p w14:paraId="025A50C5" w14:textId="77777777" w:rsidR="007E0020" w:rsidRDefault="004F32A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8AF8" w14:textId="77777777" w:rsidR="00EB380F" w:rsidRDefault="002E6A5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695223"/>
      <w:docPartObj>
        <w:docPartGallery w:val="Page Numbers (Bottom of Page)"/>
        <w:docPartUnique/>
      </w:docPartObj>
    </w:sdtPr>
    <w:sdtEndPr>
      <w:rPr>
        <w:noProof/>
      </w:rPr>
    </w:sdtEndPr>
    <w:sdtContent>
      <w:p w14:paraId="70C61FD8" w14:textId="77777777" w:rsidR="007E0020" w:rsidRDefault="00593D8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81F6" w14:textId="27545E76" w:rsidR="007E0020" w:rsidRDefault="003749A5">
    <w:pPr>
      <w:pStyle w:val="Footer"/>
    </w:pPr>
    <w:r>
      <w:t>Chapter 1 Recommended GST distribution</w:t>
    </w:r>
    <w:r>
      <w:tab/>
    </w:r>
    <w:r>
      <w:tab/>
    </w:r>
    <w:sdt>
      <w:sdtPr>
        <w:id w:val="66113492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586322"/>
      <w:docPartObj>
        <w:docPartGallery w:val="Page Numbers (Bottom of Page)"/>
        <w:docPartUnique/>
      </w:docPartObj>
    </w:sdtPr>
    <w:sdtEndPr>
      <w:rPr>
        <w:noProof/>
      </w:rPr>
    </w:sdtEndPr>
    <w:sdtContent>
      <w:p w14:paraId="49829FC2" w14:textId="77777777" w:rsidR="007E0020" w:rsidRDefault="00BC4F3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61B3" w14:textId="673F4D56" w:rsidR="007E0020" w:rsidRDefault="00203C34">
    <w:pPr>
      <w:pStyle w:val="Footer"/>
    </w:pPr>
    <w:r>
      <w:t>Chapter 2 Changes since the 2019 Update</w:t>
    </w:r>
    <w:r>
      <w:tab/>
    </w:r>
    <w:r>
      <w:tab/>
    </w:r>
    <w:sdt>
      <w:sdtPr>
        <w:id w:val="9058848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4650127"/>
      <w:docPartObj>
        <w:docPartGallery w:val="Page Numbers (Bottom of Page)"/>
        <w:docPartUnique/>
      </w:docPartObj>
    </w:sdtPr>
    <w:sdtEndPr>
      <w:rPr>
        <w:noProof/>
      </w:rPr>
    </w:sdtEndPr>
    <w:sdtContent>
      <w:p w14:paraId="15F7E81D" w14:textId="77777777" w:rsidR="007E0020" w:rsidRDefault="00BE023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56968" w14:textId="13196E53" w:rsidR="007E0020" w:rsidRDefault="00203C34">
    <w:pPr>
      <w:pStyle w:val="Footer"/>
    </w:pPr>
    <w:r>
      <w:t xml:space="preserve">Chapter </w:t>
    </w:r>
    <w:r w:rsidR="0006647E">
      <w:t>3</w:t>
    </w:r>
    <w:r>
      <w:t xml:space="preserve">: </w:t>
    </w:r>
    <w:r w:rsidR="0006647E">
      <w:t>State by state changes</w:t>
    </w:r>
    <w:r w:rsidR="0006647E">
      <w:tab/>
    </w:r>
    <w:r>
      <w:tab/>
    </w:r>
    <w:sdt>
      <w:sdtPr>
        <w:id w:val="-20883068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69D2F" w14:textId="77777777" w:rsidR="006B490F" w:rsidRPr="00B94681" w:rsidRDefault="006B490F" w:rsidP="00816858">
      <w:pPr>
        <w:spacing w:before="0" w:line="240" w:lineRule="auto"/>
        <w:rPr>
          <w:color w:val="ADD6EA"/>
        </w:rPr>
      </w:pPr>
      <w:r w:rsidRPr="00B94681">
        <w:rPr>
          <w:color w:val="ADD6EA"/>
        </w:rPr>
        <w:separator/>
      </w:r>
    </w:p>
  </w:footnote>
  <w:footnote w:type="continuationSeparator" w:id="0">
    <w:p w14:paraId="6161FDA2" w14:textId="77777777" w:rsidR="006B490F" w:rsidRDefault="006B490F" w:rsidP="00816858">
      <w:pPr>
        <w:spacing w:before="0" w:line="240" w:lineRule="auto"/>
      </w:pPr>
      <w:r>
        <w:continuationSeparator/>
      </w:r>
    </w:p>
  </w:footnote>
  <w:footnote w:type="continuationNotice" w:id="1">
    <w:p w14:paraId="0F8EE9C3" w14:textId="77777777" w:rsidR="006B490F" w:rsidRDefault="006B490F">
      <w:pPr>
        <w:spacing w:before="0" w:line="240" w:lineRule="auto"/>
      </w:pPr>
    </w:p>
  </w:footnote>
  <w:footnote w:id="2">
    <w:p w14:paraId="48DE283B" w14:textId="0BDEEC86" w:rsidR="00EC252A" w:rsidRDefault="00EC252A">
      <w:pPr>
        <w:pStyle w:val="FootnoteText"/>
      </w:pPr>
      <w:r>
        <w:rPr>
          <w:rStyle w:val="FootnoteReference"/>
        </w:rPr>
        <w:footnoteRef/>
      </w:r>
      <w:r>
        <w:t xml:space="preserve"> </w:t>
      </w:r>
      <w:r>
        <w:tab/>
        <w:t xml:space="preserve">The procedure </w:t>
      </w:r>
      <w:r w:rsidRPr="00725BD0">
        <w:t>used by the Commission to derive the recommended GST distribution using State revenue, expenditure and</w:t>
      </w:r>
      <w:r w:rsidR="00FA5648">
        <w:t xml:space="preserve"> additional Commonwealth support through </w:t>
      </w:r>
      <w:r w:rsidRPr="00725BD0">
        <w:t>payments for</w:t>
      </w:r>
      <w:r>
        <w:t xml:space="preserve"> </w:t>
      </w:r>
      <w:r w:rsidRPr="00725BD0">
        <w:t>specific purposes (PSPs) is called the distribution model. Information about the distribution model is available on the</w:t>
      </w:r>
      <w:r>
        <w:t xml:space="preserve"> </w:t>
      </w:r>
      <w:hyperlink r:id="rId1" w:history="1">
        <w:r>
          <w:rPr>
            <w:rStyle w:val="Hyperlink"/>
          </w:rPr>
          <w:t>Commission's website</w:t>
        </w:r>
      </w:hyperlink>
      <w:r>
        <w:t xml:space="preserve"> (https://www.cgc.gov.au).</w:t>
      </w:r>
    </w:p>
  </w:footnote>
  <w:footnote w:id="3">
    <w:p w14:paraId="7ACD71B2" w14:textId="5CC974AA" w:rsidR="00F312E7" w:rsidRDefault="00F312E7" w:rsidP="00C062B3">
      <w:pPr>
        <w:pStyle w:val="FootnoteText"/>
      </w:pPr>
      <w:r>
        <w:rPr>
          <w:rStyle w:val="FootnoteReference"/>
        </w:rPr>
        <w:footnoteRef/>
      </w:r>
      <w:r>
        <w:t xml:space="preserve"> </w:t>
      </w:r>
      <w:r w:rsidR="00C062B3" w:rsidRPr="00C062B3">
        <w:tab/>
      </w:r>
      <w:r>
        <w:t>Revisions can also occur because data providers identify errors in their data, or because of errors made by the Commission in previous</w:t>
      </w:r>
      <w:r w:rsidR="009C3DFB">
        <w:t xml:space="preserve"> </w:t>
      </w:r>
      <w:r>
        <w:t>inquiries.</w:t>
      </w:r>
    </w:p>
  </w:footnote>
  <w:footnote w:id="4">
    <w:p w14:paraId="286C96FD" w14:textId="0FFA38B7" w:rsidR="00A43C69" w:rsidRPr="00A43C69" w:rsidRDefault="00A43C69">
      <w:pPr>
        <w:pStyle w:val="FootnoteText"/>
      </w:pPr>
      <w:r>
        <w:rPr>
          <w:rStyle w:val="FootnoteReference"/>
        </w:rPr>
        <w:footnoteRef/>
      </w:r>
      <w:r>
        <w:t xml:space="preserve"> </w:t>
      </w:r>
      <w:r w:rsidR="0024501C">
        <w:tab/>
      </w:r>
      <w:r>
        <w:t>It was not possible to separate these effects due to the interaction between method changes and the structure of the adjusted budget.</w:t>
      </w:r>
    </w:p>
  </w:footnote>
  <w:footnote w:id="5">
    <w:p w14:paraId="3107AB47" w14:textId="36851887" w:rsidR="00BD7417" w:rsidRDefault="00BD7417" w:rsidP="00BD7417">
      <w:pPr>
        <w:pStyle w:val="FootnoteText"/>
      </w:pPr>
      <w:r>
        <w:rPr>
          <w:rStyle w:val="FootnoteReference"/>
        </w:rPr>
        <w:footnoteRef/>
      </w:r>
      <w:r w:rsidR="0024501C">
        <w:tab/>
      </w:r>
      <w:r w:rsidR="00F350F7" w:rsidRPr="00291F29">
        <w:t>The effects of method changes are determined at the category level</w:t>
      </w:r>
      <w:r w:rsidR="00F350F7">
        <w:t>, w</w:t>
      </w:r>
      <w:r>
        <w:t>ith the exception of the Other expenses category</w:t>
      </w:r>
      <w:r w:rsidR="007739DA">
        <w:t xml:space="preserve"> (</w:t>
      </w:r>
      <w:r>
        <w:t>for which method changes have been further disaggregated</w:t>
      </w:r>
      <w:r w:rsidR="007739DA">
        <w:t>)</w:t>
      </w:r>
      <w:r w:rsidR="00F4548A">
        <w:t xml:space="preserve">, </w:t>
      </w:r>
      <w:r w:rsidR="007739DA" w:rsidRPr="00291F29">
        <w:t xml:space="preserve">and, therefore, cannot be </w:t>
      </w:r>
      <w:r w:rsidR="00BF0730">
        <w:t>provided</w:t>
      </w:r>
      <w:r w:rsidR="007739DA" w:rsidRPr="00291F29">
        <w:t xml:space="preserve"> for the individual drivers shown in the subsequent sections on data revisions and change in circumstances</w:t>
      </w:r>
      <w:r>
        <w:t>.</w:t>
      </w:r>
    </w:p>
  </w:footnote>
  <w:footnote w:id="6">
    <w:p w14:paraId="55564F11" w14:textId="77777777" w:rsidR="00F53F6B" w:rsidRDefault="00F53F6B" w:rsidP="00F53F6B">
      <w:pPr>
        <w:pStyle w:val="FootnoteText"/>
      </w:pPr>
      <w:r>
        <w:rPr>
          <w:rStyle w:val="FootnoteReference"/>
        </w:rPr>
        <w:footnoteRef/>
      </w:r>
      <w:r>
        <w:t xml:space="preserve"> </w:t>
      </w:r>
      <w:r>
        <w:tab/>
      </w:r>
      <w:r w:rsidRPr="00F16C09">
        <w:t>While New South Wales has abolished duties on most non</w:t>
      </w:r>
      <w:r>
        <w:t>-</w:t>
      </w:r>
      <w:r w:rsidRPr="00F16C09">
        <w:t>real property, it still imposes duty on plant and equipment.</w:t>
      </w:r>
    </w:p>
  </w:footnote>
  <w:footnote w:id="7">
    <w:p w14:paraId="691DE112" w14:textId="702C58C9" w:rsidR="006768B7" w:rsidRDefault="006768B7">
      <w:pPr>
        <w:pStyle w:val="FootnoteText"/>
      </w:pPr>
      <w:r>
        <w:rPr>
          <w:rStyle w:val="FootnoteReference"/>
        </w:rPr>
        <w:footnoteRef/>
      </w:r>
      <w:r>
        <w:t xml:space="preserve"> </w:t>
      </w:r>
      <w:r w:rsidR="00073D90">
        <w:tab/>
      </w:r>
      <w:r w:rsidR="00866448">
        <w:t xml:space="preserve">Most States impose </w:t>
      </w:r>
      <w:r w:rsidR="00AB3BC3">
        <w:t>duty on the acquisition of an interest in a company or trust with landholdings exceeding a specified value threshold</w:t>
      </w:r>
      <w:r w:rsidR="00E110D0">
        <w:t>, where that acquisition gives the acquirer</w:t>
      </w:r>
      <w:r w:rsidR="00907442">
        <w:t xml:space="preserve"> an interest in the landholdings exceeding a specified proportion</w:t>
      </w:r>
      <w:r w:rsidR="00AB3BC3">
        <w:t>.</w:t>
      </w:r>
    </w:p>
  </w:footnote>
  <w:footnote w:id="8">
    <w:p w14:paraId="65328ADE" w14:textId="2A9BC6F8" w:rsidR="003E75B1" w:rsidRDefault="003E75B1">
      <w:pPr>
        <w:pStyle w:val="FootnoteText"/>
      </w:pPr>
      <w:r>
        <w:rPr>
          <w:rStyle w:val="FootnoteReference"/>
        </w:rPr>
        <w:footnoteRef/>
      </w:r>
      <w:r>
        <w:t xml:space="preserve"> </w:t>
      </w:r>
      <w:r w:rsidR="00A44C9B">
        <w:tab/>
      </w:r>
      <w:r w:rsidR="001C7276">
        <w:t>Not all PSPs are included in the Commission’s calculation</w:t>
      </w:r>
      <w:r w:rsidR="004C7DC0">
        <w:t>s</w:t>
      </w:r>
      <w:r w:rsidR="00B119C8">
        <w:t xml:space="preserve"> of State fiscal capacities</w:t>
      </w:r>
      <w:r w:rsidR="004C7DC0">
        <w:t>. It</w:t>
      </w:r>
      <w:r w:rsidR="00A25E6D">
        <w:t xml:space="preserve"> </w:t>
      </w:r>
      <w:r w:rsidR="004B6073">
        <w:t>u</w:t>
      </w:r>
      <w:r w:rsidR="0051410A">
        <w:t xml:space="preserve">ses a set of guidelines to decide whether a </w:t>
      </w:r>
      <w:r w:rsidR="00FA5359">
        <w:t xml:space="preserve">payment should </w:t>
      </w:r>
      <w:r w:rsidR="004877E9">
        <w:t>be included</w:t>
      </w:r>
      <w:r w:rsidR="002D47DC">
        <w:t xml:space="preserve">. </w:t>
      </w:r>
      <w:r w:rsidR="002B61E7">
        <w:t>T</w:t>
      </w:r>
      <w:r w:rsidR="00502E15">
        <w:t>he terms of reference</w:t>
      </w:r>
      <w:r w:rsidR="002B61E7">
        <w:t xml:space="preserve"> also direct the </w:t>
      </w:r>
      <w:r w:rsidR="00EA32D0">
        <w:t xml:space="preserve">Commission to exclude </w:t>
      </w:r>
      <w:r w:rsidR="002B61E7">
        <w:t>some payments</w:t>
      </w:r>
      <w:r w:rsidR="00EA32D0">
        <w:t xml:space="preserve"> (known as ‘quarantining’</w:t>
      </w:r>
      <w:r w:rsidR="00AD0DB0">
        <w:t>)</w:t>
      </w:r>
      <w:r w:rsidR="002B61E7">
        <w:t>.</w:t>
      </w:r>
    </w:p>
  </w:footnote>
  <w:footnote w:id="9">
    <w:p w14:paraId="31352666" w14:textId="721DF11B" w:rsidR="00980B8D" w:rsidRDefault="00980B8D">
      <w:pPr>
        <w:pStyle w:val="FootnoteText"/>
      </w:pPr>
      <w:r>
        <w:rPr>
          <w:rStyle w:val="FootnoteReference"/>
        </w:rPr>
        <w:footnoteRef/>
      </w:r>
      <w:r w:rsidR="0024501C">
        <w:tab/>
      </w:r>
      <w:r w:rsidR="00B80F03">
        <w:t xml:space="preserve">The National Partnership </w:t>
      </w:r>
      <w:r w:rsidR="00AD7533">
        <w:t>A</w:t>
      </w:r>
      <w:r w:rsidR="00FB412F">
        <w:t xml:space="preserve">greement </w:t>
      </w:r>
      <w:r w:rsidR="00B80F03">
        <w:t>o</w:t>
      </w:r>
      <w:r w:rsidR="00E61623">
        <w:t>n</w:t>
      </w:r>
      <w:r w:rsidR="00B80F03">
        <w:t xml:space="preserve"> Remote Indigenous Housing </w:t>
      </w:r>
      <w:r w:rsidR="00AF60A8">
        <w:t>finished</w:t>
      </w:r>
      <w:r w:rsidR="002E60AE">
        <w:t xml:space="preserve"> in 2017</w:t>
      </w:r>
      <w:r w:rsidR="00A8534B">
        <w:noBreakHyphen/>
      </w:r>
      <w:r w:rsidR="002E60AE">
        <w:t>18.</w:t>
      </w:r>
      <w:r w:rsidR="00AF60A8">
        <w:t xml:space="preserve"> </w:t>
      </w:r>
      <w:r w:rsidR="00F85713">
        <w:t>In 2018</w:t>
      </w:r>
      <w:r w:rsidR="00A8534B">
        <w:noBreakHyphen/>
      </w:r>
      <w:r w:rsidR="00F85713">
        <w:t>19, s</w:t>
      </w:r>
      <w:r w:rsidR="004565B4">
        <w:t xml:space="preserve">ome States received one-off payments </w:t>
      </w:r>
      <w:r w:rsidR="004C6199">
        <w:t>to assist the</w:t>
      </w:r>
      <w:r w:rsidR="004565B4">
        <w:t xml:space="preserve"> transition of responsibil</w:t>
      </w:r>
      <w:r w:rsidR="00F562EF">
        <w:t>i</w:t>
      </w:r>
      <w:r w:rsidR="004565B4">
        <w:t>ties</w:t>
      </w:r>
      <w:r w:rsidR="00201B21">
        <w:t xml:space="preserve"> </w:t>
      </w:r>
      <w:r w:rsidR="00F85713">
        <w:t>for funding remote housing to them. Payments to these States</w:t>
      </w:r>
      <w:r w:rsidR="002954AF">
        <w:t xml:space="preserve"> were excluded fro</w:t>
      </w:r>
      <w:r w:rsidR="00520B48">
        <w:t xml:space="preserve">m the Commission’s </w:t>
      </w:r>
      <w:r w:rsidR="00D44B23">
        <w:t>calculations</w:t>
      </w:r>
      <w:r w:rsidR="00A753CC">
        <w:t>, as directed by the terms of reference</w:t>
      </w:r>
      <w:r w:rsidR="00FA6275">
        <w:t xml:space="preserve"> </w:t>
      </w:r>
      <w:r w:rsidR="008464DF">
        <w:t>and</w:t>
      </w:r>
      <w:r w:rsidR="0048362F">
        <w:t xml:space="preserve"> the Commission’s decisions</w:t>
      </w:r>
      <w:r w:rsidR="00D44B23">
        <w:t>.</w:t>
      </w:r>
    </w:p>
  </w:footnote>
  <w:footnote w:id="10">
    <w:p w14:paraId="5658D823" w14:textId="07660289" w:rsidR="00DE268B" w:rsidRDefault="00DE268B">
      <w:pPr>
        <w:pStyle w:val="FootnoteText"/>
      </w:pPr>
      <w:r>
        <w:rPr>
          <w:rStyle w:val="FootnoteReference"/>
        </w:rPr>
        <w:footnoteRef/>
      </w:r>
      <w:r>
        <w:t xml:space="preserve"> </w:t>
      </w:r>
      <w:r w:rsidR="00C062B3">
        <w:tab/>
      </w:r>
      <w:r w:rsidR="000906AA">
        <w:t xml:space="preserve">Chapter </w:t>
      </w:r>
      <w:r w:rsidR="00D0157D">
        <w:t xml:space="preserve">2 and </w:t>
      </w:r>
      <w:r w:rsidR="000906AA">
        <w:t xml:space="preserve">Chapter 3 explained how the Commission’s assessment of State fiscal capacities changed between the 2019 Update and the 2020 Review. This chapter </w:t>
      </w:r>
      <w:r w:rsidR="001E1480">
        <w:t xml:space="preserve">describes </w:t>
      </w:r>
      <w:r w:rsidR="00F4409C">
        <w:t>the underlying sources of difference in State</w:t>
      </w:r>
      <w:r w:rsidR="00064D67">
        <w:t>s</w:t>
      </w:r>
      <w:r w:rsidR="00F4409C">
        <w:t>’ fiscal capacities</w:t>
      </w:r>
      <w:r w:rsidR="00FE1B95">
        <w:t xml:space="preserve"> causing the GST to deviate from an equal per capita distribution.</w:t>
      </w:r>
    </w:p>
  </w:footnote>
  <w:footnote w:id="11">
    <w:p w14:paraId="657240AD" w14:textId="04E18E14" w:rsidR="00672C71" w:rsidRDefault="00672C71">
      <w:pPr>
        <w:pStyle w:val="FootnoteText"/>
      </w:pPr>
      <w:r>
        <w:rPr>
          <w:rStyle w:val="FootnoteReference"/>
        </w:rPr>
        <w:footnoteRef/>
      </w:r>
      <w:r>
        <w:t xml:space="preserve"> </w:t>
      </w:r>
      <w:r>
        <w:tab/>
        <w:t xml:space="preserve">Taxable remuneration is the total remuneration </w:t>
      </w:r>
      <w:r w:rsidR="00477AA0">
        <w:t xml:space="preserve">above an average </w:t>
      </w:r>
      <w:r w:rsidR="00B94A90">
        <w:t>tax</w:t>
      </w:r>
      <w:r w:rsidR="00226AA0">
        <w:t>-</w:t>
      </w:r>
      <w:r w:rsidR="00B94A90">
        <w:t xml:space="preserve">free threshold, </w:t>
      </w:r>
      <w:r w:rsidR="006A3A86">
        <w:t>paid by private sector employers</w:t>
      </w:r>
      <w:r w:rsidR="002F02AC">
        <w:t>, public sector corporations and higher education institutions</w:t>
      </w:r>
      <w:r w:rsidR="00F64C7E">
        <w:t>.</w:t>
      </w:r>
    </w:p>
  </w:footnote>
  <w:footnote w:id="12">
    <w:p w14:paraId="71D23C00" w14:textId="73BBF1ED" w:rsidR="006D3F33" w:rsidRDefault="006D3F33">
      <w:pPr>
        <w:pStyle w:val="FootnoteText"/>
      </w:pPr>
      <w:r>
        <w:rPr>
          <w:rStyle w:val="FootnoteReference"/>
        </w:rPr>
        <w:footnoteRef/>
      </w:r>
      <w:r w:rsidR="0024501C">
        <w:tab/>
      </w:r>
      <w:r w:rsidR="00BC2B97">
        <w:t xml:space="preserve">Not all </w:t>
      </w:r>
      <w:r w:rsidR="006A0D0C">
        <w:t>Commonwealth payment</w:t>
      </w:r>
      <w:r w:rsidR="00BC2B97">
        <w:t xml:space="preserve">s are included in the Commission’s calculations of State fiscal capacities. </w:t>
      </w:r>
      <w:r w:rsidR="0018249B">
        <w:t xml:space="preserve">The Commission </w:t>
      </w:r>
      <w:r w:rsidR="00BC2B97">
        <w:t xml:space="preserve">uses a set of guidelines to decide whether a payment should be included. </w:t>
      </w:r>
      <w:r w:rsidR="009128C0">
        <w:t>The terms of reference also direct the Commission to exclude some payments (known as ‘quarantining’).</w:t>
      </w:r>
    </w:p>
  </w:footnote>
  <w:footnote w:id="13">
    <w:p w14:paraId="4E454792" w14:textId="1BE182C6" w:rsidR="003022DB" w:rsidRDefault="003022DB">
      <w:pPr>
        <w:pStyle w:val="FootnoteText"/>
      </w:pPr>
      <w:r>
        <w:rPr>
          <w:rStyle w:val="FootnoteReference"/>
        </w:rPr>
        <w:footnoteRef/>
      </w:r>
      <w:r>
        <w:t xml:space="preserve"> </w:t>
      </w:r>
      <w:r w:rsidR="0024501C">
        <w:tab/>
      </w:r>
      <w:r>
        <w:t xml:space="preserve">The </w:t>
      </w:r>
      <w:r w:rsidR="003C202B">
        <w:t xml:space="preserve">ACT’s </w:t>
      </w:r>
      <w:r w:rsidR="005A5864">
        <w:t>scale costs</w:t>
      </w:r>
      <w:r w:rsidR="00B271DC">
        <w:t xml:space="preserve"> </w:t>
      </w:r>
      <w:r w:rsidR="006A4E8A">
        <w:t xml:space="preserve">were </w:t>
      </w:r>
      <w:r w:rsidR="00FD636D">
        <w:t>reduced</w:t>
      </w:r>
      <w:r w:rsidR="006A4E8A">
        <w:t xml:space="preserve"> by $11.3 million </w:t>
      </w:r>
      <w:r w:rsidR="004851FB">
        <w:t xml:space="preserve">to reflect its lower </w:t>
      </w:r>
      <w:r w:rsidR="008179D3">
        <w:t>spending needs in some areas</w:t>
      </w:r>
      <w:r w:rsidR="00EB32BB">
        <w:t xml:space="preserve">. The Northern Territory’s </w:t>
      </w:r>
      <w:r w:rsidR="00887610">
        <w:t>scale costs were increased by</w:t>
      </w:r>
      <w:r w:rsidR="00873086">
        <w:t xml:space="preserve"> $2.0 million </w:t>
      </w:r>
      <w:r w:rsidR="00E8101A">
        <w:t xml:space="preserve">to reflect the costs associated with a higher level of engagement with Indigenous communities </w:t>
      </w:r>
      <w:r w:rsidR="0040553E">
        <w:t xml:space="preserve">by </w:t>
      </w:r>
      <w:r w:rsidR="004E18E6">
        <w:t>the Northern Territory’s</w:t>
      </w:r>
      <w:r w:rsidR="00390B16">
        <w:t xml:space="preserve"> central agencies.</w:t>
      </w:r>
    </w:p>
  </w:footnote>
  <w:footnote w:id="14">
    <w:p w14:paraId="4D3CAF22" w14:textId="10F64A6D" w:rsidR="00D8418D" w:rsidRDefault="00D8418D">
      <w:pPr>
        <w:pStyle w:val="FootnoteText"/>
      </w:pPr>
      <w:r>
        <w:rPr>
          <w:rStyle w:val="FootnoteReference"/>
        </w:rPr>
        <w:footnoteRef/>
      </w:r>
      <w:r w:rsidR="0024501C">
        <w:tab/>
      </w:r>
      <w:r w:rsidR="00A15272">
        <w:t xml:space="preserve">Chapter </w:t>
      </w:r>
      <w:r w:rsidR="009E3F69">
        <w:t>24</w:t>
      </w:r>
      <w:r w:rsidR="00C86F3E">
        <w:t>,</w:t>
      </w:r>
      <w:r w:rsidR="002D4AC4">
        <w:t xml:space="preserve"> </w:t>
      </w:r>
      <w:r w:rsidR="003463F6">
        <w:t>Volume 2</w:t>
      </w:r>
      <w:r w:rsidR="00C86F3E">
        <w:t>,</w:t>
      </w:r>
      <w:r w:rsidR="0077160A">
        <w:t xml:space="preserve"> </w:t>
      </w:r>
      <w:r w:rsidR="00C86F3E">
        <w:t>Part B</w:t>
      </w:r>
      <w:r w:rsidR="003463F6">
        <w:t xml:space="preserve"> provides </w:t>
      </w:r>
      <w:r w:rsidR="00F7405E">
        <w:t xml:space="preserve">more </w:t>
      </w:r>
      <w:r w:rsidR="00CB6120">
        <w:t xml:space="preserve">detail </w:t>
      </w:r>
      <w:r w:rsidR="006D4D24">
        <w:t xml:space="preserve">on the GST effects of </w:t>
      </w:r>
      <w:r w:rsidR="00FC7EB6">
        <w:t>the Investment assessment</w:t>
      </w:r>
      <w:r w:rsidR="00D56E04">
        <w:t>.</w:t>
      </w:r>
      <w:r w:rsidR="00085952">
        <w:t xml:space="preserve"> </w:t>
      </w:r>
    </w:p>
  </w:footnote>
  <w:footnote w:id="15">
    <w:p w14:paraId="7EBBAFA8" w14:textId="49870607" w:rsidR="003F428F" w:rsidRDefault="003F428F">
      <w:pPr>
        <w:pStyle w:val="FootnoteText"/>
      </w:pPr>
      <w:r>
        <w:rPr>
          <w:rStyle w:val="FootnoteReference"/>
        </w:rPr>
        <w:footnoteRef/>
      </w:r>
      <w:r>
        <w:t xml:space="preserve"> </w:t>
      </w:r>
      <w:r w:rsidR="0024501C">
        <w:tab/>
      </w:r>
      <w:r w:rsidR="001A0EDB">
        <w:t xml:space="preserve">Queensland and Western Australia </w:t>
      </w:r>
      <w:r w:rsidR="00E00607">
        <w:t xml:space="preserve">have had </w:t>
      </w:r>
      <w:r w:rsidR="006621B8">
        <w:t xml:space="preserve">both </w:t>
      </w:r>
      <w:r w:rsidR="00E00607">
        <w:t xml:space="preserve">below average and above average fiscal capacities </w:t>
      </w:r>
      <w:r w:rsidR="00B614BB">
        <w:t xml:space="preserve">at different times </w:t>
      </w:r>
      <w:r w:rsidR="00F85F63">
        <w:t>since the GST was introduced in 2000</w:t>
      </w:r>
      <w:r w:rsidR="00F85F63">
        <w:noBreakHyphen/>
        <w:t>01.</w:t>
      </w:r>
    </w:p>
  </w:footnote>
  <w:footnote w:id="16">
    <w:p w14:paraId="61B7934D" w14:textId="6F52C296" w:rsidR="006F6FF5" w:rsidRDefault="006F6FF5">
      <w:pPr>
        <w:pStyle w:val="FootnoteText"/>
      </w:pPr>
      <w:r>
        <w:rPr>
          <w:rStyle w:val="FootnoteReference"/>
        </w:rPr>
        <w:footnoteRef/>
      </w:r>
      <w:r>
        <w:t xml:space="preserve"> </w:t>
      </w:r>
      <w:r>
        <w:tab/>
      </w:r>
      <w:r w:rsidR="007D0DEB">
        <w:rPr>
          <w:rFonts w:cs="Open Sans Light"/>
          <w:color w:val="000000"/>
          <w:szCs w:val="14"/>
          <w:shd w:val="clear" w:color="auto" w:fill="FFFFFF"/>
        </w:rPr>
        <w:t xml:space="preserve">The assessment guidelines are in </w:t>
      </w:r>
      <w:r w:rsidR="00873855" w:rsidRPr="00873855">
        <w:rPr>
          <w:rFonts w:cs="Open Sans Light"/>
          <w:color w:val="000000"/>
          <w:szCs w:val="14"/>
          <w:shd w:val="clear" w:color="auto" w:fill="FFFFFF"/>
        </w:rPr>
        <w:t>Chapter 3</w:t>
      </w:r>
      <w:r w:rsidR="00922C97">
        <w:rPr>
          <w:rFonts w:cs="Open Sans Light"/>
          <w:color w:val="000000"/>
          <w:szCs w:val="14"/>
          <w:shd w:val="clear" w:color="auto" w:fill="FFFFFF"/>
        </w:rPr>
        <w:t xml:space="preserve">, </w:t>
      </w:r>
      <w:r w:rsidR="007D0DEB">
        <w:rPr>
          <w:rFonts w:cs="Open Sans Light"/>
          <w:color w:val="000000"/>
          <w:szCs w:val="14"/>
          <w:shd w:val="clear" w:color="auto" w:fill="FFFFFF"/>
        </w:rPr>
        <w:t xml:space="preserve">Volume 2, </w:t>
      </w:r>
      <w:r w:rsidR="00922C97">
        <w:rPr>
          <w:rFonts w:cs="Open Sans Light"/>
          <w:color w:val="000000"/>
          <w:szCs w:val="14"/>
          <w:shd w:val="clear" w:color="auto" w:fill="FFFFFF"/>
        </w:rPr>
        <w:t xml:space="preserve">Part 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161D"/>
    <w:multiLevelType w:val="hybridMultilevel"/>
    <w:tmpl w:val="FF563D58"/>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BF05D3"/>
    <w:multiLevelType w:val="hybridMultilevel"/>
    <w:tmpl w:val="F24A8A9C"/>
    <w:lvl w:ilvl="0" w:tplc="10749542">
      <w:start w:val="1"/>
      <w:numFmt w:val="bullet"/>
      <w:pStyle w:val="CGCBullet2"/>
      <w:lvlText w:val=""/>
      <w:lvlJc w:val="left"/>
      <w:pPr>
        <w:ind w:left="720" w:hanging="360"/>
      </w:pPr>
      <w:rPr>
        <w:rFonts w:ascii="Symbol" w:hAnsi="Symbol" w:hint="default"/>
        <w:b/>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71B9C"/>
    <w:multiLevelType w:val="hybridMultilevel"/>
    <w:tmpl w:val="685CF9F4"/>
    <w:lvl w:ilvl="0" w:tplc="CA4C70CA">
      <w:start w:val="1"/>
      <w:numFmt w:val="bullet"/>
      <w:pStyle w:val="CGCBullet1"/>
      <w:lvlText w:val=""/>
      <w:lvlJc w:val="left"/>
      <w:pPr>
        <w:ind w:left="70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8636C3"/>
    <w:multiLevelType w:val="hybridMultilevel"/>
    <w:tmpl w:val="AF3C25FC"/>
    <w:lvl w:ilvl="0" w:tplc="B400DE6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215037FE"/>
    <w:multiLevelType w:val="hybridMultilevel"/>
    <w:tmpl w:val="3E3270CC"/>
    <w:lvl w:ilvl="0" w:tplc="DED075E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 w15:restartNumberingAfterBreak="0">
    <w:nsid w:val="2851695C"/>
    <w:multiLevelType w:val="hybridMultilevel"/>
    <w:tmpl w:val="60D2D28A"/>
    <w:lvl w:ilvl="0" w:tplc="11820224">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29892223"/>
    <w:multiLevelType w:val="hybridMultilevel"/>
    <w:tmpl w:val="D9009540"/>
    <w:lvl w:ilvl="0" w:tplc="317CE50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2E7F6CFB"/>
    <w:multiLevelType w:val="hybridMultilevel"/>
    <w:tmpl w:val="7C926012"/>
    <w:lvl w:ilvl="0" w:tplc="557A901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8" w15:restartNumberingAfterBreak="0">
    <w:nsid w:val="305A2F29"/>
    <w:multiLevelType w:val="hybridMultilevel"/>
    <w:tmpl w:val="D6FC0C5A"/>
    <w:lvl w:ilvl="0" w:tplc="31808550">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1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443504"/>
    <w:multiLevelType w:val="hybridMultilevel"/>
    <w:tmpl w:val="FF48F622"/>
    <w:lvl w:ilvl="0" w:tplc="D6F29C42">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31A71ECE"/>
    <w:multiLevelType w:val="hybridMultilevel"/>
    <w:tmpl w:val="3ECEB154"/>
    <w:lvl w:ilvl="0" w:tplc="0F4C361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396D44ED"/>
    <w:multiLevelType w:val="hybridMultilevel"/>
    <w:tmpl w:val="7B4443F4"/>
    <w:lvl w:ilvl="0" w:tplc="D01C626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4A875E73"/>
    <w:multiLevelType w:val="hybridMultilevel"/>
    <w:tmpl w:val="7990F426"/>
    <w:lvl w:ilvl="0" w:tplc="BEEE2C42">
      <w:start w:val="1"/>
      <w:numFmt w:val="bullet"/>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1B59BA"/>
    <w:multiLevelType w:val="hybridMultilevel"/>
    <w:tmpl w:val="8F40057C"/>
    <w:lvl w:ilvl="0" w:tplc="B8B6BC2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5E692E7C"/>
    <w:multiLevelType w:val="hybridMultilevel"/>
    <w:tmpl w:val="DCA2C182"/>
    <w:lvl w:ilvl="0" w:tplc="2EA61B4E">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15:restartNumberingAfterBreak="0">
    <w:nsid w:val="65CF0347"/>
    <w:multiLevelType w:val="hybridMultilevel"/>
    <w:tmpl w:val="4D8677EA"/>
    <w:lvl w:ilvl="0" w:tplc="A9FA4D50">
      <w:start w:val="1"/>
      <w:numFmt w:val="bullet"/>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B56961"/>
    <w:multiLevelType w:val="hybridMultilevel"/>
    <w:tmpl w:val="06B0D86E"/>
    <w:lvl w:ilvl="0" w:tplc="8A0205E8">
      <w:start w:val="1"/>
      <w:numFmt w:val="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7" w15:restartNumberingAfterBreak="0">
    <w:nsid w:val="69AE757B"/>
    <w:multiLevelType w:val="hybridMultilevel"/>
    <w:tmpl w:val="37C297E0"/>
    <w:lvl w:ilvl="0" w:tplc="FA02E2F4">
      <w:start w:val="1"/>
      <w:numFmt w:val="lowerLetter"/>
      <w:lvlText w:val="(%1)"/>
      <w:lvlJc w:val="left"/>
      <w:pPr>
        <w:ind w:left="689" w:hanging="576"/>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 w15:restartNumberingAfterBreak="0">
    <w:nsid w:val="7087289D"/>
    <w:multiLevelType w:val="hybridMultilevel"/>
    <w:tmpl w:val="F900126E"/>
    <w:lvl w:ilvl="0" w:tplc="E31C64A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251B88"/>
    <w:multiLevelType w:val="hybridMultilevel"/>
    <w:tmpl w:val="E146E4B8"/>
    <w:lvl w:ilvl="0" w:tplc="AEBA825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abstractNumId w:val="2"/>
  </w:num>
  <w:num w:numId="2">
    <w:abstractNumId w:val="1"/>
  </w:num>
  <w:num w:numId="3">
    <w:abstractNumId w:val="0"/>
  </w:num>
  <w:num w:numId="4">
    <w:abstractNumId w:val="8"/>
  </w:num>
  <w:num w:numId="5">
    <w:abstractNumId w:val="16"/>
  </w:num>
  <w:num w:numId="6">
    <w:abstractNumId w:val="12"/>
  </w:num>
  <w:num w:numId="7">
    <w:abstractNumId w:val="15"/>
  </w:num>
  <w:num w:numId="8">
    <w:abstractNumId w:val="0"/>
    <w:lvlOverride w:ilvl="0">
      <w:startOverride w:val="1"/>
    </w:lvlOverride>
  </w:num>
  <w:num w:numId="9">
    <w:abstractNumId w:val="8"/>
    <w:lvlOverride w:ilvl="0">
      <w:startOverride w:val="1"/>
    </w:lvlOverride>
  </w:num>
  <w:num w:numId="10">
    <w:abstractNumId w:val="0"/>
    <w:lvlOverride w:ilvl="0">
      <w:startOverride w:val="1"/>
    </w:lvlOverride>
  </w:num>
  <w:num w:numId="11">
    <w:abstractNumId w:val="0"/>
  </w:num>
  <w:num w:numId="12">
    <w:abstractNumId w:val="0"/>
  </w:num>
  <w:num w:numId="13">
    <w:abstractNumId w:val="0"/>
    <w:lvlOverride w:ilvl="0">
      <w:startOverride w:val="1"/>
    </w:lvlOverride>
  </w:num>
  <w:num w:numId="14">
    <w:abstractNumId w:val="8"/>
  </w:num>
  <w:num w:numId="15">
    <w:abstractNumId w:val="8"/>
  </w:num>
  <w:num w:numId="16">
    <w:abstractNumId w:val="8"/>
  </w:num>
  <w:num w:numId="17">
    <w:abstractNumId w:val="8"/>
    <w:lvlOverride w:ilvl="0">
      <w:startOverride w:val="1"/>
    </w:lvlOverride>
  </w:num>
  <w:num w:numId="18">
    <w:abstractNumId w:val="0"/>
  </w:num>
  <w:num w:numId="19">
    <w:abstractNumId w:val="11"/>
  </w:num>
  <w:num w:numId="20">
    <w:abstractNumId w:val="9"/>
  </w:num>
  <w:num w:numId="21">
    <w:abstractNumId w:val="3"/>
  </w:num>
  <w:num w:numId="22">
    <w:abstractNumId w:val="18"/>
  </w:num>
  <w:num w:numId="23">
    <w:abstractNumId w:val="4"/>
  </w:num>
  <w:num w:numId="24">
    <w:abstractNumId w:val="13"/>
  </w:num>
  <w:num w:numId="25">
    <w:abstractNumId w:val="6"/>
  </w:num>
  <w:num w:numId="26">
    <w:abstractNumId w:val="10"/>
  </w:num>
  <w:num w:numId="27">
    <w:abstractNumId w:val="19"/>
  </w:num>
  <w:num w:numId="28">
    <w:abstractNumId w:val="20"/>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5"/>
  </w:num>
  <w:num w:numId="34">
    <w:abstractNumId w:val="17"/>
  </w:num>
  <w:num w:numId="35">
    <w:abstractNumId w:val="7"/>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68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D8"/>
    <w:rsid w:val="000004EA"/>
    <w:rsid w:val="00000634"/>
    <w:rsid w:val="00000897"/>
    <w:rsid w:val="00000933"/>
    <w:rsid w:val="00000A09"/>
    <w:rsid w:val="00000AAE"/>
    <w:rsid w:val="00000B28"/>
    <w:rsid w:val="00000DC6"/>
    <w:rsid w:val="00001316"/>
    <w:rsid w:val="00001484"/>
    <w:rsid w:val="000016F5"/>
    <w:rsid w:val="00001820"/>
    <w:rsid w:val="0000190D"/>
    <w:rsid w:val="00001A86"/>
    <w:rsid w:val="00001ABB"/>
    <w:rsid w:val="00001AFF"/>
    <w:rsid w:val="00001F0A"/>
    <w:rsid w:val="000030E9"/>
    <w:rsid w:val="000037B1"/>
    <w:rsid w:val="00003865"/>
    <w:rsid w:val="00003FB6"/>
    <w:rsid w:val="00004099"/>
    <w:rsid w:val="0000419A"/>
    <w:rsid w:val="00004469"/>
    <w:rsid w:val="000045A0"/>
    <w:rsid w:val="00004642"/>
    <w:rsid w:val="000046B9"/>
    <w:rsid w:val="000048BA"/>
    <w:rsid w:val="00004AA0"/>
    <w:rsid w:val="00004B99"/>
    <w:rsid w:val="00004DB9"/>
    <w:rsid w:val="00004E6B"/>
    <w:rsid w:val="0000556F"/>
    <w:rsid w:val="0000557F"/>
    <w:rsid w:val="0000597D"/>
    <w:rsid w:val="00005ABF"/>
    <w:rsid w:val="00005B5F"/>
    <w:rsid w:val="00005F39"/>
    <w:rsid w:val="00006048"/>
    <w:rsid w:val="000061A3"/>
    <w:rsid w:val="000065CA"/>
    <w:rsid w:val="00006720"/>
    <w:rsid w:val="00006964"/>
    <w:rsid w:val="00006E65"/>
    <w:rsid w:val="000070B0"/>
    <w:rsid w:val="0000719E"/>
    <w:rsid w:val="00007545"/>
    <w:rsid w:val="00007E53"/>
    <w:rsid w:val="00010566"/>
    <w:rsid w:val="00010850"/>
    <w:rsid w:val="00011266"/>
    <w:rsid w:val="000112ED"/>
    <w:rsid w:val="00011409"/>
    <w:rsid w:val="0001176B"/>
    <w:rsid w:val="00011931"/>
    <w:rsid w:val="00011B48"/>
    <w:rsid w:val="00011DA8"/>
    <w:rsid w:val="00011F99"/>
    <w:rsid w:val="00012019"/>
    <w:rsid w:val="000121C2"/>
    <w:rsid w:val="000124E6"/>
    <w:rsid w:val="0001258B"/>
    <w:rsid w:val="000127A3"/>
    <w:rsid w:val="00012900"/>
    <w:rsid w:val="00012A93"/>
    <w:rsid w:val="00012B16"/>
    <w:rsid w:val="00012BDC"/>
    <w:rsid w:val="00012C60"/>
    <w:rsid w:val="00012CDE"/>
    <w:rsid w:val="00012FDA"/>
    <w:rsid w:val="0001339C"/>
    <w:rsid w:val="0001384E"/>
    <w:rsid w:val="0001392A"/>
    <w:rsid w:val="00013982"/>
    <w:rsid w:val="00013995"/>
    <w:rsid w:val="00013C4F"/>
    <w:rsid w:val="00014194"/>
    <w:rsid w:val="0001425F"/>
    <w:rsid w:val="00014892"/>
    <w:rsid w:val="00014971"/>
    <w:rsid w:val="00014E49"/>
    <w:rsid w:val="00014E58"/>
    <w:rsid w:val="000150DA"/>
    <w:rsid w:val="0001538E"/>
    <w:rsid w:val="00015468"/>
    <w:rsid w:val="0001557C"/>
    <w:rsid w:val="000156EC"/>
    <w:rsid w:val="00015804"/>
    <w:rsid w:val="000158DD"/>
    <w:rsid w:val="00015B7A"/>
    <w:rsid w:val="000163AE"/>
    <w:rsid w:val="000164AE"/>
    <w:rsid w:val="0001654B"/>
    <w:rsid w:val="0001681E"/>
    <w:rsid w:val="00016844"/>
    <w:rsid w:val="00016A98"/>
    <w:rsid w:val="00016D7D"/>
    <w:rsid w:val="000173B6"/>
    <w:rsid w:val="0001758E"/>
    <w:rsid w:val="00017614"/>
    <w:rsid w:val="000176B3"/>
    <w:rsid w:val="00017930"/>
    <w:rsid w:val="00017C37"/>
    <w:rsid w:val="00020015"/>
    <w:rsid w:val="000202FE"/>
    <w:rsid w:val="00020529"/>
    <w:rsid w:val="00020894"/>
    <w:rsid w:val="0002103A"/>
    <w:rsid w:val="0002166C"/>
    <w:rsid w:val="00021A51"/>
    <w:rsid w:val="00021F9C"/>
    <w:rsid w:val="00022082"/>
    <w:rsid w:val="000227AA"/>
    <w:rsid w:val="00022CC8"/>
    <w:rsid w:val="00022F0B"/>
    <w:rsid w:val="0002353C"/>
    <w:rsid w:val="000238B7"/>
    <w:rsid w:val="00023991"/>
    <w:rsid w:val="000239D9"/>
    <w:rsid w:val="00024352"/>
    <w:rsid w:val="00024894"/>
    <w:rsid w:val="000249BF"/>
    <w:rsid w:val="0002573F"/>
    <w:rsid w:val="00025758"/>
    <w:rsid w:val="00025A79"/>
    <w:rsid w:val="00025CEF"/>
    <w:rsid w:val="00025DBC"/>
    <w:rsid w:val="00025F13"/>
    <w:rsid w:val="0002605F"/>
    <w:rsid w:val="00026211"/>
    <w:rsid w:val="00026579"/>
    <w:rsid w:val="0002659B"/>
    <w:rsid w:val="000269E5"/>
    <w:rsid w:val="000272DD"/>
    <w:rsid w:val="0002745E"/>
    <w:rsid w:val="0002761A"/>
    <w:rsid w:val="000277DB"/>
    <w:rsid w:val="00027AA7"/>
    <w:rsid w:val="00027AE1"/>
    <w:rsid w:val="00027B23"/>
    <w:rsid w:val="00027F8C"/>
    <w:rsid w:val="0003079F"/>
    <w:rsid w:val="00030ADF"/>
    <w:rsid w:val="00030B25"/>
    <w:rsid w:val="00030D4C"/>
    <w:rsid w:val="00030FC4"/>
    <w:rsid w:val="000312CF"/>
    <w:rsid w:val="0003138F"/>
    <w:rsid w:val="000313BE"/>
    <w:rsid w:val="0003150B"/>
    <w:rsid w:val="0003183B"/>
    <w:rsid w:val="000318D7"/>
    <w:rsid w:val="00031CFB"/>
    <w:rsid w:val="00031DC7"/>
    <w:rsid w:val="000321AC"/>
    <w:rsid w:val="0003283E"/>
    <w:rsid w:val="00032AB6"/>
    <w:rsid w:val="00032BE6"/>
    <w:rsid w:val="00032EA2"/>
    <w:rsid w:val="000330F4"/>
    <w:rsid w:val="0003331F"/>
    <w:rsid w:val="0003361D"/>
    <w:rsid w:val="000336D6"/>
    <w:rsid w:val="00033CF3"/>
    <w:rsid w:val="00033D3E"/>
    <w:rsid w:val="00033D5F"/>
    <w:rsid w:val="00033DFC"/>
    <w:rsid w:val="000342FB"/>
    <w:rsid w:val="000345D1"/>
    <w:rsid w:val="000345FE"/>
    <w:rsid w:val="00034FAA"/>
    <w:rsid w:val="00035197"/>
    <w:rsid w:val="000352A9"/>
    <w:rsid w:val="000353B0"/>
    <w:rsid w:val="0003555B"/>
    <w:rsid w:val="00035A29"/>
    <w:rsid w:val="00035AE0"/>
    <w:rsid w:val="00035D2E"/>
    <w:rsid w:val="00036034"/>
    <w:rsid w:val="00036090"/>
    <w:rsid w:val="0003648F"/>
    <w:rsid w:val="0003650A"/>
    <w:rsid w:val="00036C7D"/>
    <w:rsid w:val="00036DA1"/>
    <w:rsid w:val="00036E12"/>
    <w:rsid w:val="0003707B"/>
    <w:rsid w:val="000374F1"/>
    <w:rsid w:val="00037586"/>
    <w:rsid w:val="0003768E"/>
    <w:rsid w:val="00037B7E"/>
    <w:rsid w:val="00037D9D"/>
    <w:rsid w:val="0004004D"/>
    <w:rsid w:val="000401CD"/>
    <w:rsid w:val="0004022C"/>
    <w:rsid w:val="000402E0"/>
    <w:rsid w:val="00040F35"/>
    <w:rsid w:val="0004123E"/>
    <w:rsid w:val="00041558"/>
    <w:rsid w:val="00041944"/>
    <w:rsid w:val="00041A4B"/>
    <w:rsid w:val="00041BAB"/>
    <w:rsid w:val="00041BE5"/>
    <w:rsid w:val="00041BF6"/>
    <w:rsid w:val="00041C83"/>
    <w:rsid w:val="00042020"/>
    <w:rsid w:val="000420D0"/>
    <w:rsid w:val="00042C58"/>
    <w:rsid w:val="00042D1B"/>
    <w:rsid w:val="00042D4E"/>
    <w:rsid w:val="00042DCA"/>
    <w:rsid w:val="00042EC6"/>
    <w:rsid w:val="000430AA"/>
    <w:rsid w:val="00043637"/>
    <w:rsid w:val="000439E8"/>
    <w:rsid w:val="00043CC3"/>
    <w:rsid w:val="00043CCE"/>
    <w:rsid w:val="00044540"/>
    <w:rsid w:val="0004499E"/>
    <w:rsid w:val="00044A42"/>
    <w:rsid w:val="00044B32"/>
    <w:rsid w:val="00044B3B"/>
    <w:rsid w:val="00044B94"/>
    <w:rsid w:val="00044DE1"/>
    <w:rsid w:val="00045072"/>
    <w:rsid w:val="00045284"/>
    <w:rsid w:val="000452DA"/>
    <w:rsid w:val="0004561C"/>
    <w:rsid w:val="000456BE"/>
    <w:rsid w:val="0004575F"/>
    <w:rsid w:val="000457DC"/>
    <w:rsid w:val="00045A58"/>
    <w:rsid w:val="00045AFE"/>
    <w:rsid w:val="00045BCA"/>
    <w:rsid w:val="00045DF8"/>
    <w:rsid w:val="00045F43"/>
    <w:rsid w:val="00045FC8"/>
    <w:rsid w:val="00045FFA"/>
    <w:rsid w:val="00046033"/>
    <w:rsid w:val="0004636C"/>
    <w:rsid w:val="0004637B"/>
    <w:rsid w:val="00046448"/>
    <w:rsid w:val="00046552"/>
    <w:rsid w:val="000468D3"/>
    <w:rsid w:val="000468F4"/>
    <w:rsid w:val="00046EBE"/>
    <w:rsid w:val="00046FDA"/>
    <w:rsid w:val="0004755C"/>
    <w:rsid w:val="00047619"/>
    <w:rsid w:val="0004773D"/>
    <w:rsid w:val="00047C67"/>
    <w:rsid w:val="00047D9A"/>
    <w:rsid w:val="00047DD1"/>
    <w:rsid w:val="00047FCD"/>
    <w:rsid w:val="000502F3"/>
    <w:rsid w:val="00050344"/>
    <w:rsid w:val="00050BCB"/>
    <w:rsid w:val="00050BDB"/>
    <w:rsid w:val="00050D8C"/>
    <w:rsid w:val="0005147D"/>
    <w:rsid w:val="00051652"/>
    <w:rsid w:val="00051771"/>
    <w:rsid w:val="00051790"/>
    <w:rsid w:val="000517FA"/>
    <w:rsid w:val="00051CD4"/>
    <w:rsid w:val="00051EE1"/>
    <w:rsid w:val="00051F86"/>
    <w:rsid w:val="00052010"/>
    <w:rsid w:val="00052091"/>
    <w:rsid w:val="000521F7"/>
    <w:rsid w:val="0005252F"/>
    <w:rsid w:val="00052598"/>
    <w:rsid w:val="000526D7"/>
    <w:rsid w:val="00052EE4"/>
    <w:rsid w:val="00052F5E"/>
    <w:rsid w:val="0005382F"/>
    <w:rsid w:val="00053A05"/>
    <w:rsid w:val="00053B2A"/>
    <w:rsid w:val="00053BC2"/>
    <w:rsid w:val="00053C5F"/>
    <w:rsid w:val="00053E60"/>
    <w:rsid w:val="0005424F"/>
    <w:rsid w:val="00054437"/>
    <w:rsid w:val="00054745"/>
    <w:rsid w:val="00054CFE"/>
    <w:rsid w:val="00054D9A"/>
    <w:rsid w:val="000553A0"/>
    <w:rsid w:val="000554FA"/>
    <w:rsid w:val="00055657"/>
    <w:rsid w:val="000557E5"/>
    <w:rsid w:val="000557FC"/>
    <w:rsid w:val="00055B05"/>
    <w:rsid w:val="00055F3F"/>
    <w:rsid w:val="000561FF"/>
    <w:rsid w:val="000564D0"/>
    <w:rsid w:val="00056570"/>
    <w:rsid w:val="000566A9"/>
    <w:rsid w:val="00056911"/>
    <w:rsid w:val="0005694C"/>
    <w:rsid w:val="00056966"/>
    <w:rsid w:val="00056CA9"/>
    <w:rsid w:val="00056DBD"/>
    <w:rsid w:val="0005753F"/>
    <w:rsid w:val="000577C3"/>
    <w:rsid w:val="00057809"/>
    <w:rsid w:val="0005785E"/>
    <w:rsid w:val="0005795C"/>
    <w:rsid w:val="00057A37"/>
    <w:rsid w:val="00057AA9"/>
    <w:rsid w:val="00057ABE"/>
    <w:rsid w:val="00057B69"/>
    <w:rsid w:val="00057D63"/>
    <w:rsid w:val="00057FF3"/>
    <w:rsid w:val="000607B8"/>
    <w:rsid w:val="0006083B"/>
    <w:rsid w:val="00060C2D"/>
    <w:rsid w:val="00060C73"/>
    <w:rsid w:val="00060DA8"/>
    <w:rsid w:val="00060EEB"/>
    <w:rsid w:val="000614A6"/>
    <w:rsid w:val="00061520"/>
    <w:rsid w:val="000618B5"/>
    <w:rsid w:val="0006258B"/>
    <w:rsid w:val="00062670"/>
    <w:rsid w:val="00062739"/>
    <w:rsid w:val="00062A9F"/>
    <w:rsid w:val="00062E87"/>
    <w:rsid w:val="00062FD9"/>
    <w:rsid w:val="0006300A"/>
    <w:rsid w:val="00063043"/>
    <w:rsid w:val="00063077"/>
    <w:rsid w:val="0006361A"/>
    <w:rsid w:val="00063D61"/>
    <w:rsid w:val="00063E13"/>
    <w:rsid w:val="000644E4"/>
    <w:rsid w:val="000644E9"/>
    <w:rsid w:val="0006460B"/>
    <w:rsid w:val="0006489F"/>
    <w:rsid w:val="00064ACA"/>
    <w:rsid w:val="00064ACB"/>
    <w:rsid w:val="00064D5D"/>
    <w:rsid w:val="00064D67"/>
    <w:rsid w:val="000650F3"/>
    <w:rsid w:val="000654F3"/>
    <w:rsid w:val="00065679"/>
    <w:rsid w:val="000659D9"/>
    <w:rsid w:val="00065B00"/>
    <w:rsid w:val="00066036"/>
    <w:rsid w:val="0006647E"/>
    <w:rsid w:val="000665C4"/>
    <w:rsid w:val="00066CBE"/>
    <w:rsid w:val="0006792F"/>
    <w:rsid w:val="0006799C"/>
    <w:rsid w:val="0007010B"/>
    <w:rsid w:val="000704B0"/>
    <w:rsid w:val="000704D8"/>
    <w:rsid w:val="000707E7"/>
    <w:rsid w:val="00070946"/>
    <w:rsid w:val="00070A00"/>
    <w:rsid w:val="00070D5A"/>
    <w:rsid w:val="00070E32"/>
    <w:rsid w:val="000710AE"/>
    <w:rsid w:val="000711B2"/>
    <w:rsid w:val="000715F9"/>
    <w:rsid w:val="00071985"/>
    <w:rsid w:val="00071A56"/>
    <w:rsid w:val="000725C7"/>
    <w:rsid w:val="000726EB"/>
    <w:rsid w:val="00072C72"/>
    <w:rsid w:val="00072D95"/>
    <w:rsid w:val="00072F0B"/>
    <w:rsid w:val="00072FD4"/>
    <w:rsid w:val="00072FFD"/>
    <w:rsid w:val="00073336"/>
    <w:rsid w:val="00073447"/>
    <w:rsid w:val="000739D0"/>
    <w:rsid w:val="00073D90"/>
    <w:rsid w:val="00073FF1"/>
    <w:rsid w:val="0007406C"/>
    <w:rsid w:val="0007450C"/>
    <w:rsid w:val="00074732"/>
    <w:rsid w:val="00074B34"/>
    <w:rsid w:val="00074E8C"/>
    <w:rsid w:val="000754E5"/>
    <w:rsid w:val="00075685"/>
    <w:rsid w:val="000759F5"/>
    <w:rsid w:val="00075D77"/>
    <w:rsid w:val="00075DCF"/>
    <w:rsid w:val="00075E69"/>
    <w:rsid w:val="00075F5C"/>
    <w:rsid w:val="000760AD"/>
    <w:rsid w:val="000760BC"/>
    <w:rsid w:val="000760F9"/>
    <w:rsid w:val="00076326"/>
    <w:rsid w:val="000765E1"/>
    <w:rsid w:val="0007689F"/>
    <w:rsid w:val="0007690D"/>
    <w:rsid w:val="00076B8B"/>
    <w:rsid w:val="00076E26"/>
    <w:rsid w:val="00077055"/>
    <w:rsid w:val="000772EF"/>
    <w:rsid w:val="00077369"/>
    <w:rsid w:val="000774D5"/>
    <w:rsid w:val="000776A5"/>
    <w:rsid w:val="000776A7"/>
    <w:rsid w:val="00077A3C"/>
    <w:rsid w:val="00077AA2"/>
    <w:rsid w:val="00077BA3"/>
    <w:rsid w:val="0008039C"/>
    <w:rsid w:val="00080432"/>
    <w:rsid w:val="00080659"/>
    <w:rsid w:val="00080894"/>
    <w:rsid w:val="00080AD1"/>
    <w:rsid w:val="00080C89"/>
    <w:rsid w:val="00080E40"/>
    <w:rsid w:val="00080E5B"/>
    <w:rsid w:val="00080EFB"/>
    <w:rsid w:val="0008107D"/>
    <w:rsid w:val="00081221"/>
    <w:rsid w:val="00081393"/>
    <w:rsid w:val="00081746"/>
    <w:rsid w:val="00082153"/>
    <w:rsid w:val="00082306"/>
    <w:rsid w:val="00082744"/>
    <w:rsid w:val="00082EED"/>
    <w:rsid w:val="00082F46"/>
    <w:rsid w:val="00082FCB"/>
    <w:rsid w:val="000839D4"/>
    <w:rsid w:val="000839EB"/>
    <w:rsid w:val="00083F26"/>
    <w:rsid w:val="00083FED"/>
    <w:rsid w:val="00084089"/>
    <w:rsid w:val="00084439"/>
    <w:rsid w:val="0008479D"/>
    <w:rsid w:val="00084B60"/>
    <w:rsid w:val="00084D73"/>
    <w:rsid w:val="00084DD6"/>
    <w:rsid w:val="00084E6A"/>
    <w:rsid w:val="00085136"/>
    <w:rsid w:val="00085365"/>
    <w:rsid w:val="00085724"/>
    <w:rsid w:val="00085846"/>
    <w:rsid w:val="00085952"/>
    <w:rsid w:val="00086018"/>
    <w:rsid w:val="0008609D"/>
    <w:rsid w:val="00086872"/>
    <w:rsid w:val="00086919"/>
    <w:rsid w:val="00086981"/>
    <w:rsid w:val="00086B4A"/>
    <w:rsid w:val="00087283"/>
    <w:rsid w:val="00087337"/>
    <w:rsid w:val="000874A3"/>
    <w:rsid w:val="000875DE"/>
    <w:rsid w:val="000878DF"/>
    <w:rsid w:val="0008797A"/>
    <w:rsid w:val="00087B40"/>
    <w:rsid w:val="0009001B"/>
    <w:rsid w:val="00090440"/>
    <w:rsid w:val="000904C8"/>
    <w:rsid w:val="00090525"/>
    <w:rsid w:val="0009065F"/>
    <w:rsid w:val="000906AA"/>
    <w:rsid w:val="00090D8F"/>
    <w:rsid w:val="00091049"/>
    <w:rsid w:val="0009161B"/>
    <w:rsid w:val="0009184D"/>
    <w:rsid w:val="00091864"/>
    <w:rsid w:val="00091998"/>
    <w:rsid w:val="00091FC4"/>
    <w:rsid w:val="000920AD"/>
    <w:rsid w:val="00092521"/>
    <w:rsid w:val="00092653"/>
    <w:rsid w:val="00092768"/>
    <w:rsid w:val="00092891"/>
    <w:rsid w:val="00092921"/>
    <w:rsid w:val="000931EC"/>
    <w:rsid w:val="0009327F"/>
    <w:rsid w:val="00093420"/>
    <w:rsid w:val="0009371F"/>
    <w:rsid w:val="00093AB6"/>
    <w:rsid w:val="00093DEB"/>
    <w:rsid w:val="00093E40"/>
    <w:rsid w:val="00093F30"/>
    <w:rsid w:val="00093FC2"/>
    <w:rsid w:val="000940D3"/>
    <w:rsid w:val="000942A8"/>
    <w:rsid w:val="00094CEF"/>
    <w:rsid w:val="000952BF"/>
    <w:rsid w:val="000953E5"/>
    <w:rsid w:val="00095523"/>
    <w:rsid w:val="00095925"/>
    <w:rsid w:val="0009594B"/>
    <w:rsid w:val="00095A41"/>
    <w:rsid w:val="00095A9E"/>
    <w:rsid w:val="00095F19"/>
    <w:rsid w:val="000961FB"/>
    <w:rsid w:val="00096496"/>
    <w:rsid w:val="00096518"/>
    <w:rsid w:val="0009679A"/>
    <w:rsid w:val="000968FC"/>
    <w:rsid w:val="00096B8A"/>
    <w:rsid w:val="00096CAF"/>
    <w:rsid w:val="00096DA6"/>
    <w:rsid w:val="00097018"/>
    <w:rsid w:val="0009706C"/>
    <w:rsid w:val="000971D7"/>
    <w:rsid w:val="00097297"/>
    <w:rsid w:val="000973A4"/>
    <w:rsid w:val="0009742A"/>
    <w:rsid w:val="0009753C"/>
    <w:rsid w:val="000975D4"/>
    <w:rsid w:val="00097831"/>
    <w:rsid w:val="00097A75"/>
    <w:rsid w:val="00097AE9"/>
    <w:rsid w:val="00097E84"/>
    <w:rsid w:val="000A0080"/>
    <w:rsid w:val="000A0313"/>
    <w:rsid w:val="000A05DE"/>
    <w:rsid w:val="000A079F"/>
    <w:rsid w:val="000A094C"/>
    <w:rsid w:val="000A0F02"/>
    <w:rsid w:val="000A0F7F"/>
    <w:rsid w:val="000A1074"/>
    <w:rsid w:val="000A10F8"/>
    <w:rsid w:val="000A14A0"/>
    <w:rsid w:val="000A1653"/>
    <w:rsid w:val="000A1BD4"/>
    <w:rsid w:val="000A1BDD"/>
    <w:rsid w:val="000A1C6B"/>
    <w:rsid w:val="000A1DE6"/>
    <w:rsid w:val="000A1E17"/>
    <w:rsid w:val="000A1F12"/>
    <w:rsid w:val="000A27D7"/>
    <w:rsid w:val="000A2B04"/>
    <w:rsid w:val="000A2CDA"/>
    <w:rsid w:val="000A2E7D"/>
    <w:rsid w:val="000A30A3"/>
    <w:rsid w:val="000A3270"/>
    <w:rsid w:val="000A36C2"/>
    <w:rsid w:val="000A3733"/>
    <w:rsid w:val="000A3D83"/>
    <w:rsid w:val="000A3F38"/>
    <w:rsid w:val="000A3FA1"/>
    <w:rsid w:val="000A40A2"/>
    <w:rsid w:val="000A45DF"/>
    <w:rsid w:val="000A486F"/>
    <w:rsid w:val="000A4905"/>
    <w:rsid w:val="000A4E0F"/>
    <w:rsid w:val="000A5229"/>
    <w:rsid w:val="000A53E3"/>
    <w:rsid w:val="000A55CC"/>
    <w:rsid w:val="000A57AE"/>
    <w:rsid w:val="000A5BB0"/>
    <w:rsid w:val="000A5C3A"/>
    <w:rsid w:val="000A5C3C"/>
    <w:rsid w:val="000A60C6"/>
    <w:rsid w:val="000A66F3"/>
    <w:rsid w:val="000A6AAC"/>
    <w:rsid w:val="000A6E5D"/>
    <w:rsid w:val="000A7018"/>
    <w:rsid w:val="000A7202"/>
    <w:rsid w:val="000A737A"/>
    <w:rsid w:val="000A750B"/>
    <w:rsid w:val="000A79F7"/>
    <w:rsid w:val="000A7ECC"/>
    <w:rsid w:val="000A7F0D"/>
    <w:rsid w:val="000B0115"/>
    <w:rsid w:val="000B0871"/>
    <w:rsid w:val="000B119D"/>
    <w:rsid w:val="000B1213"/>
    <w:rsid w:val="000B12CE"/>
    <w:rsid w:val="000B1300"/>
    <w:rsid w:val="000B164A"/>
    <w:rsid w:val="000B1B7E"/>
    <w:rsid w:val="000B1C5B"/>
    <w:rsid w:val="000B2865"/>
    <w:rsid w:val="000B2B3E"/>
    <w:rsid w:val="000B2C23"/>
    <w:rsid w:val="000B2D52"/>
    <w:rsid w:val="000B2DB0"/>
    <w:rsid w:val="000B2F17"/>
    <w:rsid w:val="000B2F84"/>
    <w:rsid w:val="000B320E"/>
    <w:rsid w:val="000B33E7"/>
    <w:rsid w:val="000B3548"/>
    <w:rsid w:val="000B3796"/>
    <w:rsid w:val="000B3AA8"/>
    <w:rsid w:val="000B3B3F"/>
    <w:rsid w:val="000B3BE3"/>
    <w:rsid w:val="000B3C62"/>
    <w:rsid w:val="000B3EF4"/>
    <w:rsid w:val="000B40F3"/>
    <w:rsid w:val="000B41C2"/>
    <w:rsid w:val="000B45DA"/>
    <w:rsid w:val="000B4B12"/>
    <w:rsid w:val="000B4CD7"/>
    <w:rsid w:val="000B5028"/>
    <w:rsid w:val="000B5048"/>
    <w:rsid w:val="000B5141"/>
    <w:rsid w:val="000B5624"/>
    <w:rsid w:val="000B58B5"/>
    <w:rsid w:val="000B59E9"/>
    <w:rsid w:val="000B5BD0"/>
    <w:rsid w:val="000B5EE8"/>
    <w:rsid w:val="000B5FBC"/>
    <w:rsid w:val="000B6315"/>
    <w:rsid w:val="000B6724"/>
    <w:rsid w:val="000B70BB"/>
    <w:rsid w:val="000B74B0"/>
    <w:rsid w:val="000B77B3"/>
    <w:rsid w:val="000B7ACD"/>
    <w:rsid w:val="000C00BC"/>
    <w:rsid w:val="000C0298"/>
    <w:rsid w:val="000C03B5"/>
    <w:rsid w:val="000C0453"/>
    <w:rsid w:val="000C0552"/>
    <w:rsid w:val="000C074D"/>
    <w:rsid w:val="000C084A"/>
    <w:rsid w:val="000C0DB2"/>
    <w:rsid w:val="000C0EA3"/>
    <w:rsid w:val="000C1144"/>
    <w:rsid w:val="000C1232"/>
    <w:rsid w:val="000C1478"/>
    <w:rsid w:val="000C164E"/>
    <w:rsid w:val="000C167D"/>
    <w:rsid w:val="000C1767"/>
    <w:rsid w:val="000C1D8F"/>
    <w:rsid w:val="000C2122"/>
    <w:rsid w:val="000C220D"/>
    <w:rsid w:val="000C22F6"/>
    <w:rsid w:val="000C269B"/>
    <w:rsid w:val="000C275B"/>
    <w:rsid w:val="000C2905"/>
    <w:rsid w:val="000C2DFA"/>
    <w:rsid w:val="000C2E53"/>
    <w:rsid w:val="000C2FAD"/>
    <w:rsid w:val="000C368E"/>
    <w:rsid w:val="000C3BE2"/>
    <w:rsid w:val="000C3C1A"/>
    <w:rsid w:val="000C3F17"/>
    <w:rsid w:val="000C3FA9"/>
    <w:rsid w:val="000C40D9"/>
    <w:rsid w:val="000C47FF"/>
    <w:rsid w:val="000C4BC4"/>
    <w:rsid w:val="000C4E8B"/>
    <w:rsid w:val="000C5587"/>
    <w:rsid w:val="000C57C0"/>
    <w:rsid w:val="000C5AD0"/>
    <w:rsid w:val="000C5BBB"/>
    <w:rsid w:val="000C60BB"/>
    <w:rsid w:val="000C634C"/>
    <w:rsid w:val="000C6421"/>
    <w:rsid w:val="000C67B2"/>
    <w:rsid w:val="000C6A00"/>
    <w:rsid w:val="000C6BD0"/>
    <w:rsid w:val="000C6D4E"/>
    <w:rsid w:val="000C6D77"/>
    <w:rsid w:val="000C6FF2"/>
    <w:rsid w:val="000C7314"/>
    <w:rsid w:val="000C737C"/>
    <w:rsid w:val="000C75CB"/>
    <w:rsid w:val="000C7989"/>
    <w:rsid w:val="000C7AA1"/>
    <w:rsid w:val="000C7D5E"/>
    <w:rsid w:val="000C7E8F"/>
    <w:rsid w:val="000D018C"/>
    <w:rsid w:val="000D0A3B"/>
    <w:rsid w:val="000D11CA"/>
    <w:rsid w:val="000D14A8"/>
    <w:rsid w:val="000D17AF"/>
    <w:rsid w:val="000D1832"/>
    <w:rsid w:val="000D1985"/>
    <w:rsid w:val="000D2019"/>
    <w:rsid w:val="000D2121"/>
    <w:rsid w:val="000D232A"/>
    <w:rsid w:val="000D24C3"/>
    <w:rsid w:val="000D25FC"/>
    <w:rsid w:val="000D2865"/>
    <w:rsid w:val="000D28B6"/>
    <w:rsid w:val="000D293E"/>
    <w:rsid w:val="000D298C"/>
    <w:rsid w:val="000D2A8C"/>
    <w:rsid w:val="000D2DDD"/>
    <w:rsid w:val="000D3AD5"/>
    <w:rsid w:val="000D3EB3"/>
    <w:rsid w:val="000D40AC"/>
    <w:rsid w:val="000D4159"/>
    <w:rsid w:val="000D4446"/>
    <w:rsid w:val="000D4468"/>
    <w:rsid w:val="000D4710"/>
    <w:rsid w:val="000D4850"/>
    <w:rsid w:val="000D4A75"/>
    <w:rsid w:val="000D4B8D"/>
    <w:rsid w:val="000D518C"/>
    <w:rsid w:val="000D5231"/>
    <w:rsid w:val="000D5244"/>
    <w:rsid w:val="000D57C0"/>
    <w:rsid w:val="000D5991"/>
    <w:rsid w:val="000D5B58"/>
    <w:rsid w:val="000D5C7E"/>
    <w:rsid w:val="000D60C7"/>
    <w:rsid w:val="000D6476"/>
    <w:rsid w:val="000D6692"/>
    <w:rsid w:val="000D6693"/>
    <w:rsid w:val="000D690B"/>
    <w:rsid w:val="000D69C1"/>
    <w:rsid w:val="000D6BB4"/>
    <w:rsid w:val="000D6C9C"/>
    <w:rsid w:val="000D6DCB"/>
    <w:rsid w:val="000D702F"/>
    <w:rsid w:val="000D70B7"/>
    <w:rsid w:val="000D749F"/>
    <w:rsid w:val="000D7567"/>
    <w:rsid w:val="000D75A7"/>
    <w:rsid w:val="000D7B42"/>
    <w:rsid w:val="000E00AD"/>
    <w:rsid w:val="000E02BB"/>
    <w:rsid w:val="000E04FB"/>
    <w:rsid w:val="000E0597"/>
    <w:rsid w:val="000E062A"/>
    <w:rsid w:val="000E06F9"/>
    <w:rsid w:val="000E07B3"/>
    <w:rsid w:val="000E098C"/>
    <w:rsid w:val="000E0A34"/>
    <w:rsid w:val="000E0A3A"/>
    <w:rsid w:val="000E0A4C"/>
    <w:rsid w:val="000E0BE7"/>
    <w:rsid w:val="000E0C29"/>
    <w:rsid w:val="000E0EE9"/>
    <w:rsid w:val="000E0F78"/>
    <w:rsid w:val="000E1223"/>
    <w:rsid w:val="000E1546"/>
    <w:rsid w:val="000E1C29"/>
    <w:rsid w:val="000E22A4"/>
    <w:rsid w:val="000E22AD"/>
    <w:rsid w:val="000E23B2"/>
    <w:rsid w:val="000E25C6"/>
    <w:rsid w:val="000E271C"/>
    <w:rsid w:val="000E2C34"/>
    <w:rsid w:val="000E2C35"/>
    <w:rsid w:val="000E2C77"/>
    <w:rsid w:val="000E31B7"/>
    <w:rsid w:val="000E32C0"/>
    <w:rsid w:val="000E3401"/>
    <w:rsid w:val="000E351C"/>
    <w:rsid w:val="000E35B2"/>
    <w:rsid w:val="000E377D"/>
    <w:rsid w:val="000E37D7"/>
    <w:rsid w:val="000E39E0"/>
    <w:rsid w:val="000E3CE7"/>
    <w:rsid w:val="000E3D45"/>
    <w:rsid w:val="000E3F05"/>
    <w:rsid w:val="000E4240"/>
    <w:rsid w:val="000E46D6"/>
    <w:rsid w:val="000E49F4"/>
    <w:rsid w:val="000E4AD4"/>
    <w:rsid w:val="000E4B06"/>
    <w:rsid w:val="000E4D1A"/>
    <w:rsid w:val="000E5031"/>
    <w:rsid w:val="000E5204"/>
    <w:rsid w:val="000E5933"/>
    <w:rsid w:val="000E5AFD"/>
    <w:rsid w:val="000E5D4B"/>
    <w:rsid w:val="000E604E"/>
    <w:rsid w:val="000E6129"/>
    <w:rsid w:val="000E6138"/>
    <w:rsid w:val="000E61EC"/>
    <w:rsid w:val="000E6437"/>
    <w:rsid w:val="000E67B5"/>
    <w:rsid w:val="000E67C0"/>
    <w:rsid w:val="000E67DB"/>
    <w:rsid w:val="000E6BD8"/>
    <w:rsid w:val="000E6E54"/>
    <w:rsid w:val="000E727C"/>
    <w:rsid w:val="000E739A"/>
    <w:rsid w:val="000E7958"/>
    <w:rsid w:val="000E7AF2"/>
    <w:rsid w:val="000E7BD8"/>
    <w:rsid w:val="000F0386"/>
    <w:rsid w:val="000F05B1"/>
    <w:rsid w:val="000F0A53"/>
    <w:rsid w:val="000F0AFC"/>
    <w:rsid w:val="000F143C"/>
    <w:rsid w:val="000F1514"/>
    <w:rsid w:val="000F1638"/>
    <w:rsid w:val="000F1702"/>
    <w:rsid w:val="000F170C"/>
    <w:rsid w:val="000F172D"/>
    <w:rsid w:val="000F1971"/>
    <w:rsid w:val="000F1978"/>
    <w:rsid w:val="000F1AE9"/>
    <w:rsid w:val="000F1B1F"/>
    <w:rsid w:val="000F1BC6"/>
    <w:rsid w:val="000F1C96"/>
    <w:rsid w:val="000F1E3C"/>
    <w:rsid w:val="000F1EC7"/>
    <w:rsid w:val="000F2007"/>
    <w:rsid w:val="000F2328"/>
    <w:rsid w:val="000F2361"/>
    <w:rsid w:val="000F249F"/>
    <w:rsid w:val="000F2585"/>
    <w:rsid w:val="000F2963"/>
    <w:rsid w:val="000F3086"/>
    <w:rsid w:val="000F330D"/>
    <w:rsid w:val="000F35EB"/>
    <w:rsid w:val="000F3AD4"/>
    <w:rsid w:val="000F3F66"/>
    <w:rsid w:val="000F3FC6"/>
    <w:rsid w:val="000F4028"/>
    <w:rsid w:val="000F4415"/>
    <w:rsid w:val="000F44C8"/>
    <w:rsid w:val="000F4552"/>
    <w:rsid w:val="000F484E"/>
    <w:rsid w:val="000F49DF"/>
    <w:rsid w:val="000F4EAE"/>
    <w:rsid w:val="000F519E"/>
    <w:rsid w:val="000F51F3"/>
    <w:rsid w:val="000F52FC"/>
    <w:rsid w:val="000F55F4"/>
    <w:rsid w:val="000F5D7B"/>
    <w:rsid w:val="000F6193"/>
    <w:rsid w:val="000F61C9"/>
    <w:rsid w:val="000F65AD"/>
    <w:rsid w:val="000F65F2"/>
    <w:rsid w:val="000F69A8"/>
    <w:rsid w:val="000F6D06"/>
    <w:rsid w:val="000F6E22"/>
    <w:rsid w:val="000F6F39"/>
    <w:rsid w:val="000F70C9"/>
    <w:rsid w:val="000F79F3"/>
    <w:rsid w:val="000F7D32"/>
    <w:rsid w:val="001000C1"/>
    <w:rsid w:val="00100119"/>
    <w:rsid w:val="001001C7"/>
    <w:rsid w:val="0010021D"/>
    <w:rsid w:val="0010069C"/>
    <w:rsid w:val="001006CF"/>
    <w:rsid w:val="001009C3"/>
    <w:rsid w:val="00100B73"/>
    <w:rsid w:val="00100CA2"/>
    <w:rsid w:val="00100DEF"/>
    <w:rsid w:val="00100E20"/>
    <w:rsid w:val="00100F5D"/>
    <w:rsid w:val="001010CE"/>
    <w:rsid w:val="001011D9"/>
    <w:rsid w:val="00101262"/>
    <w:rsid w:val="0010130D"/>
    <w:rsid w:val="00101455"/>
    <w:rsid w:val="0010176D"/>
    <w:rsid w:val="001018B6"/>
    <w:rsid w:val="00101DAC"/>
    <w:rsid w:val="0010219D"/>
    <w:rsid w:val="00102369"/>
    <w:rsid w:val="0010257F"/>
    <w:rsid w:val="00102DC7"/>
    <w:rsid w:val="00102F1B"/>
    <w:rsid w:val="0010303A"/>
    <w:rsid w:val="00103123"/>
    <w:rsid w:val="00103310"/>
    <w:rsid w:val="001035D4"/>
    <w:rsid w:val="0010393E"/>
    <w:rsid w:val="00103A26"/>
    <w:rsid w:val="001043E8"/>
    <w:rsid w:val="001047C8"/>
    <w:rsid w:val="001048D8"/>
    <w:rsid w:val="00104992"/>
    <w:rsid w:val="00104D7C"/>
    <w:rsid w:val="00104E29"/>
    <w:rsid w:val="00104E3C"/>
    <w:rsid w:val="001050AD"/>
    <w:rsid w:val="00105190"/>
    <w:rsid w:val="0010561D"/>
    <w:rsid w:val="00105834"/>
    <w:rsid w:val="00105CE4"/>
    <w:rsid w:val="00105CEC"/>
    <w:rsid w:val="00105FB9"/>
    <w:rsid w:val="0010601E"/>
    <w:rsid w:val="001060B2"/>
    <w:rsid w:val="00106292"/>
    <w:rsid w:val="00106499"/>
    <w:rsid w:val="00106636"/>
    <w:rsid w:val="00106698"/>
    <w:rsid w:val="00106C5E"/>
    <w:rsid w:val="001074C9"/>
    <w:rsid w:val="001079ED"/>
    <w:rsid w:val="00107C11"/>
    <w:rsid w:val="00107E14"/>
    <w:rsid w:val="0011053B"/>
    <w:rsid w:val="00110950"/>
    <w:rsid w:val="00110C2C"/>
    <w:rsid w:val="00110EC9"/>
    <w:rsid w:val="00111407"/>
    <w:rsid w:val="00111769"/>
    <w:rsid w:val="001117C5"/>
    <w:rsid w:val="00111BA9"/>
    <w:rsid w:val="00111DFE"/>
    <w:rsid w:val="00111EE8"/>
    <w:rsid w:val="001120C1"/>
    <w:rsid w:val="001124E3"/>
    <w:rsid w:val="00112771"/>
    <w:rsid w:val="00112AC6"/>
    <w:rsid w:val="00112EC1"/>
    <w:rsid w:val="001130DA"/>
    <w:rsid w:val="001133C6"/>
    <w:rsid w:val="0011343C"/>
    <w:rsid w:val="00113682"/>
    <w:rsid w:val="00113DEE"/>
    <w:rsid w:val="00114156"/>
    <w:rsid w:val="00114331"/>
    <w:rsid w:val="001143D7"/>
    <w:rsid w:val="00114499"/>
    <w:rsid w:val="001144A1"/>
    <w:rsid w:val="001144BC"/>
    <w:rsid w:val="001145B6"/>
    <w:rsid w:val="00114885"/>
    <w:rsid w:val="00114889"/>
    <w:rsid w:val="00114A40"/>
    <w:rsid w:val="001152AF"/>
    <w:rsid w:val="001152B8"/>
    <w:rsid w:val="00115301"/>
    <w:rsid w:val="0011560D"/>
    <w:rsid w:val="00115771"/>
    <w:rsid w:val="0011589F"/>
    <w:rsid w:val="00115E9F"/>
    <w:rsid w:val="00115F82"/>
    <w:rsid w:val="00116093"/>
    <w:rsid w:val="00116169"/>
    <w:rsid w:val="00116218"/>
    <w:rsid w:val="001162BA"/>
    <w:rsid w:val="001164B1"/>
    <w:rsid w:val="001166E1"/>
    <w:rsid w:val="0011679B"/>
    <w:rsid w:val="00116D85"/>
    <w:rsid w:val="00116DD2"/>
    <w:rsid w:val="0011757D"/>
    <w:rsid w:val="001176F9"/>
    <w:rsid w:val="00117848"/>
    <w:rsid w:val="00117CD5"/>
    <w:rsid w:val="00117D43"/>
    <w:rsid w:val="00117D73"/>
    <w:rsid w:val="00120175"/>
    <w:rsid w:val="0012040B"/>
    <w:rsid w:val="0012086B"/>
    <w:rsid w:val="001208FC"/>
    <w:rsid w:val="00120D5D"/>
    <w:rsid w:val="00120D67"/>
    <w:rsid w:val="00120EE6"/>
    <w:rsid w:val="00120F84"/>
    <w:rsid w:val="001211DF"/>
    <w:rsid w:val="001213B9"/>
    <w:rsid w:val="00121403"/>
    <w:rsid w:val="0012153B"/>
    <w:rsid w:val="00121B6D"/>
    <w:rsid w:val="00121E2E"/>
    <w:rsid w:val="00121E3B"/>
    <w:rsid w:val="001220D4"/>
    <w:rsid w:val="00122521"/>
    <w:rsid w:val="0012267C"/>
    <w:rsid w:val="00122791"/>
    <w:rsid w:val="00122B25"/>
    <w:rsid w:val="00123012"/>
    <w:rsid w:val="001234F0"/>
    <w:rsid w:val="0012381D"/>
    <w:rsid w:val="00123A45"/>
    <w:rsid w:val="0012424F"/>
    <w:rsid w:val="0012509C"/>
    <w:rsid w:val="00125514"/>
    <w:rsid w:val="0012596C"/>
    <w:rsid w:val="00125E0D"/>
    <w:rsid w:val="00125EE8"/>
    <w:rsid w:val="0012651C"/>
    <w:rsid w:val="00126555"/>
    <w:rsid w:val="0012665C"/>
    <w:rsid w:val="00126AC8"/>
    <w:rsid w:val="00126ECA"/>
    <w:rsid w:val="00127079"/>
    <w:rsid w:val="001271A6"/>
    <w:rsid w:val="001274FC"/>
    <w:rsid w:val="00127792"/>
    <w:rsid w:val="00127980"/>
    <w:rsid w:val="00127A27"/>
    <w:rsid w:val="00127D6B"/>
    <w:rsid w:val="00127ED4"/>
    <w:rsid w:val="00130120"/>
    <w:rsid w:val="00130723"/>
    <w:rsid w:val="0013075C"/>
    <w:rsid w:val="00130E0E"/>
    <w:rsid w:val="00131A2D"/>
    <w:rsid w:val="00131DA9"/>
    <w:rsid w:val="00131F09"/>
    <w:rsid w:val="00131F82"/>
    <w:rsid w:val="00132129"/>
    <w:rsid w:val="0013216F"/>
    <w:rsid w:val="0013247C"/>
    <w:rsid w:val="001327C3"/>
    <w:rsid w:val="001327CB"/>
    <w:rsid w:val="00132D3C"/>
    <w:rsid w:val="00132E08"/>
    <w:rsid w:val="0013306A"/>
    <w:rsid w:val="001330A8"/>
    <w:rsid w:val="0013337C"/>
    <w:rsid w:val="00133554"/>
    <w:rsid w:val="00133670"/>
    <w:rsid w:val="00133724"/>
    <w:rsid w:val="00133813"/>
    <w:rsid w:val="00133C31"/>
    <w:rsid w:val="00133C64"/>
    <w:rsid w:val="0013416B"/>
    <w:rsid w:val="001343F8"/>
    <w:rsid w:val="00134424"/>
    <w:rsid w:val="00134614"/>
    <w:rsid w:val="001347D2"/>
    <w:rsid w:val="00134A35"/>
    <w:rsid w:val="00134CBB"/>
    <w:rsid w:val="00134E7D"/>
    <w:rsid w:val="001351E3"/>
    <w:rsid w:val="00135601"/>
    <w:rsid w:val="00135FBE"/>
    <w:rsid w:val="0013605C"/>
    <w:rsid w:val="00136150"/>
    <w:rsid w:val="001361DD"/>
    <w:rsid w:val="00136532"/>
    <w:rsid w:val="001367D4"/>
    <w:rsid w:val="00136C16"/>
    <w:rsid w:val="00136D98"/>
    <w:rsid w:val="0013707D"/>
    <w:rsid w:val="00137277"/>
    <w:rsid w:val="0013743A"/>
    <w:rsid w:val="00137A26"/>
    <w:rsid w:val="00137D6F"/>
    <w:rsid w:val="00137F15"/>
    <w:rsid w:val="001400EA"/>
    <w:rsid w:val="001401D8"/>
    <w:rsid w:val="0014020E"/>
    <w:rsid w:val="001402F1"/>
    <w:rsid w:val="001406B3"/>
    <w:rsid w:val="001407A1"/>
    <w:rsid w:val="00140B78"/>
    <w:rsid w:val="00140D13"/>
    <w:rsid w:val="00140D1C"/>
    <w:rsid w:val="00141102"/>
    <w:rsid w:val="001414C2"/>
    <w:rsid w:val="00141666"/>
    <w:rsid w:val="00141B52"/>
    <w:rsid w:val="00141D28"/>
    <w:rsid w:val="00141E87"/>
    <w:rsid w:val="00141F9E"/>
    <w:rsid w:val="00142317"/>
    <w:rsid w:val="00142550"/>
    <w:rsid w:val="00142640"/>
    <w:rsid w:val="00142FB0"/>
    <w:rsid w:val="0014304F"/>
    <w:rsid w:val="0014309E"/>
    <w:rsid w:val="00143170"/>
    <w:rsid w:val="00143475"/>
    <w:rsid w:val="001434D9"/>
    <w:rsid w:val="001435CE"/>
    <w:rsid w:val="001439B3"/>
    <w:rsid w:val="001439CD"/>
    <w:rsid w:val="00143B99"/>
    <w:rsid w:val="0014429C"/>
    <w:rsid w:val="0014445D"/>
    <w:rsid w:val="00144D66"/>
    <w:rsid w:val="00144F8B"/>
    <w:rsid w:val="001453FD"/>
    <w:rsid w:val="00145409"/>
    <w:rsid w:val="00145428"/>
    <w:rsid w:val="00145553"/>
    <w:rsid w:val="001457CD"/>
    <w:rsid w:val="0014582D"/>
    <w:rsid w:val="00145AD2"/>
    <w:rsid w:val="00145AF3"/>
    <w:rsid w:val="00145BB2"/>
    <w:rsid w:val="00145DC2"/>
    <w:rsid w:val="00145DFB"/>
    <w:rsid w:val="00145FFA"/>
    <w:rsid w:val="0014655D"/>
    <w:rsid w:val="00146622"/>
    <w:rsid w:val="00146A43"/>
    <w:rsid w:val="00146AC1"/>
    <w:rsid w:val="00146B08"/>
    <w:rsid w:val="00146B23"/>
    <w:rsid w:val="00146F64"/>
    <w:rsid w:val="00146FFF"/>
    <w:rsid w:val="001472A3"/>
    <w:rsid w:val="0014737E"/>
    <w:rsid w:val="00147397"/>
    <w:rsid w:val="001473E3"/>
    <w:rsid w:val="0014743E"/>
    <w:rsid w:val="00147B4E"/>
    <w:rsid w:val="00150203"/>
    <w:rsid w:val="0015023E"/>
    <w:rsid w:val="0015027A"/>
    <w:rsid w:val="00150438"/>
    <w:rsid w:val="0015066E"/>
    <w:rsid w:val="00150A5E"/>
    <w:rsid w:val="00150C80"/>
    <w:rsid w:val="00150CA2"/>
    <w:rsid w:val="00150D6E"/>
    <w:rsid w:val="00150F31"/>
    <w:rsid w:val="0015123D"/>
    <w:rsid w:val="001513F5"/>
    <w:rsid w:val="001517B8"/>
    <w:rsid w:val="00152159"/>
    <w:rsid w:val="00152644"/>
    <w:rsid w:val="00152646"/>
    <w:rsid w:val="00152725"/>
    <w:rsid w:val="0015283F"/>
    <w:rsid w:val="00152A1E"/>
    <w:rsid w:val="00152A9A"/>
    <w:rsid w:val="00152AA4"/>
    <w:rsid w:val="00152B66"/>
    <w:rsid w:val="00152B90"/>
    <w:rsid w:val="00152D08"/>
    <w:rsid w:val="00152E7B"/>
    <w:rsid w:val="00153257"/>
    <w:rsid w:val="001537C3"/>
    <w:rsid w:val="001539C7"/>
    <w:rsid w:val="00153A3D"/>
    <w:rsid w:val="00153B1B"/>
    <w:rsid w:val="00153F50"/>
    <w:rsid w:val="00153F86"/>
    <w:rsid w:val="001544F3"/>
    <w:rsid w:val="001546E3"/>
    <w:rsid w:val="00154BEA"/>
    <w:rsid w:val="00154BFA"/>
    <w:rsid w:val="00154F94"/>
    <w:rsid w:val="001550B0"/>
    <w:rsid w:val="00155499"/>
    <w:rsid w:val="00155563"/>
    <w:rsid w:val="00155606"/>
    <w:rsid w:val="0015578D"/>
    <w:rsid w:val="00155D7A"/>
    <w:rsid w:val="001560DE"/>
    <w:rsid w:val="001563EE"/>
    <w:rsid w:val="001564F2"/>
    <w:rsid w:val="0015680A"/>
    <w:rsid w:val="00156937"/>
    <w:rsid w:val="00156AD7"/>
    <w:rsid w:val="00156C21"/>
    <w:rsid w:val="00156DF8"/>
    <w:rsid w:val="001571BC"/>
    <w:rsid w:val="0015788A"/>
    <w:rsid w:val="00157A33"/>
    <w:rsid w:val="00157D1A"/>
    <w:rsid w:val="00157EA6"/>
    <w:rsid w:val="00157EF0"/>
    <w:rsid w:val="001601F9"/>
    <w:rsid w:val="0016041F"/>
    <w:rsid w:val="001609A9"/>
    <w:rsid w:val="0016109B"/>
    <w:rsid w:val="00161184"/>
    <w:rsid w:val="0016149B"/>
    <w:rsid w:val="00161A42"/>
    <w:rsid w:val="001620A9"/>
    <w:rsid w:val="001622F3"/>
    <w:rsid w:val="0016257E"/>
    <w:rsid w:val="00162C9C"/>
    <w:rsid w:val="0016303D"/>
    <w:rsid w:val="001632DF"/>
    <w:rsid w:val="00163903"/>
    <w:rsid w:val="00163AF4"/>
    <w:rsid w:val="0016417B"/>
    <w:rsid w:val="00164196"/>
    <w:rsid w:val="00164414"/>
    <w:rsid w:val="0016441D"/>
    <w:rsid w:val="0016445A"/>
    <w:rsid w:val="00164470"/>
    <w:rsid w:val="001644C3"/>
    <w:rsid w:val="001646EF"/>
    <w:rsid w:val="00164805"/>
    <w:rsid w:val="00164A6B"/>
    <w:rsid w:val="00164AD2"/>
    <w:rsid w:val="00164DB3"/>
    <w:rsid w:val="00164F2F"/>
    <w:rsid w:val="001650B9"/>
    <w:rsid w:val="001651AC"/>
    <w:rsid w:val="0016589E"/>
    <w:rsid w:val="00165B7A"/>
    <w:rsid w:val="00165E1B"/>
    <w:rsid w:val="00165E8E"/>
    <w:rsid w:val="00165EF5"/>
    <w:rsid w:val="00165F15"/>
    <w:rsid w:val="00166017"/>
    <w:rsid w:val="00166240"/>
    <w:rsid w:val="001662DD"/>
    <w:rsid w:val="0016687A"/>
    <w:rsid w:val="00166B3F"/>
    <w:rsid w:val="00166B73"/>
    <w:rsid w:val="00166E53"/>
    <w:rsid w:val="00166E57"/>
    <w:rsid w:val="00166E6B"/>
    <w:rsid w:val="0016739F"/>
    <w:rsid w:val="00167496"/>
    <w:rsid w:val="0016769E"/>
    <w:rsid w:val="0016789E"/>
    <w:rsid w:val="00167EAB"/>
    <w:rsid w:val="0017084A"/>
    <w:rsid w:val="00170BD5"/>
    <w:rsid w:val="001713D6"/>
    <w:rsid w:val="00171843"/>
    <w:rsid w:val="00171A48"/>
    <w:rsid w:val="00171A7F"/>
    <w:rsid w:val="00171ECF"/>
    <w:rsid w:val="00172504"/>
    <w:rsid w:val="00172616"/>
    <w:rsid w:val="00172A59"/>
    <w:rsid w:val="00172B78"/>
    <w:rsid w:val="00172DDA"/>
    <w:rsid w:val="00172E9D"/>
    <w:rsid w:val="00173210"/>
    <w:rsid w:val="0017383C"/>
    <w:rsid w:val="00173BF7"/>
    <w:rsid w:val="00173F9B"/>
    <w:rsid w:val="00174027"/>
    <w:rsid w:val="00174099"/>
    <w:rsid w:val="001740B6"/>
    <w:rsid w:val="00174660"/>
    <w:rsid w:val="001749C2"/>
    <w:rsid w:val="00174B89"/>
    <w:rsid w:val="00175077"/>
    <w:rsid w:val="00175142"/>
    <w:rsid w:val="001751B8"/>
    <w:rsid w:val="0017538C"/>
    <w:rsid w:val="0017552A"/>
    <w:rsid w:val="0017555E"/>
    <w:rsid w:val="00175C6B"/>
    <w:rsid w:val="00175CFB"/>
    <w:rsid w:val="00175FD9"/>
    <w:rsid w:val="00176063"/>
    <w:rsid w:val="00176133"/>
    <w:rsid w:val="00176159"/>
    <w:rsid w:val="001761DA"/>
    <w:rsid w:val="0017629E"/>
    <w:rsid w:val="001762E1"/>
    <w:rsid w:val="001764DE"/>
    <w:rsid w:val="0017662B"/>
    <w:rsid w:val="00176675"/>
    <w:rsid w:val="001769B3"/>
    <w:rsid w:val="00176BC8"/>
    <w:rsid w:val="00176D28"/>
    <w:rsid w:val="00176D4D"/>
    <w:rsid w:val="00176DD0"/>
    <w:rsid w:val="00176EBC"/>
    <w:rsid w:val="00176EE6"/>
    <w:rsid w:val="00176F08"/>
    <w:rsid w:val="00176FDA"/>
    <w:rsid w:val="0017728F"/>
    <w:rsid w:val="001773DB"/>
    <w:rsid w:val="001779FF"/>
    <w:rsid w:val="00177F01"/>
    <w:rsid w:val="00177F4F"/>
    <w:rsid w:val="001803B9"/>
    <w:rsid w:val="001805B2"/>
    <w:rsid w:val="00180BE0"/>
    <w:rsid w:val="00180BFD"/>
    <w:rsid w:val="00180E15"/>
    <w:rsid w:val="00181430"/>
    <w:rsid w:val="001814BA"/>
    <w:rsid w:val="001815CF"/>
    <w:rsid w:val="0018176D"/>
    <w:rsid w:val="00181790"/>
    <w:rsid w:val="00181980"/>
    <w:rsid w:val="001820F2"/>
    <w:rsid w:val="0018249B"/>
    <w:rsid w:val="001829EE"/>
    <w:rsid w:val="00182CE7"/>
    <w:rsid w:val="00182D6F"/>
    <w:rsid w:val="00182E9C"/>
    <w:rsid w:val="00183091"/>
    <w:rsid w:val="00183517"/>
    <w:rsid w:val="001837A0"/>
    <w:rsid w:val="001839E9"/>
    <w:rsid w:val="00183A2F"/>
    <w:rsid w:val="00183DDB"/>
    <w:rsid w:val="00183EF1"/>
    <w:rsid w:val="00183F82"/>
    <w:rsid w:val="00184024"/>
    <w:rsid w:val="001840F6"/>
    <w:rsid w:val="001841EA"/>
    <w:rsid w:val="00184313"/>
    <w:rsid w:val="00184515"/>
    <w:rsid w:val="0018476D"/>
    <w:rsid w:val="001847AD"/>
    <w:rsid w:val="00184B4B"/>
    <w:rsid w:val="00184B9E"/>
    <w:rsid w:val="00184CE2"/>
    <w:rsid w:val="00184FE6"/>
    <w:rsid w:val="001852B1"/>
    <w:rsid w:val="00185330"/>
    <w:rsid w:val="00185BC4"/>
    <w:rsid w:val="00185FC2"/>
    <w:rsid w:val="00186172"/>
    <w:rsid w:val="00186296"/>
    <w:rsid w:val="001864AA"/>
    <w:rsid w:val="001864FC"/>
    <w:rsid w:val="00186826"/>
    <w:rsid w:val="00186BF0"/>
    <w:rsid w:val="0018732E"/>
    <w:rsid w:val="001873C1"/>
    <w:rsid w:val="0018741D"/>
    <w:rsid w:val="00187FB7"/>
    <w:rsid w:val="0019015E"/>
    <w:rsid w:val="001904EB"/>
    <w:rsid w:val="0019053A"/>
    <w:rsid w:val="001905B2"/>
    <w:rsid w:val="001905D9"/>
    <w:rsid w:val="0019070E"/>
    <w:rsid w:val="00190955"/>
    <w:rsid w:val="00190DCD"/>
    <w:rsid w:val="00190E3A"/>
    <w:rsid w:val="00191078"/>
    <w:rsid w:val="001912A3"/>
    <w:rsid w:val="00191330"/>
    <w:rsid w:val="00191904"/>
    <w:rsid w:val="00191BA2"/>
    <w:rsid w:val="00191D4B"/>
    <w:rsid w:val="0019202A"/>
    <w:rsid w:val="0019225C"/>
    <w:rsid w:val="001924B0"/>
    <w:rsid w:val="00192560"/>
    <w:rsid w:val="00192810"/>
    <w:rsid w:val="00192A8B"/>
    <w:rsid w:val="00192E98"/>
    <w:rsid w:val="00193020"/>
    <w:rsid w:val="0019361F"/>
    <w:rsid w:val="00193B81"/>
    <w:rsid w:val="0019436A"/>
    <w:rsid w:val="00194373"/>
    <w:rsid w:val="00194484"/>
    <w:rsid w:val="001945CA"/>
    <w:rsid w:val="001948BE"/>
    <w:rsid w:val="00194ADB"/>
    <w:rsid w:val="00194B2C"/>
    <w:rsid w:val="00194DC2"/>
    <w:rsid w:val="00194F5D"/>
    <w:rsid w:val="0019504E"/>
    <w:rsid w:val="001953A8"/>
    <w:rsid w:val="00195561"/>
    <w:rsid w:val="001956C6"/>
    <w:rsid w:val="001958E0"/>
    <w:rsid w:val="00195AD6"/>
    <w:rsid w:val="00195E39"/>
    <w:rsid w:val="00196034"/>
    <w:rsid w:val="00196157"/>
    <w:rsid w:val="00196BDD"/>
    <w:rsid w:val="00196C92"/>
    <w:rsid w:val="00196CA9"/>
    <w:rsid w:val="00196F5C"/>
    <w:rsid w:val="001976B1"/>
    <w:rsid w:val="00197933"/>
    <w:rsid w:val="00197AC8"/>
    <w:rsid w:val="00197BD4"/>
    <w:rsid w:val="00197E32"/>
    <w:rsid w:val="001A0217"/>
    <w:rsid w:val="001A02A2"/>
    <w:rsid w:val="001A0378"/>
    <w:rsid w:val="001A03A1"/>
    <w:rsid w:val="001A0689"/>
    <w:rsid w:val="001A0978"/>
    <w:rsid w:val="001A0C54"/>
    <w:rsid w:val="001A0C9D"/>
    <w:rsid w:val="001A0E3F"/>
    <w:rsid w:val="001A0EDB"/>
    <w:rsid w:val="001A10E2"/>
    <w:rsid w:val="001A1151"/>
    <w:rsid w:val="001A11F2"/>
    <w:rsid w:val="001A120A"/>
    <w:rsid w:val="001A13DF"/>
    <w:rsid w:val="001A1544"/>
    <w:rsid w:val="001A164C"/>
    <w:rsid w:val="001A1A9E"/>
    <w:rsid w:val="001A1B94"/>
    <w:rsid w:val="001A1E0D"/>
    <w:rsid w:val="001A1E64"/>
    <w:rsid w:val="001A20AA"/>
    <w:rsid w:val="001A23C2"/>
    <w:rsid w:val="001A23F6"/>
    <w:rsid w:val="001A258B"/>
    <w:rsid w:val="001A27D6"/>
    <w:rsid w:val="001A289E"/>
    <w:rsid w:val="001A2AC2"/>
    <w:rsid w:val="001A2C84"/>
    <w:rsid w:val="001A2DDE"/>
    <w:rsid w:val="001A36A0"/>
    <w:rsid w:val="001A3CAB"/>
    <w:rsid w:val="001A3F61"/>
    <w:rsid w:val="001A414E"/>
    <w:rsid w:val="001A445E"/>
    <w:rsid w:val="001A456F"/>
    <w:rsid w:val="001A493E"/>
    <w:rsid w:val="001A4AF8"/>
    <w:rsid w:val="001A4CFA"/>
    <w:rsid w:val="001A4E5F"/>
    <w:rsid w:val="001A4F98"/>
    <w:rsid w:val="001A51AD"/>
    <w:rsid w:val="001A51BD"/>
    <w:rsid w:val="001A5270"/>
    <w:rsid w:val="001A5309"/>
    <w:rsid w:val="001A536B"/>
    <w:rsid w:val="001A5B3E"/>
    <w:rsid w:val="001A5DC2"/>
    <w:rsid w:val="001A5EE8"/>
    <w:rsid w:val="001A5F21"/>
    <w:rsid w:val="001A60CD"/>
    <w:rsid w:val="001A66C1"/>
    <w:rsid w:val="001A688F"/>
    <w:rsid w:val="001A6A6D"/>
    <w:rsid w:val="001A6B04"/>
    <w:rsid w:val="001A6BB1"/>
    <w:rsid w:val="001A6EF5"/>
    <w:rsid w:val="001A71AB"/>
    <w:rsid w:val="001A7426"/>
    <w:rsid w:val="001A79B6"/>
    <w:rsid w:val="001A7C5C"/>
    <w:rsid w:val="001B009A"/>
    <w:rsid w:val="001B00D9"/>
    <w:rsid w:val="001B08D2"/>
    <w:rsid w:val="001B08FA"/>
    <w:rsid w:val="001B0A7D"/>
    <w:rsid w:val="001B0AFC"/>
    <w:rsid w:val="001B0EFE"/>
    <w:rsid w:val="001B142C"/>
    <w:rsid w:val="001B14A4"/>
    <w:rsid w:val="001B16DE"/>
    <w:rsid w:val="001B1AB8"/>
    <w:rsid w:val="001B1AFE"/>
    <w:rsid w:val="001B1B12"/>
    <w:rsid w:val="001B21A6"/>
    <w:rsid w:val="001B2209"/>
    <w:rsid w:val="001B2A37"/>
    <w:rsid w:val="001B2B3E"/>
    <w:rsid w:val="001B2C54"/>
    <w:rsid w:val="001B2DC9"/>
    <w:rsid w:val="001B3013"/>
    <w:rsid w:val="001B30C5"/>
    <w:rsid w:val="001B3363"/>
    <w:rsid w:val="001B351C"/>
    <w:rsid w:val="001B35F8"/>
    <w:rsid w:val="001B3632"/>
    <w:rsid w:val="001B37B4"/>
    <w:rsid w:val="001B39FC"/>
    <w:rsid w:val="001B3DEB"/>
    <w:rsid w:val="001B45C0"/>
    <w:rsid w:val="001B4B45"/>
    <w:rsid w:val="001B4CD4"/>
    <w:rsid w:val="001B4DE9"/>
    <w:rsid w:val="001B4EB3"/>
    <w:rsid w:val="001B4FC7"/>
    <w:rsid w:val="001B5839"/>
    <w:rsid w:val="001B5D48"/>
    <w:rsid w:val="001B5D63"/>
    <w:rsid w:val="001B5F22"/>
    <w:rsid w:val="001B62D4"/>
    <w:rsid w:val="001B6472"/>
    <w:rsid w:val="001B64A3"/>
    <w:rsid w:val="001B6E6F"/>
    <w:rsid w:val="001B701D"/>
    <w:rsid w:val="001B7305"/>
    <w:rsid w:val="001B730A"/>
    <w:rsid w:val="001B7AFC"/>
    <w:rsid w:val="001C00DD"/>
    <w:rsid w:val="001C00EF"/>
    <w:rsid w:val="001C015D"/>
    <w:rsid w:val="001C0507"/>
    <w:rsid w:val="001C0865"/>
    <w:rsid w:val="001C0876"/>
    <w:rsid w:val="001C09F1"/>
    <w:rsid w:val="001C09FB"/>
    <w:rsid w:val="001C0B8E"/>
    <w:rsid w:val="001C0D73"/>
    <w:rsid w:val="001C166C"/>
    <w:rsid w:val="001C1B6D"/>
    <w:rsid w:val="001C2141"/>
    <w:rsid w:val="001C226A"/>
    <w:rsid w:val="001C2BCD"/>
    <w:rsid w:val="001C2D48"/>
    <w:rsid w:val="001C2EC0"/>
    <w:rsid w:val="001C2F6B"/>
    <w:rsid w:val="001C31AE"/>
    <w:rsid w:val="001C335C"/>
    <w:rsid w:val="001C3456"/>
    <w:rsid w:val="001C3A8D"/>
    <w:rsid w:val="001C3D5B"/>
    <w:rsid w:val="001C3FC2"/>
    <w:rsid w:val="001C3FF4"/>
    <w:rsid w:val="001C40F0"/>
    <w:rsid w:val="001C4519"/>
    <w:rsid w:val="001C4635"/>
    <w:rsid w:val="001C465E"/>
    <w:rsid w:val="001C4677"/>
    <w:rsid w:val="001C4D6A"/>
    <w:rsid w:val="001C4D75"/>
    <w:rsid w:val="001C505C"/>
    <w:rsid w:val="001C508D"/>
    <w:rsid w:val="001C522A"/>
    <w:rsid w:val="001C52B4"/>
    <w:rsid w:val="001C54E4"/>
    <w:rsid w:val="001C5BDD"/>
    <w:rsid w:val="001C5D09"/>
    <w:rsid w:val="001C5E85"/>
    <w:rsid w:val="001C6023"/>
    <w:rsid w:val="001C61CE"/>
    <w:rsid w:val="001C68B1"/>
    <w:rsid w:val="001C6A59"/>
    <w:rsid w:val="001C6BEE"/>
    <w:rsid w:val="001C6D2E"/>
    <w:rsid w:val="001C6DE5"/>
    <w:rsid w:val="001C6E0A"/>
    <w:rsid w:val="001C6EF7"/>
    <w:rsid w:val="001C7239"/>
    <w:rsid w:val="001C7276"/>
    <w:rsid w:val="001C7285"/>
    <w:rsid w:val="001C72EC"/>
    <w:rsid w:val="001C72EE"/>
    <w:rsid w:val="001C7386"/>
    <w:rsid w:val="001C7402"/>
    <w:rsid w:val="001C741D"/>
    <w:rsid w:val="001C7904"/>
    <w:rsid w:val="001C7AA5"/>
    <w:rsid w:val="001C7B39"/>
    <w:rsid w:val="001C7D44"/>
    <w:rsid w:val="001C7DB5"/>
    <w:rsid w:val="001D0597"/>
    <w:rsid w:val="001D0A8D"/>
    <w:rsid w:val="001D0B83"/>
    <w:rsid w:val="001D0D55"/>
    <w:rsid w:val="001D0D89"/>
    <w:rsid w:val="001D0F91"/>
    <w:rsid w:val="001D19B6"/>
    <w:rsid w:val="001D1A61"/>
    <w:rsid w:val="001D1B0E"/>
    <w:rsid w:val="001D1BC2"/>
    <w:rsid w:val="001D1CCB"/>
    <w:rsid w:val="001D1D15"/>
    <w:rsid w:val="001D1E28"/>
    <w:rsid w:val="001D25DC"/>
    <w:rsid w:val="001D2782"/>
    <w:rsid w:val="001D28DC"/>
    <w:rsid w:val="001D2AE1"/>
    <w:rsid w:val="001D2B68"/>
    <w:rsid w:val="001D2C79"/>
    <w:rsid w:val="001D30A6"/>
    <w:rsid w:val="001D31A3"/>
    <w:rsid w:val="001D31D9"/>
    <w:rsid w:val="001D32F4"/>
    <w:rsid w:val="001D373B"/>
    <w:rsid w:val="001D3AF0"/>
    <w:rsid w:val="001D4134"/>
    <w:rsid w:val="001D4564"/>
    <w:rsid w:val="001D531C"/>
    <w:rsid w:val="001D5556"/>
    <w:rsid w:val="001D5ADE"/>
    <w:rsid w:val="001D5B12"/>
    <w:rsid w:val="001D5FE3"/>
    <w:rsid w:val="001D6555"/>
    <w:rsid w:val="001D65B4"/>
    <w:rsid w:val="001D6A52"/>
    <w:rsid w:val="001D6C00"/>
    <w:rsid w:val="001D6C1F"/>
    <w:rsid w:val="001D6D17"/>
    <w:rsid w:val="001D6E53"/>
    <w:rsid w:val="001D6EBD"/>
    <w:rsid w:val="001D7101"/>
    <w:rsid w:val="001D72D9"/>
    <w:rsid w:val="001D7391"/>
    <w:rsid w:val="001D76B1"/>
    <w:rsid w:val="001D79C6"/>
    <w:rsid w:val="001D7A36"/>
    <w:rsid w:val="001D7AFA"/>
    <w:rsid w:val="001D7C1A"/>
    <w:rsid w:val="001D7F63"/>
    <w:rsid w:val="001E02E2"/>
    <w:rsid w:val="001E03FE"/>
    <w:rsid w:val="001E05BA"/>
    <w:rsid w:val="001E07BB"/>
    <w:rsid w:val="001E07F0"/>
    <w:rsid w:val="001E08B2"/>
    <w:rsid w:val="001E0C5B"/>
    <w:rsid w:val="001E0E04"/>
    <w:rsid w:val="001E1171"/>
    <w:rsid w:val="001E1480"/>
    <w:rsid w:val="001E1546"/>
    <w:rsid w:val="001E1683"/>
    <w:rsid w:val="001E1695"/>
    <w:rsid w:val="001E1B8D"/>
    <w:rsid w:val="001E25C9"/>
    <w:rsid w:val="001E26E7"/>
    <w:rsid w:val="001E28E3"/>
    <w:rsid w:val="001E2ADB"/>
    <w:rsid w:val="001E2C72"/>
    <w:rsid w:val="001E2E27"/>
    <w:rsid w:val="001E2ED0"/>
    <w:rsid w:val="001E32C3"/>
    <w:rsid w:val="001E3432"/>
    <w:rsid w:val="001E34CB"/>
    <w:rsid w:val="001E39BE"/>
    <w:rsid w:val="001E39D4"/>
    <w:rsid w:val="001E3B6F"/>
    <w:rsid w:val="001E3C97"/>
    <w:rsid w:val="001E3D08"/>
    <w:rsid w:val="001E3E4A"/>
    <w:rsid w:val="001E45B2"/>
    <w:rsid w:val="001E4EA3"/>
    <w:rsid w:val="001E4EEC"/>
    <w:rsid w:val="001E50D8"/>
    <w:rsid w:val="001E529C"/>
    <w:rsid w:val="001E5485"/>
    <w:rsid w:val="001E54BE"/>
    <w:rsid w:val="001E618F"/>
    <w:rsid w:val="001E68EA"/>
    <w:rsid w:val="001E6D4D"/>
    <w:rsid w:val="001E6DB1"/>
    <w:rsid w:val="001E6F4D"/>
    <w:rsid w:val="001E72A1"/>
    <w:rsid w:val="001E7473"/>
    <w:rsid w:val="001E7904"/>
    <w:rsid w:val="001E7F03"/>
    <w:rsid w:val="001F012B"/>
    <w:rsid w:val="001F0659"/>
    <w:rsid w:val="001F0819"/>
    <w:rsid w:val="001F151A"/>
    <w:rsid w:val="001F1549"/>
    <w:rsid w:val="001F1A20"/>
    <w:rsid w:val="001F1AFF"/>
    <w:rsid w:val="001F1B3A"/>
    <w:rsid w:val="001F1BFD"/>
    <w:rsid w:val="001F1D5F"/>
    <w:rsid w:val="001F1E4F"/>
    <w:rsid w:val="001F1FDA"/>
    <w:rsid w:val="001F2019"/>
    <w:rsid w:val="001F247C"/>
    <w:rsid w:val="001F291F"/>
    <w:rsid w:val="001F29F4"/>
    <w:rsid w:val="001F2EEC"/>
    <w:rsid w:val="001F36AD"/>
    <w:rsid w:val="001F3ABC"/>
    <w:rsid w:val="001F3CFF"/>
    <w:rsid w:val="001F4090"/>
    <w:rsid w:val="001F43AE"/>
    <w:rsid w:val="001F43B6"/>
    <w:rsid w:val="001F4615"/>
    <w:rsid w:val="001F469C"/>
    <w:rsid w:val="001F4701"/>
    <w:rsid w:val="001F476A"/>
    <w:rsid w:val="001F4B93"/>
    <w:rsid w:val="001F4D99"/>
    <w:rsid w:val="001F4E5E"/>
    <w:rsid w:val="001F4EF6"/>
    <w:rsid w:val="001F4F32"/>
    <w:rsid w:val="001F4FF2"/>
    <w:rsid w:val="001F50F8"/>
    <w:rsid w:val="001F5835"/>
    <w:rsid w:val="001F5CB2"/>
    <w:rsid w:val="001F6377"/>
    <w:rsid w:val="001F67C8"/>
    <w:rsid w:val="001F67ED"/>
    <w:rsid w:val="001F68EC"/>
    <w:rsid w:val="001F68F3"/>
    <w:rsid w:val="001F68FF"/>
    <w:rsid w:val="001F6BC0"/>
    <w:rsid w:val="001F6CC4"/>
    <w:rsid w:val="001F6DEC"/>
    <w:rsid w:val="001F6E5E"/>
    <w:rsid w:val="001F7028"/>
    <w:rsid w:val="001F763E"/>
    <w:rsid w:val="001F76D8"/>
    <w:rsid w:val="001F7804"/>
    <w:rsid w:val="001F7BDB"/>
    <w:rsid w:val="00200550"/>
    <w:rsid w:val="0020055F"/>
    <w:rsid w:val="002005E2"/>
    <w:rsid w:val="00200603"/>
    <w:rsid w:val="002006FA"/>
    <w:rsid w:val="0020078B"/>
    <w:rsid w:val="00200834"/>
    <w:rsid w:val="00200B80"/>
    <w:rsid w:val="00200E09"/>
    <w:rsid w:val="00200F9F"/>
    <w:rsid w:val="00200FEB"/>
    <w:rsid w:val="00201046"/>
    <w:rsid w:val="00201066"/>
    <w:rsid w:val="00201156"/>
    <w:rsid w:val="00201372"/>
    <w:rsid w:val="0020162F"/>
    <w:rsid w:val="0020164B"/>
    <w:rsid w:val="002018E7"/>
    <w:rsid w:val="00201B21"/>
    <w:rsid w:val="00202156"/>
    <w:rsid w:val="002021AE"/>
    <w:rsid w:val="0020299D"/>
    <w:rsid w:val="00202AB2"/>
    <w:rsid w:val="00202CED"/>
    <w:rsid w:val="00202D50"/>
    <w:rsid w:val="00202F87"/>
    <w:rsid w:val="00203553"/>
    <w:rsid w:val="00203589"/>
    <w:rsid w:val="00203B08"/>
    <w:rsid w:val="00203C34"/>
    <w:rsid w:val="00203E14"/>
    <w:rsid w:val="00203F05"/>
    <w:rsid w:val="00204444"/>
    <w:rsid w:val="0020499F"/>
    <w:rsid w:val="00204ABB"/>
    <w:rsid w:val="00204C3B"/>
    <w:rsid w:val="00204C62"/>
    <w:rsid w:val="00205038"/>
    <w:rsid w:val="00205077"/>
    <w:rsid w:val="0020509E"/>
    <w:rsid w:val="0020547E"/>
    <w:rsid w:val="002056E1"/>
    <w:rsid w:val="00205BA9"/>
    <w:rsid w:val="00205D23"/>
    <w:rsid w:val="00205F1E"/>
    <w:rsid w:val="002061D8"/>
    <w:rsid w:val="00206568"/>
    <w:rsid w:val="002068A6"/>
    <w:rsid w:val="00206D24"/>
    <w:rsid w:val="002071BF"/>
    <w:rsid w:val="002073C0"/>
    <w:rsid w:val="00207717"/>
    <w:rsid w:val="00207A4C"/>
    <w:rsid w:val="00207B62"/>
    <w:rsid w:val="00207EE8"/>
    <w:rsid w:val="00207FB7"/>
    <w:rsid w:val="00210392"/>
    <w:rsid w:val="00210851"/>
    <w:rsid w:val="00210A92"/>
    <w:rsid w:val="00210F24"/>
    <w:rsid w:val="002111A8"/>
    <w:rsid w:val="00211219"/>
    <w:rsid w:val="00211622"/>
    <w:rsid w:val="0021171D"/>
    <w:rsid w:val="00211A00"/>
    <w:rsid w:val="00211D0A"/>
    <w:rsid w:val="00211D5B"/>
    <w:rsid w:val="00211F1D"/>
    <w:rsid w:val="00211F6A"/>
    <w:rsid w:val="00211F6B"/>
    <w:rsid w:val="00212165"/>
    <w:rsid w:val="00212382"/>
    <w:rsid w:val="00212472"/>
    <w:rsid w:val="002128CD"/>
    <w:rsid w:val="00212C75"/>
    <w:rsid w:val="00212CED"/>
    <w:rsid w:val="00212D26"/>
    <w:rsid w:val="002132D5"/>
    <w:rsid w:val="002134C2"/>
    <w:rsid w:val="002135F3"/>
    <w:rsid w:val="00213636"/>
    <w:rsid w:val="00213655"/>
    <w:rsid w:val="00213B1A"/>
    <w:rsid w:val="00213B1D"/>
    <w:rsid w:val="00213D14"/>
    <w:rsid w:val="00213E2B"/>
    <w:rsid w:val="00213F35"/>
    <w:rsid w:val="002141F9"/>
    <w:rsid w:val="002146D6"/>
    <w:rsid w:val="002148E6"/>
    <w:rsid w:val="00214EF8"/>
    <w:rsid w:val="0021565D"/>
    <w:rsid w:val="0021567D"/>
    <w:rsid w:val="002156DC"/>
    <w:rsid w:val="00215ACE"/>
    <w:rsid w:val="00215CD1"/>
    <w:rsid w:val="00215EE3"/>
    <w:rsid w:val="00216539"/>
    <w:rsid w:val="002168D4"/>
    <w:rsid w:val="002169A4"/>
    <w:rsid w:val="002169F5"/>
    <w:rsid w:val="00216B9A"/>
    <w:rsid w:val="00216C6B"/>
    <w:rsid w:val="00217207"/>
    <w:rsid w:val="002175F3"/>
    <w:rsid w:val="00217688"/>
    <w:rsid w:val="0021773A"/>
    <w:rsid w:val="0021778D"/>
    <w:rsid w:val="00217C80"/>
    <w:rsid w:val="00217E19"/>
    <w:rsid w:val="00217EA7"/>
    <w:rsid w:val="00217FA0"/>
    <w:rsid w:val="00217FED"/>
    <w:rsid w:val="00220009"/>
    <w:rsid w:val="00220449"/>
    <w:rsid w:val="002208BF"/>
    <w:rsid w:val="002208EF"/>
    <w:rsid w:val="002209C1"/>
    <w:rsid w:val="00220B76"/>
    <w:rsid w:val="00220C5E"/>
    <w:rsid w:val="00220C7E"/>
    <w:rsid w:val="00220D29"/>
    <w:rsid w:val="00220D91"/>
    <w:rsid w:val="002216F7"/>
    <w:rsid w:val="00222078"/>
    <w:rsid w:val="00222117"/>
    <w:rsid w:val="00222311"/>
    <w:rsid w:val="002226F4"/>
    <w:rsid w:val="0022295F"/>
    <w:rsid w:val="00222C78"/>
    <w:rsid w:val="0022374E"/>
    <w:rsid w:val="002238B2"/>
    <w:rsid w:val="00223911"/>
    <w:rsid w:val="002240D9"/>
    <w:rsid w:val="00224232"/>
    <w:rsid w:val="00224299"/>
    <w:rsid w:val="0022433E"/>
    <w:rsid w:val="0022458C"/>
    <w:rsid w:val="00224CEB"/>
    <w:rsid w:val="00224D5B"/>
    <w:rsid w:val="00224FEA"/>
    <w:rsid w:val="002255E2"/>
    <w:rsid w:val="00225951"/>
    <w:rsid w:val="00225A0B"/>
    <w:rsid w:val="00225AAD"/>
    <w:rsid w:val="00225C43"/>
    <w:rsid w:val="00225F7E"/>
    <w:rsid w:val="00226662"/>
    <w:rsid w:val="00226685"/>
    <w:rsid w:val="00226AA0"/>
    <w:rsid w:val="00226D9E"/>
    <w:rsid w:val="00226E3E"/>
    <w:rsid w:val="00227707"/>
    <w:rsid w:val="002279CA"/>
    <w:rsid w:val="00227BDE"/>
    <w:rsid w:val="00227BF5"/>
    <w:rsid w:val="00227DF1"/>
    <w:rsid w:val="00227FDA"/>
    <w:rsid w:val="00230047"/>
    <w:rsid w:val="00230068"/>
    <w:rsid w:val="002300A4"/>
    <w:rsid w:val="00230115"/>
    <w:rsid w:val="00230354"/>
    <w:rsid w:val="00230783"/>
    <w:rsid w:val="00230C49"/>
    <w:rsid w:val="00230D36"/>
    <w:rsid w:val="0023120F"/>
    <w:rsid w:val="0023146C"/>
    <w:rsid w:val="002316E2"/>
    <w:rsid w:val="002316EC"/>
    <w:rsid w:val="002317A5"/>
    <w:rsid w:val="00231909"/>
    <w:rsid w:val="00231930"/>
    <w:rsid w:val="00231ACC"/>
    <w:rsid w:val="0023276D"/>
    <w:rsid w:val="00232891"/>
    <w:rsid w:val="00232B8B"/>
    <w:rsid w:val="0023305F"/>
    <w:rsid w:val="002334AE"/>
    <w:rsid w:val="00233883"/>
    <w:rsid w:val="00233D7F"/>
    <w:rsid w:val="00233E0B"/>
    <w:rsid w:val="00234257"/>
    <w:rsid w:val="002342A7"/>
    <w:rsid w:val="002343BE"/>
    <w:rsid w:val="0023450A"/>
    <w:rsid w:val="0023489F"/>
    <w:rsid w:val="00234A40"/>
    <w:rsid w:val="00234AF8"/>
    <w:rsid w:val="00234B11"/>
    <w:rsid w:val="00234D7B"/>
    <w:rsid w:val="002350EC"/>
    <w:rsid w:val="002351A3"/>
    <w:rsid w:val="00235231"/>
    <w:rsid w:val="0023526F"/>
    <w:rsid w:val="0023547C"/>
    <w:rsid w:val="0023577C"/>
    <w:rsid w:val="00235DE9"/>
    <w:rsid w:val="0023629B"/>
    <w:rsid w:val="002362A4"/>
    <w:rsid w:val="002366DB"/>
    <w:rsid w:val="0023680A"/>
    <w:rsid w:val="0023698A"/>
    <w:rsid w:val="00236A1D"/>
    <w:rsid w:val="00236B98"/>
    <w:rsid w:val="00236F9A"/>
    <w:rsid w:val="00237047"/>
    <w:rsid w:val="00237087"/>
    <w:rsid w:val="00237295"/>
    <w:rsid w:val="0023729D"/>
    <w:rsid w:val="00237483"/>
    <w:rsid w:val="002375CC"/>
    <w:rsid w:val="00237625"/>
    <w:rsid w:val="002379A1"/>
    <w:rsid w:val="00237CEE"/>
    <w:rsid w:val="0024018F"/>
    <w:rsid w:val="002401D1"/>
    <w:rsid w:val="002401D8"/>
    <w:rsid w:val="0024022E"/>
    <w:rsid w:val="00240278"/>
    <w:rsid w:val="00240553"/>
    <w:rsid w:val="002407BE"/>
    <w:rsid w:val="00240AC5"/>
    <w:rsid w:val="00240B6C"/>
    <w:rsid w:val="00240C72"/>
    <w:rsid w:val="00240DA8"/>
    <w:rsid w:val="00241042"/>
    <w:rsid w:val="0024114E"/>
    <w:rsid w:val="002412DE"/>
    <w:rsid w:val="00241633"/>
    <w:rsid w:val="00241805"/>
    <w:rsid w:val="002418F5"/>
    <w:rsid w:val="0024199A"/>
    <w:rsid w:val="00241AB1"/>
    <w:rsid w:val="002423C6"/>
    <w:rsid w:val="0024261F"/>
    <w:rsid w:val="002429F3"/>
    <w:rsid w:val="00242CCB"/>
    <w:rsid w:val="002430BF"/>
    <w:rsid w:val="0024329A"/>
    <w:rsid w:val="002439C9"/>
    <w:rsid w:val="00243CA7"/>
    <w:rsid w:val="00243CC5"/>
    <w:rsid w:val="00243CE5"/>
    <w:rsid w:val="00243DDD"/>
    <w:rsid w:val="00243ECA"/>
    <w:rsid w:val="00244314"/>
    <w:rsid w:val="00244882"/>
    <w:rsid w:val="00244927"/>
    <w:rsid w:val="00244B6D"/>
    <w:rsid w:val="00244C7C"/>
    <w:rsid w:val="0024501C"/>
    <w:rsid w:val="002454B3"/>
    <w:rsid w:val="00245505"/>
    <w:rsid w:val="00245627"/>
    <w:rsid w:val="00245AFF"/>
    <w:rsid w:val="00246003"/>
    <w:rsid w:val="00246088"/>
    <w:rsid w:val="002461EF"/>
    <w:rsid w:val="00246973"/>
    <w:rsid w:val="00246C2E"/>
    <w:rsid w:val="00246C7D"/>
    <w:rsid w:val="002472A8"/>
    <w:rsid w:val="0024737C"/>
    <w:rsid w:val="00247381"/>
    <w:rsid w:val="0024742D"/>
    <w:rsid w:val="00247597"/>
    <w:rsid w:val="002475C8"/>
    <w:rsid w:val="00247677"/>
    <w:rsid w:val="002476DF"/>
    <w:rsid w:val="00247FE1"/>
    <w:rsid w:val="002500D8"/>
    <w:rsid w:val="00250227"/>
    <w:rsid w:val="002512B9"/>
    <w:rsid w:val="0025132E"/>
    <w:rsid w:val="0025190E"/>
    <w:rsid w:val="0025196E"/>
    <w:rsid w:val="00251AB1"/>
    <w:rsid w:val="00251BCA"/>
    <w:rsid w:val="00251E49"/>
    <w:rsid w:val="00251FE8"/>
    <w:rsid w:val="0025223D"/>
    <w:rsid w:val="00252261"/>
    <w:rsid w:val="00252522"/>
    <w:rsid w:val="00252EB0"/>
    <w:rsid w:val="002530CA"/>
    <w:rsid w:val="002535D3"/>
    <w:rsid w:val="0025371E"/>
    <w:rsid w:val="00253D07"/>
    <w:rsid w:val="00253D5C"/>
    <w:rsid w:val="00253E1E"/>
    <w:rsid w:val="002541D6"/>
    <w:rsid w:val="00254244"/>
    <w:rsid w:val="002542E9"/>
    <w:rsid w:val="00254787"/>
    <w:rsid w:val="00254AB0"/>
    <w:rsid w:val="002551EB"/>
    <w:rsid w:val="00255602"/>
    <w:rsid w:val="00255800"/>
    <w:rsid w:val="00255E25"/>
    <w:rsid w:val="00255E71"/>
    <w:rsid w:val="00255E72"/>
    <w:rsid w:val="00255EB7"/>
    <w:rsid w:val="00256005"/>
    <w:rsid w:val="00256330"/>
    <w:rsid w:val="00256D4F"/>
    <w:rsid w:val="00256E19"/>
    <w:rsid w:val="002572BF"/>
    <w:rsid w:val="002573EA"/>
    <w:rsid w:val="00257733"/>
    <w:rsid w:val="002578CB"/>
    <w:rsid w:val="002578D3"/>
    <w:rsid w:val="00260176"/>
    <w:rsid w:val="00260871"/>
    <w:rsid w:val="00260959"/>
    <w:rsid w:val="00260A4B"/>
    <w:rsid w:val="00260BFD"/>
    <w:rsid w:val="00260C1D"/>
    <w:rsid w:val="00260C2B"/>
    <w:rsid w:val="00260C31"/>
    <w:rsid w:val="002611B6"/>
    <w:rsid w:val="002612CD"/>
    <w:rsid w:val="0026143D"/>
    <w:rsid w:val="002617B9"/>
    <w:rsid w:val="00261C39"/>
    <w:rsid w:val="00261DB5"/>
    <w:rsid w:val="00261E14"/>
    <w:rsid w:val="00262070"/>
    <w:rsid w:val="00262500"/>
    <w:rsid w:val="002625B6"/>
    <w:rsid w:val="002626DA"/>
    <w:rsid w:val="00262963"/>
    <w:rsid w:val="00262CC6"/>
    <w:rsid w:val="00262D28"/>
    <w:rsid w:val="00262D42"/>
    <w:rsid w:val="00262DEF"/>
    <w:rsid w:val="00263000"/>
    <w:rsid w:val="002631E4"/>
    <w:rsid w:val="002633E4"/>
    <w:rsid w:val="002634BF"/>
    <w:rsid w:val="002636F6"/>
    <w:rsid w:val="00263904"/>
    <w:rsid w:val="00263D4E"/>
    <w:rsid w:val="00263D81"/>
    <w:rsid w:val="00263E30"/>
    <w:rsid w:val="00263E68"/>
    <w:rsid w:val="00263EDE"/>
    <w:rsid w:val="00263F65"/>
    <w:rsid w:val="002640E3"/>
    <w:rsid w:val="0026460B"/>
    <w:rsid w:val="00264918"/>
    <w:rsid w:val="00264A7B"/>
    <w:rsid w:val="00264B31"/>
    <w:rsid w:val="00264D37"/>
    <w:rsid w:val="00264DFB"/>
    <w:rsid w:val="00264E0E"/>
    <w:rsid w:val="00264E9B"/>
    <w:rsid w:val="00264EDE"/>
    <w:rsid w:val="002654DB"/>
    <w:rsid w:val="0026572E"/>
    <w:rsid w:val="00265D62"/>
    <w:rsid w:val="00266018"/>
    <w:rsid w:val="00266126"/>
    <w:rsid w:val="002663FF"/>
    <w:rsid w:val="002664F5"/>
    <w:rsid w:val="002665EA"/>
    <w:rsid w:val="00266738"/>
    <w:rsid w:val="002667A5"/>
    <w:rsid w:val="00266861"/>
    <w:rsid w:val="00266895"/>
    <w:rsid w:val="00266B53"/>
    <w:rsid w:val="00266C1B"/>
    <w:rsid w:val="00266F05"/>
    <w:rsid w:val="0026719B"/>
    <w:rsid w:val="00267346"/>
    <w:rsid w:val="00267A7D"/>
    <w:rsid w:val="002706D8"/>
    <w:rsid w:val="00270786"/>
    <w:rsid w:val="002707C4"/>
    <w:rsid w:val="00270C23"/>
    <w:rsid w:val="00270EBB"/>
    <w:rsid w:val="00270F15"/>
    <w:rsid w:val="0027110F"/>
    <w:rsid w:val="002712D9"/>
    <w:rsid w:val="002712F4"/>
    <w:rsid w:val="00271D9A"/>
    <w:rsid w:val="002720E5"/>
    <w:rsid w:val="0027238E"/>
    <w:rsid w:val="00272834"/>
    <w:rsid w:val="00272A97"/>
    <w:rsid w:val="00272C61"/>
    <w:rsid w:val="00272D82"/>
    <w:rsid w:val="00272DAB"/>
    <w:rsid w:val="00272E90"/>
    <w:rsid w:val="00272EB3"/>
    <w:rsid w:val="0027313C"/>
    <w:rsid w:val="002733E1"/>
    <w:rsid w:val="0027344B"/>
    <w:rsid w:val="002734FC"/>
    <w:rsid w:val="002737DD"/>
    <w:rsid w:val="00273952"/>
    <w:rsid w:val="00273979"/>
    <w:rsid w:val="00273E3E"/>
    <w:rsid w:val="00273E4E"/>
    <w:rsid w:val="00273FEB"/>
    <w:rsid w:val="00274439"/>
    <w:rsid w:val="002747B1"/>
    <w:rsid w:val="00274852"/>
    <w:rsid w:val="00274868"/>
    <w:rsid w:val="00274BBB"/>
    <w:rsid w:val="00274D25"/>
    <w:rsid w:val="002753A3"/>
    <w:rsid w:val="0027544C"/>
    <w:rsid w:val="00275524"/>
    <w:rsid w:val="0027561B"/>
    <w:rsid w:val="002756B1"/>
    <w:rsid w:val="002756C9"/>
    <w:rsid w:val="00275BFA"/>
    <w:rsid w:val="00275D0D"/>
    <w:rsid w:val="002762E2"/>
    <w:rsid w:val="00276315"/>
    <w:rsid w:val="00276661"/>
    <w:rsid w:val="002768F1"/>
    <w:rsid w:val="00276E62"/>
    <w:rsid w:val="00277044"/>
    <w:rsid w:val="002773DA"/>
    <w:rsid w:val="0027760C"/>
    <w:rsid w:val="00277A5D"/>
    <w:rsid w:val="00277A8E"/>
    <w:rsid w:val="00277EFD"/>
    <w:rsid w:val="00277F4E"/>
    <w:rsid w:val="0028006A"/>
    <w:rsid w:val="00280391"/>
    <w:rsid w:val="002804D8"/>
    <w:rsid w:val="00280566"/>
    <w:rsid w:val="00280789"/>
    <w:rsid w:val="002807DF"/>
    <w:rsid w:val="0028084F"/>
    <w:rsid w:val="00280A17"/>
    <w:rsid w:val="0028104A"/>
    <w:rsid w:val="002813F2"/>
    <w:rsid w:val="00281454"/>
    <w:rsid w:val="002814C2"/>
    <w:rsid w:val="002814F4"/>
    <w:rsid w:val="002816FA"/>
    <w:rsid w:val="00281CAB"/>
    <w:rsid w:val="002821F1"/>
    <w:rsid w:val="00282216"/>
    <w:rsid w:val="002826F9"/>
    <w:rsid w:val="00282B27"/>
    <w:rsid w:val="00282BE7"/>
    <w:rsid w:val="00282CD2"/>
    <w:rsid w:val="00282DCC"/>
    <w:rsid w:val="00282E57"/>
    <w:rsid w:val="0028389E"/>
    <w:rsid w:val="00283C85"/>
    <w:rsid w:val="00283D49"/>
    <w:rsid w:val="00283E1A"/>
    <w:rsid w:val="00284079"/>
    <w:rsid w:val="0028407C"/>
    <w:rsid w:val="002843FA"/>
    <w:rsid w:val="002845E8"/>
    <w:rsid w:val="002847CE"/>
    <w:rsid w:val="00284A85"/>
    <w:rsid w:val="00284B3C"/>
    <w:rsid w:val="00284B97"/>
    <w:rsid w:val="002852B3"/>
    <w:rsid w:val="00285567"/>
    <w:rsid w:val="002855CD"/>
    <w:rsid w:val="00285676"/>
    <w:rsid w:val="00285A65"/>
    <w:rsid w:val="00285C61"/>
    <w:rsid w:val="00285DC3"/>
    <w:rsid w:val="002861A6"/>
    <w:rsid w:val="00286474"/>
    <w:rsid w:val="00286AD0"/>
    <w:rsid w:val="00286CAA"/>
    <w:rsid w:val="00286F1F"/>
    <w:rsid w:val="00287629"/>
    <w:rsid w:val="0028772D"/>
    <w:rsid w:val="002877C6"/>
    <w:rsid w:val="00287B69"/>
    <w:rsid w:val="00287F61"/>
    <w:rsid w:val="00290083"/>
    <w:rsid w:val="002900A6"/>
    <w:rsid w:val="00290201"/>
    <w:rsid w:val="002906CC"/>
    <w:rsid w:val="002906F5"/>
    <w:rsid w:val="0029097A"/>
    <w:rsid w:val="00290C88"/>
    <w:rsid w:val="00291306"/>
    <w:rsid w:val="0029148C"/>
    <w:rsid w:val="002916D1"/>
    <w:rsid w:val="002918C7"/>
    <w:rsid w:val="00291BEF"/>
    <w:rsid w:val="00291F29"/>
    <w:rsid w:val="00291F54"/>
    <w:rsid w:val="00291F67"/>
    <w:rsid w:val="0029211A"/>
    <w:rsid w:val="0029256E"/>
    <w:rsid w:val="002928C0"/>
    <w:rsid w:val="002929AE"/>
    <w:rsid w:val="0029313C"/>
    <w:rsid w:val="00293252"/>
    <w:rsid w:val="002932D6"/>
    <w:rsid w:val="00293430"/>
    <w:rsid w:val="00293447"/>
    <w:rsid w:val="00293507"/>
    <w:rsid w:val="002937F8"/>
    <w:rsid w:val="00293915"/>
    <w:rsid w:val="00293B06"/>
    <w:rsid w:val="00294125"/>
    <w:rsid w:val="00294327"/>
    <w:rsid w:val="0029444B"/>
    <w:rsid w:val="00294676"/>
    <w:rsid w:val="00294F89"/>
    <w:rsid w:val="00294FAB"/>
    <w:rsid w:val="00294FB7"/>
    <w:rsid w:val="0029511F"/>
    <w:rsid w:val="002951E2"/>
    <w:rsid w:val="002953EB"/>
    <w:rsid w:val="002954AF"/>
    <w:rsid w:val="00295848"/>
    <w:rsid w:val="002958C8"/>
    <w:rsid w:val="002959A4"/>
    <w:rsid w:val="00295A97"/>
    <w:rsid w:val="00295AEC"/>
    <w:rsid w:val="00295E10"/>
    <w:rsid w:val="00295E3A"/>
    <w:rsid w:val="00295FDF"/>
    <w:rsid w:val="00296069"/>
    <w:rsid w:val="002967DD"/>
    <w:rsid w:val="00296C40"/>
    <w:rsid w:val="002970B0"/>
    <w:rsid w:val="002978E3"/>
    <w:rsid w:val="00297BBF"/>
    <w:rsid w:val="00297E1D"/>
    <w:rsid w:val="00297F88"/>
    <w:rsid w:val="002A0305"/>
    <w:rsid w:val="002A0417"/>
    <w:rsid w:val="002A0824"/>
    <w:rsid w:val="002A0994"/>
    <w:rsid w:val="002A0D79"/>
    <w:rsid w:val="002A0FDA"/>
    <w:rsid w:val="002A1544"/>
    <w:rsid w:val="002A1E92"/>
    <w:rsid w:val="002A20D0"/>
    <w:rsid w:val="002A22B2"/>
    <w:rsid w:val="002A28E3"/>
    <w:rsid w:val="002A2E02"/>
    <w:rsid w:val="002A2EF2"/>
    <w:rsid w:val="002A2FC8"/>
    <w:rsid w:val="002A3095"/>
    <w:rsid w:val="002A34CC"/>
    <w:rsid w:val="002A35C2"/>
    <w:rsid w:val="002A3681"/>
    <w:rsid w:val="002A3842"/>
    <w:rsid w:val="002A38DF"/>
    <w:rsid w:val="002A3C50"/>
    <w:rsid w:val="002A4141"/>
    <w:rsid w:val="002A430B"/>
    <w:rsid w:val="002A4325"/>
    <w:rsid w:val="002A43E4"/>
    <w:rsid w:val="002A44EE"/>
    <w:rsid w:val="002A48BE"/>
    <w:rsid w:val="002A48CF"/>
    <w:rsid w:val="002A4A5F"/>
    <w:rsid w:val="002A4B5A"/>
    <w:rsid w:val="002A4C85"/>
    <w:rsid w:val="002A4D46"/>
    <w:rsid w:val="002A4D7F"/>
    <w:rsid w:val="002A4EB0"/>
    <w:rsid w:val="002A5386"/>
    <w:rsid w:val="002A53BA"/>
    <w:rsid w:val="002A571F"/>
    <w:rsid w:val="002A58BD"/>
    <w:rsid w:val="002A5A21"/>
    <w:rsid w:val="002A5A8E"/>
    <w:rsid w:val="002A5B91"/>
    <w:rsid w:val="002A5C64"/>
    <w:rsid w:val="002A5C97"/>
    <w:rsid w:val="002A5D88"/>
    <w:rsid w:val="002A5E0A"/>
    <w:rsid w:val="002A61E3"/>
    <w:rsid w:val="002A654A"/>
    <w:rsid w:val="002A6808"/>
    <w:rsid w:val="002A688A"/>
    <w:rsid w:val="002A6B66"/>
    <w:rsid w:val="002A6D29"/>
    <w:rsid w:val="002A6E45"/>
    <w:rsid w:val="002A6EF5"/>
    <w:rsid w:val="002A6FF4"/>
    <w:rsid w:val="002A728B"/>
    <w:rsid w:val="002A7295"/>
    <w:rsid w:val="002A78F9"/>
    <w:rsid w:val="002A7A47"/>
    <w:rsid w:val="002A7B82"/>
    <w:rsid w:val="002A7B83"/>
    <w:rsid w:val="002A7BCB"/>
    <w:rsid w:val="002A7DB2"/>
    <w:rsid w:val="002A7EA8"/>
    <w:rsid w:val="002B069D"/>
    <w:rsid w:val="002B0916"/>
    <w:rsid w:val="002B0925"/>
    <w:rsid w:val="002B0CEF"/>
    <w:rsid w:val="002B0D09"/>
    <w:rsid w:val="002B1242"/>
    <w:rsid w:val="002B12C0"/>
    <w:rsid w:val="002B1664"/>
    <w:rsid w:val="002B1AD0"/>
    <w:rsid w:val="002B1C13"/>
    <w:rsid w:val="002B1F8C"/>
    <w:rsid w:val="002B1FC9"/>
    <w:rsid w:val="002B216F"/>
    <w:rsid w:val="002B223E"/>
    <w:rsid w:val="002B29A0"/>
    <w:rsid w:val="002B2A9A"/>
    <w:rsid w:val="002B2D6F"/>
    <w:rsid w:val="002B2FD0"/>
    <w:rsid w:val="002B372D"/>
    <w:rsid w:val="002B3D02"/>
    <w:rsid w:val="002B44D9"/>
    <w:rsid w:val="002B4611"/>
    <w:rsid w:val="002B4698"/>
    <w:rsid w:val="002B4969"/>
    <w:rsid w:val="002B5524"/>
    <w:rsid w:val="002B5608"/>
    <w:rsid w:val="002B58E4"/>
    <w:rsid w:val="002B59B2"/>
    <w:rsid w:val="002B5AC7"/>
    <w:rsid w:val="002B5D73"/>
    <w:rsid w:val="002B602A"/>
    <w:rsid w:val="002B61E7"/>
    <w:rsid w:val="002B6324"/>
    <w:rsid w:val="002B64FA"/>
    <w:rsid w:val="002B6A15"/>
    <w:rsid w:val="002B6E5B"/>
    <w:rsid w:val="002B6FDA"/>
    <w:rsid w:val="002B7065"/>
    <w:rsid w:val="002B714A"/>
    <w:rsid w:val="002B7363"/>
    <w:rsid w:val="002B7655"/>
    <w:rsid w:val="002B76BD"/>
    <w:rsid w:val="002B774D"/>
    <w:rsid w:val="002B785B"/>
    <w:rsid w:val="002B7BDF"/>
    <w:rsid w:val="002B7D18"/>
    <w:rsid w:val="002B7D54"/>
    <w:rsid w:val="002C0292"/>
    <w:rsid w:val="002C08F4"/>
    <w:rsid w:val="002C091D"/>
    <w:rsid w:val="002C0C27"/>
    <w:rsid w:val="002C1162"/>
    <w:rsid w:val="002C147C"/>
    <w:rsid w:val="002C14CE"/>
    <w:rsid w:val="002C18CD"/>
    <w:rsid w:val="002C1D1B"/>
    <w:rsid w:val="002C1F1D"/>
    <w:rsid w:val="002C20F9"/>
    <w:rsid w:val="002C2554"/>
    <w:rsid w:val="002C260D"/>
    <w:rsid w:val="002C2B2D"/>
    <w:rsid w:val="002C2BD2"/>
    <w:rsid w:val="002C3091"/>
    <w:rsid w:val="002C3134"/>
    <w:rsid w:val="002C33BE"/>
    <w:rsid w:val="002C343E"/>
    <w:rsid w:val="002C3805"/>
    <w:rsid w:val="002C3A08"/>
    <w:rsid w:val="002C4315"/>
    <w:rsid w:val="002C43F0"/>
    <w:rsid w:val="002C47B2"/>
    <w:rsid w:val="002C493F"/>
    <w:rsid w:val="002C4B88"/>
    <w:rsid w:val="002C4CCB"/>
    <w:rsid w:val="002C4E01"/>
    <w:rsid w:val="002C52FE"/>
    <w:rsid w:val="002C540F"/>
    <w:rsid w:val="002C54D5"/>
    <w:rsid w:val="002C56CB"/>
    <w:rsid w:val="002C5A64"/>
    <w:rsid w:val="002C5DA2"/>
    <w:rsid w:val="002C6186"/>
    <w:rsid w:val="002C61B5"/>
    <w:rsid w:val="002C62B8"/>
    <w:rsid w:val="002C62CF"/>
    <w:rsid w:val="002C65CB"/>
    <w:rsid w:val="002C65D0"/>
    <w:rsid w:val="002C6617"/>
    <w:rsid w:val="002C6665"/>
    <w:rsid w:val="002C6757"/>
    <w:rsid w:val="002C678E"/>
    <w:rsid w:val="002C68FB"/>
    <w:rsid w:val="002C6A1A"/>
    <w:rsid w:val="002C6B11"/>
    <w:rsid w:val="002C6D25"/>
    <w:rsid w:val="002C6DB5"/>
    <w:rsid w:val="002C6EB5"/>
    <w:rsid w:val="002C715F"/>
    <w:rsid w:val="002C71EB"/>
    <w:rsid w:val="002C72D4"/>
    <w:rsid w:val="002C72E6"/>
    <w:rsid w:val="002C7645"/>
    <w:rsid w:val="002C78A2"/>
    <w:rsid w:val="002C79D7"/>
    <w:rsid w:val="002C7A08"/>
    <w:rsid w:val="002C7A5E"/>
    <w:rsid w:val="002C7A60"/>
    <w:rsid w:val="002C7C96"/>
    <w:rsid w:val="002D009D"/>
    <w:rsid w:val="002D01C5"/>
    <w:rsid w:val="002D0228"/>
    <w:rsid w:val="002D057A"/>
    <w:rsid w:val="002D0713"/>
    <w:rsid w:val="002D0FC0"/>
    <w:rsid w:val="002D10A2"/>
    <w:rsid w:val="002D1102"/>
    <w:rsid w:val="002D14FA"/>
    <w:rsid w:val="002D1773"/>
    <w:rsid w:val="002D1963"/>
    <w:rsid w:val="002D1C64"/>
    <w:rsid w:val="002D1F81"/>
    <w:rsid w:val="002D20C2"/>
    <w:rsid w:val="002D2A2C"/>
    <w:rsid w:val="002D2DFF"/>
    <w:rsid w:val="002D2F11"/>
    <w:rsid w:val="002D30B0"/>
    <w:rsid w:val="002D36DA"/>
    <w:rsid w:val="002D3773"/>
    <w:rsid w:val="002D38FE"/>
    <w:rsid w:val="002D3B25"/>
    <w:rsid w:val="002D3D1A"/>
    <w:rsid w:val="002D3D99"/>
    <w:rsid w:val="002D3FB4"/>
    <w:rsid w:val="002D4761"/>
    <w:rsid w:val="002D47DC"/>
    <w:rsid w:val="002D4849"/>
    <w:rsid w:val="002D4AC4"/>
    <w:rsid w:val="002D4D31"/>
    <w:rsid w:val="002D4F03"/>
    <w:rsid w:val="002D50C1"/>
    <w:rsid w:val="002D5227"/>
    <w:rsid w:val="002D53DD"/>
    <w:rsid w:val="002D5C94"/>
    <w:rsid w:val="002D5F82"/>
    <w:rsid w:val="002D5FC9"/>
    <w:rsid w:val="002D647E"/>
    <w:rsid w:val="002D683E"/>
    <w:rsid w:val="002D7028"/>
    <w:rsid w:val="002D7087"/>
    <w:rsid w:val="002D7359"/>
    <w:rsid w:val="002D751E"/>
    <w:rsid w:val="002D7787"/>
    <w:rsid w:val="002D79C8"/>
    <w:rsid w:val="002D7A4D"/>
    <w:rsid w:val="002D7B15"/>
    <w:rsid w:val="002D7D00"/>
    <w:rsid w:val="002D7F7C"/>
    <w:rsid w:val="002E059F"/>
    <w:rsid w:val="002E07A9"/>
    <w:rsid w:val="002E09F6"/>
    <w:rsid w:val="002E0EBB"/>
    <w:rsid w:val="002E1193"/>
    <w:rsid w:val="002E1512"/>
    <w:rsid w:val="002E1B91"/>
    <w:rsid w:val="002E1C5D"/>
    <w:rsid w:val="002E210C"/>
    <w:rsid w:val="002E2340"/>
    <w:rsid w:val="002E2381"/>
    <w:rsid w:val="002E2457"/>
    <w:rsid w:val="002E262F"/>
    <w:rsid w:val="002E2872"/>
    <w:rsid w:val="002E28D5"/>
    <w:rsid w:val="002E2A20"/>
    <w:rsid w:val="002E2B39"/>
    <w:rsid w:val="002E2D3A"/>
    <w:rsid w:val="002E2D4B"/>
    <w:rsid w:val="002E2EE5"/>
    <w:rsid w:val="002E30D0"/>
    <w:rsid w:val="002E35BD"/>
    <w:rsid w:val="002E35F7"/>
    <w:rsid w:val="002E3634"/>
    <w:rsid w:val="002E38AC"/>
    <w:rsid w:val="002E3B7B"/>
    <w:rsid w:val="002E3E05"/>
    <w:rsid w:val="002E412A"/>
    <w:rsid w:val="002E42D0"/>
    <w:rsid w:val="002E4523"/>
    <w:rsid w:val="002E4DB6"/>
    <w:rsid w:val="002E5099"/>
    <w:rsid w:val="002E5504"/>
    <w:rsid w:val="002E56D2"/>
    <w:rsid w:val="002E5940"/>
    <w:rsid w:val="002E59B9"/>
    <w:rsid w:val="002E5AF2"/>
    <w:rsid w:val="002E5E5F"/>
    <w:rsid w:val="002E5EBD"/>
    <w:rsid w:val="002E60AE"/>
    <w:rsid w:val="002E62C1"/>
    <w:rsid w:val="002E65D3"/>
    <w:rsid w:val="002E65EF"/>
    <w:rsid w:val="002E6A5F"/>
    <w:rsid w:val="002E6E34"/>
    <w:rsid w:val="002E743B"/>
    <w:rsid w:val="002E76C3"/>
    <w:rsid w:val="002E7979"/>
    <w:rsid w:val="002F0002"/>
    <w:rsid w:val="002F0016"/>
    <w:rsid w:val="002F02AC"/>
    <w:rsid w:val="002F080C"/>
    <w:rsid w:val="002F0945"/>
    <w:rsid w:val="002F0BEA"/>
    <w:rsid w:val="002F0D8E"/>
    <w:rsid w:val="002F1076"/>
    <w:rsid w:val="002F10B1"/>
    <w:rsid w:val="002F1109"/>
    <w:rsid w:val="002F1388"/>
    <w:rsid w:val="002F13E3"/>
    <w:rsid w:val="002F142E"/>
    <w:rsid w:val="002F1658"/>
    <w:rsid w:val="002F1705"/>
    <w:rsid w:val="002F18AB"/>
    <w:rsid w:val="002F19F0"/>
    <w:rsid w:val="002F1A52"/>
    <w:rsid w:val="002F2080"/>
    <w:rsid w:val="002F23AA"/>
    <w:rsid w:val="002F27A8"/>
    <w:rsid w:val="002F281A"/>
    <w:rsid w:val="002F28D6"/>
    <w:rsid w:val="002F2B7F"/>
    <w:rsid w:val="002F2E5D"/>
    <w:rsid w:val="002F2E98"/>
    <w:rsid w:val="002F3442"/>
    <w:rsid w:val="002F37B1"/>
    <w:rsid w:val="002F37EA"/>
    <w:rsid w:val="002F39F3"/>
    <w:rsid w:val="002F3F37"/>
    <w:rsid w:val="002F4373"/>
    <w:rsid w:val="002F43A6"/>
    <w:rsid w:val="002F45C8"/>
    <w:rsid w:val="002F4718"/>
    <w:rsid w:val="002F4787"/>
    <w:rsid w:val="002F486C"/>
    <w:rsid w:val="002F48E9"/>
    <w:rsid w:val="002F4EDD"/>
    <w:rsid w:val="002F594E"/>
    <w:rsid w:val="002F599A"/>
    <w:rsid w:val="002F5A5B"/>
    <w:rsid w:val="002F5E10"/>
    <w:rsid w:val="002F5F58"/>
    <w:rsid w:val="002F6567"/>
    <w:rsid w:val="002F6A74"/>
    <w:rsid w:val="002F6B4C"/>
    <w:rsid w:val="002F6CD7"/>
    <w:rsid w:val="002F6ED9"/>
    <w:rsid w:val="002F6F88"/>
    <w:rsid w:val="002F7502"/>
    <w:rsid w:val="002F78A6"/>
    <w:rsid w:val="002F7E2D"/>
    <w:rsid w:val="00300394"/>
    <w:rsid w:val="00300503"/>
    <w:rsid w:val="00300697"/>
    <w:rsid w:val="00300DC2"/>
    <w:rsid w:val="00301808"/>
    <w:rsid w:val="00301DDA"/>
    <w:rsid w:val="00301F83"/>
    <w:rsid w:val="003020A5"/>
    <w:rsid w:val="00302262"/>
    <w:rsid w:val="00302274"/>
    <w:rsid w:val="00302282"/>
    <w:rsid w:val="003022DB"/>
    <w:rsid w:val="003025BE"/>
    <w:rsid w:val="0030261E"/>
    <w:rsid w:val="0030283C"/>
    <w:rsid w:val="0030284C"/>
    <w:rsid w:val="00302929"/>
    <w:rsid w:val="00302C3B"/>
    <w:rsid w:val="00303035"/>
    <w:rsid w:val="00303081"/>
    <w:rsid w:val="003031FA"/>
    <w:rsid w:val="003034A3"/>
    <w:rsid w:val="0030356E"/>
    <w:rsid w:val="003035F3"/>
    <w:rsid w:val="00303D75"/>
    <w:rsid w:val="003040A7"/>
    <w:rsid w:val="0030456F"/>
    <w:rsid w:val="003045AC"/>
    <w:rsid w:val="00304A5B"/>
    <w:rsid w:val="00304E42"/>
    <w:rsid w:val="00304E87"/>
    <w:rsid w:val="00304FB6"/>
    <w:rsid w:val="0030525F"/>
    <w:rsid w:val="00305282"/>
    <w:rsid w:val="00305374"/>
    <w:rsid w:val="003055BE"/>
    <w:rsid w:val="00305B82"/>
    <w:rsid w:val="00305E20"/>
    <w:rsid w:val="00306064"/>
    <w:rsid w:val="00306225"/>
    <w:rsid w:val="0030681B"/>
    <w:rsid w:val="0030682F"/>
    <w:rsid w:val="00306A0D"/>
    <w:rsid w:val="00306D0A"/>
    <w:rsid w:val="00306E6B"/>
    <w:rsid w:val="00307007"/>
    <w:rsid w:val="0030732A"/>
    <w:rsid w:val="00307780"/>
    <w:rsid w:val="00307B03"/>
    <w:rsid w:val="00307C8B"/>
    <w:rsid w:val="00310886"/>
    <w:rsid w:val="00310DF5"/>
    <w:rsid w:val="00310EE9"/>
    <w:rsid w:val="003111D8"/>
    <w:rsid w:val="00311407"/>
    <w:rsid w:val="003115EF"/>
    <w:rsid w:val="003116FE"/>
    <w:rsid w:val="00311715"/>
    <w:rsid w:val="0031178D"/>
    <w:rsid w:val="00311841"/>
    <w:rsid w:val="00311891"/>
    <w:rsid w:val="00311DE6"/>
    <w:rsid w:val="0031215E"/>
    <w:rsid w:val="003122E7"/>
    <w:rsid w:val="003126B8"/>
    <w:rsid w:val="00312A78"/>
    <w:rsid w:val="00312E61"/>
    <w:rsid w:val="0031319C"/>
    <w:rsid w:val="0031321D"/>
    <w:rsid w:val="003132F2"/>
    <w:rsid w:val="00313396"/>
    <w:rsid w:val="003133AF"/>
    <w:rsid w:val="0031364A"/>
    <w:rsid w:val="00313B9C"/>
    <w:rsid w:val="00313D81"/>
    <w:rsid w:val="00313FCA"/>
    <w:rsid w:val="003144B1"/>
    <w:rsid w:val="003146C9"/>
    <w:rsid w:val="00314974"/>
    <w:rsid w:val="00314CBC"/>
    <w:rsid w:val="00314CE1"/>
    <w:rsid w:val="00314EF1"/>
    <w:rsid w:val="00314F12"/>
    <w:rsid w:val="003152DC"/>
    <w:rsid w:val="003152FA"/>
    <w:rsid w:val="003156EB"/>
    <w:rsid w:val="00315898"/>
    <w:rsid w:val="00315CE9"/>
    <w:rsid w:val="00316427"/>
    <w:rsid w:val="00316531"/>
    <w:rsid w:val="00316655"/>
    <w:rsid w:val="0031694C"/>
    <w:rsid w:val="003169EF"/>
    <w:rsid w:val="00316B83"/>
    <w:rsid w:val="00316D48"/>
    <w:rsid w:val="00316E67"/>
    <w:rsid w:val="00316F4F"/>
    <w:rsid w:val="003171EF"/>
    <w:rsid w:val="0031726B"/>
    <w:rsid w:val="00317970"/>
    <w:rsid w:val="00317A96"/>
    <w:rsid w:val="00317ACA"/>
    <w:rsid w:val="00317B17"/>
    <w:rsid w:val="00320156"/>
    <w:rsid w:val="00320492"/>
    <w:rsid w:val="00320846"/>
    <w:rsid w:val="0032096F"/>
    <w:rsid w:val="0032097B"/>
    <w:rsid w:val="00320E49"/>
    <w:rsid w:val="00320EC6"/>
    <w:rsid w:val="00321252"/>
    <w:rsid w:val="003215A1"/>
    <w:rsid w:val="003215BB"/>
    <w:rsid w:val="003215F8"/>
    <w:rsid w:val="0032166C"/>
    <w:rsid w:val="003217C4"/>
    <w:rsid w:val="00321D4C"/>
    <w:rsid w:val="003223C6"/>
    <w:rsid w:val="00322424"/>
    <w:rsid w:val="003224CF"/>
    <w:rsid w:val="00322575"/>
    <w:rsid w:val="003225F9"/>
    <w:rsid w:val="00322A2A"/>
    <w:rsid w:val="00322BD7"/>
    <w:rsid w:val="00322DB3"/>
    <w:rsid w:val="00322EB9"/>
    <w:rsid w:val="00322FA8"/>
    <w:rsid w:val="00322FC3"/>
    <w:rsid w:val="00323434"/>
    <w:rsid w:val="00323611"/>
    <w:rsid w:val="00323670"/>
    <w:rsid w:val="0032422A"/>
    <w:rsid w:val="00324303"/>
    <w:rsid w:val="0032474A"/>
    <w:rsid w:val="0032478E"/>
    <w:rsid w:val="0032490F"/>
    <w:rsid w:val="00324994"/>
    <w:rsid w:val="00324BF0"/>
    <w:rsid w:val="00324DE3"/>
    <w:rsid w:val="00324E12"/>
    <w:rsid w:val="00324F02"/>
    <w:rsid w:val="0032508F"/>
    <w:rsid w:val="003253DF"/>
    <w:rsid w:val="003253FD"/>
    <w:rsid w:val="003255E2"/>
    <w:rsid w:val="0032565F"/>
    <w:rsid w:val="00325762"/>
    <w:rsid w:val="003257A8"/>
    <w:rsid w:val="003258C2"/>
    <w:rsid w:val="00325DDD"/>
    <w:rsid w:val="00325E52"/>
    <w:rsid w:val="00326371"/>
    <w:rsid w:val="003263AC"/>
    <w:rsid w:val="00326AA0"/>
    <w:rsid w:val="00326AAD"/>
    <w:rsid w:val="00326C9B"/>
    <w:rsid w:val="00326E43"/>
    <w:rsid w:val="0032716B"/>
    <w:rsid w:val="00327424"/>
    <w:rsid w:val="0032749B"/>
    <w:rsid w:val="00327933"/>
    <w:rsid w:val="00327E84"/>
    <w:rsid w:val="00330114"/>
    <w:rsid w:val="0033021C"/>
    <w:rsid w:val="003302C1"/>
    <w:rsid w:val="00330308"/>
    <w:rsid w:val="0033035D"/>
    <w:rsid w:val="0033043B"/>
    <w:rsid w:val="003307B1"/>
    <w:rsid w:val="00330A0F"/>
    <w:rsid w:val="00330B2A"/>
    <w:rsid w:val="00330C36"/>
    <w:rsid w:val="00330DD6"/>
    <w:rsid w:val="00330E00"/>
    <w:rsid w:val="0033110C"/>
    <w:rsid w:val="0033121E"/>
    <w:rsid w:val="00331489"/>
    <w:rsid w:val="003314F3"/>
    <w:rsid w:val="00331531"/>
    <w:rsid w:val="0033155F"/>
    <w:rsid w:val="00331560"/>
    <w:rsid w:val="00331668"/>
    <w:rsid w:val="0033185A"/>
    <w:rsid w:val="00331912"/>
    <w:rsid w:val="003319EB"/>
    <w:rsid w:val="00331DEF"/>
    <w:rsid w:val="00331F9C"/>
    <w:rsid w:val="00332389"/>
    <w:rsid w:val="0033277D"/>
    <w:rsid w:val="00332C04"/>
    <w:rsid w:val="0033363B"/>
    <w:rsid w:val="00333688"/>
    <w:rsid w:val="00333965"/>
    <w:rsid w:val="00333A05"/>
    <w:rsid w:val="00333CAB"/>
    <w:rsid w:val="00333E24"/>
    <w:rsid w:val="00333E52"/>
    <w:rsid w:val="00334055"/>
    <w:rsid w:val="00334096"/>
    <w:rsid w:val="003340A6"/>
    <w:rsid w:val="00334954"/>
    <w:rsid w:val="00334C55"/>
    <w:rsid w:val="00334E8B"/>
    <w:rsid w:val="00334EC3"/>
    <w:rsid w:val="00334FE8"/>
    <w:rsid w:val="003351D5"/>
    <w:rsid w:val="003356FB"/>
    <w:rsid w:val="00335744"/>
    <w:rsid w:val="00335823"/>
    <w:rsid w:val="00335ABB"/>
    <w:rsid w:val="00335B6A"/>
    <w:rsid w:val="00335B99"/>
    <w:rsid w:val="00335DF4"/>
    <w:rsid w:val="00335ED5"/>
    <w:rsid w:val="00335EEC"/>
    <w:rsid w:val="0033611C"/>
    <w:rsid w:val="003361D8"/>
    <w:rsid w:val="00336516"/>
    <w:rsid w:val="0033681C"/>
    <w:rsid w:val="00336937"/>
    <w:rsid w:val="00336AD0"/>
    <w:rsid w:val="00336AEB"/>
    <w:rsid w:val="00336C13"/>
    <w:rsid w:val="00336D35"/>
    <w:rsid w:val="00336DFA"/>
    <w:rsid w:val="00336F98"/>
    <w:rsid w:val="00336FB0"/>
    <w:rsid w:val="00336FBB"/>
    <w:rsid w:val="003370C9"/>
    <w:rsid w:val="003370D3"/>
    <w:rsid w:val="0033737D"/>
    <w:rsid w:val="0033766F"/>
    <w:rsid w:val="003376F1"/>
    <w:rsid w:val="00337A11"/>
    <w:rsid w:val="00337EDC"/>
    <w:rsid w:val="00337FA8"/>
    <w:rsid w:val="00337FB2"/>
    <w:rsid w:val="00340296"/>
    <w:rsid w:val="00340DF8"/>
    <w:rsid w:val="00340EFC"/>
    <w:rsid w:val="003410F4"/>
    <w:rsid w:val="0034126C"/>
    <w:rsid w:val="003413E9"/>
    <w:rsid w:val="00341507"/>
    <w:rsid w:val="00341607"/>
    <w:rsid w:val="003416F4"/>
    <w:rsid w:val="00341745"/>
    <w:rsid w:val="00341B4F"/>
    <w:rsid w:val="00341E6E"/>
    <w:rsid w:val="00341EFE"/>
    <w:rsid w:val="00341FBD"/>
    <w:rsid w:val="00342091"/>
    <w:rsid w:val="0034214D"/>
    <w:rsid w:val="003421ED"/>
    <w:rsid w:val="003422CE"/>
    <w:rsid w:val="003424AE"/>
    <w:rsid w:val="00342B1D"/>
    <w:rsid w:val="00342B89"/>
    <w:rsid w:val="00342CAA"/>
    <w:rsid w:val="00342CAF"/>
    <w:rsid w:val="00343895"/>
    <w:rsid w:val="00343D9A"/>
    <w:rsid w:val="003442DA"/>
    <w:rsid w:val="00344585"/>
    <w:rsid w:val="003447B5"/>
    <w:rsid w:val="00344967"/>
    <w:rsid w:val="00344983"/>
    <w:rsid w:val="00344AE4"/>
    <w:rsid w:val="00344B5E"/>
    <w:rsid w:val="00344BA9"/>
    <w:rsid w:val="00344C4E"/>
    <w:rsid w:val="00344F8F"/>
    <w:rsid w:val="00345123"/>
    <w:rsid w:val="0034548C"/>
    <w:rsid w:val="003457E8"/>
    <w:rsid w:val="00345C0E"/>
    <w:rsid w:val="00345D51"/>
    <w:rsid w:val="00346072"/>
    <w:rsid w:val="0034635F"/>
    <w:rsid w:val="003463F6"/>
    <w:rsid w:val="00346591"/>
    <w:rsid w:val="00346718"/>
    <w:rsid w:val="00346A11"/>
    <w:rsid w:val="00346AAC"/>
    <w:rsid w:val="00346C13"/>
    <w:rsid w:val="00346FD9"/>
    <w:rsid w:val="00347146"/>
    <w:rsid w:val="0034715C"/>
    <w:rsid w:val="0034769D"/>
    <w:rsid w:val="0034784F"/>
    <w:rsid w:val="00347BFB"/>
    <w:rsid w:val="00347C61"/>
    <w:rsid w:val="00347ECF"/>
    <w:rsid w:val="00350361"/>
    <w:rsid w:val="003505CA"/>
    <w:rsid w:val="00350618"/>
    <w:rsid w:val="00350794"/>
    <w:rsid w:val="00350EE8"/>
    <w:rsid w:val="00350EF0"/>
    <w:rsid w:val="0035116D"/>
    <w:rsid w:val="0035193B"/>
    <w:rsid w:val="00351A1A"/>
    <w:rsid w:val="00351A8F"/>
    <w:rsid w:val="00351B4F"/>
    <w:rsid w:val="00351B98"/>
    <w:rsid w:val="00351F20"/>
    <w:rsid w:val="00352092"/>
    <w:rsid w:val="0035216B"/>
    <w:rsid w:val="003523FD"/>
    <w:rsid w:val="00352A44"/>
    <w:rsid w:val="00353525"/>
    <w:rsid w:val="00353B22"/>
    <w:rsid w:val="00354212"/>
    <w:rsid w:val="003544B0"/>
    <w:rsid w:val="003547D6"/>
    <w:rsid w:val="003548AF"/>
    <w:rsid w:val="00354FDE"/>
    <w:rsid w:val="003550C8"/>
    <w:rsid w:val="0035568A"/>
    <w:rsid w:val="003558CC"/>
    <w:rsid w:val="00355996"/>
    <w:rsid w:val="00355B5A"/>
    <w:rsid w:val="00355B73"/>
    <w:rsid w:val="00355B8F"/>
    <w:rsid w:val="00355BF5"/>
    <w:rsid w:val="00355F46"/>
    <w:rsid w:val="003561D9"/>
    <w:rsid w:val="00356276"/>
    <w:rsid w:val="003562C7"/>
    <w:rsid w:val="003562D6"/>
    <w:rsid w:val="00356CD2"/>
    <w:rsid w:val="00356E4F"/>
    <w:rsid w:val="003571DD"/>
    <w:rsid w:val="0035728B"/>
    <w:rsid w:val="00357637"/>
    <w:rsid w:val="00357663"/>
    <w:rsid w:val="003576BF"/>
    <w:rsid w:val="003577EE"/>
    <w:rsid w:val="00357978"/>
    <w:rsid w:val="00357B51"/>
    <w:rsid w:val="00357CDB"/>
    <w:rsid w:val="00360006"/>
    <w:rsid w:val="00360021"/>
    <w:rsid w:val="003601F0"/>
    <w:rsid w:val="0036020A"/>
    <w:rsid w:val="00360330"/>
    <w:rsid w:val="00360DD2"/>
    <w:rsid w:val="00360FFF"/>
    <w:rsid w:val="003614BF"/>
    <w:rsid w:val="00361540"/>
    <w:rsid w:val="003617B8"/>
    <w:rsid w:val="0036195A"/>
    <w:rsid w:val="00361995"/>
    <w:rsid w:val="00361AE7"/>
    <w:rsid w:val="00361BE2"/>
    <w:rsid w:val="00361C9D"/>
    <w:rsid w:val="00361E04"/>
    <w:rsid w:val="003625CB"/>
    <w:rsid w:val="003627D9"/>
    <w:rsid w:val="00362E46"/>
    <w:rsid w:val="00362FA9"/>
    <w:rsid w:val="00363103"/>
    <w:rsid w:val="0036366D"/>
    <w:rsid w:val="00363834"/>
    <w:rsid w:val="003638B6"/>
    <w:rsid w:val="00363BA8"/>
    <w:rsid w:val="00363C65"/>
    <w:rsid w:val="00363D29"/>
    <w:rsid w:val="0036407C"/>
    <w:rsid w:val="0036417E"/>
    <w:rsid w:val="0036429C"/>
    <w:rsid w:val="003643AC"/>
    <w:rsid w:val="003643F0"/>
    <w:rsid w:val="00364A8D"/>
    <w:rsid w:val="003656D8"/>
    <w:rsid w:val="003659AB"/>
    <w:rsid w:val="00365C64"/>
    <w:rsid w:val="00365D16"/>
    <w:rsid w:val="00366254"/>
    <w:rsid w:val="00366574"/>
    <w:rsid w:val="0036684A"/>
    <w:rsid w:val="00366948"/>
    <w:rsid w:val="00366C7A"/>
    <w:rsid w:val="00366DDB"/>
    <w:rsid w:val="00367032"/>
    <w:rsid w:val="00367119"/>
    <w:rsid w:val="0036754A"/>
    <w:rsid w:val="003676C5"/>
    <w:rsid w:val="00367780"/>
    <w:rsid w:val="003677A5"/>
    <w:rsid w:val="003678B3"/>
    <w:rsid w:val="00367A95"/>
    <w:rsid w:val="00367AB2"/>
    <w:rsid w:val="00367DAC"/>
    <w:rsid w:val="0037002E"/>
    <w:rsid w:val="003701A1"/>
    <w:rsid w:val="00370358"/>
    <w:rsid w:val="00370736"/>
    <w:rsid w:val="0037093D"/>
    <w:rsid w:val="00370979"/>
    <w:rsid w:val="00370B18"/>
    <w:rsid w:val="00370C64"/>
    <w:rsid w:val="00370FE6"/>
    <w:rsid w:val="0037149B"/>
    <w:rsid w:val="00371AC5"/>
    <w:rsid w:val="00371C0E"/>
    <w:rsid w:val="0037202D"/>
    <w:rsid w:val="003720F7"/>
    <w:rsid w:val="00372C83"/>
    <w:rsid w:val="0037339F"/>
    <w:rsid w:val="0037351A"/>
    <w:rsid w:val="00373575"/>
    <w:rsid w:val="003738B6"/>
    <w:rsid w:val="00373A18"/>
    <w:rsid w:val="00373EA5"/>
    <w:rsid w:val="0037434A"/>
    <w:rsid w:val="00374421"/>
    <w:rsid w:val="00374523"/>
    <w:rsid w:val="00374665"/>
    <w:rsid w:val="0037473F"/>
    <w:rsid w:val="00374994"/>
    <w:rsid w:val="003749A5"/>
    <w:rsid w:val="00374C05"/>
    <w:rsid w:val="00374C7E"/>
    <w:rsid w:val="00374C93"/>
    <w:rsid w:val="00374F5D"/>
    <w:rsid w:val="003752F6"/>
    <w:rsid w:val="003759B1"/>
    <w:rsid w:val="00375BA4"/>
    <w:rsid w:val="00375BAB"/>
    <w:rsid w:val="00375F05"/>
    <w:rsid w:val="003762AA"/>
    <w:rsid w:val="0037636D"/>
    <w:rsid w:val="0037682F"/>
    <w:rsid w:val="0037694E"/>
    <w:rsid w:val="00376AED"/>
    <w:rsid w:val="00376CAF"/>
    <w:rsid w:val="00376D86"/>
    <w:rsid w:val="00376DBB"/>
    <w:rsid w:val="00377053"/>
    <w:rsid w:val="00377233"/>
    <w:rsid w:val="00377538"/>
    <w:rsid w:val="0037795C"/>
    <w:rsid w:val="00377A1F"/>
    <w:rsid w:val="00377B61"/>
    <w:rsid w:val="00377CCC"/>
    <w:rsid w:val="00377CEF"/>
    <w:rsid w:val="00377DF4"/>
    <w:rsid w:val="00377EBB"/>
    <w:rsid w:val="003801E3"/>
    <w:rsid w:val="003802FB"/>
    <w:rsid w:val="0038030C"/>
    <w:rsid w:val="00380343"/>
    <w:rsid w:val="003808D9"/>
    <w:rsid w:val="00380A2A"/>
    <w:rsid w:val="00380AC8"/>
    <w:rsid w:val="00380C2A"/>
    <w:rsid w:val="003810AF"/>
    <w:rsid w:val="0038133C"/>
    <w:rsid w:val="0038169A"/>
    <w:rsid w:val="0038195B"/>
    <w:rsid w:val="00381DDE"/>
    <w:rsid w:val="003820A8"/>
    <w:rsid w:val="003827EF"/>
    <w:rsid w:val="00382875"/>
    <w:rsid w:val="003830DD"/>
    <w:rsid w:val="00383579"/>
    <w:rsid w:val="003835B2"/>
    <w:rsid w:val="003835C8"/>
    <w:rsid w:val="003836D7"/>
    <w:rsid w:val="00383789"/>
    <w:rsid w:val="003837F8"/>
    <w:rsid w:val="00383980"/>
    <w:rsid w:val="00383D6D"/>
    <w:rsid w:val="00383DD7"/>
    <w:rsid w:val="003842EB"/>
    <w:rsid w:val="00384716"/>
    <w:rsid w:val="003849F9"/>
    <w:rsid w:val="00384A81"/>
    <w:rsid w:val="00384BFF"/>
    <w:rsid w:val="0038522E"/>
    <w:rsid w:val="003852AE"/>
    <w:rsid w:val="00385528"/>
    <w:rsid w:val="00385730"/>
    <w:rsid w:val="00385B9E"/>
    <w:rsid w:val="00385D1C"/>
    <w:rsid w:val="00385EB8"/>
    <w:rsid w:val="00385EEB"/>
    <w:rsid w:val="00386443"/>
    <w:rsid w:val="00386B6F"/>
    <w:rsid w:val="00386C11"/>
    <w:rsid w:val="00386D36"/>
    <w:rsid w:val="0038709A"/>
    <w:rsid w:val="0038766E"/>
    <w:rsid w:val="00387851"/>
    <w:rsid w:val="00387882"/>
    <w:rsid w:val="00390667"/>
    <w:rsid w:val="0039069D"/>
    <w:rsid w:val="00390940"/>
    <w:rsid w:val="00390AF6"/>
    <w:rsid w:val="00390B16"/>
    <w:rsid w:val="00391044"/>
    <w:rsid w:val="00391051"/>
    <w:rsid w:val="0039124E"/>
    <w:rsid w:val="003912E8"/>
    <w:rsid w:val="00391447"/>
    <w:rsid w:val="00391536"/>
    <w:rsid w:val="003915CA"/>
    <w:rsid w:val="00391D95"/>
    <w:rsid w:val="00391E62"/>
    <w:rsid w:val="00391EF8"/>
    <w:rsid w:val="00392036"/>
    <w:rsid w:val="00392470"/>
    <w:rsid w:val="0039256F"/>
    <w:rsid w:val="00392AA6"/>
    <w:rsid w:val="00392CBC"/>
    <w:rsid w:val="00393465"/>
    <w:rsid w:val="003934B1"/>
    <w:rsid w:val="003934FE"/>
    <w:rsid w:val="00393AC2"/>
    <w:rsid w:val="00393FEB"/>
    <w:rsid w:val="0039483D"/>
    <w:rsid w:val="0039487C"/>
    <w:rsid w:val="00394E7F"/>
    <w:rsid w:val="0039536D"/>
    <w:rsid w:val="003957B8"/>
    <w:rsid w:val="00395859"/>
    <w:rsid w:val="00395B6B"/>
    <w:rsid w:val="003964FE"/>
    <w:rsid w:val="0039651F"/>
    <w:rsid w:val="003968B0"/>
    <w:rsid w:val="003968C7"/>
    <w:rsid w:val="0039698F"/>
    <w:rsid w:val="003969B9"/>
    <w:rsid w:val="003969EE"/>
    <w:rsid w:val="00396A0F"/>
    <w:rsid w:val="00396CC3"/>
    <w:rsid w:val="00396CCB"/>
    <w:rsid w:val="003972D4"/>
    <w:rsid w:val="0039762A"/>
    <w:rsid w:val="00397826"/>
    <w:rsid w:val="003979F3"/>
    <w:rsid w:val="00397A58"/>
    <w:rsid w:val="00397B02"/>
    <w:rsid w:val="00397C7B"/>
    <w:rsid w:val="00397E1C"/>
    <w:rsid w:val="003A00FB"/>
    <w:rsid w:val="003A01AF"/>
    <w:rsid w:val="003A01D1"/>
    <w:rsid w:val="003A05E2"/>
    <w:rsid w:val="003A06C7"/>
    <w:rsid w:val="003A0ABA"/>
    <w:rsid w:val="003A0B02"/>
    <w:rsid w:val="003A0F40"/>
    <w:rsid w:val="003A0FD6"/>
    <w:rsid w:val="003A10C7"/>
    <w:rsid w:val="003A14B7"/>
    <w:rsid w:val="003A1686"/>
    <w:rsid w:val="003A1751"/>
    <w:rsid w:val="003A1773"/>
    <w:rsid w:val="003A1775"/>
    <w:rsid w:val="003A1A02"/>
    <w:rsid w:val="003A1CCA"/>
    <w:rsid w:val="003A1F09"/>
    <w:rsid w:val="003A23E7"/>
    <w:rsid w:val="003A26E3"/>
    <w:rsid w:val="003A2745"/>
    <w:rsid w:val="003A275C"/>
    <w:rsid w:val="003A2AA8"/>
    <w:rsid w:val="003A2C9A"/>
    <w:rsid w:val="003A2F63"/>
    <w:rsid w:val="003A34F2"/>
    <w:rsid w:val="003A372E"/>
    <w:rsid w:val="003A3879"/>
    <w:rsid w:val="003A396B"/>
    <w:rsid w:val="003A39B2"/>
    <w:rsid w:val="003A3B0F"/>
    <w:rsid w:val="003A3E99"/>
    <w:rsid w:val="003A5622"/>
    <w:rsid w:val="003A5706"/>
    <w:rsid w:val="003A5840"/>
    <w:rsid w:val="003A5F15"/>
    <w:rsid w:val="003A6002"/>
    <w:rsid w:val="003A60FF"/>
    <w:rsid w:val="003A61EA"/>
    <w:rsid w:val="003A62AB"/>
    <w:rsid w:val="003A63C3"/>
    <w:rsid w:val="003A6BE0"/>
    <w:rsid w:val="003A6E72"/>
    <w:rsid w:val="003A6F5D"/>
    <w:rsid w:val="003A7BF7"/>
    <w:rsid w:val="003B04D7"/>
    <w:rsid w:val="003B04F6"/>
    <w:rsid w:val="003B084E"/>
    <w:rsid w:val="003B09A2"/>
    <w:rsid w:val="003B0AD3"/>
    <w:rsid w:val="003B0B10"/>
    <w:rsid w:val="003B0B4A"/>
    <w:rsid w:val="003B1063"/>
    <w:rsid w:val="003B13CC"/>
    <w:rsid w:val="003B15D3"/>
    <w:rsid w:val="003B1898"/>
    <w:rsid w:val="003B1BB4"/>
    <w:rsid w:val="003B2042"/>
    <w:rsid w:val="003B2113"/>
    <w:rsid w:val="003B2314"/>
    <w:rsid w:val="003B254F"/>
    <w:rsid w:val="003B256B"/>
    <w:rsid w:val="003B2648"/>
    <w:rsid w:val="003B285F"/>
    <w:rsid w:val="003B3037"/>
    <w:rsid w:val="003B3077"/>
    <w:rsid w:val="003B36D8"/>
    <w:rsid w:val="003B37EF"/>
    <w:rsid w:val="003B389A"/>
    <w:rsid w:val="003B395D"/>
    <w:rsid w:val="003B3B51"/>
    <w:rsid w:val="003B3F11"/>
    <w:rsid w:val="003B430F"/>
    <w:rsid w:val="003B4691"/>
    <w:rsid w:val="003B47D8"/>
    <w:rsid w:val="003B4825"/>
    <w:rsid w:val="003B4908"/>
    <w:rsid w:val="003B4BA1"/>
    <w:rsid w:val="003B4E68"/>
    <w:rsid w:val="003B4ED9"/>
    <w:rsid w:val="003B4FCC"/>
    <w:rsid w:val="003B528E"/>
    <w:rsid w:val="003B5E1E"/>
    <w:rsid w:val="003B5EF0"/>
    <w:rsid w:val="003B6018"/>
    <w:rsid w:val="003B60C1"/>
    <w:rsid w:val="003B6114"/>
    <w:rsid w:val="003B619D"/>
    <w:rsid w:val="003B6300"/>
    <w:rsid w:val="003B65FB"/>
    <w:rsid w:val="003B6C3F"/>
    <w:rsid w:val="003B6CD8"/>
    <w:rsid w:val="003B6E77"/>
    <w:rsid w:val="003B71C6"/>
    <w:rsid w:val="003B767E"/>
    <w:rsid w:val="003B76D2"/>
    <w:rsid w:val="003B7991"/>
    <w:rsid w:val="003B7A43"/>
    <w:rsid w:val="003B7A69"/>
    <w:rsid w:val="003B7EDF"/>
    <w:rsid w:val="003C017B"/>
    <w:rsid w:val="003C0537"/>
    <w:rsid w:val="003C0E74"/>
    <w:rsid w:val="003C105A"/>
    <w:rsid w:val="003C151E"/>
    <w:rsid w:val="003C15AF"/>
    <w:rsid w:val="003C1A39"/>
    <w:rsid w:val="003C1AAE"/>
    <w:rsid w:val="003C1B9F"/>
    <w:rsid w:val="003C1D28"/>
    <w:rsid w:val="003C1F05"/>
    <w:rsid w:val="003C1F59"/>
    <w:rsid w:val="003C1F71"/>
    <w:rsid w:val="003C202B"/>
    <w:rsid w:val="003C244E"/>
    <w:rsid w:val="003C2C94"/>
    <w:rsid w:val="003C2D7D"/>
    <w:rsid w:val="003C2FE0"/>
    <w:rsid w:val="003C33A4"/>
    <w:rsid w:val="003C34C1"/>
    <w:rsid w:val="003C3831"/>
    <w:rsid w:val="003C3A01"/>
    <w:rsid w:val="003C3B37"/>
    <w:rsid w:val="003C3E3A"/>
    <w:rsid w:val="003C3E87"/>
    <w:rsid w:val="003C4208"/>
    <w:rsid w:val="003C4411"/>
    <w:rsid w:val="003C4AF2"/>
    <w:rsid w:val="003C4B6A"/>
    <w:rsid w:val="003C4F51"/>
    <w:rsid w:val="003C5084"/>
    <w:rsid w:val="003C5177"/>
    <w:rsid w:val="003C5382"/>
    <w:rsid w:val="003C5439"/>
    <w:rsid w:val="003C5441"/>
    <w:rsid w:val="003C56A0"/>
    <w:rsid w:val="003C5B85"/>
    <w:rsid w:val="003C5B93"/>
    <w:rsid w:val="003C5DA8"/>
    <w:rsid w:val="003C5E3A"/>
    <w:rsid w:val="003C639E"/>
    <w:rsid w:val="003C64C7"/>
    <w:rsid w:val="003C65EC"/>
    <w:rsid w:val="003C67B4"/>
    <w:rsid w:val="003C6E83"/>
    <w:rsid w:val="003C6EAC"/>
    <w:rsid w:val="003C6F73"/>
    <w:rsid w:val="003C7058"/>
    <w:rsid w:val="003C7079"/>
    <w:rsid w:val="003C717C"/>
    <w:rsid w:val="003C7231"/>
    <w:rsid w:val="003C72A1"/>
    <w:rsid w:val="003C73FB"/>
    <w:rsid w:val="003C74A9"/>
    <w:rsid w:val="003C7934"/>
    <w:rsid w:val="003D0236"/>
    <w:rsid w:val="003D0B92"/>
    <w:rsid w:val="003D0BDF"/>
    <w:rsid w:val="003D0DB3"/>
    <w:rsid w:val="003D0FE6"/>
    <w:rsid w:val="003D118A"/>
    <w:rsid w:val="003D11D7"/>
    <w:rsid w:val="003D14CF"/>
    <w:rsid w:val="003D16F5"/>
    <w:rsid w:val="003D1BE4"/>
    <w:rsid w:val="003D1EF5"/>
    <w:rsid w:val="003D218F"/>
    <w:rsid w:val="003D2778"/>
    <w:rsid w:val="003D2C77"/>
    <w:rsid w:val="003D3051"/>
    <w:rsid w:val="003D321D"/>
    <w:rsid w:val="003D335E"/>
    <w:rsid w:val="003D33A2"/>
    <w:rsid w:val="003D34D7"/>
    <w:rsid w:val="003D3522"/>
    <w:rsid w:val="003D35B2"/>
    <w:rsid w:val="003D3892"/>
    <w:rsid w:val="003D3B15"/>
    <w:rsid w:val="003D3C50"/>
    <w:rsid w:val="003D3C5E"/>
    <w:rsid w:val="003D3F36"/>
    <w:rsid w:val="003D43A6"/>
    <w:rsid w:val="003D46A0"/>
    <w:rsid w:val="003D487E"/>
    <w:rsid w:val="003D49C2"/>
    <w:rsid w:val="003D4B25"/>
    <w:rsid w:val="003D4C9F"/>
    <w:rsid w:val="003D4F6A"/>
    <w:rsid w:val="003D530A"/>
    <w:rsid w:val="003D535B"/>
    <w:rsid w:val="003D5933"/>
    <w:rsid w:val="003D5C9E"/>
    <w:rsid w:val="003D60AB"/>
    <w:rsid w:val="003D62A6"/>
    <w:rsid w:val="003D62E4"/>
    <w:rsid w:val="003D63CC"/>
    <w:rsid w:val="003D69CF"/>
    <w:rsid w:val="003D6CEE"/>
    <w:rsid w:val="003D706C"/>
    <w:rsid w:val="003D73D1"/>
    <w:rsid w:val="003D7480"/>
    <w:rsid w:val="003D7935"/>
    <w:rsid w:val="003D79B3"/>
    <w:rsid w:val="003E0089"/>
    <w:rsid w:val="003E0358"/>
    <w:rsid w:val="003E03C2"/>
    <w:rsid w:val="003E08D6"/>
    <w:rsid w:val="003E0C3C"/>
    <w:rsid w:val="003E0E64"/>
    <w:rsid w:val="003E0EF9"/>
    <w:rsid w:val="003E113A"/>
    <w:rsid w:val="003E123C"/>
    <w:rsid w:val="003E1251"/>
    <w:rsid w:val="003E1303"/>
    <w:rsid w:val="003E1315"/>
    <w:rsid w:val="003E1334"/>
    <w:rsid w:val="003E13AC"/>
    <w:rsid w:val="003E13C3"/>
    <w:rsid w:val="003E18D1"/>
    <w:rsid w:val="003E2133"/>
    <w:rsid w:val="003E2ADD"/>
    <w:rsid w:val="003E2D6D"/>
    <w:rsid w:val="003E2D70"/>
    <w:rsid w:val="003E2E6B"/>
    <w:rsid w:val="003E2F23"/>
    <w:rsid w:val="003E3010"/>
    <w:rsid w:val="003E306E"/>
    <w:rsid w:val="003E34D5"/>
    <w:rsid w:val="003E355E"/>
    <w:rsid w:val="003E3C40"/>
    <w:rsid w:val="003E439A"/>
    <w:rsid w:val="003E4415"/>
    <w:rsid w:val="003E4498"/>
    <w:rsid w:val="003E4D0C"/>
    <w:rsid w:val="003E4DC1"/>
    <w:rsid w:val="003E4E46"/>
    <w:rsid w:val="003E4EFB"/>
    <w:rsid w:val="003E5087"/>
    <w:rsid w:val="003E5525"/>
    <w:rsid w:val="003E553E"/>
    <w:rsid w:val="003E57C5"/>
    <w:rsid w:val="003E5A3E"/>
    <w:rsid w:val="003E5A9A"/>
    <w:rsid w:val="003E5AEE"/>
    <w:rsid w:val="003E5DEE"/>
    <w:rsid w:val="003E62B7"/>
    <w:rsid w:val="003E62C1"/>
    <w:rsid w:val="003E63BA"/>
    <w:rsid w:val="003E65F2"/>
    <w:rsid w:val="003E660C"/>
    <w:rsid w:val="003E6838"/>
    <w:rsid w:val="003E7133"/>
    <w:rsid w:val="003E71FF"/>
    <w:rsid w:val="003E7337"/>
    <w:rsid w:val="003E73B2"/>
    <w:rsid w:val="003E73BD"/>
    <w:rsid w:val="003E74DA"/>
    <w:rsid w:val="003E755D"/>
    <w:rsid w:val="003E75B1"/>
    <w:rsid w:val="003E75FB"/>
    <w:rsid w:val="003E764D"/>
    <w:rsid w:val="003E777B"/>
    <w:rsid w:val="003E782A"/>
    <w:rsid w:val="003E7884"/>
    <w:rsid w:val="003E789A"/>
    <w:rsid w:val="003E7A20"/>
    <w:rsid w:val="003E7A3C"/>
    <w:rsid w:val="003E7AFA"/>
    <w:rsid w:val="003E7B64"/>
    <w:rsid w:val="003E7CB1"/>
    <w:rsid w:val="003E7D00"/>
    <w:rsid w:val="003E7D76"/>
    <w:rsid w:val="003F01A7"/>
    <w:rsid w:val="003F04A7"/>
    <w:rsid w:val="003F0654"/>
    <w:rsid w:val="003F06B3"/>
    <w:rsid w:val="003F0D61"/>
    <w:rsid w:val="003F0F70"/>
    <w:rsid w:val="003F11B7"/>
    <w:rsid w:val="003F142A"/>
    <w:rsid w:val="003F1DF1"/>
    <w:rsid w:val="003F1ED4"/>
    <w:rsid w:val="003F2341"/>
    <w:rsid w:val="003F27BC"/>
    <w:rsid w:val="003F2AA9"/>
    <w:rsid w:val="003F2B2F"/>
    <w:rsid w:val="003F2B75"/>
    <w:rsid w:val="003F33C9"/>
    <w:rsid w:val="003F346D"/>
    <w:rsid w:val="003F34C2"/>
    <w:rsid w:val="003F374B"/>
    <w:rsid w:val="003F3908"/>
    <w:rsid w:val="003F3C34"/>
    <w:rsid w:val="003F3EB5"/>
    <w:rsid w:val="003F3F5E"/>
    <w:rsid w:val="003F40BE"/>
    <w:rsid w:val="003F4193"/>
    <w:rsid w:val="003F428F"/>
    <w:rsid w:val="003F43CA"/>
    <w:rsid w:val="003F445D"/>
    <w:rsid w:val="003F4633"/>
    <w:rsid w:val="003F4674"/>
    <w:rsid w:val="003F48D1"/>
    <w:rsid w:val="003F49E6"/>
    <w:rsid w:val="003F548F"/>
    <w:rsid w:val="003F5584"/>
    <w:rsid w:val="003F5724"/>
    <w:rsid w:val="003F572C"/>
    <w:rsid w:val="003F572F"/>
    <w:rsid w:val="003F5AD8"/>
    <w:rsid w:val="003F627E"/>
    <w:rsid w:val="003F6663"/>
    <w:rsid w:val="003F66AD"/>
    <w:rsid w:val="003F670B"/>
    <w:rsid w:val="003F6E72"/>
    <w:rsid w:val="003F6EA4"/>
    <w:rsid w:val="003F6EBC"/>
    <w:rsid w:val="003F7025"/>
    <w:rsid w:val="003F7066"/>
    <w:rsid w:val="003F7321"/>
    <w:rsid w:val="003F7CFC"/>
    <w:rsid w:val="003F7D5A"/>
    <w:rsid w:val="003F7DD0"/>
    <w:rsid w:val="003F7F51"/>
    <w:rsid w:val="0040002F"/>
    <w:rsid w:val="004001A8"/>
    <w:rsid w:val="004003C6"/>
    <w:rsid w:val="00400621"/>
    <w:rsid w:val="00400892"/>
    <w:rsid w:val="004009CF"/>
    <w:rsid w:val="00400B64"/>
    <w:rsid w:val="00400DA9"/>
    <w:rsid w:val="00400FA8"/>
    <w:rsid w:val="004010D9"/>
    <w:rsid w:val="0040139E"/>
    <w:rsid w:val="004019C5"/>
    <w:rsid w:val="00401BBA"/>
    <w:rsid w:val="0040205C"/>
    <w:rsid w:val="00402431"/>
    <w:rsid w:val="00402540"/>
    <w:rsid w:val="0040286E"/>
    <w:rsid w:val="00402EA8"/>
    <w:rsid w:val="00402EE7"/>
    <w:rsid w:val="00403731"/>
    <w:rsid w:val="00403A0E"/>
    <w:rsid w:val="00403BAF"/>
    <w:rsid w:val="00403D0C"/>
    <w:rsid w:val="00403E2D"/>
    <w:rsid w:val="00403F59"/>
    <w:rsid w:val="004044F0"/>
    <w:rsid w:val="0040471E"/>
    <w:rsid w:val="00404959"/>
    <w:rsid w:val="00404C2A"/>
    <w:rsid w:val="00404CD7"/>
    <w:rsid w:val="00404D1E"/>
    <w:rsid w:val="00405051"/>
    <w:rsid w:val="0040511F"/>
    <w:rsid w:val="0040516C"/>
    <w:rsid w:val="0040553E"/>
    <w:rsid w:val="00405B22"/>
    <w:rsid w:val="00405C83"/>
    <w:rsid w:val="004063D6"/>
    <w:rsid w:val="00406977"/>
    <w:rsid w:val="00406A60"/>
    <w:rsid w:val="00406AF9"/>
    <w:rsid w:val="00406B3C"/>
    <w:rsid w:val="00406E5C"/>
    <w:rsid w:val="00407137"/>
    <w:rsid w:val="0040718E"/>
    <w:rsid w:val="004071BA"/>
    <w:rsid w:val="004071CF"/>
    <w:rsid w:val="004074B5"/>
    <w:rsid w:val="00407535"/>
    <w:rsid w:val="00407597"/>
    <w:rsid w:val="0040768C"/>
    <w:rsid w:val="00407756"/>
    <w:rsid w:val="0040778A"/>
    <w:rsid w:val="00407847"/>
    <w:rsid w:val="00407E54"/>
    <w:rsid w:val="00410079"/>
    <w:rsid w:val="00410297"/>
    <w:rsid w:val="0041033A"/>
    <w:rsid w:val="004103AD"/>
    <w:rsid w:val="004107EF"/>
    <w:rsid w:val="00410857"/>
    <w:rsid w:val="00410A96"/>
    <w:rsid w:val="00410AC9"/>
    <w:rsid w:val="00410D05"/>
    <w:rsid w:val="00410FDD"/>
    <w:rsid w:val="004110D4"/>
    <w:rsid w:val="00411646"/>
    <w:rsid w:val="00411859"/>
    <w:rsid w:val="00411D6E"/>
    <w:rsid w:val="00412188"/>
    <w:rsid w:val="0041244A"/>
    <w:rsid w:val="004127C6"/>
    <w:rsid w:val="004128C5"/>
    <w:rsid w:val="00412C07"/>
    <w:rsid w:val="00412D50"/>
    <w:rsid w:val="00413140"/>
    <w:rsid w:val="00413778"/>
    <w:rsid w:val="004137EF"/>
    <w:rsid w:val="00413D0F"/>
    <w:rsid w:val="00413FD6"/>
    <w:rsid w:val="00414013"/>
    <w:rsid w:val="0041441C"/>
    <w:rsid w:val="004144B3"/>
    <w:rsid w:val="004144FA"/>
    <w:rsid w:val="00414696"/>
    <w:rsid w:val="004147D4"/>
    <w:rsid w:val="004149FC"/>
    <w:rsid w:val="00414C8A"/>
    <w:rsid w:val="00414F25"/>
    <w:rsid w:val="004150FD"/>
    <w:rsid w:val="00415513"/>
    <w:rsid w:val="00415BB9"/>
    <w:rsid w:val="00415DA7"/>
    <w:rsid w:val="00415F84"/>
    <w:rsid w:val="004160A3"/>
    <w:rsid w:val="00416238"/>
    <w:rsid w:val="00416511"/>
    <w:rsid w:val="00416702"/>
    <w:rsid w:val="00416A49"/>
    <w:rsid w:val="00416BF6"/>
    <w:rsid w:val="00416E08"/>
    <w:rsid w:val="00416E73"/>
    <w:rsid w:val="00416EB3"/>
    <w:rsid w:val="004170B4"/>
    <w:rsid w:val="00417388"/>
    <w:rsid w:val="0041752D"/>
    <w:rsid w:val="004176A9"/>
    <w:rsid w:val="00417780"/>
    <w:rsid w:val="00417A9F"/>
    <w:rsid w:val="00417D0C"/>
    <w:rsid w:val="00417F28"/>
    <w:rsid w:val="00420070"/>
    <w:rsid w:val="004200FC"/>
    <w:rsid w:val="00420304"/>
    <w:rsid w:val="004207DA"/>
    <w:rsid w:val="00420956"/>
    <w:rsid w:val="0042098C"/>
    <w:rsid w:val="00420A97"/>
    <w:rsid w:val="00420AF5"/>
    <w:rsid w:val="00420B04"/>
    <w:rsid w:val="0042167A"/>
    <w:rsid w:val="0042179F"/>
    <w:rsid w:val="00421826"/>
    <w:rsid w:val="00421B05"/>
    <w:rsid w:val="00421ED6"/>
    <w:rsid w:val="00421F09"/>
    <w:rsid w:val="00422428"/>
    <w:rsid w:val="00422720"/>
    <w:rsid w:val="004227A0"/>
    <w:rsid w:val="0042290A"/>
    <w:rsid w:val="00422B7C"/>
    <w:rsid w:val="00422EA7"/>
    <w:rsid w:val="00423A31"/>
    <w:rsid w:val="00423A70"/>
    <w:rsid w:val="00423C09"/>
    <w:rsid w:val="00423C68"/>
    <w:rsid w:val="00423E45"/>
    <w:rsid w:val="00423FDF"/>
    <w:rsid w:val="00424361"/>
    <w:rsid w:val="0042436F"/>
    <w:rsid w:val="00424803"/>
    <w:rsid w:val="00424A9E"/>
    <w:rsid w:val="00424FB9"/>
    <w:rsid w:val="0042502E"/>
    <w:rsid w:val="00425133"/>
    <w:rsid w:val="00425173"/>
    <w:rsid w:val="00425337"/>
    <w:rsid w:val="00425682"/>
    <w:rsid w:val="00425A17"/>
    <w:rsid w:val="00425A48"/>
    <w:rsid w:val="00425EDB"/>
    <w:rsid w:val="004262FB"/>
    <w:rsid w:val="004264DD"/>
    <w:rsid w:val="0042652F"/>
    <w:rsid w:val="00426DDA"/>
    <w:rsid w:val="00426EA6"/>
    <w:rsid w:val="0042726D"/>
    <w:rsid w:val="00427300"/>
    <w:rsid w:val="00427353"/>
    <w:rsid w:val="0042754E"/>
    <w:rsid w:val="0042778A"/>
    <w:rsid w:val="004278C9"/>
    <w:rsid w:val="00427926"/>
    <w:rsid w:val="00427B0A"/>
    <w:rsid w:val="00427BC6"/>
    <w:rsid w:val="00427BE0"/>
    <w:rsid w:val="00427BEA"/>
    <w:rsid w:val="00427E1E"/>
    <w:rsid w:val="00427ECC"/>
    <w:rsid w:val="00427ED1"/>
    <w:rsid w:val="00427FF0"/>
    <w:rsid w:val="00430292"/>
    <w:rsid w:val="004305DF"/>
    <w:rsid w:val="00430616"/>
    <w:rsid w:val="00430898"/>
    <w:rsid w:val="004309AF"/>
    <w:rsid w:val="00430AC7"/>
    <w:rsid w:val="00431050"/>
    <w:rsid w:val="004311AB"/>
    <w:rsid w:val="0043145D"/>
    <w:rsid w:val="00431489"/>
    <w:rsid w:val="00431527"/>
    <w:rsid w:val="00431581"/>
    <w:rsid w:val="004316D4"/>
    <w:rsid w:val="004318AB"/>
    <w:rsid w:val="00431971"/>
    <w:rsid w:val="004321EC"/>
    <w:rsid w:val="004322C2"/>
    <w:rsid w:val="00432792"/>
    <w:rsid w:val="004327C1"/>
    <w:rsid w:val="004327CD"/>
    <w:rsid w:val="0043285E"/>
    <w:rsid w:val="00432941"/>
    <w:rsid w:val="00432E03"/>
    <w:rsid w:val="00432F93"/>
    <w:rsid w:val="00433039"/>
    <w:rsid w:val="004330BB"/>
    <w:rsid w:val="004333B1"/>
    <w:rsid w:val="0043361C"/>
    <w:rsid w:val="00433936"/>
    <w:rsid w:val="004339BE"/>
    <w:rsid w:val="00433AA8"/>
    <w:rsid w:val="00434087"/>
    <w:rsid w:val="00434137"/>
    <w:rsid w:val="004343AF"/>
    <w:rsid w:val="0043488E"/>
    <w:rsid w:val="00434CD4"/>
    <w:rsid w:val="00434E4B"/>
    <w:rsid w:val="00434F10"/>
    <w:rsid w:val="004350F0"/>
    <w:rsid w:val="00435917"/>
    <w:rsid w:val="0043594D"/>
    <w:rsid w:val="00435CD7"/>
    <w:rsid w:val="00435F08"/>
    <w:rsid w:val="004360B1"/>
    <w:rsid w:val="00436C16"/>
    <w:rsid w:val="00436E75"/>
    <w:rsid w:val="00436EC8"/>
    <w:rsid w:val="004370B5"/>
    <w:rsid w:val="004374FE"/>
    <w:rsid w:val="00437523"/>
    <w:rsid w:val="004376D6"/>
    <w:rsid w:val="004376E3"/>
    <w:rsid w:val="0043770C"/>
    <w:rsid w:val="004379F1"/>
    <w:rsid w:val="00437F1B"/>
    <w:rsid w:val="004407FA"/>
    <w:rsid w:val="004408A7"/>
    <w:rsid w:val="0044096D"/>
    <w:rsid w:val="00440C31"/>
    <w:rsid w:val="00441215"/>
    <w:rsid w:val="004412B7"/>
    <w:rsid w:val="004417BF"/>
    <w:rsid w:val="00441C61"/>
    <w:rsid w:val="00441DD1"/>
    <w:rsid w:val="00441E4A"/>
    <w:rsid w:val="00441FB5"/>
    <w:rsid w:val="004421ED"/>
    <w:rsid w:val="0044228D"/>
    <w:rsid w:val="004423D2"/>
    <w:rsid w:val="00442786"/>
    <w:rsid w:val="004427D8"/>
    <w:rsid w:val="0044288A"/>
    <w:rsid w:val="0044295B"/>
    <w:rsid w:val="0044298F"/>
    <w:rsid w:val="00442C11"/>
    <w:rsid w:val="00442CF7"/>
    <w:rsid w:val="00442D1F"/>
    <w:rsid w:val="00443111"/>
    <w:rsid w:val="00443453"/>
    <w:rsid w:val="00443570"/>
    <w:rsid w:val="0044361C"/>
    <w:rsid w:val="00443746"/>
    <w:rsid w:val="00443A6C"/>
    <w:rsid w:val="00443E94"/>
    <w:rsid w:val="00443EB6"/>
    <w:rsid w:val="00444A6C"/>
    <w:rsid w:val="00444DA2"/>
    <w:rsid w:val="00445175"/>
    <w:rsid w:val="00445277"/>
    <w:rsid w:val="0044557C"/>
    <w:rsid w:val="004456A2"/>
    <w:rsid w:val="004457F9"/>
    <w:rsid w:val="004458C7"/>
    <w:rsid w:val="00445ACB"/>
    <w:rsid w:val="00445C8A"/>
    <w:rsid w:val="00445DD5"/>
    <w:rsid w:val="004462A9"/>
    <w:rsid w:val="004463A5"/>
    <w:rsid w:val="00446B2A"/>
    <w:rsid w:val="00446D27"/>
    <w:rsid w:val="00446D72"/>
    <w:rsid w:val="004471E5"/>
    <w:rsid w:val="00447398"/>
    <w:rsid w:val="004473C0"/>
    <w:rsid w:val="0044750F"/>
    <w:rsid w:val="004477FC"/>
    <w:rsid w:val="004500BF"/>
    <w:rsid w:val="004504BF"/>
    <w:rsid w:val="00450768"/>
    <w:rsid w:val="004507AF"/>
    <w:rsid w:val="0045090F"/>
    <w:rsid w:val="00450EAF"/>
    <w:rsid w:val="004510AA"/>
    <w:rsid w:val="004511D1"/>
    <w:rsid w:val="004515DF"/>
    <w:rsid w:val="00451702"/>
    <w:rsid w:val="0045192D"/>
    <w:rsid w:val="00451F47"/>
    <w:rsid w:val="00451FB5"/>
    <w:rsid w:val="004524A2"/>
    <w:rsid w:val="004525A2"/>
    <w:rsid w:val="0045283D"/>
    <w:rsid w:val="004529FA"/>
    <w:rsid w:val="00452A64"/>
    <w:rsid w:val="00452C82"/>
    <w:rsid w:val="004531A9"/>
    <w:rsid w:val="0045371A"/>
    <w:rsid w:val="004538CD"/>
    <w:rsid w:val="00453AE7"/>
    <w:rsid w:val="00453CE4"/>
    <w:rsid w:val="00453F17"/>
    <w:rsid w:val="00453F88"/>
    <w:rsid w:val="00454136"/>
    <w:rsid w:val="0045436E"/>
    <w:rsid w:val="004543C8"/>
    <w:rsid w:val="00454507"/>
    <w:rsid w:val="00454CFD"/>
    <w:rsid w:val="00454DA2"/>
    <w:rsid w:val="0045538C"/>
    <w:rsid w:val="0045540E"/>
    <w:rsid w:val="0045563B"/>
    <w:rsid w:val="004557B5"/>
    <w:rsid w:val="004558F1"/>
    <w:rsid w:val="00455A4B"/>
    <w:rsid w:val="00455B5C"/>
    <w:rsid w:val="00455C41"/>
    <w:rsid w:val="00455D35"/>
    <w:rsid w:val="0045643F"/>
    <w:rsid w:val="004565B4"/>
    <w:rsid w:val="00456614"/>
    <w:rsid w:val="00456CAB"/>
    <w:rsid w:val="00456D8A"/>
    <w:rsid w:val="00456F9E"/>
    <w:rsid w:val="00457268"/>
    <w:rsid w:val="00457735"/>
    <w:rsid w:val="00457800"/>
    <w:rsid w:val="00460072"/>
    <w:rsid w:val="00460176"/>
    <w:rsid w:val="0046018D"/>
    <w:rsid w:val="0046028C"/>
    <w:rsid w:val="00460493"/>
    <w:rsid w:val="00460606"/>
    <w:rsid w:val="00460824"/>
    <w:rsid w:val="0046084A"/>
    <w:rsid w:val="0046091A"/>
    <w:rsid w:val="00460C46"/>
    <w:rsid w:val="00460D07"/>
    <w:rsid w:val="00460E6C"/>
    <w:rsid w:val="00460ED6"/>
    <w:rsid w:val="00460F19"/>
    <w:rsid w:val="00461000"/>
    <w:rsid w:val="00461038"/>
    <w:rsid w:val="004610C8"/>
    <w:rsid w:val="0046135C"/>
    <w:rsid w:val="0046159F"/>
    <w:rsid w:val="00461A05"/>
    <w:rsid w:val="00461AB1"/>
    <w:rsid w:val="00461BA7"/>
    <w:rsid w:val="00462217"/>
    <w:rsid w:val="00462379"/>
    <w:rsid w:val="00462550"/>
    <w:rsid w:val="00462762"/>
    <w:rsid w:val="004628E9"/>
    <w:rsid w:val="00462A11"/>
    <w:rsid w:val="00462B5F"/>
    <w:rsid w:val="0046315E"/>
    <w:rsid w:val="00463449"/>
    <w:rsid w:val="004634ED"/>
    <w:rsid w:val="004635A9"/>
    <w:rsid w:val="00464312"/>
    <w:rsid w:val="00464DD6"/>
    <w:rsid w:val="00464EEE"/>
    <w:rsid w:val="00465099"/>
    <w:rsid w:val="0046560A"/>
    <w:rsid w:val="00465A77"/>
    <w:rsid w:val="0046625B"/>
    <w:rsid w:val="004666FF"/>
    <w:rsid w:val="0046677D"/>
    <w:rsid w:val="0046698E"/>
    <w:rsid w:val="00466F61"/>
    <w:rsid w:val="00466F90"/>
    <w:rsid w:val="004676A0"/>
    <w:rsid w:val="00467DC6"/>
    <w:rsid w:val="00467F20"/>
    <w:rsid w:val="004701D8"/>
    <w:rsid w:val="004702C1"/>
    <w:rsid w:val="00470619"/>
    <w:rsid w:val="0047080B"/>
    <w:rsid w:val="0047082B"/>
    <w:rsid w:val="00470C0D"/>
    <w:rsid w:val="00470C34"/>
    <w:rsid w:val="00470EC1"/>
    <w:rsid w:val="0047114E"/>
    <w:rsid w:val="00471A45"/>
    <w:rsid w:val="00471C7A"/>
    <w:rsid w:val="00471DA8"/>
    <w:rsid w:val="00472035"/>
    <w:rsid w:val="00472046"/>
    <w:rsid w:val="004722E0"/>
    <w:rsid w:val="0047235F"/>
    <w:rsid w:val="004727F7"/>
    <w:rsid w:val="00472B52"/>
    <w:rsid w:val="00472F0E"/>
    <w:rsid w:val="00472F6B"/>
    <w:rsid w:val="00473043"/>
    <w:rsid w:val="00473145"/>
    <w:rsid w:val="00473180"/>
    <w:rsid w:val="0047330C"/>
    <w:rsid w:val="004733E2"/>
    <w:rsid w:val="0047348F"/>
    <w:rsid w:val="004735E2"/>
    <w:rsid w:val="00473816"/>
    <w:rsid w:val="00473B42"/>
    <w:rsid w:val="00473C2D"/>
    <w:rsid w:val="00473D9A"/>
    <w:rsid w:val="00474342"/>
    <w:rsid w:val="00474526"/>
    <w:rsid w:val="00474605"/>
    <w:rsid w:val="00474622"/>
    <w:rsid w:val="00474E48"/>
    <w:rsid w:val="00474F1B"/>
    <w:rsid w:val="0047535B"/>
    <w:rsid w:val="00475466"/>
    <w:rsid w:val="00475677"/>
    <w:rsid w:val="0047577E"/>
    <w:rsid w:val="004757AA"/>
    <w:rsid w:val="00475AB9"/>
    <w:rsid w:val="00475C21"/>
    <w:rsid w:val="00475E00"/>
    <w:rsid w:val="00475F38"/>
    <w:rsid w:val="004765F6"/>
    <w:rsid w:val="00476792"/>
    <w:rsid w:val="00476A14"/>
    <w:rsid w:val="00476A6F"/>
    <w:rsid w:val="00476AA6"/>
    <w:rsid w:val="00477503"/>
    <w:rsid w:val="004777FF"/>
    <w:rsid w:val="00477AA0"/>
    <w:rsid w:val="004800E4"/>
    <w:rsid w:val="004801AB"/>
    <w:rsid w:val="00480507"/>
    <w:rsid w:val="00480521"/>
    <w:rsid w:val="00480646"/>
    <w:rsid w:val="00480841"/>
    <w:rsid w:val="00481289"/>
    <w:rsid w:val="00481442"/>
    <w:rsid w:val="004814B7"/>
    <w:rsid w:val="0048163E"/>
    <w:rsid w:val="00481D8E"/>
    <w:rsid w:val="004824D4"/>
    <w:rsid w:val="00482A1D"/>
    <w:rsid w:val="00482AB4"/>
    <w:rsid w:val="00482C46"/>
    <w:rsid w:val="004832AA"/>
    <w:rsid w:val="0048362F"/>
    <w:rsid w:val="004837EE"/>
    <w:rsid w:val="0048392B"/>
    <w:rsid w:val="00483A99"/>
    <w:rsid w:val="00483CAB"/>
    <w:rsid w:val="0048413E"/>
    <w:rsid w:val="004842B5"/>
    <w:rsid w:val="004844B6"/>
    <w:rsid w:val="00484545"/>
    <w:rsid w:val="0048472D"/>
    <w:rsid w:val="0048496B"/>
    <w:rsid w:val="00484B86"/>
    <w:rsid w:val="00484BEF"/>
    <w:rsid w:val="00484D71"/>
    <w:rsid w:val="004851FB"/>
    <w:rsid w:val="004852A4"/>
    <w:rsid w:val="004853BA"/>
    <w:rsid w:val="00485643"/>
    <w:rsid w:val="004856C7"/>
    <w:rsid w:val="00485D73"/>
    <w:rsid w:val="00485EE7"/>
    <w:rsid w:val="0048608D"/>
    <w:rsid w:val="004860E0"/>
    <w:rsid w:val="0048632A"/>
    <w:rsid w:val="004865D1"/>
    <w:rsid w:val="00486634"/>
    <w:rsid w:val="004871C8"/>
    <w:rsid w:val="00487756"/>
    <w:rsid w:val="00487769"/>
    <w:rsid w:val="004877E9"/>
    <w:rsid w:val="00487D45"/>
    <w:rsid w:val="00490630"/>
    <w:rsid w:val="004906B8"/>
    <w:rsid w:val="004907F8"/>
    <w:rsid w:val="004908AC"/>
    <w:rsid w:val="00490C0B"/>
    <w:rsid w:val="00491145"/>
    <w:rsid w:val="0049122B"/>
    <w:rsid w:val="00491383"/>
    <w:rsid w:val="004913CE"/>
    <w:rsid w:val="00491418"/>
    <w:rsid w:val="0049195E"/>
    <w:rsid w:val="00491990"/>
    <w:rsid w:val="00491FFB"/>
    <w:rsid w:val="004921D3"/>
    <w:rsid w:val="00492302"/>
    <w:rsid w:val="0049242C"/>
    <w:rsid w:val="00492455"/>
    <w:rsid w:val="00492487"/>
    <w:rsid w:val="004932F3"/>
    <w:rsid w:val="004934FC"/>
    <w:rsid w:val="00493531"/>
    <w:rsid w:val="0049378F"/>
    <w:rsid w:val="00493799"/>
    <w:rsid w:val="0049380F"/>
    <w:rsid w:val="0049386E"/>
    <w:rsid w:val="004938AA"/>
    <w:rsid w:val="00493939"/>
    <w:rsid w:val="004939F1"/>
    <w:rsid w:val="00493A66"/>
    <w:rsid w:val="00493DB6"/>
    <w:rsid w:val="00493F8B"/>
    <w:rsid w:val="00494067"/>
    <w:rsid w:val="004941A1"/>
    <w:rsid w:val="0049429A"/>
    <w:rsid w:val="00494596"/>
    <w:rsid w:val="004945C9"/>
    <w:rsid w:val="004946D6"/>
    <w:rsid w:val="004948B8"/>
    <w:rsid w:val="00494BA0"/>
    <w:rsid w:val="00494BA9"/>
    <w:rsid w:val="00495016"/>
    <w:rsid w:val="00495761"/>
    <w:rsid w:val="00495804"/>
    <w:rsid w:val="004958F0"/>
    <w:rsid w:val="00495B97"/>
    <w:rsid w:val="00495CBF"/>
    <w:rsid w:val="00495E85"/>
    <w:rsid w:val="00495F0F"/>
    <w:rsid w:val="0049661C"/>
    <w:rsid w:val="004966AB"/>
    <w:rsid w:val="004966FD"/>
    <w:rsid w:val="004968C0"/>
    <w:rsid w:val="004968D7"/>
    <w:rsid w:val="00496CA8"/>
    <w:rsid w:val="00497030"/>
    <w:rsid w:val="00497111"/>
    <w:rsid w:val="00497570"/>
    <w:rsid w:val="004976A9"/>
    <w:rsid w:val="0049771E"/>
    <w:rsid w:val="00497911"/>
    <w:rsid w:val="00497A1B"/>
    <w:rsid w:val="00497CC6"/>
    <w:rsid w:val="004A0117"/>
    <w:rsid w:val="004A0686"/>
    <w:rsid w:val="004A0773"/>
    <w:rsid w:val="004A09BF"/>
    <w:rsid w:val="004A09DB"/>
    <w:rsid w:val="004A1049"/>
    <w:rsid w:val="004A1132"/>
    <w:rsid w:val="004A16C5"/>
    <w:rsid w:val="004A1792"/>
    <w:rsid w:val="004A17AF"/>
    <w:rsid w:val="004A1CA4"/>
    <w:rsid w:val="004A1D6D"/>
    <w:rsid w:val="004A1DC1"/>
    <w:rsid w:val="004A1DDF"/>
    <w:rsid w:val="004A20EB"/>
    <w:rsid w:val="004A21D3"/>
    <w:rsid w:val="004A229D"/>
    <w:rsid w:val="004A23D8"/>
    <w:rsid w:val="004A23E5"/>
    <w:rsid w:val="004A24FD"/>
    <w:rsid w:val="004A2BA7"/>
    <w:rsid w:val="004A3077"/>
    <w:rsid w:val="004A3091"/>
    <w:rsid w:val="004A3245"/>
    <w:rsid w:val="004A32C5"/>
    <w:rsid w:val="004A341D"/>
    <w:rsid w:val="004A34A7"/>
    <w:rsid w:val="004A3553"/>
    <w:rsid w:val="004A3750"/>
    <w:rsid w:val="004A37D7"/>
    <w:rsid w:val="004A3A55"/>
    <w:rsid w:val="004A3AE6"/>
    <w:rsid w:val="004A3FA0"/>
    <w:rsid w:val="004A40AB"/>
    <w:rsid w:val="004A4239"/>
    <w:rsid w:val="004A445A"/>
    <w:rsid w:val="004A45A4"/>
    <w:rsid w:val="004A4996"/>
    <w:rsid w:val="004A49B3"/>
    <w:rsid w:val="004A4A99"/>
    <w:rsid w:val="004A4E35"/>
    <w:rsid w:val="004A5163"/>
    <w:rsid w:val="004A52A1"/>
    <w:rsid w:val="004A52CB"/>
    <w:rsid w:val="004A5399"/>
    <w:rsid w:val="004A5500"/>
    <w:rsid w:val="004A5667"/>
    <w:rsid w:val="004A5CA3"/>
    <w:rsid w:val="004A5D63"/>
    <w:rsid w:val="004A6021"/>
    <w:rsid w:val="004A602E"/>
    <w:rsid w:val="004A6556"/>
    <w:rsid w:val="004A6971"/>
    <w:rsid w:val="004A6BD3"/>
    <w:rsid w:val="004A6D1D"/>
    <w:rsid w:val="004A6DAE"/>
    <w:rsid w:val="004A6F29"/>
    <w:rsid w:val="004A6F52"/>
    <w:rsid w:val="004A7149"/>
    <w:rsid w:val="004A71E7"/>
    <w:rsid w:val="004A76EE"/>
    <w:rsid w:val="004A7709"/>
    <w:rsid w:val="004A7900"/>
    <w:rsid w:val="004A795D"/>
    <w:rsid w:val="004B0078"/>
    <w:rsid w:val="004B00A0"/>
    <w:rsid w:val="004B018E"/>
    <w:rsid w:val="004B0392"/>
    <w:rsid w:val="004B04A6"/>
    <w:rsid w:val="004B071C"/>
    <w:rsid w:val="004B080F"/>
    <w:rsid w:val="004B0B44"/>
    <w:rsid w:val="004B0B95"/>
    <w:rsid w:val="004B0BFA"/>
    <w:rsid w:val="004B0BFE"/>
    <w:rsid w:val="004B0D96"/>
    <w:rsid w:val="004B1414"/>
    <w:rsid w:val="004B1673"/>
    <w:rsid w:val="004B1990"/>
    <w:rsid w:val="004B1C79"/>
    <w:rsid w:val="004B1E41"/>
    <w:rsid w:val="004B1F4F"/>
    <w:rsid w:val="004B202E"/>
    <w:rsid w:val="004B2105"/>
    <w:rsid w:val="004B2178"/>
    <w:rsid w:val="004B2384"/>
    <w:rsid w:val="004B249C"/>
    <w:rsid w:val="004B2580"/>
    <w:rsid w:val="004B265E"/>
    <w:rsid w:val="004B2674"/>
    <w:rsid w:val="004B2BF2"/>
    <w:rsid w:val="004B2D56"/>
    <w:rsid w:val="004B2FB7"/>
    <w:rsid w:val="004B3057"/>
    <w:rsid w:val="004B307A"/>
    <w:rsid w:val="004B335F"/>
    <w:rsid w:val="004B37D9"/>
    <w:rsid w:val="004B3805"/>
    <w:rsid w:val="004B380A"/>
    <w:rsid w:val="004B3AC7"/>
    <w:rsid w:val="004B413A"/>
    <w:rsid w:val="004B464F"/>
    <w:rsid w:val="004B4920"/>
    <w:rsid w:val="004B4B7E"/>
    <w:rsid w:val="004B4BE0"/>
    <w:rsid w:val="004B4C3A"/>
    <w:rsid w:val="004B4F1E"/>
    <w:rsid w:val="004B4F3B"/>
    <w:rsid w:val="004B5182"/>
    <w:rsid w:val="004B5206"/>
    <w:rsid w:val="004B52AD"/>
    <w:rsid w:val="004B5499"/>
    <w:rsid w:val="004B5594"/>
    <w:rsid w:val="004B5A02"/>
    <w:rsid w:val="004B5F0F"/>
    <w:rsid w:val="004B6073"/>
    <w:rsid w:val="004B6307"/>
    <w:rsid w:val="004B64E7"/>
    <w:rsid w:val="004B6BBD"/>
    <w:rsid w:val="004B6CD6"/>
    <w:rsid w:val="004B6F41"/>
    <w:rsid w:val="004B700B"/>
    <w:rsid w:val="004B70F0"/>
    <w:rsid w:val="004B727D"/>
    <w:rsid w:val="004B7400"/>
    <w:rsid w:val="004B795E"/>
    <w:rsid w:val="004B7BBC"/>
    <w:rsid w:val="004C015B"/>
    <w:rsid w:val="004C037A"/>
    <w:rsid w:val="004C0423"/>
    <w:rsid w:val="004C04AF"/>
    <w:rsid w:val="004C05C8"/>
    <w:rsid w:val="004C088A"/>
    <w:rsid w:val="004C0A84"/>
    <w:rsid w:val="004C0BF1"/>
    <w:rsid w:val="004C0D03"/>
    <w:rsid w:val="004C110D"/>
    <w:rsid w:val="004C14A4"/>
    <w:rsid w:val="004C15D5"/>
    <w:rsid w:val="004C184C"/>
    <w:rsid w:val="004C1A8A"/>
    <w:rsid w:val="004C1A9D"/>
    <w:rsid w:val="004C1AEE"/>
    <w:rsid w:val="004C1B30"/>
    <w:rsid w:val="004C1EC2"/>
    <w:rsid w:val="004C1F0A"/>
    <w:rsid w:val="004C2209"/>
    <w:rsid w:val="004C233B"/>
    <w:rsid w:val="004C252A"/>
    <w:rsid w:val="004C257B"/>
    <w:rsid w:val="004C2BB8"/>
    <w:rsid w:val="004C2D39"/>
    <w:rsid w:val="004C34C4"/>
    <w:rsid w:val="004C34EB"/>
    <w:rsid w:val="004C3557"/>
    <w:rsid w:val="004C355A"/>
    <w:rsid w:val="004C3722"/>
    <w:rsid w:val="004C3964"/>
    <w:rsid w:val="004C3B86"/>
    <w:rsid w:val="004C3D19"/>
    <w:rsid w:val="004C3E01"/>
    <w:rsid w:val="004C3EAF"/>
    <w:rsid w:val="004C404A"/>
    <w:rsid w:val="004C4225"/>
    <w:rsid w:val="004C4692"/>
    <w:rsid w:val="004C4776"/>
    <w:rsid w:val="004C4999"/>
    <w:rsid w:val="004C4A48"/>
    <w:rsid w:val="004C4B05"/>
    <w:rsid w:val="004C4C48"/>
    <w:rsid w:val="004C4FE4"/>
    <w:rsid w:val="004C50FE"/>
    <w:rsid w:val="004C512F"/>
    <w:rsid w:val="004C5613"/>
    <w:rsid w:val="004C5974"/>
    <w:rsid w:val="004C5E3B"/>
    <w:rsid w:val="004C5F3B"/>
    <w:rsid w:val="004C6199"/>
    <w:rsid w:val="004C630E"/>
    <w:rsid w:val="004C63C3"/>
    <w:rsid w:val="004C642B"/>
    <w:rsid w:val="004C658D"/>
    <w:rsid w:val="004C65FF"/>
    <w:rsid w:val="004C6AFC"/>
    <w:rsid w:val="004C6BDF"/>
    <w:rsid w:val="004C6CC4"/>
    <w:rsid w:val="004C6E01"/>
    <w:rsid w:val="004C705A"/>
    <w:rsid w:val="004C7750"/>
    <w:rsid w:val="004C78CD"/>
    <w:rsid w:val="004C7991"/>
    <w:rsid w:val="004C7C74"/>
    <w:rsid w:val="004C7DC0"/>
    <w:rsid w:val="004C7F77"/>
    <w:rsid w:val="004D0038"/>
    <w:rsid w:val="004D0568"/>
    <w:rsid w:val="004D0D83"/>
    <w:rsid w:val="004D0FC1"/>
    <w:rsid w:val="004D112C"/>
    <w:rsid w:val="004D11F5"/>
    <w:rsid w:val="004D14B5"/>
    <w:rsid w:val="004D180A"/>
    <w:rsid w:val="004D1894"/>
    <w:rsid w:val="004D1EB1"/>
    <w:rsid w:val="004D207C"/>
    <w:rsid w:val="004D23F4"/>
    <w:rsid w:val="004D2683"/>
    <w:rsid w:val="004D2749"/>
    <w:rsid w:val="004D2771"/>
    <w:rsid w:val="004D2EB2"/>
    <w:rsid w:val="004D3205"/>
    <w:rsid w:val="004D341A"/>
    <w:rsid w:val="004D3643"/>
    <w:rsid w:val="004D3660"/>
    <w:rsid w:val="004D389E"/>
    <w:rsid w:val="004D39D1"/>
    <w:rsid w:val="004D3A06"/>
    <w:rsid w:val="004D3A99"/>
    <w:rsid w:val="004D401B"/>
    <w:rsid w:val="004D4297"/>
    <w:rsid w:val="004D42F0"/>
    <w:rsid w:val="004D45B4"/>
    <w:rsid w:val="004D46A8"/>
    <w:rsid w:val="004D4A33"/>
    <w:rsid w:val="004D4AB0"/>
    <w:rsid w:val="004D4BA0"/>
    <w:rsid w:val="004D4FBA"/>
    <w:rsid w:val="004D5CDF"/>
    <w:rsid w:val="004D6072"/>
    <w:rsid w:val="004D65C7"/>
    <w:rsid w:val="004D6B72"/>
    <w:rsid w:val="004D6B7A"/>
    <w:rsid w:val="004D6C59"/>
    <w:rsid w:val="004D6C72"/>
    <w:rsid w:val="004D6E16"/>
    <w:rsid w:val="004D6F5D"/>
    <w:rsid w:val="004D719A"/>
    <w:rsid w:val="004D7217"/>
    <w:rsid w:val="004D74CB"/>
    <w:rsid w:val="004D7EB2"/>
    <w:rsid w:val="004D7F46"/>
    <w:rsid w:val="004E0739"/>
    <w:rsid w:val="004E076F"/>
    <w:rsid w:val="004E07A1"/>
    <w:rsid w:val="004E09CA"/>
    <w:rsid w:val="004E0B2C"/>
    <w:rsid w:val="004E0B5E"/>
    <w:rsid w:val="004E0B79"/>
    <w:rsid w:val="004E0C29"/>
    <w:rsid w:val="004E0D4D"/>
    <w:rsid w:val="004E0DCE"/>
    <w:rsid w:val="004E0F9B"/>
    <w:rsid w:val="004E1109"/>
    <w:rsid w:val="004E149A"/>
    <w:rsid w:val="004E14A7"/>
    <w:rsid w:val="004E1527"/>
    <w:rsid w:val="004E18E6"/>
    <w:rsid w:val="004E1B38"/>
    <w:rsid w:val="004E1C22"/>
    <w:rsid w:val="004E2154"/>
    <w:rsid w:val="004E21BD"/>
    <w:rsid w:val="004E266A"/>
    <w:rsid w:val="004E2818"/>
    <w:rsid w:val="004E29AB"/>
    <w:rsid w:val="004E3199"/>
    <w:rsid w:val="004E32AB"/>
    <w:rsid w:val="004E35E2"/>
    <w:rsid w:val="004E38EC"/>
    <w:rsid w:val="004E3DA1"/>
    <w:rsid w:val="004E3DD8"/>
    <w:rsid w:val="004E3E38"/>
    <w:rsid w:val="004E42C5"/>
    <w:rsid w:val="004E43F9"/>
    <w:rsid w:val="004E4439"/>
    <w:rsid w:val="004E4714"/>
    <w:rsid w:val="004E47C8"/>
    <w:rsid w:val="004E4C71"/>
    <w:rsid w:val="004E4DCB"/>
    <w:rsid w:val="004E4F76"/>
    <w:rsid w:val="004E50D5"/>
    <w:rsid w:val="004E5321"/>
    <w:rsid w:val="004E53AE"/>
    <w:rsid w:val="004E542C"/>
    <w:rsid w:val="004E55A0"/>
    <w:rsid w:val="004E582F"/>
    <w:rsid w:val="004E5AE5"/>
    <w:rsid w:val="004E5C0C"/>
    <w:rsid w:val="004E5F1F"/>
    <w:rsid w:val="004E5F2A"/>
    <w:rsid w:val="004E5FB3"/>
    <w:rsid w:val="004E5FD1"/>
    <w:rsid w:val="004E62C6"/>
    <w:rsid w:val="004E673C"/>
    <w:rsid w:val="004E6886"/>
    <w:rsid w:val="004E6A66"/>
    <w:rsid w:val="004E6C9D"/>
    <w:rsid w:val="004E6DE0"/>
    <w:rsid w:val="004E7432"/>
    <w:rsid w:val="004E7548"/>
    <w:rsid w:val="004E7D1C"/>
    <w:rsid w:val="004E7D78"/>
    <w:rsid w:val="004E7EA8"/>
    <w:rsid w:val="004F00BA"/>
    <w:rsid w:val="004F04F8"/>
    <w:rsid w:val="004F0C1B"/>
    <w:rsid w:val="004F0EFB"/>
    <w:rsid w:val="004F13A1"/>
    <w:rsid w:val="004F1651"/>
    <w:rsid w:val="004F16F8"/>
    <w:rsid w:val="004F17D9"/>
    <w:rsid w:val="004F1807"/>
    <w:rsid w:val="004F1A72"/>
    <w:rsid w:val="004F22EA"/>
    <w:rsid w:val="004F2399"/>
    <w:rsid w:val="004F276D"/>
    <w:rsid w:val="004F2846"/>
    <w:rsid w:val="004F2938"/>
    <w:rsid w:val="004F2C7F"/>
    <w:rsid w:val="004F2D63"/>
    <w:rsid w:val="004F2EA2"/>
    <w:rsid w:val="004F30F1"/>
    <w:rsid w:val="004F30FD"/>
    <w:rsid w:val="004F32A9"/>
    <w:rsid w:val="004F37DC"/>
    <w:rsid w:val="004F3CCD"/>
    <w:rsid w:val="004F3D0F"/>
    <w:rsid w:val="004F3DBF"/>
    <w:rsid w:val="004F4383"/>
    <w:rsid w:val="004F439C"/>
    <w:rsid w:val="004F4556"/>
    <w:rsid w:val="004F468B"/>
    <w:rsid w:val="004F4850"/>
    <w:rsid w:val="004F48D4"/>
    <w:rsid w:val="004F494E"/>
    <w:rsid w:val="004F4D5E"/>
    <w:rsid w:val="004F5143"/>
    <w:rsid w:val="004F5319"/>
    <w:rsid w:val="004F53E4"/>
    <w:rsid w:val="004F5858"/>
    <w:rsid w:val="004F5A9B"/>
    <w:rsid w:val="004F5BBF"/>
    <w:rsid w:val="004F5E52"/>
    <w:rsid w:val="004F622E"/>
    <w:rsid w:val="004F626F"/>
    <w:rsid w:val="004F6316"/>
    <w:rsid w:val="004F697E"/>
    <w:rsid w:val="004F6CA0"/>
    <w:rsid w:val="004F6E62"/>
    <w:rsid w:val="004F73A5"/>
    <w:rsid w:val="004F76B5"/>
    <w:rsid w:val="004F7929"/>
    <w:rsid w:val="004F798B"/>
    <w:rsid w:val="004F79FC"/>
    <w:rsid w:val="004F7C99"/>
    <w:rsid w:val="004F7D3E"/>
    <w:rsid w:val="004F7E33"/>
    <w:rsid w:val="004F7E5F"/>
    <w:rsid w:val="00500172"/>
    <w:rsid w:val="005002EE"/>
    <w:rsid w:val="005005AC"/>
    <w:rsid w:val="0050062A"/>
    <w:rsid w:val="00500658"/>
    <w:rsid w:val="0050081B"/>
    <w:rsid w:val="005008F6"/>
    <w:rsid w:val="00500A6F"/>
    <w:rsid w:val="00500D38"/>
    <w:rsid w:val="00500F7C"/>
    <w:rsid w:val="00500FBE"/>
    <w:rsid w:val="00500FBF"/>
    <w:rsid w:val="00501058"/>
    <w:rsid w:val="005010B0"/>
    <w:rsid w:val="005011A8"/>
    <w:rsid w:val="005012BB"/>
    <w:rsid w:val="00501434"/>
    <w:rsid w:val="00501534"/>
    <w:rsid w:val="00502115"/>
    <w:rsid w:val="00502193"/>
    <w:rsid w:val="005022A0"/>
    <w:rsid w:val="00502941"/>
    <w:rsid w:val="00502A3A"/>
    <w:rsid w:val="00502CBB"/>
    <w:rsid w:val="00502E15"/>
    <w:rsid w:val="00502E68"/>
    <w:rsid w:val="00502FDC"/>
    <w:rsid w:val="005030D9"/>
    <w:rsid w:val="005032C2"/>
    <w:rsid w:val="0050336E"/>
    <w:rsid w:val="0050350B"/>
    <w:rsid w:val="00503A4C"/>
    <w:rsid w:val="005040A1"/>
    <w:rsid w:val="005041D5"/>
    <w:rsid w:val="005041EC"/>
    <w:rsid w:val="005042D7"/>
    <w:rsid w:val="005045A0"/>
    <w:rsid w:val="005050C2"/>
    <w:rsid w:val="0050532E"/>
    <w:rsid w:val="00505477"/>
    <w:rsid w:val="0050564F"/>
    <w:rsid w:val="005059BB"/>
    <w:rsid w:val="00505B5A"/>
    <w:rsid w:val="00505B71"/>
    <w:rsid w:val="00505CA6"/>
    <w:rsid w:val="00505CCD"/>
    <w:rsid w:val="005060BB"/>
    <w:rsid w:val="00506318"/>
    <w:rsid w:val="0050649A"/>
    <w:rsid w:val="005067E8"/>
    <w:rsid w:val="00506D26"/>
    <w:rsid w:val="005071CC"/>
    <w:rsid w:val="005074A8"/>
    <w:rsid w:val="0050753B"/>
    <w:rsid w:val="00507701"/>
    <w:rsid w:val="00507783"/>
    <w:rsid w:val="00507CBE"/>
    <w:rsid w:val="005107BD"/>
    <w:rsid w:val="00510BFE"/>
    <w:rsid w:val="00510C30"/>
    <w:rsid w:val="00510CDC"/>
    <w:rsid w:val="00510DCB"/>
    <w:rsid w:val="00510DCD"/>
    <w:rsid w:val="005114E7"/>
    <w:rsid w:val="005121E8"/>
    <w:rsid w:val="0051239D"/>
    <w:rsid w:val="005124CD"/>
    <w:rsid w:val="00512F90"/>
    <w:rsid w:val="00512FA4"/>
    <w:rsid w:val="0051302B"/>
    <w:rsid w:val="005130E4"/>
    <w:rsid w:val="00513790"/>
    <w:rsid w:val="00513C79"/>
    <w:rsid w:val="00513CD5"/>
    <w:rsid w:val="0051410A"/>
    <w:rsid w:val="0051436A"/>
    <w:rsid w:val="005145FB"/>
    <w:rsid w:val="005146F9"/>
    <w:rsid w:val="005147D6"/>
    <w:rsid w:val="00514A2A"/>
    <w:rsid w:val="00514A74"/>
    <w:rsid w:val="00514AFC"/>
    <w:rsid w:val="00514BFE"/>
    <w:rsid w:val="00514EC4"/>
    <w:rsid w:val="005150A3"/>
    <w:rsid w:val="00515803"/>
    <w:rsid w:val="00515A1A"/>
    <w:rsid w:val="00515C47"/>
    <w:rsid w:val="00515FAA"/>
    <w:rsid w:val="00516181"/>
    <w:rsid w:val="005167E6"/>
    <w:rsid w:val="00516962"/>
    <w:rsid w:val="00516CDF"/>
    <w:rsid w:val="00516DE6"/>
    <w:rsid w:val="0051774F"/>
    <w:rsid w:val="00517C95"/>
    <w:rsid w:val="00520065"/>
    <w:rsid w:val="0052044F"/>
    <w:rsid w:val="00520485"/>
    <w:rsid w:val="005209D1"/>
    <w:rsid w:val="00520B37"/>
    <w:rsid w:val="00520B48"/>
    <w:rsid w:val="00520C93"/>
    <w:rsid w:val="00520DFC"/>
    <w:rsid w:val="00520E56"/>
    <w:rsid w:val="00520FA6"/>
    <w:rsid w:val="005214FC"/>
    <w:rsid w:val="0052188A"/>
    <w:rsid w:val="00521C7A"/>
    <w:rsid w:val="00522917"/>
    <w:rsid w:val="00522BC4"/>
    <w:rsid w:val="005232EE"/>
    <w:rsid w:val="0052333E"/>
    <w:rsid w:val="00523548"/>
    <w:rsid w:val="0052359A"/>
    <w:rsid w:val="00523787"/>
    <w:rsid w:val="00523ACA"/>
    <w:rsid w:val="00523F16"/>
    <w:rsid w:val="00524005"/>
    <w:rsid w:val="00524211"/>
    <w:rsid w:val="0052437E"/>
    <w:rsid w:val="00524410"/>
    <w:rsid w:val="00524596"/>
    <w:rsid w:val="005245E2"/>
    <w:rsid w:val="005246A2"/>
    <w:rsid w:val="005246DC"/>
    <w:rsid w:val="005249DA"/>
    <w:rsid w:val="00524E09"/>
    <w:rsid w:val="005255EC"/>
    <w:rsid w:val="005256BF"/>
    <w:rsid w:val="00525A9A"/>
    <w:rsid w:val="00525BC1"/>
    <w:rsid w:val="00525BCC"/>
    <w:rsid w:val="00525F70"/>
    <w:rsid w:val="0052628F"/>
    <w:rsid w:val="00526846"/>
    <w:rsid w:val="00526B62"/>
    <w:rsid w:val="00526F3E"/>
    <w:rsid w:val="00527051"/>
    <w:rsid w:val="0052789C"/>
    <w:rsid w:val="00527BB4"/>
    <w:rsid w:val="00527C48"/>
    <w:rsid w:val="00527C4E"/>
    <w:rsid w:val="00527E12"/>
    <w:rsid w:val="00527F93"/>
    <w:rsid w:val="0053020A"/>
    <w:rsid w:val="00530217"/>
    <w:rsid w:val="0053033A"/>
    <w:rsid w:val="00530777"/>
    <w:rsid w:val="00530A3A"/>
    <w:rsid w:val="00530C33"/>
    <w:rsid w:val="00530C75"/>
    <w:rsid w:val="00530D02"/>
    <w:rsid w:val="00530DD6"/>
    <w:rsid w:val="00530ECF"/>
    <w:rsid w:val="00530F34"/>
    <w:rsid w:val="00530FCA"/>
    <w:rsid w:val="00530FD9"/>
    <w:rsid w:val="00531074"/>
    <w:rsid w:val="00531304"/>
    <w:rsid w:val="00531787"/>
    <w:rsid w:val="00531A06"/>
    <w:rsid w:val="00531B5E"/>
    <w:rsid w:val="00531DFF"/>
    <w:rsid w:val="005320F5"/>
    <w:rsid w:val="005320FD"/>
    <w:rsid w:val="005321AE"/>
    <w:rsid w:val="00532299"/>
    <w:rsid w:val="005322C3"/>
    <w:rsid w:val="00532502"/>
    <w:rsid w:val="00532595"/>
    <w:rsid w:val="00532D91"/>
    <w:rsid w:val="00532E2B"/>
    <w:rsid w:val="00532F0E"/>
    <w:rsid w:val="005332A6"/>
    <w:rsid w:val="0053356C"/>
    <w:rsid w:val="00533697"/>
    <w:rsid w:val="005337FF"/>
    <w:rsid w:val="00533812"/>
    <w:rsid w:val="0053400D"/>
    <w:rsid w:val="00534228"/>
    <w:rsid w:val="0053460C"/>
    <w:rsid w:val="0053470A"/>
    <w:rsid w:val="0053474F"/>
    <w:rsid w:val="00534784"/>
    <w:rsid w:val="00534A05"/>
    <w:rsid w:val="00534CDB"/>
    <w:rsid w:val="00534D82"/>
    <w:rsid w:val="00535313"/>
    <w:rsid w:val="00535597"/>
    <w:rsid w:val="00535799"/>
    <w:rsid w:val="00535844"/>
    <w:rsid w:val="00535A18"/>
    <w:rsid w:val="00535D23"/>
    <w:rsid w:val="00536140"/>
    <w:rsid w:val="005368F0"/>
    <w:rsid w:val="00536F59"/>
    <w:rsid w:val="00537450"/>
    <w:rsid w:val="005374B8"/>
    <w:rsid w:val="005374FE"/>
    <w:rsid w:val="00537677"/>
    <w:rsid w:val="0053773E"/>
    <w:rsid w:val="00537997"/>
    <w:rsid w:val="00537B70"/>
    <w:rsid w:val="00537DEF"/>
    <w:rsid w:val="00540460"/>
    <w:rsid w:val="005406D7"/>
    <w:rsid w:val="00540769"/>
    <w:rsid w:val="00540ADE"/>
    <w:rsid w:val="00540B1F"/>
    <w:rsid w:val="00540B34"/>
    <w:rsid w:val="00540C01"/>
    <w:rsid w:val="00540C94"/>
    <w:rsid w:val="00541604"/>
    <w:rsid w:val="00541C8F"/>
    <w:rsid w:val="00541FB8"/>
    <w:rsid w:val="00542051"/>
    <w:rsid w:val="005420D9"/>
    <w:rsid w:val="005421C7"/>
    <w:rsid w:val="005425E8"/>
    <w:rsid w:val="00542681"/>
    <w:rsid w:val="005426D2"/>
    <w:rsid w:val="00542817"/>
    <w:rsid w:val="005428F5"/>
    <w:rsid w:val="00542BE7"/>
    <w:rsid w:val="00542CEF"/>
    <w:rsid w:val="00542D3F"/>
    <w:rsid w:val="00542DDF"/>
    <w:rsid w:val="00542E77"/>
    <w:rsid w:val="005432F8"/>
    <w:rsid w:val="00543442"/>
    <w:rsid w:val="0054344A"/>
    <w:rsid w:val="00543619"/>
    <w:rsid w:val="00543651"/>
    <w:rsid w:val="00543791"/>
    <w:rsid w:val="005438E4"/>
    <w:rsid w:val="00543F2E"/>
    <w:rsid w:val="005442F0"/>
    <w:rsid w:val="005444D6"/>
    <w:rsid w:val="00544783"/>
    <w:rsid w:val="0054482D"/>
    <w:rsid w:val="005449DB"/>
    <w:rsid w:val="00544B34"/>
    <w:rsid w:val="00544C1F"/>
    <w:rsid w:val="0054507D"/>
    <w:rsid w:val="005450CF"/>
    <w:rsid w:val="00545667"/>
    <w:rsid w:val="005458D3"/>
    <w:rsid w:val="00545918"/>
    <w:rsid w:val="0054595F"/>
    <w:rsid w:val="00545D28"/>
    <w:rsid w:val="00545E9F"/>
    <w:rsid w:val="0054619A"/>
    <w:rsid w:val="00546468"/>
    <w:rsid w:val="00546604"/>
    <w:rsid w:val="005467EF"/>
    <w:rsid w:val="0054685F"/>
    <w:rsid w:val="005468C5"/>
    <w:rsid w:val="0054705D"/>
    <w:rsid w:val="005470F1"/>
    <w:rsid w:val="005471F9"/>
    <w:rsid w:val="00547B63"/>
    <w:rsid w:val="00550BAE"/>
    <w:rsid w:val="00550C7D"/>
    <w:rsid w:val="00550CB4"/>
    <w:rsid w:val="00551C98"/>
    <w:rsid w:val="00551D57"/>
    <w:rsid w:val="005522FE"/>
    <w:rsid w:val="005527CE"/>
    <w:rsid w:val="005529CB"/>
    <w:rsid w:val="00552AB7"/>
    <w:rsid w:val="00552D80"/>
    <w:rsid w:val="0055320F"/>
    <w:rsid w:val="0055361D"/>
    <w:rsid w:val="0055384C"/>
    <w:rsid w:val="00553A4B"/>
    <w:rsid w:val="00554371"/>
    <w:rsid w:val="00554844"/>
    <w:rsid w:val="00554918"/>
    <w:rsid w:val="00554A98"/>
    <w:rsid w:val="00554B28"/>
    <w:rsid w:val="00554BBB"/>
    <w:rsid w:val="00554C59"/>
    <w:rsid w:val="00554E6B"/>
    <w:rsid w:val="0055500A"/>
    <w:rsid w:val="00555244"/>
    <w:rsid w:val="00555371"/>
    <w:rsid w:val="00555423"/>
    <w:rsid w:val="0055552B"/>
    <w:rsid w:val="00555B28"/>
    <w:rsid w:val="00555D49"/>
    <w:rsid w:val="00556773"/>
    <w:rsid w:val="0055686E"/>
    <w:rsid w:val="00556E6C"/>
    <w:rsid w:val="00557152"/>
    <w:rsid w:val="005573D8"/>
    <w:rsid w:val="00557412"/>
    <w:rsid w:val="005574D0"/>
    <w:rsid w:val="005575BC"/>
    <w:rsid w:val="005575EF"/>
    <w:rsid w:val="00557859"/>
    <w:rsid w:val="00557892"/>
    <w:rsid w:val="00557C4D"/>
    <w:rsid w:val="00557F09"/>
    <w:rsid w:val="0056011B"/>
    <w:rsid w:val="005601E0"/>
    <w:rsid w:val="00560253"/>
    <w:rsid w:val="0056026D"/>
    <w:rsid w:val="005604E2"/>
    <w:rsid w:val="005604EB"/>
    <w:rsid w:val="0056067B"/>
    <w:rsid w:val="005608E0"/>
    <w:rsid w:val="00561029"/>
    <w:rsid w:val="005610D6"/>
    <w:rsid w:val="00561109"/>
    <w:rsid w:val="00561569"/>
    <w:rsid w:val="0056171C"/>
    <w:rsid w:val="0056184C"/>
    <w:rsid w:val="00561970"/>
    <w:rsid w:val="00561AD9"/>
    <w:rsid w:val="00561B83"/>
    <w:rsid w:val="00561FAC"/>
    <w:rsid w:val="0056222C"/>
    <w:rsid w:val="005628DF"/>
    <w:rsid w:val="005629FA"/>
    <w:rsid w:val="00562B44"/>
    <w:rsid w:val="00562BC1"/>
    <w:rsid w:val="00562C47"/>
    <w:rsid w:val="00563265"/>
    <w:rsid w:val="0056386C"/>
    <w:rsid w:val="00563A73"/>
    <w:rsid w:val="00563AD7"/>
    <w:rsid w:val="00563D21"/>
    <w:rsid w:val="00563F00"/>
    <w:rsid w:val="00563FF7"/>
    <w:rsid w:val="00564534"/>
    <w:rsid w:val="00564883"/>
    <w:rsid w:val="00564F9E"/>
    <w:rsid w:val="005653B1"/>
    <w:rsid w:val="005653C4"/>
    <w:rsid w:val="00565409"/>
    <w:rsid w:val="005655D9"/>
    <w:rsid w:val="00565871"/>
    <w:rsid w:val="0056596D"/>
    <w:rsid w:val="00565AF6"/>
    <w:rsid w:val="00565B38"/>
    <w:rsid w:val="005660BF"/>
    <w:rsid w:val="005662F4"/>
    <w:rsid w:val="00566326"/>
    <w:rsid w:val="00566576"/>
    <w:rsid w:val="00566583"/>
    <w:rsid w:val="005665CC"/>
    <w:rsid w:val="00566BFE"/>
    <w:rsid w:val="00566D99"/>
    <w:rsid w:val="00566E99"/>
    <w:rsid w:val="00567094"/>
    <w:rsid w:val="0056732D"/>
    <w:rsid w:val="0056754A"/>
    <w:rsid w:val="0056759A"/>
    <w:rsid w:val="00567949"/>
    <w:rsid w:val="00567C5A"/>
    <w:rsid w:val="00567C5E"/>
    <w:rsid w:val="00567D0B"/>
    <w:rsid w:val="00567E1B"/>
    <w:rsid w:val="00567F14"/>
    <w:rsid w:val="005700E5"/>
    <w:rsid w:val="00570402"/>
    <w:rsid w:val="00570582"/>
    <w:rsid w:val="005705C4"/>
    <w:rsid w:val="005706F1"/>
    <w:rsid w:val="0057073B"/>
    <w:rsid w:val="00570755"/>
    <w:rsid w:val="0057079B"/>
    <w:rsid w:val="00570867"/>
    <w:rsid w:val="00570AB2"/>
    <w:rsid w:val="00570ABB"/>
    <w:rsid w:val="00570BBF"/>
    <w:rsid w:val="00570F94"/>
    <w:rsid w:val="00571392"/>
    <w:rsid w:val="0057153F"/>
    <w:rsid w:val="00571564"/>
    <w:rsid w:val="005718CD"/>
    <w:rsid w:val="00571F52"/>
    <w:rsid w:val="005725B9"/>
    <w:rsid w:val="005726BA"/>
    <w:rsid w:val="005728F5"/>
    <w:rsid w:val="00572B0C"/>
    <w:rsid w:val="00572F5D"/>
    <w:rsid w:val="005730B1"/>
    <w:rsid w:val="005730D6"/>
    <w:rsid w:val="0057313E"/>
    <w:rsid w:val="0057365F"/>
    <w:rsid w:val="00573676"/>
    <w:rsid w:val="00574016"/>
    <w:rsid w:val="00574022"/>
    <w:rsid w:val="005740BC"/>
    <w:rsid w:val="005747A0"/>
    <w:rsid w:val="005747DC"/>
    <w:rsid w:val="00574B94"/>
    <w:rsid w:val="00574CCA"/>
    <w:rsid w:val="00574F9D"/>
    <w:rsid w:val="00574FF7"/>
    <w:rsid w:val="00575248"/>
    <w:rsid w:val="005757B4"/>
    <w:rsid w:val="00575C78"/>
    <w:rsid w:val="00575F88"/>
    <w:rsid w:val="00576311"/>
    <w:rsid w:val="00576DCF"/>
    <w:rsid w:val="00576DF9"/>
    <w:rsid w:val="0057722A"/>
    <w:rsid w:val="00577485"/>
    <w:rsid w:val="0057765A"/>
    <w:rsid w:val="00577766"/>
    <w:rsid w:val="00577836"/>
    <w:rsid w:val="005779E3"/>
    <w:rsid w:val="00577A57"/>
    <w:rsid w:val="00577C06"/>
    <w:rsid w:val="00577C7C"/>
    <w:rsid w:val="00577D9C"/>
    <w:rsid w:val="00577DF9"/>
    <w:rsid w:val="00577FFA"/>
    <w:rsid w:val="00580544"/>
    <w:rsid w:val="00580564"/>
    <w:rsid w:val="00580754"/>
    <w:rsid w:val="005807FE"/>
    <w:rsid w:val="00580C6B"/>
    <w:rsid w:val="00581182"/>
    <w:rsid w:val="005812BF"/>
    <w:rsid w:val="0058151E"/>
    <w:rsid w:val="0058153C"/>
    <w:rsid w:val="00581610"/>
    <w:rsid w:val="00581614"/>
    <w:rsid w:val="005816B9"/>
    <w:rsid w:val="005816CA"/>
    <w:rsid w:val="0058196D"/>
    <w:rsid w:val="00581D72"/>
    <w:rsid w:val="00581FF0"/>
    <w:rsid w:val="0058218D"/>
    <w:rsid w:val="0058234C"/>
    <w:rsid w:val="0058235C"/>
    <w:rsid w:val="005824A9"/>
    <w:rsid w:val="00582946"/>
    <w:rsid w:val="00582A9F"/>
    <w:rsid w:val="00582E49"/>
    <w:rsid w:val="005832D9"/>
    <w:rsid w:val="00583C15"/>
    <w:rsid w:val="00583C54"/>
    <w:rsid w:val="00583C5B"/>
    <w:rsid w:val="00583E04"/>
    <w:rsid w:val="005841D7"/>
    <w:rsid w:val="005846E5"/>
    <w:rsid w:val="00584921"/>
    <w:rsid w:val="00584FEF"/>
    <w:rsid w:val="0058501B"/>
    <w:rsid w:val="00585064"/>
    <w:rsid w:val="0058506E"/>
    <w:rsid w:val="00585220"/>
    <w:rsid w:val="005852ED"/>
    <w:rsid w:val="005853A4"/>
    <w:rsid w:val="00585D34"/>
    <w:rsid w:val="00585DC0"/>
    <w:rsid w:val="00586E59"/>
    <w:rsid w:val="00586F50"/>
    <w:rsid w:val="00587550"/>
    <w:rsid w:val="005876EF"/>
    <w:rsid w:val="0058771E"/>
    <w:rsid w:val="005877DF"/>
    <w:rsid w:val="005877FF"/>
    <w:rsid w:val="005879E8"/>
    <w:rsid w:val="00587A3C"/>
    <w:rsid w:val="00587C23"/>
    <w:rsid w:val="00587E0F"/>
    <w:rsid w:val="00587F25"/>
    <w:rsid w:val="00590015"/>
    <w:rsid w:val="005903D2"/>
    <w:rsid w:val="00590583"/>
    <w:rsid w:val="00590718"/>
    <w:rsid w:val="00590893"/>
    <w:rsid w:val="005909D3"/>
    <w:rsid w:val="00590CCC"/>
    <w:rsid w:val="00590D7F"/>
    <w:rsid w:val="00590DB7"/>
    <w:rsid w:val="005910C7"/>
    <w:rsid w:val="005911CA"/>
    <w:rsid w:val="00591459"/>
    <w:rsid w:val="005914D2"/>
    <w:rsid w:val="005919AF"/>
    <w:rsid w:val="00591C8F"/>
    <w:rsid w:val="00591E7F"/>
    <w:rsid w:val="005922F9"/>
    <w:rsid w:val="0059235A"/>
    <w:rsid w:val="005924DF"/>
    <w:rsid w:val="00592742"/>
    <w:rsid w:val="00592B4D"/>
    <w:rsid w:val="00592C56"/>
    <w:rsid w:val="00592ED1"/>
    <w:rsid w:val="005932A1"/>
    <w:rsid w:val="00593802"/>
    <w:rsid w:val="005938BC"/>
    <w:rsid w:val="00593C12"/>
    <w:rsid w:val="00593C33"/>
    <w:rsid w:val="00593D13"/>
    <w:rsid w:val="00593D8C"/>
    <w:rsid w:val="00594278"/>
    <w:rsid w:val="0059456B"/>
    <w:rsid w:val="0059474B"/>
    <w:rsid w:val="0059487F"/>
    <w:rsid w:val="00594B6A"/>
    <w:rsid w:val="00594BAE"/>
    <w:rsid w:val="00594DA2"/>
    <w:rsid w:val="005951CA"/>
    <w:rsid w:val="005957B3"/>
    <w:rsid w:val="00595849"/>
    <w:rsid w:val="005958B1"/>
    <w:rsid w:val="005958B9"/>
    <w:rsid w:val="00596392"/>
    <w:rsid w:val="00596437"/>
    <w:rsid w:val="0059646E"/>
    <w:rsid w:val="005964AB"/>
    <w:rsid w:val="00596633"/>
    <w:rsid w:val="0059674F"/>
    <w:rsid w:val="005967AD"/>
    <w:rsid w:val="00596C3C"/>
    <w:rsid w:val="00596D12"/>
    <w:rsid w:val="00596DA7"/>
    <w:rsid w:val="00596ED4"/>
    <w:rsid w:val="00596FBA"/>
    <w:rsid w:val="00597393"/>
    <w:rsid w:val="0059748B"/>
    <w:rsid w:val="00597570"/>
    <w:rsid w:val="00597684"/>
    <w:rsid w:val="00597919"/>
    <w:rsid w:val="005979ED"/>
    <w:rsid w:val="00597C96"/>
    <w:rsid w:val="00597ED8"/>
    <w:rsid w:val="005A044B"/>
    <w:rsid w:val="005A0A9B"/>
    <w:rsid w:val="005A0F9D"/>
    <w:rsid w:val="005A1095"/>
    <w:rsid w:val="005A10C1"/>
    <w:rsid w:val="005A10DD"/>
    <w:rsid w:val="005A1221"/>
    <w:rsid w:val="005A1759"/>
    <w:rsid w:val="005A1850"/>
    <w:rsid w:val="005A1DDA"/>
    <w:rsid w:val="005A1EBE"/>
    <w:rsid w:val="005A1EFA"/>
    <w:rsid w:val="005A1F33"/>
    <w:rsid w:val="005A2465"/>
    <w:rsid w:val="005A2A57"/>
    <w:rsid w:val="005A2AE4"/>
    <w:rsid w:val="005A31DE"/>
    <w:rsid w:val="005A355B"/>
    <w:rsid w:val="005A378E"/>
    <w:rsid w:val="005A3A1B"/>
    <w:rsid w:val="005A3CEB"/>
    <w:rsid w:val="005A3D5E"/>
    <w:rsid w:val="005A3F38"/>
    <w:rsid w:val="005A4021"/>
    <w:rsid w:val="005A4076"/>
    <w:rsid w:val="005A4325"/>
    <w:rsid w:val="005A45FA"/>
    <w:rsid w:val="005A4953"/>
    <w:rsid w:val="005A4C10"/>
    <w:rsid w:val="005A4CD6"/>
    <w:rsid w:val="005A4ECB"/>
    <w:rsid w:val="005A5127"/>
    <w:rsid w:val="005A53A0"/>
    <w:rsid w:val="005A5501"/>
    <w:rsid w:val="005A5686"/>
    <w:rsid w:val="005A56C6"/>
    <w:rsid w:val="005A5864"/>
    <w:rsid w:val="005A5A2F"/>
    <w:rsid w:val="005A609A"/>
    <w:rsid w:val="005A60D3"/>
    <w:rsid w:val="005A6366"/>
    <w:rsid w:val="005A6F67"/>
    <w:rsid w:val="005A7720"/>
    <w:rsid w:val="005A7AF5"/>
    <w:rsid w:val="005A7ECB"/>
    <w:rsid w:val="005B01CA"/>
    <w:rsid w:val="005B03DE"/>
    <w:rsid w:val="005B049A"/>
    <w:rsid w:val="005B0753"/>
    <w:rsid w:val="005B0859"/>
    <w:rsid w:val="005B0940"/>
    <w:rsid w:val="005B09A8"/>
    <w:rsid w:val="005B0B39"/>
    <w:rsid w:val="005B0E58"/>
    <w:rsid w:val="005B10FE"/>
    <w:rsid w:val="005B117A"/>
    <w:rsid w:val="005B1727"/>
    <w:rsid w:val="005B22C9"/>
    <w:rsid w:val="005B23E6"/>
    <w:rsid w:val="005B25A7"/>
    <w:rsid w:val="005B2D01"/>
    <w:rsid w:val="005B3114"/>
    <w:rsid w:val="005B338F"/>
    <w:rsid w:val="005B39AF"/>
    <w:rsid w:val="005B3AD3"/>
    <w:rsid w:val="005B3C17"/>
    <w:rsid w:val="005B3C99"/>
    <w:rsid w:val="005B3D50"/>
    <w:rsid w:val="005B3DAE"/>
    <w:rsid w:val="005B3F6C"/>
    <w:rsid w:val="005B4204"/>
    <w:rsid w:val="005B42C3"/>
    <w:rsid w:val="005B436E"/>
    <w:rsid w:val="005B43E9"/>
    <w:rsid w:val="005B45E7"/>
    <w:rsid w:val="005B4BAA"/>
    <w:rsid w:val="005B5030"/>
    <w:rsid w:val="005B51B4"/>
    <w:rsid w:val="005B5358"/>
    <w:rsid w:val="005B53C3"/>
    <w:rsid w:val="005B5726"/>
    <w:rsid w:val="005B5DF5"/>
    <w:rsid w:val="005B5FEC"/>
    <w:rsid w:val="005B62F8"/>
    <w:rsid w:val="005B7093"/>
    <w:rsid w:val="005B71CB"/>
    <w:rsid w:val="005B7830"/>
    <w:rsid w:val="005B78CE"/>
    <w:rsid w:val="005B7DC7"/>
    <w:rsid w:val="005B7E87"/>
    <w:rsid w:val="005B7F3A"/>
    <w:rsid w:val="005C03D8"/>
    <w:rsid w:val="005C0713"/>
    <w:rsid w:val="005C0D99"/>
    <w:rsid w:val="005C0E11"/>
    <w:rsid w:val="005C13A5"/>
    <w:rsid w:val="005C1433"/>
    <w:rsid w:val="005C14A3"/>
    <w:rsid w:val="005C15FC"/>
    <w:rsid w:val="005C191E"/>
    <w:rsid w:val="005C1979"/>
    <w:rsid w:val="005C1D27"/>
    <w:rsid w:val="005C1DE4"/>
    <w:rsid w:val="005C220C"/>
    <w:rsid w:val="005C228B"/>
    <w:rsid w:val="005C23FB"/>
    <w:rsid w:val="005C26CC"/>
    <w:rsid w:val="005C2732"/>
    <w:rsid w:val="005C2A0D"/>
    <w:rsid w:val="005C2AE6"/>
    <w:rsid w:val="005C2AEA"/>
    <w:rsid w:val="005C2BEB"/>
    <w:rsid w:val="005C3879"/>
    <w:rsid w:val="005C3970"/>
    <w:rsid w:val="005C3977"/>
    <w:rsid w:val="005C3D45"/>
    <w:rsid w:val="005C3E74"/>
    <w:rsid w:val="005C3E94"/>
    <w:rsid w:val="005C40FF"/>
    <w:rsid w:val="005C4227"/>
    <w:rsid w:val="005C4267"/>
    <w:rsid w:val="005C43F2"/>
    <w:rsid w:val="005C45E9"/>
    <w:rsid w:val="005C460D"/>
    <w:rsid w:val="005C5065"/>
    <w:rsid w:val="005C51DD"/>
    <w:rsid w:val="005C5BF5"/>
    <w:rsid w:val="005C5CB4"/>
    <w:rsid w:val="005C60AE"/>
    <w:rsid w:val="005C63D3"/>
    <w:rsid w:val="005C66A7"/>
    <w:rsid w:val="005C67DB"/>
    <w:rsid w:val="005C69BE"/>
    <w:rsid w:val="005C6BA7"/>
    <w:rsid w:val="005C6D29"/>
    <w:rsid w:val="005C716F"/>
    <w:rsid w:val="005C796B"/>
    <w:rsid w:val="005D00A9"/>
    <w:rsid w:val="005D015A"/>
    <w:rsid w:val="005D0214"/>
    <w:rsid w:val="005D0373"/>
    <w:rsid w:val="005D038E"/>
    <w:rsid w:val="005D05B4"/>
    <w:rsid w:val="005D06C5"/>
    <w:rsid w:val="005D0818"/>
    <w:rsid w:val="005D0A64"/>
    <w:rsid w:val="005D0A9E"/>
    <w:rsid w:val="005D0DF0"/>
    <w:rsid w:val="005D10DA"/>
    <w:rsid w:val="005D142C"/>
    <w:rsid w:val="005D158B"/>
    <w:rsid w:val="005D1960"/>
    <w:rsid w:val="005D1994"/>
    <w:rsid w:val="005D2116"/>
    <w:rsid w:val="005D2332"/>
    <w:rsid w:val="005D23F0"/>
    <w:rsid w:val="005D244C"/>
    <w:rsid w:val="005D24AC"/>
    <w:rsid w:val="005D2578"/>
    <w:rsid w:val="005D25AB"/>
    <w:rsid w:val="005D2813"/>
    <w:rsid w:val="005D29D6"/>
    <w:rsid w:val="005D2C17"/>
    <w:rsid w:val="005D301C"/>
    <w:rsid w:val="005D355F"/>
    <w:rsid w:val="005D3922"/>
    <w:rsid w:val="005D3A73"/>
    <w:rsid w:val="005D3B0B"/>
    <w:rsid w:val="005D3C0E"/>
    <w:rsid w:val="005D3D4C"/>
    <w:rsid w:val="005D3E71"/>
    <w:rsid w:val="005D41BD"/>
    <w:rsid w:val="005D4679"/>
    <w:rsid w:val="005D4759"/>
    <w:rsid w:val="005D497C"/>
    <w:rsid w:val="005D4AEB"/>
    <w:rsid w:val="005D4C0B"/>
    <w:rsid w:val="005D4F23"/>
    <w:rsid w:val="005D5943"/>
    <w:rsid w:val="005D5F6A"/>
    <w:rsid w:val="005D61A5"/>
    <w:rsid w:val="005D63A7"/>
    <w:rsid w:val="005D6473"/>
    <w:rsid w:val="005D675C"/>
    <w:rsid w:val="005D6826"/>
    <w:rsid w:val="005D74A4"/>
    <w:rsid w:val="005D772C"/>
    <w:rsid w:val="005D7858"/>
    <w:rsid w:val="005D7861"/>
    <w:rsid w:val="005D7C3C"/>
    <w:rsid w:val="005D7CF9"/>
    <w:rsid w:val="005E07F3"/>
    <w:rsid w:val="005E0B4C"/>
    <w:rsid w:val="005E0CEC"/>
    <w:rsid w:val="005E0D3B"/>
    <w:rsid w:val="005E10DC"/>
    <w:rsid w:val="005E1347"/>
    <w:rsid w:val="005E14D5"/>
    <w:rsid w:val="005E1748"/>
    <w:rsid w:val="005E1779"/>
    <w:rsid w:val="005E1796"/>
    <w:rsid w:val="005E1A69"/>
    <w:rsid w:val="005E1AC0"/>
    <w:rsid w:val="005E1C2B"/>
    <w:rsid w:val="005E1C9D"/>
    <w:rsid w:val="005E20C6"/>
    <w:rsid w:val="005E27F8"/>
    <w:rsid w:val="005E2A01"/>
    <w:rsid w:val="005E2A33"/>
    <w:rsid w:val="005E2B59"/>
    <w:rsid w:val="005E2D62"/>
    <w:rsid w:val="005E3125"/>
    <w:rsid w:val="005E3265"/>
    <w:rsid w:val="005E32D1"/>
    <w:rsid w:val="005E33BA"/>
    <w:rsid w:val="005E373C"/>
    <w:rsid w:val="005E378D"/>
    <w:rsid w:val="005E3AFA"/>
    <w:rsid w:val="005E41C0"/>
    <w:rsid w:val="005E43F7"/>
    <w:rsid w:val="005E44A8"/>
    <w:rsid w:val="005E46DB"/>
    <w:rsid w:val="005E4B1A"/>
    <w:rsid w:val="005E4B86"/>
    <w:rsid w:val="005E4C70"/>
    <w:rsid w:val="005E507B"/>
    <w:rsid w:val="005E5237"/>
    <w:rsid w:val="005E5355"/>
    <w:rsid w:val="005E55A6"/>
    <w:rsid w:val="005E576F"/>
    <w:rsid w:val="005E5967"/>
    <w:rsid w:val="005E5984"/>
    <w:rsid w:val="005E6182"/>
    <w:rsid w:val="005E6297"/>
    <w:rsid w:val="005E64B3"/>
    <w:rsid w:val="005E686C"/>
    <w:rsid w:val="005E6870"/>
    <w:rsid w:val="005E6965"/>
    <w:rsid w:val="005E698F"/>
    <w:rsid w:val="005E6F21"/>
    <w:rsid w:val="005E6FFE"/>
    <w:rsid w:val="005E7BA5"/>
    <w:rsid w:val="005E7D07"/>
    <w:rsid w:val="005E7E90"/>
    <w:rsid w:val="005E7EC2"/>
    <w:rsid w:val="005E7EFE"/>
    <w:rsid w:val="005F00A9"/>
    <w:rsid w:val="005F0562"/>
    <w:rsid w:val="005F09F3"/>
    <w:rsid w:val="005F0D82"/>
    <w:rsid w:val="005F11DD"/>
    <w:rsid w:val="005F170A"/>
    <w:rsid w:val="005F17FE"/>
    <w:rsid w:val="005F1C78"/>
    <w:rsid w:val="005F1D56"/>
    <w:rsid w:val="005F1E5A"/>
    <w:rsid w:val="005F1EB1"/>
    <w:rsid w:val="005F1F64"/>
    <w:rsid w:val="005F1FC5"/>
    <w:rsid w:val="005F1FC8"/>
    <w:rsid w:val="005F2234"/>
    <w:rsid w:val="005F23C0"/>
    <w:rsid w:val="005F2849"/>
    <w:rsid w:val="005F2CF4"/>
    <w:rsid w:val="005F2D97"/>
    <w:rsid w:val="005F2EE0"/>
    <w:rsid w:val="005F2F05"/>
    <w:rsid w:val="005F3496"/>
    <w:rsid w:val="005F355B"/>
    <w:rsid w:val="005F3577"/>
    <w:rsid w:val="005F3948"/>
    <w:rsid w:val="005F3AF6"/>
    <w:rsid w:val="005F3C55"/>
    <w:rsid w:val="005F3EBD"/>
    <w:rsid w:val="005F4089"/>
    <w:rsid w:val="005F452F"/>
    <w:rsid w:val="005F4606"/>
    <w:rsid w:val="005F4B7A"/>
    <w:rsid w:val="005F4BD0"/>
    <w:rsid w:val="005F4E2E"/>
    <w:rsid w:val="005F513F"/>
    <w:rsid w:val="005F519C"/>
    <w:rsid w:val="005F5422"/>
    <w:rsid w:val="005F5A76"/>
    <w:rsid w:val="005F5AF2"/>
    <w:rsid w:val="005F5DC5"/>
    <w:rsid w:val="005F5EA5"/>
    <w:rsid w:val="005F5FA2"/>
    <w:rsid w:val="005F616F"/>
    <w:rsid w:val="005F6224"/>
    <w:rsid w:val="005F6322"/>
    <w:rsid w:val="005F649B"/>
    <w:rsid w:val="005F64BF"/>
    <w:rsid w:val="005F6DC7"/>
    <w:rsid w:val="005F6F48"/>
    <w:rsid w:val="005F6F7F"/>
    <w:rsid w:val="005F7282"/>
    <w:rsid w:val="005F744B"/>
    <w:rsid w:val="005F751A"/>
    <w:rsid w:val="005F7650"/>
    <w:rsid w:val="005F7869"/>
    <w:rsid w:val="005F7987"/>
    <w:rsid w:val="005F7D0C"/>
    <w:rsid w:val="006000F5"/>
    <w:rsid w:val="006003E1"/>
    <w:rsid w:val="006005E7"/>
    <w:rsid w:val="0060078D"/>
    <w:rsid w:val="00600DC0"/>
    <w:rsid w:val="00600FF1"/>
    <w:rsid w:val="00601139"/>
    <w:rsid w:val="006014ED"/>
    <w:rsid w:val="006015EB"/>
    <w:rsid w:val="006015FA"/>
    <w:rsid w:val="006018DA"/>
    <w:rsid w:val="00601A60"/>
    <w:rsid w:val="00601D9B"/>
    <w:rsid w:val="00602333"/>
    <w:rsid w:val="006024FC"/>
    <w:rsid w:val="006026E1"/>
    <w:rsid w:val="0060271D"/>
    <w:rsid w:val="00602762"/>
    <w:rsid w:val="00602878"/>
    <w:rsid w:val="00602A48"/>
    <w:rsid w:val="00602B9F"/>
    <w:rsid w:val="006032C3"/>
    <w:rsid w:val="006034C9"/>
    <w:rsid w:val="0060358F"/>
    <w:rsid w:val="00603888"/>
    <w:rsid w:val="00603AB5"/>
    <w:rsid w:val="00603FA3"/>
    <w:rsid w:val="0060441C"/>
    <w:rsid w:val="006046A3"/>
    <w:rsid w:val="00604A5E"/>
    <w:rsid w:val="00604F53"/>
    <w:rsid w:val="006052B2"/>
    <w:rsid w:val="0060530E"/>
    <w:rsid w:val="0060537F"/>
    <w:rsid w:val="00605605"/>
    <w:rsid w:val="006057F4"/>
    <w:rsid w:val="00605ACC"/>
    <w:rsid w:val="00605ADA"/>
    <w:rsid w:val="00605CC4"/>
    <w:rsid w:val="00605F4C"/>
    <w:rsid w:val="00605F53"/>
    <w:rsid w:val="00606171"/>
    <w:rsid w:val="006062B7"/>
    <w:rsid w:val="00606554"/>
    <w:rsid w:val="0060655A"/>
    <w:rsid w:val="00606856"/>
    <w:rsid w:val="00606A67"/>
    <w:rsid w:val="00606C5E"/>
    <w:rsid w:val="00606F33"/>
    <w:rsid w:val="00607209"/>
    <w:rsid w:val="00607253"/>
    <w:rsid w:val="00607935"/>
    <w:rsid w:val="00607DA7"/>
    <w:rsid w:val="00607F15"/>
    <w:rsid w:val="006101CB"/>
    <w:rsid w:val="006102DD"/>
    <w:rsid w:val="00610317"/>
    <w:rsid w:val="00610CD1"/>
    <w:rsid w:val="00610FA5"/>
    <w:rsid w:val="00610FAC"/>
    <w:rsid w:val="00611158"/>
    <w:rsid w:val="00611E8B"/>
    <w:rsid w:val="006124CF"/>
    <w:rsid w:val="0061266E"/>
    <w:rsid w:val="00612870"/>
    <w:rsid w:val="00612A47"/>
    <w:rsid w:val="00612E38"/>
    <w:rsid w:val="00613152"/>
    <w:rsid w:val="0061315F"/>
    <w:rsid w:val="0061329A"/>
    <w:rsid w:val="006138DF"/>
    <w:rsid w:val="00613CF7"/>
    <w:rsid w:val="00613D31"/>
    <w:rsid w:val="00613D5E"/>
    <w:rsid w:val="00613E65"/>
    <w:rsid w:val="00614029"/>
    <w:rsid w:val="0061447C"/>
    <w:rsid w:val="00614730"/>
    <w:rsid w:val="00614881"/>
    <w:rsid w:val="00614B79"/>
    <w:rsid w:val="00614D17"/>
    <w:rsid w:val="0061523E"/>
    <w:rsid w:val="00615624"/>
    <w:rsid w:val="006160E2"/>
    <w:rsid w:val="00616218"/>
    <w:rsid w:val="006167F9"/>
    <w:rsid w:val="00616880"/>
    <w:rsid w:val="0061689D"/>
    <w:rsid w:val="00616D1E"/>
    <w:rsid w:val="00616ED8"/>
    <w:rsid w:val="006172E7"/>
    <w:rsid w:val="00617597"/>
    <w:rsid w:val="0061777E"/>
    <w:rsid w:val="0061783F"/>
    <w:rsid w:val="00617DEC"/>
    <w:rsid w:val="00617E87"/>
    <w:rsid w:val="00617FC1"/>
    <w:rsid w:val="00617FD1"/>
    <w:rsid w:val="00620031"/>
    <w:rsid w:val="0062048F"/>
    <w:rsid w:val="00620505"/>
    <w:rsid w:val="00620532"/>
    <w:rsid w:val="00620753"/>
    <w:rsid w:val="00620F5D"/>
    <w:rsid w:val="00620FD9"/>
    <w:rsid w:val="006213FE"/>
    <w:rsid w:val="006214D1"/>
    <w:rsid w:val="0062157A"/>
    <w:rsid w:val="00621631"/>
    <w:rsid w:val="00621874"/>
    <w:rsid w:val="006222BD"/>
    <w:rsid w:val="00622449"/>
    <w:rsid w:val="00622684"/>
    <w:rsid w:val="006227F5"/>
    <w:rsid w:val="00622891"/>
    <w:rsid w:val="00623126"/>
    <w:rsid w:val="00623B2A"/>
    <w:rsid w:val="00623BD4"/>
    <w:rsid w:val="00623EEE"/>
    <w:rsid w:val="00624611"/>
    <w:rsid w:val="00624752"/>
    <w:rsid w:val="00624997"/>
    <w:rsid w:val="00624BDE"/>
    <w:rsid w:val="00624DAB"/>
    <w:rsid w:val="00624EF0"/>
    <w:rsid w:val="006250AC"/>
    <w:rsid w:val="00625306"/>
    <w:rsid w:val="0062544E"/>
    <w:rsid w:val="006254D0"/>
    <w:rsid w:val="00625619"/>
    <w:rsid w:val="00625641"/>
    <w:rsid w:val="0062584A"/>
    <w:rsid w:val="00625A3D"/>
    <w:rsid w:val="00625C30"/>
    <w:rsid w:val="00625E3B"/>
    <w:rsid w:val="0062667A"/>
    <w:rsid w:val="00626714"/>
    <w:rsid w:val="00626963"/>
    <w:rsid w:val="006269CA"/>
    <w:rsid w:val="00627005"/>
    <w:rsid w:val="006273BA"/>
    <w:rsid w:val="00627480"/>
    <w:rsid w:val="006274A9"/>
    <w:rsid w:val="00627E67"/>
    <w:rsid w:val="00627E84"/>
    <w:rsid w:val="0063025A"/>
    <w:rsid w:val="006305DE"/>
    <w:rsid w:val="006306B7"/>
    <w:rsid w:val="00630B71"/>
    <w:rsid w:val="00630F5D"/>
    <w:rsid w:val="00630FCD"/>
    <w:rsid w:val="006310CC"/>
    <w:rsid w:val="0063139B"/>
    <w:rsid w:val="00631407"/>
    <w:rsid w:val="00631CC1"/>
    <w:rsid w:val="00631E79"/>
    <w:rsid w:val="00631EBC"/>
    <w:rsid w:val="006321A2"/>
    <w:rsid w:val="00632387"/>
    <w:rsid w:val="00632722"/>
    <w:rsid w:val="00632A1E"/>
    <w:rsid w:val="00632B33"/>
    <w:rsid w:val="00632B88"/>
    <w:rsid w:val="00632C5B"/>
    <w:rsid w:val="00632D47"/>
    <w:rsid w:val="00632EC5"/>
    <w:rsid w:val="00632F08"/>
    <w:rsid w:val="006332BE"/>
    <w:rsid w:val="00633466"/>
    <w:rsid w:val="0063347A"/>
    <w:rsid w:val="006334EB"/>
    <w:rsid w:val="00633B9E"/>
    <w:rsid w:val="00633D10"/>
    <w:rsid w:val="00633EC8"/>
    <w:rsid w:val="00633FB1"/>
    <w:rsid w:val="0063411C"/>
    <w:rsid w:val="0063428B"/>
    <w:rsid w:val="00634322"/>
    <w:rsid w:val="006343EF"/>
    <w:rsid w:val="006344A1"/>
    <w:rsid w:val="0063455A"/>
    <w:rsid w:val="006347B9"/>
    <w:rsid w:val="0063481B"/>
    <w:rsid w:val="00634886"/>
    <w:rsid w:val="00634B3D"/>
    <w:rsid w:val="00634BF5"/>
    <w:rsid w:val="00634FFC"/>
    <w:rsid w:val="0063512E"/>
    <w:rsid w:val="00635375"/>
    <w:rsid w:val="006355A3"/>
    <w:rsid w:val="006355DF"/>
    <w:rsid w:val="00635738"/>
    <w:rsid w:val="00635AC7"/>
    <w:rsid w:val="00635C9F"/>
    <w:rsid w:val="00635F96"/>
    <w:rsid w:val="00636137"/>
    <w:rsid w:val="006366F7"/>
    <w:rsid w:val="00636878"/>
    <w:rsid w:val="006368BA"/>
    <w:rsid w:val="00636F4C"/>
    <w:rsid w:val="0063714D"/>
    <w:rsid w:val="0063726F"/>
    <w:rsid w:val="0063751D"/>
    <w:rsid w:val="00637552"/>
    <w:rsid w:val="006378E4"/>
    <w:rsid w:val="00637A25"/>
    <w:rsid w:val="00637A70"/>
    <w:rsid w:val="00637B11"/>
    <w:rsid w:val="00637F71"/>
    <w:rsid w:val="00640140"/>
    <w:rsid w:val="006403FE"/>
    <w:rsid w:val="006404F1"/>
    <w:rsid w:val="0064088F"/>
    <w:rsid w:val="0064095A"/>
    <w:rsid w:val="00640C30"/>
    <w:rsid w:val="00640FAF"/>
    <w:rsid w:val="006410C5"/>
    <w:rsid w:val="006412E7"/>
    <w:rsid w:val="0064175F"/>
    <w:rsid w:val="00641A2E"/>
    <w:rsid w:val="00641DCC"/>
    <w:rsid w:val="00642005"/>
    <w:rsid w:val="00642130"/>
    <w:rsid w:val="00642220"/>
    <w:rsid w:val="006423E6"/>
    <w:rsid w:val="00642439"/>
    <w:rsid w:val="00642444"/>
    <w:rsid w:val="0064253C"/>
    <w:rsid w:val="00642A73"/>
    <w:rsid w:val="00642EEB"/>
    <w:rsid w:val="00643107"/>
    <w:rsid w:val="0064338A"/>
    <w:rsid w:val="00643672"/>
    <w:rsid w:val="00643744"/>
    <w:rsid w:val="00643913"/>
    <w:rsid w:val="00643C4E"/>
    <w:rsid w:val="00643CE7"/>
    <w:rsid w:val="00643DD1"/>
    <w:rsid w:val="0064429F"/>
    <w:rsid w:val="006444F7"/>
    <w:rsid w:val="00644675"/>
    <w:rsid w:val="00644B29"/>
    <w:rsid w:val="00644B9D"/>
    <w:rsid w:val="00645143"/>
    <w:rsid w:val="006453B6"/>
    <w:rsid w:val="006454FE"/>
    <w:rsid w:val="0064589B"/>
    <w:rsid w:val="00645C1A"/>
    <w:rsid w:val="00645EBD"/>
    <w:rsid w:val="00645EF2"/>
    <w:rsid w:val="00645FA7"/>
    <w:rsid w:val="006461CB"/>
    <w:rsid w:val="006464C6"/>
    <w:rsid w:val="00646A38"/>
    <w:rsid w:val="00646BAC"/>
    <w:rsid w:val="00646C42"/>
    <w:rsid w:val="00646ECE"/>
    <w:rsid w:val="006470B5"/>
    <w:rsid w:val="00647503"/>
    <w:rsid w:val="006479B4"/>
    <w:rsid w:val="00647A88"/>
    <w:rsid w:val="00647D22"/>
    <w:rsid w:val="00647E3B"/>
    <w:rsid w:val="00647ED9"/>
    <w:rsid w:val="006500FD"/>
    <w:rsid w:val="00650140"/>
    <w:rsid w:val="006502D3"/>
    <w:rsid w:val="006507A9"/>
    <w:rsid w:val="00650891"/>
    <w:rsid w:val="00650AB3"/>
    <w:rsid w:val="00650B1D"/>
    <w:rsid w:val="00651305"/>
    <w:rsid w:val="0065181F"/>
    <w:rsid w:val="00651F3A"/>
    <w:rsid w:val="00651F8B"/>
    <w:rsid w:val="006521E8"/>
    <w:rsid w:val="00652232"/>
    <w:rsid w:val="00652332"/>
    <w:rsid w:val="00652413"/>
    <w:rsid w:val="00652735"/>
    <w:rsid w:val="00652F99"/>
    <w:rsid w:val="0065305A"/>
    <w:rsid w:val="00653219"/>
    <w:rsid w:val="0065332F"/>
    <w:rsid w:val="00653464"/>
    <w:rsid w:val="00653A52"/>
    <w:rsid w:val="00653BDE"/>
    <w:rsid w:val="00653D87"/>
    <w:rsid w:val="00653E2D"/>
    <w:rsid w:val="00653EBA"/>
    <w:rsid w:val="0065424B"/>
    <w:rsid w:val="00654460"/>
    <w:rsid w:val="0065470A"/>
    <w:rsid w:val="00654781"/>
    <w:rsid w:val="00654887"/>
    <w:rsid w:val="006548AA"/>
    <w:rsid w:val="006549FF"/>
    <w:rsid w:val="00654AB1"/>
    <w:rsid w:val="00654D53"/>
    <w:rsid w:val="00654EA3"/>
    <w:rsid w:val="0065528E"/>
    <w:rsid w:val="00655B35"/>
    <w:rsid w:val="00655DBE"/>
    <w:rsid w:val="00655FD6"/>
    <w:rsid w:val="0065606B"/>
    <w:rsid w:val="0065627F"/>
    <w:rsid w:val="006562A0"/>
    <w:rsid w:val="006565EA"/>
    <w:rsid w:val="00656A03"/>
    <w:rsid w:val="00656C57"/>
    <w:rsid w:val="00656D61"/>
    <w:rsid w:val="006570DF"/>
    <w:rsid w:val="00657237"/>
    <w:rsid w:val="00657244"/>
    <w:rsid w:val="006574B7"/>
    <w:rsid w:val="006575F1"/>
    <w:rsid w:val="00657C7D"/>
    <w:rsid w:val="00657E54"/>
    <w:rsid w:val="00657F80"/>
    <w:rsid w:val="00660166"/>
    <w:rsid w:val="00660BF1"/>
    <w:rsid w:val="00660D84"/>
    <w:rsid w:val="006613B2"/>
    <w:rsid w:val="006616BA"/>
    <w:rsid w:val="0066183A"/>
    <w:rsid w:val="006621B8"/>
    <w:rsid w:val="00662BA7"/>
    <w:rsid w:val="00662C63"/>
    <w:rsid w:val="00662CB6"/>
    <w:rsid w:val="006630F1"/>
    <w:rsid w:val="00663186"/>
    <w:rsid w:val="00663256"/>
    <w:rsid w:val="006632BD"/>
    <w:rsid w:val="006632F7"/>
    <w:rsid w:val="006636F4"/>
    <w:rsid w:val="00663738"/>
    <w:rsid w:val="006644CF"/>
    <w:rsid w:val="00664A9F"/>
    <w:rsid w:val="00664B0E"/>
    <w:rsid w:val="00664EB0"/>
    <w:rsid w:val="00664FDC"/>
    <w:rsid w:val="00665109"/>
    <w:rsid w:val="006655B7"/>
    <w:rsid w:val="00665688"/>
    <w:rsid w:val="00666261"/>
    <w:rsid w:val="0066632D"/>
    <w:rsid w:val="00666610"/>
    <w:rsid w:val="0066679B"/>
    <w:rsid w:val="00666DF4"/>
    <w:rsid w:val="00667318"/>
    <w:rsid w:val="00667622"/>
    <w:rsid w:val="0066762C"/>
    <w:rsid w:val="0066788B"/>
    <w:rsid w:val="00667AAB"/>
    <w:rsid w:val="00667E61"/>
    <w:rsid w:val="00667F3F"/>
    <w:rsid w:val="006700D4"/>
    <w:rsid w:val="00670371"/>
    <w:rsid w:val="006706AB"/>
    <w:rsid w:val="00670AB1"/>
    <w:rsid w:val="00670CEB"/>
    <w:rsid w:val="006710C9"/>
    <w:rsid w:val="00671AFD"/>
    <w:rsid w:val="00671B78"/>
    <w:rsid w:val="00671C04"/>
    <w:rsid w:val="006720F9"/>
    <w:rsid w:val="006721A4"/>
    <w:rsid w:val="00672298"/>
    <w:rsid w:val="0067243A"/>
    <w:rsid w:val="006724B0"/>
    <w:rsid w:val="006725B8"/>
    <w:rsid w:val="00672779"/>
    <w:rsid w:val="00672BDF"/>
    <w:rsid w:val="00672C71"/>
    <w:rsid w:val="00672F07"/>
    <w:rsid w:val="0067302F"/>
    <w:rsid w:val="0067323B"/>
    <w:rsid w:val="0067326D"/>
    <w:rsid w:val="006735E1"/>
    <w:rsid w:val="0067367D"/>
    <w:rsid w:val="0067397A"/>
    <w:rsid w:val="00673A1B"/>
    <w:rsid w:val="00673C57"/>
    <w:rsid w:val="00673F3E"/>
    <w:rsid w:val="0067451B"/>
    <w:rsid w:val="00674E04"/>
    <w:rsid w:val="00674E81"/>
    <w:rsid w:val="00674FBA"/>
    <w:rsid w:val="0067500B"/>
    <w:rsid w:val="006751FB"/>
    <w:rsid w:val="0067526F"/>
    <w:rsid w:val="006757F5"/>
    <w:rsid w:val="00675880"/>
    <w:rsid w:val="00675BE8"/>
    <w:rsid w:val="00676100"/>
    <w:rsid w:val="00676176"/>
    <w:rsid w:val="006768B7"/>
    <w:rsid w:val="00676ACE"/>
    <w:rsid w:val="00676DAF"/>
    <w:rsid w:val="00676E04"/>
    <w:rsid w:val="0067759B"/>
    <w:rsid w:val="00677DD7"/>
    <w:rsid w:val="0068003F"/>
    <w:rsid w:val="0068005B"/>
    <w:rsid w:val="006806F8"/>
    <w:rsid w:val="00680D2A"/>
    <w:rsid w:val="00681182"/>
    <w:rsid w:val="00681183"/>
    <w:rsid w:val="0068154C"/>
    <w:rsid w:val="006815B6"/>
    <w:rsid w:val="006816D8"/>
    <w:rsid w:val="00681925"/>
    <w:rsid w:val="00681954"/>
    <w:rsid w:val="006819DE"/>
    <w:rsid w:val="00681A38"/>
    <w:rsid w:val="00681C03"/>
    <w:rsid w:val="00681EAF"/>
    <w:rsid w:val="006820E8"/>
    <w:rsid w:val="00682198"/>
    <w:rsid w:val="006822DE"/>
    <w:rsid w:val="00682AB4"/>
    <w:rsid w:val="00682D15"/>
    <w:rsid w:val="00682DE2"/>
    <w:rsid w:val="00682FF2"/>
    <w:rsid w:val="00683100"/>
    <w:rsid w:val="006835CE"/>
    <w:rsid w:val="00683604"/>
    <w:rsid w:val="006836FF"/>
    <w:rsid w:val="00683D00"/>
    <w:rsid w:val="006841FB"/>
    <w:rsid w:val="00684863"/>
    <w:rsid w:val="00684A52"/>
    <w:rsid w:val="00684AC2"/>
    <w:rsid w:val="00684E12"/>
    <w:rsid w:val="00684EFC"/>
    <w:rsid w:val="00684FE5"/>
    <w:rsid w:val="006850D4"/>
    <w:rsid w:val="0068526F"/>
    <w:rsid w:val="0068578D"/>
    <w:rsid w:val="00685A20"/>
    <w:rsid w:val="00685DE2"/>
    <w:rsid w:val="00686515"/>
    <w:rsid w:val="006865B4"/>
    <w:rsid w:val="006865E5"/>
    <w:rsid w:val="006865E7"/>
    <w:rsid w:val="006866F3"/>
    <w:rsid w:val="00686A07"/>
    <w:rsid w:val="00686E9D"/>
    <w:rsid w:val="00686FD1"/>
    <w:rsid w:val="006873D0"/>
    <w:rsid w:val="006873E6"/>
    <w:rsid w:val="00687864"/>
    <w:rsid w:val="00687C8B"/>
    <w:rsid w:val="006900DC"/>
    <w:rsid w:val="006901FD"/>
    <w:rsid w:val="00690341"/>
    <w:rsid w:val="0069078F"/>
    <w:rsid w:val="006908B9"/>
    <w:rsid w:val="00690BF4"/>
    <w:rsid w:val="00690DCE"/>
    <w:rsid w:val="00690E02"/>
    <w:rsid w:val="006913E6"/>
    <w:rsid w:val="006915E1"/>
    <w:rsid w:val="006918D9"/>
    <w:rsid w:val="00691B22"/>
    <w:rsid w:val="00691BE3"/>
    <w:rsid w:val="00691D3F"/>
    <w:rsid w:val="00691EDA"/>
    <w:rsid w:val="00691F2B"/>
    <w:rsid w:val="0069228E"/>
    <w:rsid w:val="006924EC"/>
    <w:rsid w:val="006925E8"/>
    <w:rsid w:val="006926F2"/>
    <w:rsid w:val="00692E63"/>
    <w:rsid w:val="00693286"/>
    <w:rsid w:val="0069349B"/>
    <w:rsid w:val="00693564"/>
    <w:rsid w:val="00693C5C"/>
    <w:rsid w:val="00693CF9"/>
    <w:rsid w:val="00693E51"/>
    <w:rsid w:val="00693EC0"/>
    <w:rsid w:val="0069440D"/>
    <w:rsid w:val="00694467"/>
    <w:rsid w:val="00694611"/>
    <w:rsid w:val="006949C5"/>
    <w:rsid w:val="00694BA8"/>
    <w:rsid w:val="00694BAD"/>
    <w:rsid w:val="00694D77"/>
    <w:rsid w:val="00694DCB"/>
    <w:rsid w:val="00694EB1"/>
    <w:rsid w:val="00694F6A"/>
    <w:rsid w:val="00694FA3"/>
    <w:rsid w:val="00695213"/>
    <w:rsid w:val="0069521E"/>
    <w:rsid w:val="006954C4"/>
    <w:rsid w:val="006956B8"/>
    <w:rsid w:val="00695764"/>
    <w:rsid w:val="0069590A"/>
    <w:rsid w:val="00695945"/>
    <w:rsid w:val="00695E45"/>
    <w:rsid w:val="00695F46"/>
    <w:rsid w:val="00696021"/>
    <w:rsid w:val="006960A3"/>
    <w:rsid w:val="006962A6"/>
    <w:rsid w:val="00696441"/>
    <w:rsid w:val="0069651E"/>
    <w:rsid w:val="00696569"/>
    <w:rsid w:val="006966E4"/>
    <w:rsid w:val="00696C50"/>
    <w:rsid w:val="00696D39"/>
    <w:rsid w:val="006970AD"/>
    <w:rsid w:val="00697102"/>
    <w:rsid w:val="00697128"/>
    <w:rsid w:val="00697196"/>
    <w:rsid w:val="0069738E"/>
    <w:rsid w:val="006977C2"/>
    <w:rsid w:val="00697980"/>
    <w:rsid w:val="006979CF"/>
    <w:rsid w:val="00697C38"/>
    <w:rsid w:val="00697C44"/>
    <w:rsid w:val="00697C65"/>
    <w:rsid w:val="006A025B"/>
    <w:rsid w:val="006A043D"/>
    <w:rsid w:val="006A0CEF"/>
    <w:rsid w:val="006A0D0C"/>
    <w:rsid w:val="006A0D48"/>
    <w:rsid w:val="006A1401"/>
    <w:rsid w:val="006A148E"/>
    <w:rsid w:val="006A1639"/>
    <w:rsid w:val="006A16C4"/>
    <w:rsid w:val="006A1729"/>
    <w:rsid w:val="006A17F1"/>
    <w:rsid w:val="006A1914"/>
    <w:rsid w:val="006A1E04"/>
    <w:rsid w:val="006A1E38"/>
    <w:rsid w:val="006A1ECB"/>
    <w:rsid w:val="006A20F8"/>
    <w:rsid w:val="006A230E"/>
    <w:rsid w:val="006A2374"/>
    <w:rsid w:val="006A239D"/>
    <w:rsid w:val="006A2464"/>
    <w:rsid w:val="006A2493"/>
    <w:rsid w:val="006A3016"/>
    <w:rsid w:val="006A3055"/>
    <w:rsid w:val="006A33FF"/>
    <w:rsid w:val="006A36EC"/>
    <w:rsid w:val="006A3A86"/>
    <w:rsid w:val="006A3C3C"/>
    <w:rsid w:val="006A3F4A"/>
    <w:rsid w:val="006A4069"/>
    <w:rsid w:val="006A4355"/>
    <w:rsid w:val="006A454F"/>
    <w:rsid w:val="006A45FA"/>
    <w:rsid w:val="006A49F4"/>
    <w:rsid w:val="006A4D23"/>
    <w:rsid w:val="006A4E8A"/>
    <w:rsid w:val="006A4FB4"/>
    <w:rsid w:val="006A5399"/>
    <w:rsid w:val="006A54C5"/>
    <w:rsid w:val="006A5888"/>
    <w:rsid w:val="006A5B7E"/>
    <w:rsid w:val="006A5E8D"/>
    <w:rsid w:val="006A5EE6"/>
    <w:rsid w:val="006A6029"/>
    <w:rsid w:val="006A6333"/>
    <w:rsid w:val="006A6823"/>
    <w:rsid w:val="006A694C"/>
    <w:rsid w:val="006A6A01"/>
    <w:rsid w:val="006A6EC1"/>
    <w:rsid w:val="006A7101"/>
    <w:rsid w:val="006A73E7"/>
    <w:rsid w:val="006A7410"/>
    <w:rsid w:val="006A76BE"/>
    <w:rsid w:val="006A7A2C"/>
    <w:rsid w:val="006B0013"/>
    <w:rsid w:val="006B00B2"/>
    <w:rsid w:val="006B02AC"/>
    <w:rsid w:val="006B02D6"/>
    <w:rsid w:val="006B02EF"/>
    <w:rsid w:val="006B03BF"/>
    <w:rsid w:val="006B065A"/>
    <w:rsid w:val="006B07ED"/>
    <w:rsid w:val="006B088B"/>
    <w:rsid w:val="006B0AF0"/>
    <w:rsid w:val="006B0B27"/>
    <w:rsid w:val="006B0B73"/>
    <w:rsid w:val="006B0BF2"/>
    <w:rsid w:val="006B0EB6"/>
    <w:rsid w:val="006B109F"/>
    <w:rsid w:val="006B1117"/>
    <w:rsid w:val="006B12D9"/>
    <w:rsid w:val="006B14B8"/>
    <w:rsid w:val="006B14DC"/>
    <w:rsid w:val="006B1558"/>
    <w:rsid w:val="006B1972"/>
    <w:rsid w:val="006B1990"/>
    <w:rsid w:val="006B1CCC"/>
    <w:rsid w:val="006B1FC4"/>
    <w:rsid w:val="006B2011"/>
    <w:rsid w:val="006B221F"/>
    <w:rsid w:val="006B22D3"/>
    <w:rsid w:val="006B2650"/>
    <w:rsid w:val="006B2D35"/>
    <w:rsid w:val="006B2D36"/>
    <w:rsid w:val="006B2E3B"/>
    <w:rsid w:val="006B312A"/>
    <w:rsid w:val="006B340E"/>
    <w:rsid w:val="006B3510"/>
    <w:rsid w:val="006B3597"/>
    <w:rsid w:val="006B3C18"/>
    <w:rsid w:val="006B3D06"/>
    <w:rsid w:val="006B3D81"/>
    <w:rsid w:val="006B3D85"/>
    <w:rsid w:val="006B3EDD"/>
    <w:rsid w:val="006B3FC2"/>
    <w:rsid w:val="006B4047"/>
    <w:rsid w:val="006B423F"/>
    <w:rsid w:val="006B429C"/>
    <w:rsid w:val="006B42CF"/>
    <w:rsid w:val="006B46CC"/>
    <w:rsid w:val="006B4704"/>
    <w:rsid w:val="006B4891"/>
    <w:rsid w:val="006B490F"/>
    <w:rsid w:val="006B4C9B"/>
    <w:rsid w:val="006B5163"/>
    <w:rsid w:val="006B5A66"/>
    <w:rsid w:val="006B6056"/>
    <w:rsid w:val="006B6134"/>
    <w:rsid w:val="006B6264"/>
    <w:rsid w:val="006B63AE"/>
    <w:rsid w:val="006B6484"/>
    <w:rsid w:val="006B66A2"/>
    <w:rsid w:val="006B6738"/>
    <w:rsid w:val="006B6885"/>
    <w:rsid w:val="006B6A93"/>
    <w:rsid w:val="006B6AFC"/>
    <w:rsid w:val="006B6C82"/>
    <w:rsid w:val="006B6D24"/>
    <w:rsid w:val="006B7328"/>
    <w:rsid w:val="006B7379"/>
    <w:rsid w:val="006B7435"/>
    <w:rsid w:val="006B792F"/>
    <w:rsid w:val="006B7BCE"/>
    <w:rsid w:val="006B7EAF"/>
    <w:rsid w:val="006C01D9"/>
    <w:rsid w:val="006C023F"/>
    <w:rsid w:val="006C0320"/>
    <w:rsid w:val="006C0481"/>
    <w:rsid w:val="006C06C3"/>
    <w:rsid w:val="006C06F7"/>
    <w:rsid w:val="006C09E7"/>
    <w:rsid w:val="006C0DEF"/>
    <w:rsid w:val="006C0E36"/>
    <w:rsid w:val="006C0F1E"/>
    <w:rsid w:val="006C0F3A"/>
    <w:rsid w:val="006C1170"/>
    <w:rsid w:val="006C136B"/>
    <w:rsid w:val="006C1657"/>
    <w:rsid w:val="006C1C66"/>
    <w:rsid w:val="006C1CEF"/>
    <w:rsid w:val="006C1D3B"/>
    <w:rsid w:val="006C1D74"/>
    <w:rsid w:val="006C27C2"/>
    <w:rsid w:val="006C29E2"/>
    <w:rsid w:val="006C2EFE"/>
    <w:rsid w:val="006C312A"/>
    <w:rsid w:val="006C3986"/>
    <w:rsid w:val="006C3A18"/>
    <w:rsid w:val="006C3B47"/>
    <w:rsid w:val="006C3DDD"/>
    <w:rsid w:val="006C46B8"/>
    <w:rsid w:val="006C4A82"/>
    <w:rsid w:val="006C4C2D"/>
    <w:rsid w:val="006C4C97"/>
    <w:rsid w:val="006C4CAE"/>
    <w:rsid w:val="006C4D50"/>
    <w:rsid w:val="006C4D56"/>
    <w:rsid w:val="006C4E72"/>
    <w:rsid w:val="006C5193"/>
    <w:rsid w:val="006C530E"/>
    <w:rsid w:val="006C5555"/>
    <w:rsid w:val="006C59B7"/>
    <w:rsid w:val="006C5E82"/>
    <w:rsid w:val="006C5EDF"/>
    <w:rsid w:val="006C6011"/>
    <w:rsid w:val="006C6525"/>
    <w:rsid w:val="006C6AE0"/>
    <w:rsid w:val="006C6CBE"/>
    <w:rsid w:val="006C6D1B"/>
    <w:rsid w:val="006C6DA0"/>
    <w:rsid w:val="006C6ED5"/>
    <w:rsid w:val="006C6FD0"/>
    <w:rsid w:val="006C7301"/>
    <w:rsid w:val="006C733E"/>
    <w:rsid w:val="006C7381"/>
    <w:rsid w:val="006C7736"/>
    <w:rsid w:val="006C7757"/>
    <w:rsid w:val="006C77E1"/>
    <w:rsid w:val="006C7C44"/>
    <w:rsid w:val="006C7E29"/>
    <w:rsid w:val="006D0007"/>
    <w:rsid w:val="006D0079"/>
    <w:rsid w:val="006D0089"/>
    <w:rsid w:val="006D0626"/>
    <w:rsid w:val="006D067B"/>
    <w:rsid w:val="006D0843"/>
    <w:rsid w:val="006D087D"/>
    <w:rsid w:val="006D0896"/>
    <w:rsid w:val="006D0B72"/>
    <w:rsid w:val="006D0C89"/>
    <w:rsid w:val="006D0D6D"/>
    <w:rsid w:val="006D10BA"/>
    <w:rsid w:val="006D10E0"/>
    <w:rsid w:val="006D10ED"/>
    <w:rsid w:val="006D1157"/>
    <w:rsid w:val="006D11A2"/>
    <w:rsid w:val="006D11D8"/>
    <w:rsid w:val="006D138B"/>
    <w:rsid w:val="006D1422"/>
    <w:rsid w:val="006D148F"/>
    <w:rsid w:val="006D168F"/>
    <w:rsid w:val="006D18ED"/>
    <w:rsid w:val="006D1F9B"/>
    <w:rsid w:val="006D221A"/>
    <w:rsid w:val="006D246D"/>
    <w:rsid w:val="006D24B1"/>
    <w:rsid w:val="006D253C"/>
    <w:rsid w:val="006D287C"/>
    <w:rsid w:val="006D2CDA"/>
    <w:rsid w:val="006D325D"/>
    <w:rsid w:val="006D3368"/>
    <w:rsid w:val="006D37D8"/>
    <w:rsid w:val="006D3A83"/>
    <w:rsid w:val="006D3F33"/>
    <w:rsid w:val="006D485F"/>
    <w:rsid w:val="006D489D"/>
    <w:rsid w:val="006D49F2"/>
    <w:rsid w:val="006D4D24"/>
    <w:rsid w:val="006D4D93"/>
    <w:rsid w:val="006D4F0A"/>
    <w:rsid w:val="006D5148"/>
    <w:rsid w:val="006D520D"/>
    <w:rsid w:val="006D52BB"/>
    <w:rsid w:val="006D5699"/>
    <w:rsid w:val="006D58FE"/>
    <w:rsid w:val="006D5C5F"/>
    <w:rsid w:val="006D5FD7"/>
    <w:rsid w:val="006D6089"/>
    <w:rsid w:val="006D61A5"/>
    <w:rsid w:val="006D620C"/>
    <w:rsid w:val="006D634C"/>
    <w:rsid w:val="006D643D"/>
    <w:rsid w:val="006D6534"/>
    <w:rsid w:val="006D6881"/>
    <w:rsid w:val="006D6DD0"/>
    <w:rsid w:val="006D6EFE"/>
    <w:rsid w:val="006D7276"/>
    <w:rsid w:val="006D742C"/>
    <w:rsid w:val="006D773F"/>
    <w:rsid w:val="006D7987"/>
    <w:rsid w:val="006D799C"/>
    <w:rsid w:val="006D7C15"/>
    <w:rsid w:val="006D7CD3"/>
    <w:rsid w:val="006E0077"/>
    <w:rsid w:val="006E05BF"/>
    <w:rsid w:val="006E05D5"/>
    <w:rsid w:val="006E086C"/>
    <w:rsid w:val="006E0B4A"/>
    <w:rsid w:val="006E0CA8"/>
    <w:rsid w:val="006E104A"/>
    <w:rsid w:val="006E10F7"/>
    <w:rsid w:val="006E11F5"/>
    <w:rsid w:val="006E14CD"/>
    <w:rsid w:val="006E19EF"/>
    <w:rsid w:val="006E1D09"/>
    <w:rsid w:val="006E2115"/>
    <w:rsid w:val="006E2184"/>
    <w:rsid w:val="006E2621"/>
    <w:rsid w:val="006E26D8"/>
    <w:rsid w:val="006E2B35"/>
    <w:rsid w:val="006E2B75"/>
    <w:rsid w:val="006E2C41"/>
    <w:rsid w:val="006E32BC"/>
    <w:rsid w:val="006E391E"/>
    <w:rsid w:val="006E3AA6"/>
    <w:rsid w:val="006E3C93"/>
    <w:rsid w:val="006E3D3D"/>
    <w:rsid w:val="006E3F9B"/>
    <w:rsid w:val="006E4141"/>
    <w:rsid w:val="006E45BD"/>
    <w:rsid w:val="006E4992"/>
    <w:rsid w:val="006E5001"/>
    <w:rsid w:val="006E5338"/>
    <w:rsid w:val="006E53D2"/>
    <w:rsid w:val="006E5730"/>
    <w:rsid w:val="006E5831"/>
    <w:rsid w:val="006E5A4E"/>
    <w:rsid w:val="006E5AE3"/>
    <w:rsid w:val="006E5C50"/>
    <w:rsid w:val="006E5CCC"/>
    <w:rsid w:val="006E5EC9"/>
    <w:rsid w:val="006E63B1"/>
    <w:rsid w:val="006E6A3F"/>
    <w:rsid w:val="006E6A74"/>
    <w:rsid w:val="006E6A96"/>
    <w:rsid w:val="006E6BCD"/>
    <w:rsid w:val="006E6D96"/>
    <w:rsid w:val="006E6DAA"/>
    <w:rsid w:val="006E6EA4"/>
    <w:rsid w:val="006E7048"/>
    <w:rsid w:val="006E70EE"/>
    <w:rsid w:val="006E711B"/>
    <w:rsid w:val="006E716B"/>
    <w:rsid w:val="006E71CC"/>
    <w:rsid w:val="006E729C"/>
    <w:rsid w:val="006E7586"/>
    <w:rsid w:val="006E75BA"/>
    <w:rsid w:val="006E7AB4"/>
    <w:rsid w:val="006E7B0B"/>
    <w:rsid w:val="006E7BDF"/>
    <w:rsid w:val="006F00D3"/>
    <w:rsid w:val="006F0962"/>
    <w:rsid w:val="006F0D9D"/>
    <w:rsid w:val="006F0DC4"/>
    <w:rsid w:val="006F0E40"/>
    <w:rsid w:val="006F109E"/>
    <w:rsid w:val="006F1103"/>
    <w:rsid w:val="006F1407"/>
    <w:rsid w:val="006F164F"/>
    <w:rsid w:val="006F16AA"/>
    <w:rsid w:val="006F173A"/>
    <w:rsid w:val="006F1CEA"/>
    <w:rsid w:val="006F2216"/>
    <w:rsid w:val="006F24E4"/>
    <w:rsid w:val="006F251D"/>
    <w:rsid w:val="006F263B"/>
    <w:rsid w:val="006F26A2"/>
    <w:rsid w:val="006F27E5"/>
    <w:rsid w:val="006F2964"/>
    <w:rsid w:val="006F2EDF"/>
    <w:rsid w:val="006F31A6"/>
    <w:rsid w:val="006F3368"/>
    <w:rsid w:val="006F3593"/>
    <w:rsid w:val="006F3A7E"/>
    <w:rsid w:val="006F3BEA"/>
    <w:rsid w:val="006F40C7"/>
    <w:rsid w:val="006F4114"/>
    <w:rsid w:val="006F435F"/>
    <w:rsid w:val="006F4400"/>
    <w:rsid w:val="006F449B"/>
    <w:rsid w:val="006F463D"/>
    <w:rsid w:val="006F49BB"/>
    <w:rsid w:val="006F4B70"/>
    <w:rsid w:val="006F4B92"/>
    <w:rsid w:val="006F54C2"/>
    <w:rsid w:val="006F5823"/>
    <w:rsid w:val="006F59BE"/>
    <w:rsid w:val="006F5A0A"/>
    <w:rsid w:val="006F5CB4"/>
    <w:rsid w:val="006F5F96"/>
    <w:rsid w:val="006F604A"/>
    <w:rsid w:val="006F6115"/>
    <w:rsid w:val="006F61D7"/>
    <w:rsid w:val="006F664B"/>
    <w:rsid w:val="006F686E"/>
    <w:rsid w:val="006F69B1"/>
    <w:rsid w:val="006F6AA5"/>
    <w:rsid w:val="006F6C4B"/>
    <w:rsid w:val="006F6C70"/>
    <w:rsid w:val="006F6FF5"/>
    <w:rsid w:val="006F70C7"/>
    <w:rsid w:val="006F74E0"/>
    <w:rsid w:val="006F75DE"/>
    <w:rsid w:val="006F7E2C"/>
    <w:rsid w:val="006F7F59"/>
    <w:rsid w:val="0070037F"/>
    <w:rsid w:val="00700801"/>
    <w:rsid w:val="00700885"/>
    <w:rsid w:val="00700B52"/>
    <w:rsid w:val="00700B63"/>
    <w:rsid w:val="00700E2E"/>
    <w:rsid w:val="00700F71"/>
    <w:rsid w:val="007012C0"/>
    <w:rsid w:val="00701326"/>
    <w:rsid w:val="00701455"/>
    <w:rsid w:val="00701A0B"/>
    <w:rsid w:val="00701B6F"/>
    <w:rsid w:val="00701DF8"/>
    <w:rsid w:val="007021B5"/>
    <w:rsid w:val="007021BE"/>
    <w:rsid w:val="0070260B"/>
    <w:rsid w:val="00702666"/>
    <w:rsid w:val="00702782"/>
    <w:rsid w:val="00702939"/>
    <w:rsid w:val="00702989"/>
    <w:rsid w:val="00702D98"/>
    <w:rsid w:val="00702EE0"/>
    <w:rsid w:val="0070308D"/>
    <w:rsid w:val="0070350B"/>
    <w:rsid w:val="007037B7"/>
    <w:rsid w:val="00703812"/>
    <w:rsid w:val="00703CC2"/>
    <w:rsid w:val="007043A1"/>
    <w:rsid w:val="00704562"/>
    <w:rsid w:val="00704980"/>
    <w:rsid w:val="00704B41"/>
    <w:rsid w:val="00704B72"/>
    <w:rsid w:val="00704B7C"/>
    <w:rsid w:val="00704E6A"/>
    <w:rsid w:val="00704EB2"/>
    <w:rsid w:val="007054EF"/>
    <w:rsid w:val="00705931"/>
    <w:rsid w:val="00705BF3"/>
    <w:rsid w:val="00705CF8"/>
    <w:rsid w:val="00705EB3"/>
    <w:rsid w:val="00706187"/>
    <w:rsid w:val="0070623A"/>
    <w:rsid w:val="007063BC"/>
    <w:rsid w:val="007066E0"/>
    <w:rsid w:val="007067E1"/>
    <w:rsid w:val="00706CB8"/>
    <w:rsid w:val="00707244"/>
    <w:rsid w:val="007072F1"/>
    <w:rsid w:val="007074EA"/>
    <w:rsid w:val="00707570"/>
    <w:rsid w:val="00707656"/>
    <w:rsid w:val="0070785D"/>
    <w:rsid w:val="0070794C"/>
    <w:rsid w:val="00707ABB"/>
    <w:rsid w:val="00707BB9"/>
    <w:rsid w:val="00707BD2"/>
    <w:rsid w:val="007108C2"/>
    <w:rsid w:val="00710A71"/>
    <w:rsid w:val="00710B64"/>
    <w:rsid w:val="00710E22"/>
    <w:rsid w:val="0071126C"/>
    <w:rsid w:val="007117A1"/>
    <w:rsid w:val="007118B1"/>
    <w:rsid w:val="007118B9"/>
    <w:rsid w:val="007119DE"/>
    <w:rsid w:val="00711C02"/>
    <w:rsid w:val="00711C0D"/>
    <w:rsid w:val="00711DB9"/>
    <w:rsid w:val="00712185"/>
    <w:rsid w:val="00712967"/>
    <w:rsid w:val="00712EBD"/>
    <w:rsid w:val="00712F17"/>
    <w:rsid w:val="0071308F"/>
    <w:rsid w:val="00713E60"/>
    <w:rsid w:val="007144E2"/>
    <w:rsid w:val="00714689"/>
    <w:rsid w:val="0071477C"/>
    <w:rsid w:val="00714870"/>
    <w:rsid w:val="0071495A"/>
    <w:rsid w:val="00714A79"/>
    <w:rsid w:val="00714B22"/>
    <w:rsid w:val="00714C7F"/>
    <w:rsid w:val="00714CA2"/>
    <w:rsid w:val="00714F20"/>
    <w:rsid w:val="00714FF8"/>
    <w:rsid w:val="007150C1"/>
    <w:rsid w:val="0071511A"/>
    <w:rsid w:val="00715225"/>
    <w:rsid w:val="00715548"/>
    <w:rsid w:val="00715819"/>
    <w:rsid w:val="0071590C"/>
    <w:rsid w:val="00715CDD"/>
    <w:rsid w:val="00715E28"/>
    <w:rsid w:val="00716100"/>
    <w:rsid w:val="0071616A"/>
    <w:rsid w:val="00716209"/>
    <w:rsid w:val="007167FB"/>
    <w:rsid w:val="00716D00"/>
    <w:rsid w:val="00717038"/>
    <w:rsid w:val="007171E9"/>
    <w:rsid w:val="007179B5"/>
    <w:rsid w:val="00717A11"/>
    <w:rsid w:val="00717A36"/>
    <w:rsid w:val="00717DAD"/>
    <w:rsid w:val="0072046F"/>
    <w:rsid w:val="00720475"/>
    <w:rsid w:val="00720593"/>
    <w:rsid w:val="007205DB"/>
    <w:rsid w:val="00720AC7"/>
    <w:rsid w:val="00720B0D"/>
    <w:rsid w:val="0072106F"/>
    <w:rsid w:val="007214BA"/>
    <w:rsid w:val="0072164F"/>
    <w:rsid w:val="0072168B"/>
    <w:rsid w:val="00721B40"/>
    <w:rsid w:val="00721CA0"/>
    <w:rsid w:val="00721D6B"/>
    <w:rsid w:val="00721D70"/>
    <w:rsid w:val="00721F1D"/>
    <w:rsid w:val="0072214B"/>
    <w:rsid w:val="0072239F"/>
    <w:rsid w:val="00722615"/>
    <w:rsid w:val="00722C52"/>
    <w:rsid w:val="007239D2"/>
    <w:rsid w:val="00723F77"/>
    <w:rsid w:val="00724247"/>
    <w:rsid w:val="007242AB"/>
    <w:rsid w:val="00724379"/>
    <w:rsid w:val="007243D7"/>
    <w:rsid w:val="0072496F"/>
    <w:rsid w:val="00724B14"/>
    <w:rsid w:val="00724CEE"/>
    <w:rsid w:val="00725551"/>
    <w:rsid w:val="007255AB"/>
    <w:rsid w:val="00725A55"/>
    <w:rsid w:val="00725B44"/>
    <w:rsid w:val="00725BD0"/>
    <w:rsid w:val="007261E8"/>
    <w:rsid w:val="00726409"/>
    <w:rsid w:val="00726A0E"/>
    <w:rsid w:val="00726B1D"/>
    <w:rsid w:val="00726E9D"/>
    <w:rsid w:val="00727125"/>
    <w:rsid w:val="00727193"/>
    <w:rsid w:val="007271C7"/>
    <w:rsid w:val="00727463"/>
    <w:rsid w:val="00727612"/>
    <w:rsid w:val="00727AE1"/>
    <w:rsid w:val="00727EAA"/>
    <w:rsid w:val="00727FBA"/>
    <w:rsid w:val="00730124"/>
    <w:rsid w:val="0073028E"/>
    <w:rsid w:val="00730431"/>
    <w:rsid w:val="00730456"/>
    <w:rsid w:val="007305DA"/>
    <w:rsid w:val="00730AAA"/>
    <w:rsid w:val="00730EE8"/>
    <w:rsid w:val="00731146"/>
    <w:rsid w:val="007312CF"/>
    <w:rsid w:val="007313FB"/>
    <w:rsid w:val="00731480"/>
    <w:rsid w:val="00731ABB"/>
    <w:rsid w:val="00731C92"/>
    <w:rsid w:val="0073225B"/>
    <w:rsid w:val="0073257B"/>
    <w:rsid w:val="00732648"/>
    <w:rsid w:val="00732AE5"/>
    <w:rsid w:val="00732BD0"/>
    <w:rsid w:val="00732CC1"/>
    <w:rsid w:val="00732D93"/>
    <w:rsid w:val="00732E01"/>
    <w:rsid w:val="00732F25"/>
    <w:rsid w:val="00733373"/>
    <w:rsid w:val="007335CC"/>
    <w:rsid w:val="00733966"/>
    <w:rsid w:val="00733995"/>
    <w:rsid w:val="00733B75"/>
    <w:rsid w:val="00733EA8"/>
    <w:rsid w:val="007349A3"/>
    <w:rsid w:val="007349CF"/>
    <w:rsid w:val="00734BBC"/>
    <w:rsid w:val="00734FFB"/>
    <w:rsid w:val="007351ED"/>
    <w:rsid w:val="00735512"/>
    <w:rsid w:val="007358DD"/>
    <w:rsid w:val="0073615D"/>
    <w:rsid w:val="007365E0"/>
    <w:rsid w:val="00736868"/>
    <w:rsid w:val="0073687D"/>
    <w:rsid w:val="00736D75"/>
    <w:rsid w:val="007372F1"/>
    <w:rsid w:val="00737494"/>
    <w:rsid w:val="007374C8"/>
    <w:rsid w:val="007376D5"/>
    <w:rsid w:val="0073771B"/>
    <w:rsid w:val="00737731"/>
    <w:rsid w:val="00737749"/>
    <w:rsid w:val="007377F1"/>
    <w:rsid w:val="00737A02"/>
    <w:rsid w:val="00737BEC"/>
    <w:rsid w:val="00737C30"/>
    <w:rsid w:val="00737C47"/>
    <w:rsid w:val="00737D99"/>
    <w:rsid w:val="007401D3"/>
    <w:rsid w:val="0074068F"/>
    <w:rsid w:val="00740A12"/>
    <w:rsid w:val="00740FB4"/>
    <w:rsid w:val="00741187"/>
    <w:rsid w:val="00741196"/>
    <w:rsid w:val="007411AE"/>
    <w:rsid w:val="0074127E"/>
    <w:rsid w:val="007413FF"/>
    <w:rsid w:val="00741659"/>
    <w:rsid w:val="007418BC"/>
    <w:rsid w:val="00741948"/>
    <w:rsid w:val="00741969"/>
    <w:rsid w:val="00741AD8"/>
    <w:rsid w:val="00741B64"/>
    <w:rsid w:val="00742181"/>
    <w:rsid w:val="007422BB"/>
    <w:rsid w:val="0074260D"/>
    <w:rsid w:val="007429A1"/>
    <w:rsid w:val="007429E7"/>
    <w:rsid w:val="00742A59"/>
    <w:rsid w:val="00742CBB"/>
    <w:rsid w:val="00742F9A"/>
    <w:rsid w:val="00742F9D"/>
    <w:rsid w:val="0074363F"/>
    <w:rsid w:val="00743900"/>
    <w:rsid w:val="00743938"/>
    <w:rsid w:val="00743DB2"/>
    <w:rsid w:val="00744186"/>
    <w:rsid w:val="007445D8"/>
    <w:rsid w:val="007448EE"/>
    <w:rsid w:val="00744A23"/>
    <w:rsid w:val="00744BD5"/>
    <w:rsid w:val="00744E00"/>
    <w:rsid w:val="007453AF"/>
    <w:rsid w:val="007454A5"/>
    <w:rsid w:val="00745678"/>
    <w:rsid w:val="007460AF"/>
    <w:rsid w:val="0074623A"/>
    <w:rsid w:val="007462D4"/>
    <w:rsid w:val="00746F22"/>
    <w:rsid w:val="007470EC"/>
    <w:rsid w:val="0074727F"/>
    <w:rsid w:val="00747672"/>
    <w:rsid w:val="00747C1B"/>
    <w:rsid w:val="0075020D"/>
    <w:rsid w:val="0075036A"/>
    <w:rsid w:val="007505F9"/>
    <w:rsid w:val="00750C70"/>
    <w:rsid w:val="00750DC8"/>
    <w:rsid w:val="00750F03"/>
    <w:rsid w:val="00751784"/>
    <w:rsid w:val="007517C8"/>
    <w:rsid w:val="00751940"/>
    <w:rsid w:val="00751971"/>
    <w:rsid w:val="00751B0C"/>
    <w:rsid w:val="00751D39"/>
    <w:rsid w:val="00751DE6"/>
    <w:rsid w:val="00751F8D"/>
    <w:rsid w:val="007522AB"/>
    <w:rsid w:val="007524BF"/>
    <w:rsid w:val="007525FE"/>
    <w:rsid w:val="0075262C"/>
    <w:rsid w:val="007527E4"/>
    <w:rsid w:val="00752C11"/>
    <w:rsid w:val="00752DB4"/>
    <w:rsid w:val="00752FBF"/>
    <w:rsid w:val="007531AF"/>
    <w:rsid w:val="007531C9"/>
    <w:rsid w:val="00753384"/>
    <w:rsid w:val="00753503"/>
    <w:rsid w:val="007536D8"/>
    <w:rsid w:val="007537C9"/>
    <w:rsid w:val="007537DB"/>
    <w:rsid w:val="00753847"/>
    <w:rsid w:val="00753B79"/>
    <w:rsid w:val="00753B8F"/>
    <w:rsid w:val="00753C48"/>
    <w:rsid w:val="007541B1"/>
    <w:rsid w:val="00754626"/>
    <w:rsid w:val="0075486D"/>
    <w:rsid w:val="007549C5"/>
    <w:rsid w:val="00754A55"/>
    <w:rsid w:val="00754BCB"/>
    <w:rsid w:val="00754CFE"/>
    <w:rsid w:val="00754DA3"/>
    <w:rsid w:val="00754E2E"/>
    <w:rsid w:val="00754EA1"/>
    <w:rsid w:val="00754ED0"/>
    <w:rsid w:val="0075505B"/>
    <w:rsid w:val="00755338"/>
    <w:rsid w:val="00755388"/>
    <w:rsid w:val="0075573E"/>
    <w:rsid w:val="00755900"/>
    <w:rsid w:val="0075594B"/>
    <w:rsid w:val="00755A6A"/>
    <w:rsid w:val="00755C75"/>
    <w:rsid w:val="00755CC3"/>
    <w:rsid w:val="007561AB"/>
    <w:rsid w:val="007562AA"/>
    <w:rsid w:val="00756377"/>
    <w:rsid w:val="007564C5"/>
    <w:rsid w:val="00756565"/>
    <w:rsid w:val="007565A4"/>
    <w:rsid w:val="00756A90"/>
    <w:rsid w:val="00756BEB"/>
    <w:rsid w:val="00756C21"/>
    <w:rsid w:val="00756C5D"/>
    <w:rsid w:val="00756CC3"/>
    <w:rsid w:val="00756CE0"/>
    <w:rsid w:val="00756DDA"/>
    <w:rsid w:val="00756EC6"/>
    <w:rsid w:val="00757164"/>
    <w:rsid w:val="007578B8"/>
    <w:rsid w:val="00757B3A"/>
    <w:rsid w:val="00757DC0"/>
    <w:rsid w:val="00760179"/>
    <w:rsid w:val="007604D4"/>
    <w:rsid w:val="007606F6"/>
    <w:rsid w:val="007608CC"/>
    <w:rsid w:val="00760973"/>
    <w:rsid w:val="007609BF"/>
    <w:rsid w:val="00760A13"/>
    <w:rsid w:val="0076119D"/>
    <w:rsid w:val="007611A0"/>
    <w:rsid w:val="007611EA"/>
    <w:rsid w:val="00761693"/>
    <w:rsid w:val="00762044"/>
    <w:rsid w:val="00762271"/>
    <w:rsid w:val="007624EE"/>
    <w:rsid w:val="0076284D"/>
    <w:rsid w:val="007628AF"/>
    <w:rsid w:val="0076290E"/>
    <w:rsid w:val="0076318D"/>
    <w:rsid w:val="007634A0"/>
    <w:rsid w:val="00763803"/>
    <w:rsid w:val="007638C0"/>
    <w:rsid w:val="00763BCE"/>
    <w:rsid w:val="00763EFC"/>
    <w:rsid w:val="0076411B"/>
    <w:rsid w:val="007641C3"/>
    <w:rsid w:val="007644F2"/>
    <w:rsid w:val="00764790"/>
    <w:rsid w:val="007647A6"/>
    <w:rsid w:val="007649ED"/>
    <w:rsid w:val="00764BC2"/>
    <w:rsid w:val="00764C67"/>
    <w:rsid w:val="00764CC2"/>
    <w:rsid w:val="00764D59"/>
    <w:rsid w:val="00764DA4"/>
    <w:rsid w:val="0076506F"/>
    <w:rsid w:val="007657CA"/>
    <w:rsid w:val="00765902"/>
    <w:rsid w:val="00765B3D"/>
    <w:rsid w:val="00765B4F"/>
    <w:rsid w:val="00766074"/>
    <w:rsid w:val="007661C7"/>
    <w:rsid w:val="007663D4"/>
    <w:rsid w:val="007664B0"/>
    <w:rsid w:val="00766B91"/>
    <w:rsid w:val="00766C63"/>
    <w:rsid w:val="007671C7"/>
    <w:rsid w:val="007675D8"/>
    <w:rsid w:val="00767D6A"/>
    <w:rsid w:val="00770422"/>
    <w:rsid w:val="007705B0"/>
    <w:rsid w:val="00770637"/>
    <w:rsid w:val="007706D1"/>
    <w:rsid w:val="007707AB"/>
    <w:rsid w:val="00770A5F"/>
    <w:rsid w:val="00770E45"/>
    <w:rsid w:val="0077160A"/>
    <w:rsid w:val="0077218A"/>
    <w:rsid w:val="0077256C"/>
    <w:rsid w:val="0077273A"/>
    <w:rsid w:val="00772B23"/>
    <w:rsid w:val="00772B40"/>
    <w:rsid w:val="00772C3C"/>
    <w:rsid w:val="00773215"/>
    <w:rsid w:val="00773317"/>
    <w:rsid w:val="007738AA"/>
    <w:rsid w:val="007739DA"/>
    <w:rsid w:val="00773D47"/>
    <w:rsid w:val="007741AA"/>
    <w:rsid w:val="00774260"/>
    <w:rsid w:val="00774414"/>
    <w:rsid w:val="00774510"/>
    <w:rsid w:val="00774B6D"/>
    <w:rsid w:val="00774C73"/>
    <w:rsid w:val="00774D6F"/>
    <w:rsid w:val="00774EFF"/>
    <w:rsid w:val="0077529B"/>
    <w:rsid w:val="00775318"/>
    <w:rsid w:val="007757E4"/>
    <w:rsid w:val="00775852"/>
    <w:rsid w:val="007759AA"/>
    <w:rsid w:val="00775A39"/>
    <w:rsid w:val="00775D1F"/>
    <w:rsid w:val="007760DD"/>
    <w:rsid w:val="00776345"/>
    <w:rsid w:val="00776468"/>
    <w:rsid w:val="00776745"/>
    <w:rsid w:val="00776AAD"/>
    <w:rsid w:val="00776FEC"/>
    <w:rsid w:val="007770BE"/>
    <w:rsid w:val="0077727F"/>
    <w:rsid w:val="0077762A"/>
    <w:rsid w:val="0077776A"/>
    <w:rsid w:val="0077798C"/>
    <w:rsid w:val="00780302"/>
    <w:rsid w:val="00781071"/>
    <w:rsid w:val="00781770"/>
    <w:rsid w:val="00781992"/>
    <w:rsid w:val="00781B3B"/>
    <w:rsid w:val="007820A6"/>
    <w:rsid w:val="007820D6"/>
    <w:rsid w:val="007822A9"/>
    <w:rsid w:val="007822F6"/>
    <w:rsid w:val="0078236F"/>
    <w:rsid w:val="00782529"/>
    <w:rsid w:val="00782675"/>
    <w:rsid w:val="0078363A"/>
    <w:rsid w:val="00783F18"/>
    <w:rsid w:val="00784431"/>
    <w:rsid w:val="0078444C"/>
    <w:rsid w:val="007845AC"/>
    <w:rsid w:val="007847D5"/>
    <w:rsid w:val="007849AA"/>
    <w:rsid w:val="00784B2C"/>
    <w:rsid w:val="00784C00"/>
    <w:rsid w:val="0078502D"/>
    <w:rsid w:val="007853D1"/>
    <w:rsid w:val="00785440"/>
    <w:rsid w:val="00785552"/>
    <w:rsid w:val="007855E2"/>
    <w:rsid w:val="007855F2"/>
    <w:rsid w:val="00785870"/>
    <w:rsid w:val="00785951"/>
    <w:rsid w:val="00785A26"/>
    <w:rsid w:val="00785BD9"/>
    <w:rsid w:val="00785C3F"/>
    <w:rsid w:val="007860B6"/>
    <w:rsid w:val="0078665B"/>
    <w:rsid w:val="0078681D"/>
    <w:rsid w:val="0078693A"/>
    <w:rsid w:val="00786E93"/>
    <w:rsid w:val="007872BF"/>
    <w:rsid w:val="0078771A"/>
    <w:rsid w:val="007877FE"/>
    <w:rsid w:val="007878C7"/>
    <w:rsid w:val="00790143"/>
    <w:rsid w:val="0079021B"/>
    <w:rsid w:val="007902D8"/>
    <w:rsid w:val="0079038A"/>
    <w:rsid w:val="0079055B"/>
    <w:rsid w:val="007907BB"/>
    <w:rsid w:val="00790870"/>
    <w:rsid w:val="007908B3"/>
    <w:rsid w:val="0079094A"/>
    <w:rsid w:val="007909A8"/>
    <w:rsid w:val="00790A9B"/>
    <w:rsid w:val="00790AB2"/>
    <w:rsid w:val="00790DF6"/>
    <w:rsid w:val="00790E5F"/>
    <w:rsid w:val="00791370"/>
    <w:rsid w:val="0079138F"/>
    <w:rsid w:val="00791683"/>
    <w:rsid w:val="0079186A"/>
    <w:rsid w:val="00791897"/>
    <w:rsid w:val="00791BD3"/>
    <w:rsid w:val="00791F2E"/>
    <w:rsid w:val="00791F99"/>
    <w:rsid w:val="007920FA"/>
    <w:rsid w:val="007923A5"/>
    <w:rsid w:val="00792694"/>
    <w:rsid w:val="00792903"/>
    <w:rsid w:val="00792A02"/>
    <w:rsid w:val="00792B48"/>
    <w:rsid w:val="00792B6F"/>
    <w:rsid w:val="00792E57"/>
    <w:rsid w:val="00792F36"/>
    <w:rsid w:val="00792FD9"/>
    <w:rsid w:val="007930CB"/>
    <w:rsid w:val="0079323B"/>
    <w:rsid w:val="007932E7"/>
    <w:rsid w:val="00793AE4"/>
    <w:rsid w:val="00793DCD"/>
    <w:rsid w:val="00793E08"/>
    <w:rsid w:val="00793E98"/>
    <w:rsid w:val="00793EA8"/>
    <w:rsid w:val="00793FF8"/>
    <w:rsid w:val="00794068"/>
    <w:rsid w:val="0079454F"/>
    <w:rsid w:val="00794C1E"/>
    <w:rsid w:val="00794D3F"/>
    <w:rsid w:val="00794DCC"/>
    <w:rsid w:val="00794EF1"/>
    <w:rsid w:val="007950FE"/>
    <w:rsid w:val="00795117"/>
    <w:rsid w:val="007955CD"/>
    <w:rsid w:val="00795BC1"/>
    <w:rsid w:val="00795F8B"/>
    <w:rsid w:val="0079603A"/>
    <w:rsid w:val="00796650"/>
    <w:rsid w:val="00796B2F"/>
    <w:rsid w:val="00796D4E"/>
    <w:rsid w:val="00796D60"/>
    <w:rsid w:val="00796DD1"/>
    <w:rsid w:val="00797230"/>
    <w:rsid w:val="00797809"/>
    <w:rsid w:val="00797890"/>
    <w:rsid w:val="0079794B"/>
    <w:rsid w:val="00797B29"/>
    <w:rsid w:val="00797E8E"/>
    <w:rsid w:val="007A004B"/>
    <w:rsid w:val="007A0145"/>
    <w:rsid w:val="007A026C"/>
    <w:rsid w:val="007A0517"/>
    <w:rsid w:val="007A073B"/>
    <w:rsid w:val="007A07BD"/>
    <w:rsid w:val="007A0808"/>
    <w:rsid w:val="007A096E"/>
    <w:rsid w:val="007A0F18"/>
    <w:rsid w:val="007A1027"/>
    <w:rsid w:val="007A1133"/>
    <w:rsid w:val="007A189F"/>
    <w:rsid w:val="007A18A4"/>
    <w:rsid w:val="007A19FE"/>
    <w:rsid w:val="007A1C63"/>
    <w:rsid w:val="007A2347"/>
    <w:rsid w:val="007A23E2"/>
    <w:rsid w:val="007A2A05"/>
    <w:rsid w:val="007A2B95"/>
    <w:rsid w:val="007A2F73"/>
    <w:rsid w:val="007A303B"/>
    <w:rsid w:val="007A3467"/>
    <w:rsid w:val="007A38FD"/>
    <w:rsid w:val="007A3BA9"/>
    <w:rsid w:val="007A3FB0"/>
    <w:rsid w:val="007A4045"/>
    <w:rsid w:val="007A41F1"/>
    <w:rsid w:val="007A4409"/>
    <w:rsid w:val="007A4456"/>
    <w:rsid w:val="007A486D"/>
    <w:rsid w:val="007A487D"/>
    <w:rsid w:val="007A496E"/>
    <w:rsid w:val="007A5359"/>
    <w:rsid w:val="007A5441"/>
    <w:rsid w:val="007A547E"/>
    <w:rsid w:val="007A5A3E"/>
    <w:rsid w:val="007A5A63"/>
    <w:rsid w:val="007A5D80"/>
    <w:rsid w:val="007A6561"/>
    <w:rsid w:val="007A67DE"/>
    <w:rsid w:val="007A69E0"/>
    <w:rsid w:val="007A6A96"/>
    <w:rsid w:val="007A6C33"/>
    <w:rsid w:val="007A6C5A"/>
    <w:rsid w:val="007A6C62"/>
    <w:rsid w:val="007A6D74"/>
    <w:rsid w:val="007A7203"/>
    <w:rsid w:val="007A764A"/>
    <w:rsid w:val="007A76DB"/>
    <w:rsid w:val="007A7D5A"/>
    <w:rsid w:val="007A7E06"/>
    <w:rsid w:val="007B00D2"/>
    <w:rsid w:val="007B017C"/>
    <w:rsid w:val="007B029A"/>
    <w:rsid w:val="007B079B"/>
    <w:rsid w:val="007B0879"/>
    <w:rsid w:val="007B0898"/>
    <w:rsid w:val="007B0949"/>
    <w:rsid w:val="007B1154"/>
    <w:rsid w:val="007B129E"/>
    <w:rsid w:val="007B1564"/>
    <w:rsid w:val="007B195B"/>
    <w:rsid w:val="007B1D40"/>
    <w:rsid w:val="007B1D80"/>
    <w:rsid w:val="007B1FB5"/>
    <w:rsid w:val="007B2080"/>
    <w:rsid w:val="007B220C"/>
    <w:rsid w:val="007B22B6"/>
    <w:rsid w:val="007B29CE"/>
    <w:rsid w:val="007B2A54"/>
    <w:rsid w:val="007B2AF4"/>
    <w:rsid w:val="007B2B60"/>
    <w:rsid w:val="007B2CAA"/>
    <w:rsid w:val="007B2F0B"/>
    <w:rsid w:val="007B3140"/>
    <w:rsid w:val="007B33EA"/>
    <w:rsid w:val="007B3782"/>
    <w:rsid w:val="007B38DE"/>
    <w:rsid w:val="007B3A99"/>
    <w:rsid w:val="007B3AD2"/>
    <w:rsid w:val="007B3D20"/>
    <w:rsid w:val="007B3DE1"/>
    <w:rsid w:val="007B3E4D"/>
    <w:rsid w:val="007B4025"/>
    <w:rsid w:val="007B44F2"/>
    <w:rsid w:val="007B457B"/>
    <w:rsid w:val="007B45BC"/>
    <w:rsid w:val="007B45BF"/>
    <w:rsid w:val="007B46A6"/>
    <w:rsid w:val="007B4858"/>
    <w:rsid w:val="007B4BA1"/>
    <w:rsid w:val="007B4C65"/>
    <w:rsid w:val="007B538A"/>
    <w:rsid w:val="007B5441"/>
    <w:rsid w:val="007B5966"/>
    <w:rsid w:val="007B599E"/>
    <w:rsid w:val="007B5C5A"/>
    <w:rsid w:val="007B5D75"/>
    <w:rsid w:val="007B5E3A"/>
    <w:rsid w:val="007B607D"/>
    <w:rsid w:val="007B61D4"/>
    <w:rsid w:val="007B6657"/>
    <w:rsid w:val="007B6874"/>
    <w:rsid w:val="007B69FC"/>
    <w:rsid w:val="007B6B1D"/>
    <w:rsid w:val="007B6B5F"/>
    <w:rsid w:val="007B6C0D"/>
    <w:rsid w:val="007B6DD2"/>
    <w:rsid w:val="007B71A4"/>
    <w:rsid w:val="007B73BB"/>
    <w:rsid w:val="007B75E8"/>
    <w:rsid w:val="007B760E"/>
    <w:rsid w:val="007B7A75"/>
    <w:rsid w:val="007B7D2A"/>
    <w:rsid w:val="007C003A"/>
    <w:rsid w:val="007C0069"/>
    <w:rsid w:val="007C01CE"/>
    <w:rsid w:val="007C02DD"/>
    <w:rsid w:val="007C050C"/>
    <w:rsid w:val="007C06D6"/>
    <w:rsid w:val="007C08D0"/>
    <w:rsid w:val="007C0A90"/>
    <w:rsid w:val="007C17B4"/>
    <w:rsid w:val="007C18BD"/>
    <w:rsid w:val="007C1BA4"/>
    <w:rsid w:val="007C2558"/>
    <w:rsid w:val="007C3032"/>
    <w:rsid w:val="007C30A7"/>
    <w:rsid w:val="007C32C4"/>
    <w:rsid w:val="007C3358"/>
    <w:rsid w:val="007C351A"/>
    <w:rsid w:val="007C35B0"/>
    <w:rsid w:val="007C35D9"/>
    <w:rsid w:val="007C37CC"/>
    <w:rsid w:val="007C3887"/>
    <w:rsid w:val="007C3AF4"/>
    <w:rsid w:val="007C3B07"/>
    <w:rsid w:val="007C3DB5"/>
    <w:rsid w:val="007C3FA0"/>
    <w:rsid w:val="007C3FB7"/>
    <w:rsid w:val="007C4028"/>
    <w:rsid w:val="007C4458"/>
    <w:rsid w:val="007C453B"/>
    <w:rsid w:val="007C45D2"/>
    <w:rsid w:val="007C4854"/>
    <w:rsid w:val="007C4DCC"/>
    <w:rsid w:val="007C4ECB"/>
    <w:rsid w:val="007C5539"/>
    <w:rsid w:val="007C5730"/>
    <w:rsid w:val="007C5990"/>
    <w:rsid w:val="007C59B0"/>
    <w:rsid w:val="007C5CA0"/>
    <w:rsid w:val="007C635C"/>
    <w:rsid w:val="007C654C"/>
    <w:rsid w:val="007C65A4"/>
    <w:rsid w:val="007C7BEC"/>
    <w:rsid w:val="007C7C8A"/>
    <w:rsid w:val="007C7EE5"/>
    <w:rsid w:val="007C7F04"/>
    <w:rsid w:val="007D006C"/>
    <w:rsid w:val="007D02AE"/>
    <w:rsid w:val="007D02B8"/>
    <w:rsid w:val="007D030F"/>
    <w:rsid w:val="007D09D0"/>
    <w:rsid w:val="007D0DEB"/>
    <w:rsid w:val="007D0F8A"/>
    <w:rsid w:val="007D0FC3"/>
    <w:rsid w:val="007D10D0"/>
    <w:rsid w:val="007D111B"/>
    <w:rsid w:val="007D1601"/>
    <w:rsid w:val="007D1904"/>
    <w:rsid w:val="007D1B5F"/>
    <w:rsid w:val="007D1D38"/>
    <w:rsid w:val="007D1D3F"/>
    <w:rsid w:val="007D1DB8"/>
    <w:rsid w:val="007D1EC8"/>
    <w:rsid w:val="007D1F68"/>
    <w:rsid w:val="007D25D1"/>
    <w:rsid w:val="007D277A"/>
    <w:rsid w:val="007D287F"/>
    <w:rsid w:val="007D29F6"/>
    <w:rsid w:val="007D2A7D"/>
    <w:rsid w:val="007D33D8"/>
    <w:rsid w:val="007D399F"/>
    <w:rsid w:val="007D3A49"/>
    <w:rsid w:val="007D3AD1"/>
    <w:rsid w:val="007D4080"/>
    <w:rsid w:val="007D4137"/>
    <w:rsid w:val="007D4707"/>
    <w:rsid w:val="007D47AC"/>
    <w:rsid w:val="007D48C7"/>
    <w:rsid w:val="007D494E"/>
    <w:rsid w:val="007D4B39"/>
    <w:rsid w:val="007D4D14"/>
    <w:rsid w:val="007D5110"/>
    <w:rsid w:val="007D51A5"/>
    <w:rsid w:val="007D5355"/>
    <w:rsid w:val="007D5566"/>
    <w:rsid w:val="007D5888"/>
    <w:rsid w:val="007D5930"/>
    <w:rsid w:val="007D5B1A"/>
    <w:rsid w:val="007D5C37"/>
    <w:rsid w:val="007D5D08"/>
    <w:rsid w:val="007D5EA4"/>
    <w:rsid w:val="007D63D6"/>
    <w:rsid w:val="007D64D6"/>
    <w:rsid w:val="007D6660"/>
    <w:rsid w:val="007D6692"/>
    <w:rsid w:val="007D6775"/>
    <w:rsid w:val="007D690D"/>
    <w:rsid w:val="007D6B8E"/>
    <w:rsid w:val="007D70A7"/>
    <w:rsid w:val="007D7144"/>
    <w:rsid w:val="007D7734"/>
    <w:rsid w:val="007D78A3"/>
    <w:rsid w:val="007D7D98"/>
    <w:rsid w:val="007E0020"/>
    <w:rsid w:val="007E0669"/>
    <w:rsid w:val="007E068C"/>
    <w:rsid w:val="007E0B49"/>
    <w:rsid w:val="007E0DEF"/>
    <w:rsid w:val="007E0E6D"/>
    <w:rsid w:val="007E0F4B"/>
    <w:rsid w:val="007E1170"/>
    <w:rsid w:val="007E12D3"/>
    <w:rsid w:val="007E18E8"/>
    <w:rsid w:val="007E19BC"/>
    <w:rsid w:val="007E1D3F"/>
    <w:rsid w:val="007E1F5C"/>
    <w:rsid w:val="007E2293"/>
    <w:rsid w:val="007E23E4"/>
    <w:rsid w:val="007E2532"/>
    <w:rsid w:val="007E291C"/>
    <w:rsid w:val="007E29F3"/>
    <w:rsid w:val="007E2CB3"/>
    <w:rsid w:val="007E2D91"/>
    <w:rsid w:val="007E3119"/>
    <w:rsid w:val="007E374F"/>
    <w:rsid w:val="007E3A0B"/>
    <w:rsid w:val="007E3C2E"/>
    <w:rsid w:val="007E3FDA"/>
    <w:rsid w:val="007E4521"/>
    <w:rsid w:val="007E45A7"/>
    <w:rsid w:val="007E4639"/>
    <w:rsid w:val="007E46B8"/>
    <w:rsid w:val="007E4C49"/>
    <w:rsid w:val="007E5325"/>
    <w:rsid w:val="007E5437"/>
    <w:rsid w:val="007E57FF"/>
    <w:rsid w:val="007E5885"/>
    <w:rsid w:val="007E58FE"/>
    <w:rsid w:val="007E5A9C"/>
    <w:rsid w:val="007E5C2F"/>
    <w:rsid w:val="007E5EBF"/>
    <w:rsid w:val="007E6346"/>
    <w:rsid w:val="007E69C2"/>
    <w:rsid w:val="007E6B15"/>
    <w:rsid w:val="007E6B8A"/>
    <w:rsid w:val="007E768A"/>
    <w:rsid w:val="007E7C8A"/>
    <w:rsid w:val="007F0150"/>
    <w:rsid w:val="007F073B"/>
    <w:rsid w:val="007F0861"/>
    <w:rsid w:val="007F0895"/>
    <w:rsid w:val="007F0AE3"/>
    <w:rsid w:val="007F0E34"/>
    <w:rsid w:val="007F1106"/>
    <w:rsid w:val="007F126D"/>
    <w:rsid w:val="007F1699"/>
    <w:rsid w:val="007F1B63"/>
    <w:rsid w:val="007F1B7D"/>
    <w:rsid w:val="007F1C3B"/>
    <w:rsid w:val="007F1FE8"/>
    <w:rsid w:val="007F2379"/>
    <w:rsid w:val="007F2976"/>
    <w:rsid w:val="007F2E46"/>
    <w:rsid w:val="007F2EC5"/>
    <w:rsid w:val="007F3260"/>
    <w:rsid w:val="007F33C1"/>
    <w:rsid w:val="007F3B84"/>
    <w:rsid w:val="007F3EAA"/>
    <w:rsid w:val="007F4C94"/>
    <w:rsid w:val="007F4D08"/>
    <w:rsid w:val="007F4D18"/>
    <w:rsid w:val="007F4F86"/>
    <w:rsid w:val="007F528E"/>
    <w:rsid w:val="007F56F1"/>
    <w:rsid w:val="007F597B"/>
    <w:rsid w:val="007F5BD0"/>
    <w:rsid w:val="007F5F51"/>
    <w:rsid w:val="007F655B"/>
    <w:rsid w:val="007F6824"/>
    <w:rsid w:val="007F6A9E"/>
    <w:rsid w:val="007F6F5C"/>
    <w:rsid w:val="007F7031"/>
    <w:rsid w:val="007F732C"/>
    <w:rsid w:val="007F778B"/>
    <w:rsid w:val="007F782C"/>
    <w:rsid w:val="007F79A0"/>
    <w:rsid w:val="007F7D2F"/>
    <w:rsid w:val="007F7D61"/>
    <w:rsid w:val="00800241"/>
    <w:rsid w:val="0080032C"/>
    <w:rsid w:val="008003A6"/>
    <w:rsid w:val="00800612"/>
    <w:rsid w:val="00800796"/>
    <w:rsid w:val="00800C1B"/>
    <w:rsid w:val="008010EE"/>
    <w:rsid w:val="00801B41"/>
    <w:rsid w:val="00801CFD"/>
    <w:rsid w:val="00801F17"/>
    <w:rsid w:val="00802045"/>
    <w:rsid w:val="008020AB"/>
    <w:rsid w:val="00802248"/>
    <w:rsid w:val="008026AD"/>
    <w:rsid w:val="00802728"/>
    <w:rsid w:val="008028D6"/>
    <w:rsid w:val="00802A5F"/>
    <w:rsid w:val="00802B7B"/>
    <w:rsid w:val="00802F00"/>
    <w:rsid w:val="008030D3"/>
    <w:rsid w:val="008031DF"/>
    <w:rsid w:val="008035DB"/>
    <w:rsid w:val="008035F3"/>
    <w:rsid w:val="0080367A"/>
    <w:rsid w:val="0080380B"/>
    <w:rsid w:val="00803E4A"/>
    <w:rsid w:val="00803F17"/>
    <w:rsid w:val="00804274"/>
    <w:rsid w:val="00804347"/>
    <w:rsid w:val="00804470"/>
    <w:rsid w:val="00804AE1"/>
    <w:rsid w:val="00804C74"/>
    <w:rsid w:val="00804D26"/>
    <w:rsid w:val="00804D3E"/>
    <w:rsid w:val="00804D7E"/>
    <w:rsid w:val="00805326"/>
    <w:rsid w:val="0080564A"/>
    <w:rsid w:val="008059B7"/>
    <w:rsid w:val="00805E60"/>
    <w:rsid w:val="00806213"/>
    <w:rsid w:val="00806274"/>
    <w:rsid w:val="0080639F"/>
    <w:rsid w:val="00806461"/>
    <w:rsid w:val="008064ED"/>
    <w:rsid w:val="00806521"/>
    <w:rsid w:val="00806543"/>
    <w:rsid w:val="008065F6"/>
    <w:rsid w:val="00806AB8"/>
    <w:rsid w:val="008076F2"/>
    <w:rsid w:val="008103B3"/>
    <w:rsid w:val="00810616"/>
    <w:rsid w:val="0081066C"/>
    <w:rsid w:val="0081079E"/>
    <w:rsid w:val="0081088B"/>
    <w:rsid w:val="00810898"/>
    <w:rsid w:val="008109EC"/>
    <w:rsid w:val="008117C4"/>
    <w:rsid w:val="0081199E"/>
    <w:rsid w:val="00811A06"/>
    <w:rsid w:val="00811EC3"/>
    <w:rsid w:val="0081230B"/>
    <w:rsid w:val="00812398"/>
    <w:rsid w:val="0081265E"/>
    <w:rsid w:val="0081293C"/>
    <w:rsid w:val="008129DF"/>
    <w:rsid w:val="00812A63"/>
    <w:rsid w:val="008130D8"/>
    <w:rsid w:val="00813108"/>
    <w:rsid w:val="0081311A"/>
    <w:rsid w:val="008131F7"/>
    <w:rsid w:val="00813A95"/>
    <w:rsid w:val="00813AD7"/>
    <w:rsid w:val="00813B9E"/>
    <w:rsid w:val="00813BD8"/>
    <w:rsid w:val="00813D82"/>
    <w:rsid w:val="0081424E"/>
    <w:rsid w:val="00814812"/>
    <w:rsid w:val="0081499C"/>
    <w:rsid w:val="008149F6"/>
    <w:rsid w:val="00814B72"/>
    <w:rsid w:val="00814E02"/>
    <w:rsid w:val="00814EA1"/>
    <w:rsid w:val="0081504E"/>
    <w:rsid w:val="008151CC"/>
    <w:rsid w:val="00815539"/>
    <w:rsid w:val="008157AA"/>
    <w:rsid w:val="008158B8"/>
    <w:rsid w:val="00815DC8"/>
    <w:rsid w:val="00815DF9"/>
    <w:rsid w:val="00815F4D"/>
    <w:rsid w:val="00816420"/>
    <w:rsid w:val="008164DD"/>
    <w:rsid w:val="00816707"/>
    <w:rsid w:val="00816858"/>
    <w:rsid w:val="00816D66"/>
    <w:rsid w:val="00816F66"/>
    <w:rsid w:val="00817336"/>
    <w:rsid w:val="0081736D"/>
    <w:rsid w:val="008173C9"/>
    <w:rsid w:val="0081771C"/>
    <w:rsid w:val="00817875"/>
    <w:rsid w:val="008179D3"/>
    <w:rsid w:val="00817EC3"/>
    <w:rsid w:val="00817F9E"/>
    <w:rsid w:val="00820464"/>
    <w:rsid w:val="00820633"/>
    <w:rsid w:val="008206CD"/>
    <w:rsid w:val="008208C9"/>
    <w:rsid w:val="00820A26"/>
    <w:rsid w:val="00820E29"/>
    <w:rsid w:val="00820EDB"/>
    <w:rsid w:val="008212A8"/>
    <w:rsid w:val="008215AC"/>
    <w:rsid w:val="0082162A"/>
    <w:rsid w:val="00821BA9"/>
    <w:rsid w:val="00821BBF"/>
    <w:rsid w:val="00821C5E"/>
    <w:rsid w:val="00821DB8"/>
    <w:rsid w:val="008224FB"/>
    <w:rsid w:val="00822723"/>
    <w:rsid w:val="008227DF"/>
    <w:rsid w:val="00822BA5"/>
    <w:rsid w:val="00823074"/>
    <w:rsid w:val="008237B8"/>
    <w:rsid w:val="00823822"/>
    <w:rsid w:val="00823BAE"/>
    <w:rsid w:val="00823C40"/>
    <w:rsid w:val="00823CA4"/>
    <w:rsid w:val="008240F0"/>
    <w:rsid w:val="0082411D"/>
    <w:rsid w:val="008241E1"/>
    <w:rsid w:val="0082427E"/>
    <w:rsid w:val="00824801"/>
    <w:rsid w:val="00824AF7"/>
    <w:rsid w:val="00824BB2"/>
    <w:rsid w:val="008250A6"/>
    <w:rsid w:val="00825274"/>
    <w:rsid w:val="008252AE"/>
    <w:rsid w:val="008253DC"/>
    <w:rsid w:val="0082577A"/>
    <w:rsid w:val="008257C8"/>
    <w:rsid w:val="00825886"/>
    <w:rsid w:val="008258F4"/>
    <w:rsid w:val="00825915"/>
    <w:rsid w:val="00825B96"/>
    <w:rsid w:val="00825D0B"/>
    <w:rsid w:val="00825E67"/>
    <w:rsid w:val="008260F3"/>
    <w:rsid w:val="00826278"/>
    <w:rsid w:val="008262E9"/>
    <w:rsid w:val="0082675E"/>
    <w:rsid w:val="008267A5"/>
    <w:rsid w:val="00826A26"/>
    <w:rsid w:val="0082719C"/>
    <w:rsid w:val="008271AC"/>
    <w:rsid w:val="00827487"/>
    <w:rsid w:val="0082753A"/>
    <w:rsid w:val="0082767D"/>
    <w:rsid w:val="008277B8"/>
    <w:rsid w:val="00827897"/>
    <w:rsid w:val="008279E4"/>
    <w:rsid w:val="00827AD9"/>
    <w:rsid w:val="00827D7A"/>
    <w:rsid w:val="00827D98"/>
    <w:rsid w:val="00830112"/>
    <w:rsid w:val="00830364"/>
    <w:rsid w:val="00830395"/>
    <w:rsid w:val="00830597"/>
    <w:rsid w:val="0083086B"/>
    <w:rsid w:val="00830ACD"/>
    <w:rsid w:val="00830E15"/>
    <w:rsid w:val="00830EDD"/>
    <w:rsid w:val="00831500"/>
    <w:rsid w:val="0083157B"/>
    <w:rsid w:val="008317C0"/>
    <w:rsid w:val="0083197C"/>
    <w:rsid w:val="008320EF"/>
    <w:rsid w:val="00832A95"/>
    <w:rsid w:val="00832B3E"/>
    <w:rsid w:val="00832D9D"/>
    <w:rsid w:val="00832E42"/>
    <w:rsid w:val="00832EE8"/>
    <w:rsid w:val="00833A78"/>
    <w:rsid w:val="00833B34"/>
    <w:rsid w:val="00833DC7"/>
    <w:rsid w:val="00833E1A"/>
    <w:rsid w:val="00833FF8"/>
    <w:rsid w:val="00834984"/>
    <w:rsid w:val="0083499D"/>
    <w:rsid w:val="00834A59"/>
    <w:rsid w:val="00834CFD"/>
    <w:rsid w:val="00834DC1"/>
    <w:rsid w:val="00834F8F"/>
    <w:rsid w:val="00835047"/>
    <w:rsid w:val="008358B4"/>
    <w:rsid w:val="0083590B"/>
    <w:rsid w:val="00835AE6"/>
    <w:rsid w:val="00835CF3"/>
    <w:rsid w:val="00835DCE"/>
    <w:rsid w:val="008361B1"/>
    <w:rsid w:val="008362FD"/>
    <w:rsid w:val="00836791"/>
    <w:rsid w:val="00836854"/>
    <w:rsid w:val="00836A6A"/>
    <w:rsid w:val="00836CC1"/>
    <w:rsid w:val="00836DDF"/>
    <w:rsid w:val="00836F8E"/>
    <w:rsid w:val="00837899"/>
    <w:rsid w:val="00837A37"/>
    <w:rsid w:val="00837F6D"/>
    <w:rsid w:val="00840115"/>
    <w:rsid w:val="00840139"/>
    <w:rsid w:val="0084024D"/>
    <w:rsid w:val="00840313"/>
    <w:rsid w:val="008406F2"/>
    <w:rsid w:val="00840753"/>
    <w:rsid w:val="008409F9"/>
    <w:rsid w:val="0084108A"/>
    <w:rsid w:val="00841203"/>
    <w:rsid w:val="008412A8"/>
    <w:rsid w:val="008413A2"/>
    <w:rsid w:val="008414D9"/>
    <w:rsid w:val="008416C5"/>
    <w:rsid w:val="00841850"/>
    <w:rsid w:val="0084195A"/>
    <w:rsid w:val="00841A58"/>
    <w:rsid w:val="00841B44"/>
    <w:rsid w:val="00841D05"/>
    <w:rsid w:val="00841DF3"/>
    <w:rsid w:val="00841EF3"/>
    <w:rsid w:val="0084272F"/>
    <w:rsid w:val="00842737"/>
    <w:rsid w:val="0084274D"/>
    <w:rsid w:val="008434A8"/>
    <w:rsid w:val="00843613"/>
    <w:rsid w:val="00843F8F"/>
    <w:rsid w:val="008446A4"/>
    <w:rsid w:val="00844CE5"/>
    <w:rsid w:val="00844FC8"/>
    <w:rsid w:val="00845592"/>
    <w:rsid w:val="00845615"/>
    <w:rsid w:val="008456F2"/>
    <w:rsid w:val="00845779"/>
    <w:rsid w:val="00845B9D"/>
    <w:rsid w:val="00845DCD"/>
    <w:rsid w:val="00845E35"/>
    <w:rsid w:val="00845E80"/>
    <w:rsid w:val="00846224"/>
    <w:rsid w:val="00846358"/>
    <w:rsid w:val="008464DF"/>
    <w:rsid w:val="0084680D"/>
    <w:rsid w:val="0084691B"/>
    <w:rsid w:val="008469C9"/>
    <w:rsid w:val="00846B27"/>
    <w:rsid w:val="00846C08"/>
    <w:rsid w:val="008472D9"/>
    <w:rsid w:val="00847340"/>
    <w:rsid w:val="008474F7"/>
    <w:rsid w:val="00847928"/>
    <w:rsid w:val="0084796E"/>
    <w:rsid w:val="00847A8E"/>
    <w:rsid w:val="00847B17"/>
    <w:rsid w:val="00847BBD"/>
    <w:rsid w:val="00847CDC"/>
    <w:rsid w:val="00847FB7"/>
    <w:rsid w:val="00847FD7"/>
    <w:rsid w:val="0085007D"/>
    <w:rsid w:val="0085014C"/>
    <w:rsid w:val="008502CB"/>
    <w:rsid w:val="0085043C"/>
    <w:rsid w:val="00850A5A"/>
    <w:rsid w:val="00850F75"/>
    <w:rsid w:val="0085103F"/>
    <w:rsid w:val="008510AA"/>
    <w:rsid w:val="008511D2"/>
    <w:rsid w:val="00851661"/>
    <w:rsid w:val="00851F5D"/>
    <w:rsid w:val="0085200A"/>
    <w:rsid w:val="00852074"/>
    <w:rsid w:val="00852134"/>
    <w:rsid w:val="008521BF"/>
    <w:rsid w:val="008525FB"/>
    <w:rsid w:val="00852672"/>
    <w:rsid w:val="00852752"/>
    <w:rsid w:val="008528F8"/>
    <w:rsid w:val="00852D20"/>
    <w:rsid w:val="00852E4F"/>
    <w:rsid w:val="00852EA9"/>
    <w:rsid w:val="00853183"/>
    <w:rsid w:val="008532FF"/>
    <w:rsid w:val="0085356C"/>
    <w:rsid w:val="00853601"/>
    <w:rsid w:val="008538E8"/>
    <w:rsid w:val="00853946"/>
    <w:rsid w:val="00853C0B"/>
    <w:rsid w:val="00853EAA"/>
    <w:rsid w:val="00853F77"/>
    <w:rsid w:val="008543B2"/>
    <w:rsid w:val="008543F5"/>
    <w:rsid w:val="008544F3"/>
    <w:rsid w:val="0085484D"/>
    <w:rsid w:val="00854B41"/>
    <w:rsid w:val="00854CCB"/>
    <w:rsid w:val="00855672"/>
    <w:rsid w:val="008559D5"/>
    <w:rsid w:val="00855DD0"/>
    <w:rsid w:val="00855E9E"/>
    <w:rsid w:val="00855F6B"/>
    <w:rsid w:val="0085605D"/>
    <w:rsid w:val="00856C5D"/>
    <w:rsid w:val="00856DA4"/>
    <w:rsid w:val="00856FED"/>
    <w:rsid w:val="008572B7"/>
    <w:rsid w:val="0085731A"/>
    <w:rsid w:val="00857424"/>
    <w:rsid w:val="00857648"/>
    <w:rsid w:val="008576B6"/>
    <w:rsid w:val="00857821"/>
    <w:rsid w:val="00857960"/>
    <w:rsid w:val="00857A4A"/>
    <w:rsid w:val="00857D80"/>
    <w:rsid w:val="00857DDE"/>
    <w:rsid w:val="008605FF"/>
    <w:rsid w:val="008606A6"/>
    <w:rsid w:val="00860E68"/>
    <w:rsid w:val="008613E9"/>
    <w:rsid w:val="0086149F"/>
    <w:rsid w:val="0086160D"/>
    <w:rsid w:val="00861ADF"/>
    <w:rsid w:val="0086223C"/>
    <w:rsid w:val="008629AC"/>
    <w:rsid w:val="008629F0"/>
    <w:rsid w:val="00862DB0"/>
    <w:rsid w:val="00862E78"/>
    <w:rsid w:val="0086300F"/>
    <w:rsid w:val="0086301D"/>
    <w:rsid w:val="0086329A"/>
    <w:rsid w:val="008634F2"/>
    <w:rsid w:val="008635A5"/>
    <w:rsid w:val="00863D3F"/>
    <w:rsid w:val="00863E84"/>
    <w:rsid w:val="008640B1"/>
    <w:rsid w:val="00864501"/>
    <w:rsid w:val="0086456C"/>
    <w:rsid w:val="008646B1"/>
    <w:rsid w:val="0086483F"/>
    <w:rsid w:val="0086496E"/>
    <w:rsid w:val="00864A6A"/>
    <w:rsid w:val="00864E03"/>
    <w:rsid w:val="00864E29"/>
    <w:rsid w:val="0086504A"/>
    <w:rsid w:val="00865396"/>
    <w:rsid w:val="0086548A"/>
    <w:rsid w:val="008654E9"/>
    <w:rsid w:val="0086551C"/>
    <w:rsid w:val="00865671"/>
    <w:rsid w:val="00865757"/>
    <w:rsid w:val="008658D2"/>
    <w:rsid w:val="00865ADD"/>
    <w:rsid w:val="00865AE6"/>
    <w:rsid w:val="00865D20"/>
    <w:rsid w:val="00865FCB"/>
    <w:rsid w:val="00865FCF"/>
    <w:rsid w:val="00866117"/>
    <w:rsid w:val="00866161"/>
    <w:rsid w:val="00866448"/>
    <w:rsid w:val="008665D1"/>
    <w:rsid w:val="0086664F"/>
    <w:rsid w:val="00866712"/>
    <w:rsid w:val="00866F94"/>
    <w:rsid w:val="00867092"/>
    <w:rsid w:val="00867219"/>
    <w:rsid w:val="0086733D"/>
    <w:rsid w:val="0086766F"/>
    <w:rsid w:val="00867911"/>
    <w:rsid w:val="00867B8E"/>
    <w:rsid w:val="00867F9B"/>
    <w:rsid w:val="008700DB"/>
    <w:rsid w:val="00870367"/>
    <w:rsid w:val="0087046F"/>
    <w:rsid w:val="008706F3"/>
    <w:rsid w:val="00870938"/>
    <w:rsid w:val="00870B2C"/>
    <w:rsid w:val="00870B73"/>
    <w:rsid w:val="00870C1D"/>
    <w:rsid w:val="00871199"/>
    <w:rsid w:val="008711B0"/>
    <w:rsid w:val="008716D0"/>
    <w:rsid w:val="008718B8"/>
    <w:rsid w:val="0087194D"/>
    <w:rsid w:val="00871ACA"/>
    <w:rsid w:val="00871B26"/>
    <w:rsid w:val="00871C3A"/>
    <w:rsid w:val="00871E0C"/>
    <w:rsid w:val="0087209E"/>
    <w:rsid w:val="00872711"/>
    <w:rsid w:val="008728B2"/>
    <w:rsid w:val="00872C29"/>
    <w:rsid w:val="00872EB0"/>
    <w:rsid w:val="00873086"/>
    <w:rsid w:val="00873551"/>
    <w:rsid w:val="008736C6"/>
    <w:rsid w:val="00873855"/>
    <w:rsid w:val="00873DA3"/>
    <w:rsid w:val="00873DF3"/>
    <w:rsid w:val="00873E96"/>
    <w:rsid w:val="00873ECE"/>
    <w:rsid w:val="008741AE"/>
    <w:rsid w:val="008741D5"/>
    <w:rsid w:val="00874251"/>
    <w:rsid w:val="00874367"/>
    <w:rsid w:val="00874433"/>
    <w:rsid w:val="008744F1"/>
    <w:rsid w:val="008745BD"/>
    <w:rsid w:val="008745CF"/>
    <w:rsid w:val="00874605"/>
    <w:rsid w:val="00874886"/>
    <w:rsid w:val="00874978"/>
    <w:rsid w:val="00874A4C"/>
    <w:rsid w:val="00874AD0"/>
    <w:rsid w:val="0087514E"/>
    <w:rsid w:val="008752EA"/>
    <w:rsid w:val="008760EF"/>
    <w:rsid w:val="00876166"/>
    <w:rsid w:val="008764A7"/>
    <w:rsid w:val="008764EE"/>
    <w:rsid w:val="00876812"/>
    <w:rsid w:val="00876E4F"/>
    <w:rsid w:val="008771BA"/>
    <w:rsid w:val="008771D8"/>
    <w:rsid w:val="008771EC"/>
    <w:rsid w:val="0087753D"/>
    <w:rsid w:val="0087765B"/>
    <w:rsid w:val="00877920"/>
    <w:rsid w:val="0088011B"/>
    <w:rsid w:val="00880279"/>
    <w:rsid w:val="0088032C"/>
    <w:rsid w:val="008804D4"/>
    <w:rsid w:val="008808FB"/>
    <w:rsid w:val="00880C7E"/>
    <w:rsid w:val="00881271"/>
    <w:rsid w:val="00881536"/>
    <w:rsid w:val="0088177F"/>
    <w:rsid w:val="00881819"/>
    <w:rsid w:val="00881CF3"/>
    <w:rsid w:val="00881E92"/>
    <w:rsid w:val="00881E98"/>
    <w:rsid w:val="00882065"/>
    <w:rsid w:val="008823B9"/>
    <w:rsid w:val="00882763"/>
    <w:rsid w:val="008829BD"/>
    <w:rsid w:val="00882AE1"/>
    <w:rsid w:val="008833A2"/>
    <w:rsid w:val="00883489"/>
    <w:rsid w:val="008834AC"/>
    <w:rsid w:val="00883580"/>
    <w:rsid w:val="008839C0"/>
    <w:rsid w:val="00883B25"/>
    <w:rsid w:val="00883F3F"/>
    <w:rsid w:val="00883FDA"/>
    <w:rsid w:val="00884291"/>
    <w:rsid w:val="00884330"/>
    <w:rsid w:val="00884A5F"/>
    <w:rsid w:val="0088555A"/>
    <w:rsid w:val="008855BE"/>
    <w:rsid w:val="00885653"/>
    <w:rsid w:val="0088571E"/>
    <w:rsid w:val="00885914"/>
    <w:rsid w:val="008859F1"/>
    <w:rsid w:val="008859F8"/>
    <w:rsid w:val="00885D48"/>
    <w:rsid w:val="00886092"/>
    <w:rsid w:val="00886182"/>
    <w:rsid w:val="0088630B"/>
    <w:rsid w:val="00886343"/>
    <w:rsid w:val="00886E16"/>
    <w:rsid w:val="00886E50"/>
    <w:rsid w:val="0088751E"/>
    <w:rsid w:val="00887610"/>
    <w:rsid w:val="008879CE"/>
    <w:rsid w:val="00887BAE"/>
    <w:rsid w:val="00887D72"/>
    <w:rsid w:val="00887E12"/>
    <w:rsid w:val="008904A2"/>
    <w:rsid w:val="00890576"/>
    <w:rsid w:val="00890AE2"/>
    <w:rsid w:val="00890D84"/>
    <w:rsid w:val="00890E59"/>
    <w:rsid w:val="00890FA3"/>
    <w:rsid w:val="00891077"/>
    <w:rsid w:val="00891176"/>
    <w:rsid w:val="008911E6"/>
    <w:rsid w:val="0089183D"/>
    <w:rsid w:val="008918A4"/>
    <w:rsid w:val="00891957"/>
    <w:rsid w:val="00891A2A"/>
    <w:rsid w:val="00891AB8"/>
    <w:rsid w:val="00891ADB"/>
    <w:rsid w:val="00891D1D"/>
    <w:rsid w:val="00891DC4"/>
    <w:rsid w:val="00891F29"/>
    <w:rsid w:val="00891FCB"/>
    <w:rsid w:val="008920DD"/>
    <w:rsid w:val="008921C0"/>
    <w:rsid w:val="008921C1"/>
    <w:rsid w:val="008921CC"/>
    <w:rsid w:val="00892597"/>
    <w:rsid w:val="00892818"/>
    <w:rsid w:val="008929BF"/>
    <w:rsid w:val="008929E7"/>
    <w:rsid w:val="00892C8F"/>
    <w:rsid w:val="00892DC2"/>
    <w:rsid w:val="0089325F"/>
    <w:rsid w:val="00893427"/>
    <w:rsid w:val="00893595"/>
    <w:rsid w:val="008936AC"/>
    <w:rsid w:val="00893D23"/>
    <w:rsid w:val="00893D7B"/>
    <w:rsid w:val="00893E18"/>
    <w:rsid w:val="00894515"/>
    <w:rsid w:val="0089459B"/>
    <w:rsid w:val="008945E7"/>
    <w:rsid w:val="00894D17"/>
    <w:rsid w:val="008956D6"/>
    <w:rsid w:val="0089578A"/>
    <w:rsid w:val="00895B4B"/>
    <w:rsid w:val="00895F76"/>
    <w:rsid w:val="00896666"/>
    <w:rsid w:val="0089671E"/>
    <w:rsid w:val="00896807"/>
    <w:rsid w:val="00896EA5"/>
    <w:rsid w:val="008970AC"/>
    <w:rsid w:val="00897946"/>
    <w:rsid w:val="00897DBA"/>
    <w:rsid w:val="008A0148"/>
    <w:rsid w:val="008A0236"/>
    <w:rsid w:val="008A0420"/>
    <w:rsid w:val="008A0C5F"/>
    <w:rsid w:val="008A0D3E"/>
    <w:rsid w:val="008A1407"/>
    <w:rsid w:val="008A17F3"/>
    <w:rsid w:val="008A18EA"/>
    <w:rsid w:val="008A1DFB"/>
    <w:rsid w:val="008A1EFB"/>
    <w:rsid w:val="008A20EF"/>
    <w:rsid w:val="008A255A"/>
    <w:rsid w:val="008A25B3"/>
    <w:rsid w:val="008A2B07"/>
    <w:rsid w:val="008A2BE8"/>
    <w:rsid w:val="008A3104"/>
    <w:rsid w:val="008A33E9"/>
    <w:rsid w:val="008A3753"/>
    <w:rsid w:val="008A3A26"/>
    <w:rsid w:val="008A3B04"/>
    <w:rsid w:val="008A3BFC"/>
    <w:rsid w:val="008A4297"/>
    <w:rsid w:val="008A4438"/>
    <w:rsid w:val="008A481D"/>
    <w:rsid w:val="008A497E"/>
    <w:rsid w:val="008A49F5"/>
    <w:rsid w:val="008A4D1A"/>
    <w:rsid w:val="008A4DCB"/>
    <w:rsid w:val="008A4FB9"/>
    <w:rsid w:val="008A51D1"/>
    <w:rsid w:val="008A56BE"/>
    <w:rsid w:val="008A5748"/>
    <w:rsid w:val="008A58FE"/>
    <w:rsid w:val="008A595F"/>
    <w:rsid w:val="008A5A43"/>
    <w:rsid w:val="008A64FC"/>
    <w:rsid w:val="008A6555"/>
    <w:rsid w:val="008A66E1"/>
    <w:rsid w:val="008A69A1"/>
    <w:rsid w:val="008A6B1D"/>
    <w:rsid w:val="008A6BB4"/>
    <w:rsid w:val="008A6C45"/>
    <w:rsid w:val="008A6D09"/>
    <w:rsid w:val="008A725D"/>
    <w:rsid w:val="008A7346"/>
    <w:rsid w:val="008A7970"/>
    <w:rsid w:val="008A79E2"/>
    <w:rsid w:val="008A79EB"/>
    <w:rsid w:val="008A7FB6"/>
    <w:rsid w:val="008B0058"/>
    <w:rsid w:val="008B01A3"/>
    <w:rsid w:val="008B0232"/>
    <w:rsid w:val="008B0246"/>
    <w:rsid w:val="008B060F"/>
    <w:rsid w:val="008B0A1A"/>
    <w:rsid w:val="008B0C82"/>
    <w:rsid w:val="008B11D6"/>
    <w:rsid w:val="008B165F"/>
    <w:rsid w:val="008B1786"/>
    <w:rsid w:val="008B1887"/>
    <w:rsid w:val="008B1C4B"/>
    <w:rsid w:val="008B1D3E"/>
    <w:rsid w:val="008B1DBE"/>
    <w:rsid w:val="008B1E0E"/>
    <w:rsid w:val="008B22A1"/>
    <w:rsid w:val="008B241F"/>
    <w:rsid w:val="008B270A"/>
    <w:rsid w:val="008B2A7B"/>
    <w:rsid w:val="008B2AED"/>
    <w:rsid w:val="008B2BF1"/>
    <w:rsid w:val="008B2CDB"/>
    <w:rsid w:val="008B2E2C"/>
    <w:rsid w:val="008B346E"/>
    <w:rsid w:val="008B373B"/>
    <w:rsid w:val="008B4271"/>
    <w:rsid w:val="008B429E"/>
    <w:rsid w:val="008B4392"/>
    <w:rsid w:val="008B46C6"/>
    <w:rsid w:val="008B4E27"/>
    <w:rsid w:val="008B4EDE"/>
    <w:rsid w:val="008B5664"/>
    <w:rsid w:val="008B5A7A"/>
    <w:rsid w:val="008B5B72"/>
    <w:rsid w:val="008B5D36"/>
    <w:rsid w:val="008B5E53"/>
    <w:rsid w:val="008B5F78"/>
    <w:rsid w:val="008B6309"/>
    <w:rsid w:val="008B64B7"/>
    <w:rsid w:val="008B6AE2"/>
    <w:rsid w:val="008B6C44"/>
    <w:rsid w:val="008B6CDF"/>
    <w:rsid w:val="008B6EB9"/>
    <w:rsid w:val="008B6EC5"/>
    <w:rsid w:val="008B6FBF"/>
    <w:rsid w:val="008B7268"/>
    <w:rsid w:val="008B7506"/>
    <w:rsid w:val="008B7809"/>
    <w:rsid w:val="008B7B26"/>
    <w:rsid w:val="008B7C42"/>
    <w:rsid w:val="008B7FDB"/>
    <w:rsid w:val="008C02ED"/>
    <w:rsid w:val="008C06AD"/>
    <w:rsid w:val="008C07A8"/>
    <w:rsid w:val="008C0853"/>
    <w:rsid w:val="008C1053"/>
    <w:rsid w:val="008C1522"/>
    <w:rsid w:val="008C1615"/>
    <w:rsid w:val="008C1CB4"/>
    <w:rsid w:val="008C201B"/>
    <w:rsid w:val="008C215A"/>
    <w:rsid w:val="008C233F"/>
    <w:rsid w:val="008C25ED"/>
    <w:rsid w:val="008C28CA"/>
    <w:rsid w:val="008C2A55"/>
    <w:rsid w:val="008C2B48"/>
    <w:rsid w:val="008C43C0"/>
    <w:rsid w:val="008C485D"/>
    <w:rsid w:val="008C496B"/>
    <w:rsid w:val="008C4D79"/>
    <w:rsid w:val="008C4DDE"/>
    <w:rsid w:val="008C51E3"/>
    <w:rsid w:val="008C539B"/>
    <w:rsid w:val="008C56E3"/>
    <w:rsid w:val="008C58C4"/>
    <w:rsid w:val="008C5918"/>
    <w:rsid w:val="008C5CB9"/>
    <w:rsid w:val="008C5FDC"/>
    <w:rsid w:val="008C6196"/>
    <w:rsid w:val="008C623D"/>
    <w:rsid w:val="008C6260"/>
    <w:rsid w:val="008C6440"/>
    <w:rsid w:val="008C6460"/>
    <w:rsid w:val="008C6641"/>
    <w:rsid w:val="008C69FA"/>
    <w:rsid w:val="008C6BD1"/>
    <w:rsid w:val="008C6BE1"/>
    <w:rsid w:val="008C6BF1"/>
    <w:rsid w:val="008C71AD"/>
    <w:rsid w:val="008C72B0"/>
    <w:rsid w:val="008C731F"/>
    <w:rsid w:val="008C73EF"/>
    <w:rsid w:val="008C765E"/>
    <w:rsid w:val="008C790C"/>
    <w:rsid w:val="008C7CC2"/>
    <w:rsid w:val="008D0364"/>
    <w:rsid w:val="008D06DB"/>
    <w:rsid w:val="008D102F"/>
    <w:rsid w:val="008D1081"/>
    <w:rsid w:val="008D1158"/>
    <w:rsid w:val="008D1227"/>
    <w:rsid w:val="008D1503"/>
    <w:rsid w:val="008D16BC"/>
    <w:rsid w:val="008D195A"/>
    <w:rsid w:val="008D19EF"/>
    <w:rsid w:val="008D1B95"/>
    <w:rsid w:val="008D20DA"/>
    <w:rsid w:val="008D21A9"/>
    <w:rsid w:val="008D2234"/>
    <w:rsid w:val="008D2977"/>
    <w:rsid w:val="008D2C55"/>
    <w:rsid w:val="008D3334"/>
    <w:rsid w:val="008D33A9"/>
    <w:rsid w:val="008D34B1"/>
    <w:rsid w:val="008D419A"/>
    <w:rsid w:val="008D42BB"/>
    <w:rsid w:val="008D432E"/>
    <w:rsid w:val="008D4D7A"/>
    <w:rsid w:val="008D5126"/>
    <w:rsid w:val="008D579D"/>
    <w:rsid w:val="008D5A59"/>
    <w:rsid w:val="008D5BC3"/>
    <w:rsid w:val="008D5E22"/>
    <w:rsid w:val="008D635F"/>
    <w:rsid w:val="008D65F8"/>
    <w:rsid w:val="008D6930"/>
    <w:rsid w:val="008D69E6"/>
    <w:rsid w:val="008D6C6A"/>
    <w:rsid w:val="008D6CE4"/>
    <w:rsid w:val="008D70C5"/>
    <w:rsid w:val="008D70D1"/>
    <w:rsid w:val="008D74EF"/>
    <w:rsid w:val="008D7500"/>
    <w:rsid w:val="008D76AC"/>
    <w:rsid w:val="008D77D6"/>
    <w:rsid w:val="008D77F0"/>
    <w:rsid w:val="008D7973"/>
    <w:rsid w:val="008D7B34"/>
    <w:rsid w:val="008E0BFE"/>
    <w:rsid w:val="008E0DE0"/>
    <w:rsid w:val="008E0EAA"/>
    <w:rsid w:val="008E0F32"/>
    <w:rsid w:val="008E10AC"/>
    <w:rsid w:val="008E136E"/>
    <w:rsid w:val="008E1393"/>
    <w:rsid w:val="008E172B"/>
    <w:rsid w:val="008E1F37"/>
    <w:rsid w:val="008E204D"/>
    <w:rsid w:val="008E2058"/>
    <w:rsid w:val="008E230E"/>
    <w:rsid w:val="008E2C88"/>
    <w:rsid w:val="008E30C2"/>
    <w:rsid w:val="008E31A7"/>
    <w:rsid w:val="008E325B"/>
    <w:rsid w:val="008E3611"/>
    <w:rsid w:val="008E3677"/>
    <w:rsid w:val="008E3847"/>
    <w:rsid w:val="008E3EFD"/>
    <w:rsid w:val="008E3FD9"/>
    <w:rsid w:val="008E402B"/>
    <w:rsid w:val="008E40F6"/>
    <w:rsid w:val="008E41B4"/>
    <w:rsid w:val="008E43AA"/>
    <w:rsid w:val="008E49CA"/>
    <w:rsid w:val="008E4BCC"/>
    <w:rsid w:val="008E4C01"/>
    <w:rsid w:val="008E51CB"/>
    <w:rsid w:val="008E59F7"/>
    <w:rsid w:val="008E5B63"/>
    <w:rsid w:val="008E5E67"/>
    <w:rsid w:val="008E6187"/>
    <w:rsid w:val="008E6477"/>
    <w:rsid w:val="008E64BF"/>
    <w:rsid w:val="008E68C3"/>
    <w:rsid w:val="008E68D4"/>
    <w:rsid w:val="008E6926"/>
    <w:rsid w:val="008E6B11"/>
    <w:rsid w:val="008E6DCC"/>
    <w:rsid w:val="008E7102"/>
    <w:rsid w:val="008E71B3"/>
    <w:rsid w:val="008E7286"/>
    <w:rsid w:val="008E7780"/>
    <w:rsid w:val="008E79EA"/>
    <w:rsid w:val="008E7B16"/>
    <w:rsid w:val="008E7C66"/>
    <w:rsid w:val="008E7D6C"/>
    <w:rsid w:val="008E7FB5"/>
    <w:rsid w:val="008F077D"/>
    <w:rsid w:val="008F0A82"/>
    <w:rsid w:val="008F0AA8"/>
    <w:rsid w:val="008F0B06"/>
    <w:rsid w:val="008F10AC"/>
    <w:rsid w:val="008F1168"/>
    <w:rsid w:val="008F1513"/>
    <w:rsid w:val="008F1533"/>
    <w:rsid w:val="008F1683"/>
    <w:rsid w:val="008F1D59"/>
    <w:rsid w:val="008F224B"/>
    <w:rsid w:val="008F292C"/>
    <w:rsid w:val="008F29A5"/>
    <w:rsid w:val="008F2A68"/>
    <w:rsid w:val="008F2BBD"/>
    <w:rsid w:val="008F2E9B"/>
    <w:rsid w:val="008F3302"/>
    <w:rsid w:val="008F3B53"/>
    <w:rsid w:val="008F3D28"/>
    <w:rsid w:val="008F413B"/>
    <w:rsid w:val="008F4829"/>
    <w:rsid w:val="008F4869"/>
    <w:rsid w:val="008F48EC"/>
    <w:rsid w:val="008F4D42"/>
    <w:rsid w:val="008F5464"/>
    <w:rsid w:val="008F5722"/>
    <w:rsid w:val="008F5906"/>
    <w:rsid w:val="008F5DBA"/>
    <w:rsid w:val="008F6457"/>
    <w:rsid w:val="008F64B3"/>
    <w:rsid w:val="008F6586"/>
    <w:rsid w:val="008F6886"/>
    <w:rsid w:val="008F68F3"/>
    <w:rsid w:val="008F6A4A"/>
    <w:rsid w:val="008F6B80"/>
    <w:rsid w:val="008F6C9E"/>
    <w:rsid w:val="008F73B2"/>
    <w:rsid w:val="008F73B9"/>
    <w:rsid w:val="008F743F"/>
    <w:rsid w:val="008F7871"/>
    <w:rsid w:val="008F7882"/>
    <w:rsid w:val="008F794C"/>
    <w:rsid w:val="008F7DA0"/>
    <w:rsid w:val="00900363"/>
    <w:rsid w:val="009004CD"/>
    <w:rsid w:val="00900A4C"/>
    <w:rsid w:val="00900ADD"/>
    <w:rsid w:val="00900CC5"/>
    <w:rsid w:val="00900F2B"/>
    <w:rsid w:val="00900F9B"/>
    <w:rsid w:val="009010AE"/>
    <w:rsid w:val="00901195"/>
    <w:rsid w:val="00901C01"/>
    <w:rsid w:val="00901C19"/>
    <w:rsid w:val="00901D91"/>
    <w:rsid w:val="00901D95"/>
    <w:rsid w:val="00901FBC"/>
    <w:rsid w:val="009020DD"/>
    <w:rsid w:val="009029C7"/>
    <w:rsid w:val="00902AE1"/>
    <w:rsid w:val="00903284"/>
    <w:rsid w:val="0090332B"/>
    <w:rsid w:val="009033A1"/>
    <w:rsid w:val="009034EE"/>
    <w:rsid w:val="00903985"/>
    <w:rsid w:val="00903CAD"/>
    <w:rsid w:val="009040AF"/>
    <w:rsid w:val="00904A38"/>
    <w:rsid w:val="00904B41"/>
    <w:rsid w:val="00905344"/>
    <w:rsid w:val="00905860"/>
    <w:rsid w:val="00905FA7"/>
    <w:rsid w:val="00906235"/>
    <w:rsid w:val="009063BE"/>
    <w:rsid w:val="009067C1"/>
    <w:rsid w:val="00907089"/>
    <w:rsid w:val="009070A0"/>
    <w:rsid w:val="009071CA"/>
    <w:rsid w:val="009072A4"/>
    <w:rsid w:val="00907442"/>
    <w:rsid w:val="00907815"/>
    <w:rsid w:val="0090793C"/>
    <w:rsid w:val="0091038B"/>
    <w:rsid w:val="00910731"/>
    <w:rsid w:val="009108E1"/>
    <w:rsid w:val="00910CD3"/>
    <w:rsid w:val="00910EC4"/>
    <w:rsid w:val="00910F33"/>
    <w:rsid w:val="0091164F"/>
    <w:rsid w:val="00911923"/>
    <w:rsid w:val="00911A30"/>
    <w:rsid w:val="00911AA4"/>
    <w:rsid w:val="00911D88"/>
    <w:rsid w:val="00911DF7"/>
    <w:rsid w:val="00911EC4"/>
    <w:rsid w:val="00911FE5"/>
    <w:rsid w:val="009120D1"/>
    <w:rsid w:val="009121DE"/>
    <w:rsid w:val="0091221A"/>
    <w:rsid w:val="009124EE"/>
    <w:rsid w:val="0091265D"/>
    <w:rsid w:val="009128C0"/>
    <w:rsid w:val="00912DF2"/>
    <w:rsid w:val="00912EBB"/>
    <w:rsid w:val="00913780"/>
    <w:rsid w:val="009137EE"/>
    <w:rsid w:val="00913800"/>
    <w:rsid w:val="00913B04"/>
    <w:rsid w:val="00913B6B"/>
    <w:rsid w:val="00914097"/>
    <w:rsid w:val="009142AE"/>
    <w:rsid w:val="00914432"/>
    <w:rsid w:val="00914582"/>
    <w:rsid w:val="0091477C"/>
    <w:rsid w:val="00914BDE"/>
    <w:rsid w:val="00914BE0"/>
    <w:rsid w:val="00915369"/>
    <w:rsid w:val="00915799"/>
    <w:rsid w:val="00915E62"/>
    <w:rsid w:val="009160BA"/>
    <w:rsid w:val="00916158"/>
    <w:rsid w:val="00916280"/>
    <w:rsid w:val="00916403"/>
    <w:rsid w:val="00916888"/>
    <w:rsid w:val="00916EDC"/>
    <w:rsid w:val="00917A66"/>
    <w:rsid w:val="00917C3B"/>
    <w:rsid w:val="00917D91"/>
    <w:rsid w:val="00917DE9"/>
    <w:rsid w:val="00917E38"/>
    <w:rsid w:val="00917EEC"/>
    <w:rsid w:val="00917FCD"/>
    <w:rsid w:val="00920303"/>
    <w:rsid w:val="00920366"/>
    <w:rsid w:val="009204C7"/>
    <w:rsid w:val="009206F3"/>
    <w:rsid w:val="009208F2"/>
    <w:rsid w:val="00920F1C"/>
    <w:rsid w:val="00920F90"/>
    <w:rsid w:val="009216D1"/>
    <w:rsid w:val="009221AC"/>
    <w:rsid w:val="0092223B"/>
    <w:rsid w:val="00922242"/>
    <w:rsid w:val="00922552"/>
    <w:rsid w:val="009229F6"/>
    <w:rsid w:val="00922A3F"/>
    <w:rsid w:val="00922C97"/>
    <w:rsid w:val="00922DA8"/>
    <w:rsid w:val="009230FD"/>
    <w:rsid w:val="00923193"/>
    <w:rsid w:val="009232C3"/>
    <w:rsid w:val="009235CF"/>
    <w:rsid w:val="0092380B"/>
    <w:rsid w:val="009238A5"/>
    <w:rsid w:val="00923A73"/>
    <w:rsid w:val="00924046"/>
    <w:rsid w:val="0092414E"/>
    <w:rsid w:val="009242ED"/>
    <w:rsid w:val="009247D5"/>
    <w:rsid w:val="00924A58"/>
    <w:rsid w:val="00924F28"/>
    <w:rsid w:val="00925157"/>
    <w:rsid w:val="0092548E"/>
    <w:rsid w:val="00925611"/>
    <w:rsid w:val="009256D5"/>
    <w:rsid w:val="00925ACD"/>
    <w:rsid w:val="00925B2A"/>
    <w:rsid w:val="00925DC2"/>
    <w:rsid w:val="009263B4"/>
    <w:rsid w:val="00926C62"/>
    <w:rsid w:val="00927215"/>
    <w:rsid w:val="00927440"/>
    <w:rsid w:val="009275C5"/>
    <w:rsid w:val="009275D4"/>
    <w:rsid w:val="00927766"/>
    <w:rsid w:val="00927A16"/>
    <w:rsid w:val="00927DFF"/>
    <w:rsid w:val="00927E75"/>
    <w:rsid w:val="00930120"/>
    <w:rsid w:val="0093077B"/>
    <w:rsid w:val="00930846"/>
    <w:rsid w:val="00930A29"/>
    <w:rsid w:val="00930BE7"/>
    <w:rsid w:val="00930FA8"/>
    <w:rsid w:val="0093115B"/>
    <w:rsid w:val="00931300"/>
    <w:rsid w:val="00931856"/>
    <w:rsid w:val="00931956"/>
    <w:rsid w:val="00931D0D"/>
    <w:rsid w:val="009320D2"/>
    <w:rsid w:val="009321DB"/>
    <w:rsid w:val="00932C82"/>
    <w:rsid w:val="00932D47"/>
    <w:rsid w:val="00933012"/>
    <w:rsid w:val="00933103"/>
    <w:rsid w:val="00933515"/>
    <w:rsid w:val="009336A8"/>
    <w:rsid w:val="00933971"/>
    <w:rsid w:val="00933C08"/>
    <w:rsid w:val="0093428B"/>
    <w:rsid w:val="0093473F"/>
    <w:rsid w:val="009349A7"/>
    <w:rsid w:val="00934A20"/>
    <w:rsid w:val="00934E75"/>
    <w:rsid w:val="00934FB1"/>
    <w:rsid w:val="0093510C"/>
    <w:rsid w:val="00935862"/>
    <w:rsid w:val="00935ADA"/>
    <w:rsid w:val="00935AE3"/>
    <w:rsid w:val="00935BA6"/>
    <w:rsid w:val="00935D2F"/>
    <w:rsid w:val="00935F92"/>
    <w:rsid w:val="00936554"/>
    <w:rsid w:val="00936711"/>
    <w:rsid w:val="00936899"/>
    <w:rsid w:val="00936906"/>
    <w:rsid w:val="00936C35"/>
    <w:rsid w:val="009371EC"/>
    <w:rsid w:val="009371F5"/>
    <w:rsid w:val="009371F8"/>
    <w:rsid w:val="0093728B"/>
    <w:rsid w:val="00937434"/>
    <w:rsid w:val="0093749F"/>
    <w:rsid w:val="009374B6"/>
    <w:rsid w:val="009376E5"/>
    <w:rsid w:val="009377D4"/>
    <w:rsid w:val="00937802"/>
    <w:rsid w:val="00937B5C"/>
    <w:rsid w:val="00937D6F"/>
    <w:rsid w:val="00937F54"/>
    <w:rsid w:val="0094030D"/>
    <w:rsid w:val="00940B12"/>
    <w:rsid w:val="009410CD"/>
    <w:rsid w:val="0094116C"/>
    <w:rsid w:val="0094119E"/>
    <w:rsid w:val="009412D0"/>
    <w:rsid w:val="00941345"/>
    <w:rsid w:val="0094153E"/>
    <w:rsid w:val="00941A91"/>
    <w:rsid w:val="00941E45"/>
    <w:rsid w:val="00942197"/>
    <w:rsid w:val="0094259F"/>
    <w:rsid w:val="0094268E"/>
    <w:rsid w:val="00942829"/>
    <w:rsid w:val="00943267"/>
    <w:rsid w:val="00943509"/>
    <w:rsid w:val="00943529"/>
    <w:rsid w:val="009435DD"/>
    <w:rsid w:val="00944223"/>
    <w:rsid w:val="00944470"/>
    <w:rsid w:val="009446DA"/>
    <w:rsid w:val="0094496B"/>
    <w:rsid w:val="00944C01"/>
    <w:rsid w:val="00944D1D"/>
    <w:rsid w:val="00944E55"/>
    <w:rsid w:val="00944EFB"/>
    <w:rsid w:val="00944FAA"/>
    <w:rsid w:val="009450EF"/>
    <w:rsid w:val="009453A8"/>
    <w:rsid w:val="00945519"/>
    <w:rsid w:val="00945750"/>
    <w:rsid w:val="009458BB"/>
    <w:rsid w:val="00945AF3"/>
    <w:rsid w:val="00945B88"/>
    <w:rsid w:val="00945F89"/>
    <w:rsid w:val="0094639B"/>
    <w:rsid w:val="00946888"/>
    <w:rsid w:val="00946956"/>
    <w:rsid w:val="00946C6C"/>
    <w:rsid w:val="00947029"/>
    <w:rsid w:val="00947032"/>
    <w:rsid w:val="00947034"/>
    <w:rsid w:val="00947285"/>
    <w:rsid w:val="00947559"/>
    <w:rsid w:val="0094762A"/>
    <w:rsid w:val="00947943"/>
    <w:rsid w:val="00947DAA"/>
    <w:rsid w:val="00950039"/>
    <w:rsid w:val="0095048E"/>
    <w:rsid w:val="009504EC"/>
    <w:rsid w:val="009507DF"/>
    <w:rsid w:val="00950ACD"/>
    <w:rsid w:val="00950D87"/>
    <w:rsid w:val="00950F66"/>
    <w:rsid w:val="00951013"/>
    <w:rsid w:val="00951144"/>
    <w:rsid w:val="009513C0"/>
    <w:rsid w:val="0095177A"/>
    <w:rsid w:val="00951799"/>
    <w:rsid w:val="009517DB"/>
    <w:rsid w:val="00951875"/>
    <w:rsid w:val="00951964"/>
    <w:rsid w:val="00951BE5"/>
    <w:rsid w:val="00951F00"/>
    <w:rsid w:val="009520B9"/>
    <w:rsid w:val="00952550"/>
    <w:rsid w:val="009525AD"/>
    <w:rsid w:val="0095275A"/>
    <w:rsid w:val="00952A3B"/>
    <w:rsid w:val="00952B36"/>
    <w:rsid w:val="00952C1D"/>
    <w:rsid w:val="00952F87"/>
    <w:rsid w:val="009530BC"/>
    <w:rsid w:val="00953132"/>
    <w:rsid w:val="0095395E"/>
    <w:rsid w:val="009539D6"/>
    <w:rsid w:val="00953A3E"/>
    <w:rsid w:val="00953BE9"/>
    <w:rsid w:val="00953FA9"/>
    <w:rsid w:val="009543EB"/>
    <w:rsid w:val="00954437"/>
    <w:rsid w:val="0095481E"/>
    <w:rsid w:val="0095482D"/>
    <w:rsid w:val="0095487E"/>
    <w:rsid w:val="00954BD0"/>
    <w:rsid w:val="00954E97"/>
    <w:rsid w:val="00954FC6"/>
    <w:rsid w:val="00955216"/>
    <w:rsid w:val="009556FA"/>
    <w:rsid w:val="00955A9B"/>
    <w:rsid w:val="00955B4A"/>
    <w:rsid w:val="0095601D"/>
    <w:rsid w:val="00956489"/>
    <w:rsid w:val="00956796"/>
    <w:rsid w:val="00956862"/>
    <w:rsid w:val="00956F70"/>
    <w:rsid w:val="0095751A"/>
    <w:rsid w:val="00957671"/>
    <w:rsid w:val="0095787E"/>
    <w:rsid w:val="00957B0C"/>
    <w:rsid w:val="00957B75"/>
    <w:rsid w:val="0096002E"/>
    <w:rsid w:val="00960116"/>
    <w:rsid w:val="00960351"/>
    <w:rsid w:val="0096048F"/>
    <w:rsid w:val="0096063B"/>
    <w:rsid w:val="00960D37"/>
    <w:rsid w:val="00960ECC"/>
    <w:rsid w:val="00960EF8"/>
    <w:rsid w:val="00960F07"/>
    <w:rsid w:val="00961051"/>
    <w:rsid w:val="009610D0"/>
    <w:rsid w:val="00961304"/>
    <w:rsid w:val="009613B2"/>
    <w:rsid w:val="009618DF"/>
    <w:rsid w:val="00961AEF"/>
    <w:rsid w:val="00961CD4"/>
    <w:rsid w:val="00961DF9"/>
    <w:rsid w:val="00962A46"/>
    <w:rsid w:val="00962D8A"/>
    <w:rsid w:val="00962FAF"/>
    <w:rsid w:val="009631FC"/>
    <w:rsid w:val="00963310"/>
    <w:rsid w:val="00963453"/>
    <w:rsid w:val="00963538"/>
    <w:rsid w:val="0096355A"/>
    <w:rsid w:val="009635B7"/>
    <w:rsid w:val="009635EF"/>
    <w:rsid w:val="0096362C"/>
    <w:rsid w:val="00963985"/>
    <w:rsid w:val="00963BB9"/>
    <w:rsid w:val="00963F91"/>
    <w:rsid w:val="009640B2"/>
    <w:rsid w:val="009645D3"/>
    <w:rsid w:val="0096469C"/>
    <w:rsid w:val="0096475B"/>
    <w:rsid w:val="0096485F"/>
    <w:rsid w:val="00964EA1"/>
    <w:rsid w:val="00964F92"/>
    <w:rsid w:val="009652F5"/>
    <w:rsid w:val="009653F1"/>
    <w:rsid w:val="009654A0"/>
    <w:rsid w:val="00965779"/>
    <w:rsid w:val="009661C6"/>
    <w:rsid w:val="0096666A"/>
    <w:rsid w:val="00966EFD"/>
    <w:rsid w:val="00967184"/>
    <w:rsid w:val="00967186"/>
    <w:rsid w:val="00967844"/>
    <w:rsid w:val="00967CAB"/>
    <w:rsid w:val="00967DC0"/>
    <w:rsid w:val="00967DDE"/>
    <w:rsid w:val="009701F5"/>
    <w:rsid w:val="0097045A"/>
    <w:rsid w:val="00970AB6"/>
    <w:rsid w:val="00970AFD"/>
    <w:rsid w:val="00970E96"/>
    <w:rsid w:val="009719C2"/>
    <w:rsid w:val="00971A40"/>
    <w:rsid w:val="00971B43"/>
    <w:rsid w:val="00971DED"/>
    <w:rsid w:val="00971FB2"/>
    <w:rsid w:val="009723C8"/>
    <w:rsid w:val="00972502"/>
    <w:rsid w:val="00973043"/>
    <w:rsid w:val="009732D7"/>
    <w:rsid w:val="009733BA"/>
    <w:rsid w:val="00973594"/>
    <w:rsid w:val="0097360F"/>
    <w:rsid w:val="00973721"/>
    <w:rsid w:val="0097381E"/>
    <w:rsid w:val="0097399B"/>
    <w:rsid w:val="00973C51"/>
    <w:rsid w:val="00973CB5"/>
    <w:rsid w:val="00974322"/>
    <w:rsid w:val="00974334"/>
    <w:rsid w:val="00974441"/>
    <w:rsid w:val="009745D5"/>
    <w:rsid w:val="00974857"/>
    <w:rsid w:val="0097485E"/>
    <w:rsid w:val="00974F22"/>
    <w:rsid w:val="0097511D"/>
    <w:rsid w:val="009751A2"/>
    <w:rsid w:val="0097556C"/>
    <w:rsid w:val="009757E6"/>
    <w:rsid w:val="00975837"/>
    <w:rsid w:val="00975A56"/>
    <w:rsid w:val="00975C27"/>
    <w:rsid w:val="00975D99"/>
    <w:rsid w:val="0097613A"/>
    <w:rsid w:val="00976459"/>
    <w:rsid w:val="009766A1"/>
    <w:rsid w:val="009766E4"/>
    <w:rsid w:val="00976886"/>
    <w:rsid w:val="00976AB5"/>
    <w:rsid w:val="00976AF3"/>
    <w:rsid w:val="00976BC3"/>
    <w:rsid w:val="0097719C"/>
    <w:rsid w:val="00977530"/>
    <w:rsid w:val="0097774A"/>
    <w:rsid w:val="00977849"/>
    <w:rsid w:val="009778F9"/>
    <w:rsid w:val="00977970"/>
    <w:rsid w:val="00977984"/>
    <w:rsid w:val="009779BB"/>
    <w:rsid w:val="00977B16"/>
    <w:rsid w:val="00977B3A"/>
    <w:rsid w:val="00977DFC"/>
    <w:rsid w:val="009800BF"/>
    <w:rsid w:val="009803A9"/>
    <w:rsid w:val="0098077A"/>
    <w:rsid w:val="00980974"/>
    <w:rsid w:val="00980B42"/>
    <w:rsid w:val="00980B8D"/>
    <w:rsid w:val="00980BE8"/>
    <w:rsid w:val="00980F57"/>
    <w:rsid w:val="00980FC5"/>
    <w:rsid w:val="0098102C"/>
    <w:rsid w:val="009818B3"/>
    <w:rsid w:val="00981955"/>
    <w:rsid w:val="00981A7F"/>
    <w:rsid w:val="00981AC1"/>
    <w:rsid w:val="00981E5D"/>
    <w:rsid w:val="00982399"/>
    <w:rsid w:val="009823E1"/>
    <w:rsid w:val="00982BF1"/>
    <w:rsid w:val="00982C0A"/>
    <w:rsid w:val="0098363D"/>
    <w:rsid w:val="009837F1"/>
    <w:rsid w:val="00983845"/>
    <w:rsid w:val="00983953"/>
    <w:rsid w:val="00983B8C"/>
    <w:rsid w:val="00983CB8"/>
    <w:rsid w:val="00983F82"/>
    <w:rsid w:val="00984032"/>
    <w:rsid w:val="00984050"/>
    <w:rsid w:val="00984070"/>
    <w:rsid w:val="0098440E"/>
    <w:rsid w:val="0098450D"/>
    <w:rsid w:val="0098450F"/>
    <w:rsid w:val="009847C4"/>
    <w:rsid w:val="009847E1"/>
    <w:rsid w:val="00984B11"/>
    <w:rsid w:val="00984D71"/>
    <w:rsid w:val="00984D72"/>
    <w:rsid w:val="0098539D"/>
    <w:rsid w:val="009853D2"/>
    <w:rsid w:val="009855A4"/>
    <w:rsid w:val="00985845"/>
    <w:rsid w:val="00985A4F"/>
    <w:rsid w:val="00985B5A"/>
    <w:rsid w:val="00985B73"/>
    <w:rsid w:val="00985C3B"/>
    <w:rsid w:val="009860B4"/>
    <w:rsid w:val="009861E4"/>
    <w:rsid w:val="0098621C"/>
    <w:rsid w:val="00986800"/>
    <w:rsid w:val="0098685A"/>
    <w:rsid w:val="00986B14"/>
    <w:rsid w:val="00986CB2"/>
    <w:rsid w:val="00986EA6"/>
    <w:rsid w:val="00986F9F"/>
    <w:rsid w:val="0098709B"/>
    <w:rsid w:val="0098761B"/>
    <w:rsid w:val="0098766C"/>
    <w:rsid w:val="009879BB"/>
    <w:rsid w:val="00987CC5"/>
    <w:rsid w:val="0099010B"/>
    <w:rsid w:val="00990183"/>
    <w:rsid w:val="009902C2"/>
    <w:rsid w:val="009902F2"/>
    <w:rsid w:val="0099052A"/>
    <w:rsid w:val="009905BC"/>
    <w:rsid w:val="00990797"/>
    <w:rsid w:val="009908B2"/>
    <w:rsid w:val="009908BE"/>
    <w:rsid w:val="009908C3"/>
    <w:rsid w:val="00990C6E"/>
    <w:rsid w:val="00990D9F"/>
    <w:rsid w:val="0099136D"/>
    <w:rsid w:val="009913DE"/>
    <w:rsid w:val="0099166C"/>
    <w:rsid w:val="009918BC"/>
    <w:rsid w:val="009918D7"/>
    <w:rsid w:val="009923CE"/>
    <w:rsid w:val="0099243E"/>
    <w:rsid w:val="00992567"/>
    <w:rsid w:val="00992697"/>
    <w:rsid w:val="009927C2"/>
    <w:rsid w:val="00993362"/>
    <w:rsid w:val="00993601"/>
    <w:rsid w:val="0099373D"/>
    <w:rsid w:val="00993A2A"/>
    <w:rsid w:val="00993BBE"/>
    <w:rsid w:val="00993D60"/>
    <w:rsid w:val="00994055"/>
    <w:rsid w:val="00994161"/>
    <w:rsid w:val="0099418E"/>
    <w:rsid w:val="00994333"/>
    <w:rsid w:val="0099442A"/>
    <w:rsid w:val="0099489F"/>
    <w:rsid w:val="00994A13"/>
    <w:rsid w:val="00995302"/>
    <w:rsid w:val="00995602"/>
    <w:rsid w:val="0099569A"/>
    <w:rsid w:val="00995933"/>
    <w:rsid w:val="00995975"/>
    <w:rsid w:val="00995A6A"/>
    <w:rsid w:val="0099616C"/>
    <w:rsid w:val="009962CF"/>
    <w:rsid w:val="0099633C"/>
    <w:rsid w:val="009966FD"/>
    <w:rsid w:val="00996781"/>
    <w:rsid w:val="00996AF7"/>
    <w:rsid w:val="00996C1F"/>
    <w:rsid w:val="00996F2C"/>
    <w:rsid w:val="009972A2"/>
    <w:rsid w:val="009974A7"/>
    <w:rsid w:val="0099799F"/>
    <w:rsid w:val="00997BD4"/>
    <w:rsid w:val="00997F91"/>
    <w:rsid w:val="009A00B8"/>
    <w:rsid w:val="009A03DF"/>
    <w:rsid w:val="009A041D"/>
    <w:rsid w:val="009A0437"/>
    <w:rsid w:val="009A04C3"/>
    <w:rsid w:val="009A107A"/>
    <w:rsid w:val="009A13AC"/>
    <w:rsid w:val="009A14AF"/>
    <w:rsid w:val="009A14D0"/>
    <w:rsid w:val="009A16E2"/>
    <w:rsid w:val="009A1864"/>
    <w:rsid w:val="009A1C81"/>
    <w:rsid w:val="009A1E51"/>
    <w:rsid w:val="009A1E66"/>
    <w:rsid w:val="009A21D7"/>
    <w:rsid w:val="009A2551"/>
    <w:rsid w:val="009A2681"/>
    <w:rsid w:val="009A294F"/>
    <w:rsid w:val="009A306A"/>
    <w:rsid w:val="009A308F"/>
    <w:rsid w:val="009A38E0"/>
    <w:rsid w:val="009A39DE"/>
    <w:rsid w:val="009A3ABF"/>
    <w:rsid w:val="009A4363"/>
    <w:rsid w:val="009A45B8"/>
    <w:rsid w:val="009A479A"/>
    <w:rsid w:val="009A4A64"/>
    <w:rsid w:val="009A4C9C"/>
    <w:rsid w:val="009A511B"/>
    <w:rsid w:val="009A5130"/>
    <w:rsid w:val="009A538E"/>
    <w:rsid w:val="009A54A6"/>
    <w:rsid w:val="009A5C8F"/>
    <w:rsid w:val="009A5F67"/>
    <w:rsid w:val="009A60B6"/>
    <w:rsid w:val="009A60C0"/>
    <w:rsid w:val="009A641E"/>
    <w:rsid w:val="009A663E"/>
    <w:rsid w:val="009A68A3"/>
    <w:rsid w:val="009A6C59"/>
    <w:rsid w:val="009A6CFE"/>
    <w:rsid w:val="009A70A2"/>
    <w:rsid w:val="009A7245"/>
    <w:rsid w:val="009A7368"/>
    <w:rsid w:val="009A7586"/>
    <w:rsid w:val="009A7A95"/>
    <w:rsid w:val="009B0047"/>
    <w:rsid w:val="009B0697"/>
    <w:rsid w:val="009B095A"/>
    <w:rsid w:val="009B0BEB"/>
    <w:rsid w:val="009B1073"/>
    <w:rsid w:val="009B1079"/>
    <w:rsid w:val="009B1658"/>
    <w:rsid w:val="009B16AC"/>
    <w:rsid w:val="009B182C"/>
    <w:rsid w:val="009B1CE0"/>
    <w:rsid w:val="009B222B"/>
    <w:rsid w:val="009B2A14"/>
    <w:rsid w:val="009B2A48"/>
    <w:rsid w:val="009B2CF8"/>
    <w:rsid w:val="009B3159"/>
    <w:rsid w:val="009B3481"/>
    <w:rsid w:val="009B34BD"/>
    <w:rsid w:val="009B36F0"/>
    <w:rsid w:val="009B3708"/>
    <w:rsid w:val="009B3776"/>
    <w:rsid w:val="009B38E3"/>
    <w:rsid w:val="009B3994"/>
    <w:rsid w:val="009B3A94"/>
    <w:rsid w:val="009B3D64"/>
    <w:rsid w:val="009B4097"/>
    <w:rsid w:val="009B412F"/>
    <w:rsid w:val="009B426C"/>
    <w:rsid w:val="009B42E9"/>
    <w:rsid w:val="009B4634"/>
    <w:rsid w:val="009B4679"/>
    <w:rsid w:val="009B4A38"/>
    <w:rsid w:val="009B4DA7"/>
    <w:rsid w:val="009B4DE2"/>
    <w:rsid w:val="009B4F61"/>
    <w:rsid w:val="009B4FFF"/>
    <w:rsid w:val="009B5040"/>
    <w:rsid w:val="009B512F"/>
    <w:rsid w:val="009B5654"/>
    <w:rsid w:val="009B5719"/>
    <w:rsid w:val="009B5F89"/>
    <w:rsid w:val="009B6289"/>
    <w:rsid w:val="009B630F"/>
    <w:rsid w:val="009B6751"/>
    <w:rsid w:val="009B6C78"/>
    <w:rsid w:val="009B6CD3"/>
    <w:rsid w:val="009B6DB7"/>
    <w:rsid w:val="009B707F"/>
    <w:rsid w:val="009B70B1"/>
    <w:rsid w:val="009B71E7"/>
    <w:rsid w:val="009B7283"/>
    <w:rsid w:val="009B73A5"/>
    <w:rsid w:val="009B75FD"/>
    <w:rsid w:val="009B7600"/>
    <w:rsid w:val="009B764A"/>
    <w:rsid w:val="009B772C"/>
    <w:rsid w:val="009B7959"/>
    <w:rsid w:val="009B7963"/>
    <w:rsid w:val="009B7CDC"/>
    <w:rsid w:val="009B7F77"/>
    <w:rsid w:val="009C0205"/>
    <w:rsid w:val="009C0534"/>
    <w:rsid w:val="009C0881"/>
    <w:rsid w:val="009C0A7E"/>
    <w:rsid w:val="009C0BFD"/>
    <w:rsid w:val="009C0C2C"/>
    <w:rsid w:val="009C0DDC"/>
    <w:rsid w:val="009C0E35"/>
    <w:rsid w:val="009C0F71"/>
    <w:rsid w:val="009C1160"/>
    <w:rsid w:val="009C126A"/>
    <w:rsid w:val="009C12F3"/>
    <w:rsid w:val="009C136E"/>
    <w:rsid w:val="009C155D"/>
    <w:rsid w:val="009C163F"/>
    <w:rsid w:val="009C18C5"/>
    <w:rsid w:val="009C18FD"/>
    <w:rsid w:val="009C1AFB"/>
    <w:rsid w:val="009C1B7C"/>
    <w:rsid w:val="009C1D17"/>
    <w:rsid w:val="009C1EF4"/>
    <w:rsid w:val="009C20E1"/>
    <w:rsid w:val="009C2190"/>
    <w:rsid w:val="009C2F15"/>
    <w:rsid w:val="009C306A"/>
    <w:rsid w:val="009C3189"/>
    <w:rsid w:val="009C331F"/>
    <w:rsid w:val="009C341F"/>
    <w:rsid w:val="009C35B5"/>
    <w:rsid w:val="009C376A"/>
    <w:rsid w:val="009C390B"/>
    <w:rsid w:val="009C3993"/>
    <w:rsid w:val="009C3B82"/>
    <w:rsid w:val="009C3C10"/>
    <w:rsid w:val="009C3D86"/>
    <w:rsid w:val="009C3DFB"/>
    <w:rsid w:val="009C44A0"/>
    <w:rsid w:val="009C44CF"/>
    <w:rsid w:val="009C459A"/>
    <w:rsid w:val="009C467F"/>
    <w:rsid w:val="009C4730"/>
    <w:rsid w:val="009C4A9B"/>
    <w:rsid w:val="009C4B3F"/>
    <w:rsid w:val="009C541B"/>
    <w:rsid w:val="009C555A"/>
    <w:rsid w:val="009C5609"/>
    <w:rsid w:val="009C5A90"/>
    <w:rsid w:val="009C5AB5"/>
    <w:rsid w:val="009C5D9F"/>
    <w:rsid w:val="009C6047"/>
    <w:rsid w:val="009C60B6"/>
    <w:rsid w:val="009C6560"/>
    <w:rsid w:val="009C6593"/>
    <w:rsid w:val="009C6795"/>
    <w:rsid w:val="009C685D"/>
    <w:rsid w:val="009C7237"/>
    <w:rsid w:val="009C7453"/>
    <w:rsid w:val="009C7459"/>
    <w:rsid w:val="009C7752"/>
    <w:rsid w:val="009C7B1F"/>
    <w:rsid w:val="009C7EBC"/>
    <w:rsid w:val="009D0548"/>
    <w:rsid w:val="009D0AEE"/>
    <w:rsid w:val="009D0D8C"/>
    <w:rsid w:val="009D1996"/>
    <w:rsid w:val="009D1A5C"/>
    <w:rsid w:val="009D1DD3"/>
    <w:rsid w:val="009D240F"/>
    <w:rsid w:val="009D26FA"/>
    <w:rsid w:val="009D2856"/>
    <w:rsid w:val="009D2D0B"/>
    <w:rsid w:val="009D2DB6"/>
    <w:rsid w:val="009D30B0"/>
    <w:rsid w:val="009D348B"/>
    <w:rsid w:val="009D35DA"/>
    <w:rsid w:val="009D37A2"/>
    <w:rsid w:val="009D3A01"/>
    <w:rsid w:val="009D3C59"/>
    <w:rsid w:val="009D3CDB"/>
    <w:rsid w:val="009D40F2"/>
    <w:rsid w:val="009D45F5"/>
    <w:rsid w:val="009D4B97"/>
    <w:rsid w:val="009D4DBA"/>
    <w:rsid w:val="009D4DC0"/>
    <w:rsid w:val="009D5329"/>
    <w:rsid w:val="009D5578"/>
    <w:rsid w:val="009D568C"/>
    <w:rsid w:val="009D57D9"/>
    <w:rsid w:val="009D5B1E"/>
    <w:rsid w:val="009D5BF1"/>
    <w:rsid w:val="009D5D73"/>
    <w:rsid w:val="009D5E1E"/>
    <w:rsid w:val="009D5E68"/>
    <w:rsid w:val="009D6139"/>
    <w:rsid w:val="009D63B5"/>
    <w:rsid w:val="009D6626"/>
    <w:rsid w:val="009D6661"/>
    <w:rsid w:val="009D6746"/>
    <w:rsid w:val="009D68D6"/>
    <w:rsid w:val="009D6B28"/>
    <w:rsid w:val="009D6B7B"/>
    <w:rsid w:val="009D6D3A"/>
    <w:rsid w:val="009D6FCA"/>
    <w:rsid w:val="009D780F"/>
    <w:rsid w:val="009D7D87"/>
    <w:rsid w:val="009D7DF0"/>
    <w:rsid w:val="009D7E1C"/>
    <w:rsid w:val="009E01F5"/>
    <w:rsid w:val="009E020F"/>
    <w:rsid w:val="009E0857"/>
    <w:rsid w:val="009E0A5C"/>
    <w:rsid w:val="009E0E3E"/>
    <w:rsid w:val="009E1053"/>
    <w:rsid w:val="009E11CE"/>
    <w:rsid w:val="009E12AE"/>
    <w:rsid w:val="009E1433"/>
    <w:rsid w:val="009E1573"/>
    <w:rsid w:val="009E16B8"/>
    <w:rsid w:val="009E1720"/>
    <w:rsid w:val="009E1B0D"/>
    <w:rsid w:val="009E1DBC"/>
    <w:rsid w:val="009E1E8E"/>
    <w:rsid w:val="009E20B4"/>
    <w:rsid w:val="009E263A"/>
    <w:rsid w:val="009E27A1"/>
    <w:rsid w:val="009E29F0"/>
    <w:rsid w:val="009E29FC"/>
    <w:rsid w:val="009E2B34"/>
    <w:rsid w:val="009E2C63"/>
    <w:rsid w:val="009E2D37"/>
    <w:rsid w:val="009E322E"/>
    <w:rsid w:val="009E371F"/>
    <w:rsid w:val="009E3A7B"/>
    <w:rsid w:val="009E3D44"/>
    <w:rsid w:val="009E3DAD"/>
    <w:rsid w:val="009E3F69"/>
    <w:rsid w:val="009E4380"/>
    <w:rsid w:val="009E50D6"/>
    <w:rsid w:val="009E5333"/>
    <w:rsid w:val="009E5339"/>
    <w:rsid w:val="009E55E0"/>
    <w:rsid w:val="009E5916"/>
    <w:rsid w:val="009E59E3"/>
    <w:rsid w:val="009E5EC9"/>
    <w:rsid w:val="009E5EFA"/>
    <w:rsid w:val="009E66C3"/>
    <w:rsid w:val="009E6812"/>
    <w:rsid w:val="009E6950"/>
    <w:rsid w:val="009E6B2B"/>
    <w:rsid w:val="009E6B59"/>
    <w:rsid w:val="009E6F83"/>
    <w:rsid w:val="009E70CC"/>
    <w:rsid w:val="009E71F2"/>
    <w:rsid w:val="009E7725"/>
    <w:rsid w:val="009E777B"/>
    <w:rsid w:val="009E79FA"/>
    <w:rsid w:val="009E7F20"/>
    <w:rsid w:val="009F0073"/>
    <w:rsid w:val="009F00CA"/>
    <w:rsid w:val="009F033E"/>
    <w:rsid w:val="009F0495"/>
    <w:rsid w:val="009F068A"/>
    <w:rsid w:val="009F0712"/>
    <w:rsid w:val="009F07A3"/>
    <w:rsid w:val="009F091F"/>
    <w:rsid w:val="009F09E9"/>
    <w:rsid w:val="009F0E5D"/>
    <w:rsid w:val="009F0ECD"/>
    <w:rsid w:val="009F179F"/>
    <w:rsid w:val="009F17FF"/>
    <w:rsid w:val="009F1845"/>
    <w:rsid w:val="009F1B3A"/>
    <w:rsid w:val="009F1E26"/>
    <w:rsid w:val="009F22DC"/>
    <w:rsid w:val="009F2495"/>
    <w:rsid w:val="009F296D"/>
    <w:rsid w:val="009F2B15"/>
    <w:rsid w:val="009F35A1"/>
    <w:rsid w:val="009F3F2C"/>
    <w:rsid w:val="009F485E"/>
    <w:rsid w:val="009F491D"/>
    <w:rsid w:val="009F4BAA"/>
    <w:rsid w:val="009F4FE3"/>
    <w:rsid w:val="009F515E"/>
    <w:rsid w:val="009F52A9"/>
    <w:rsid w:val="009F606A"/>
    <w:rsid w:val="009F6C33"/>
    <w:rsid w:val="009F6C56"/>
    <w:rsid w:val="009F6EBD"/>
    <w:rsid w:val="009F74A6"/>
    <w:rsid w:val="009F76B6"/>
    <w:rsid w:val="009F76B7"/>
    <w:rsid w:val="009F78E6"/>
    <w:rsid w:val="009F7C24"/>
    <w:rsid w:val="009F7CB3"/>
    <w:rsid w:val="009F7EDE"/>
    <w:rsid w:val="00A00235"/>
    <w:rsid w:val="00A00263"/>
    <w:rsid w:val="00A00310"/>
    <w:rsid w:val="00A00547"/>
    <w:rsid w:val="00A005B3"/>
    <w:rsid w:val="00A006AC"/>
    <w:rsid w:val="00A00841"/>
    <w:rsid w:val="00A0094D"/>
    <w:rsid w:val="00A00C47"/>
    <w:rsid w:val="00A00D5B"/>
    <w:rsid w:val="00A010AD"/>
    <w:rsid w:val="00A010D0"/>
    <w:rsid w:val="00A010D4"/>
    <w:rsid w:val="00A012E8"/>
    <w:rsid w:val="00A013B8"/>
    <w:rsid w:val="00A013E5"/>
    <w:rsid w:val="00A016EB"/>
    <w:rsid w:val="00A01A3E"/>
    <w:rsid w:val="00A01C1A"/>
    <w:rsid w:val="00A01EA7"/>
    <w:rsid w:val="00A021F0"/>
    <w:rsid w:val="00A0273B"/>
    <w:rsid w:val="00A02831"/>
    <w:rsid w:val="00A02875"/>
    <w:rsid w:val="00A0290F"/>
    <w:rsid w:val="00A02D8D"/>
    <w:rsid w:val="00A02F94"/>
    <w:rsid w:val="00A0359D"/>
    <w:rsid w:val="00A0363F"/>
    <w:rsid w:val="00A036E2"/>
    <w:rsid w:val="00A03BEA"/>
    <w:rsid w:val="00A03C04"/>
    <w:rsid w:val="00A04055"/>
    <w:rsid w:val="00A042E5"/>
    <w:rsid w:val="00A04449"/>
    <w:rsid w:val="00A04774"/>
    <w:rsid w:val="00A048BD"/>
    <w:rsid w:val="00A0494D"/>
    <w:rsid w:val="00A04A3E"/>
    <w:rsid w:val="00A04AEF"/>
    <w:rsid w:val="00A04DD8"/>
    <w:rsid w:val="00A0507C"/>
    <w:rsid w:val="00A05252"/>
    <w:rsid w:val="00A053D1"/>
    <w:rsid w:val="00A053FD"/>
    <w:rsid w:val="00A0565F"/>
    <w:rsid w:val="00A0628D"/>
    <w:rsid w:val="00A062B9"/>
    <w:rsid w:val="00A066E6"/>
    <w:rsid w:val="00A0674C"/>
    <w:rsid w:val="00A06986"/>
    <w:rsid w:val="00A06B49"/>
    <w:rsid w:val="00A072E5"/>
    <w:rsid w:val="00A075C9"/>
    <w:rsid w:val="00A077DB"/>
    <w:rsid w:val="00A07BCA"/>
    <w:rsid w:val="00A07DA6"/>
    <w:rsid w:val="00A07F70"/>
    <w:rsid w:val="00A10239"/>
    <w:rsid w:val="00A10438"/>
    <w:rsid w:val="00A10568"/>
    <w:rsid w:val="00A10851"/>
    <w:rsid w:val="00A10BE5"/>
    <w:rsid w:val="00A10D61"/>
    <w:rsid w:val="00A11561"/>
    <w:rsid w:val="00A118E1"/>
    <w:rsid w:val="00A11B26"/>
    <w:rsid w:val="00A11C16"/>
    <w:rsid w:val="00A11EB8"/>
    <w:rsid w:val="00A1233F"/>
    <w:rsid w:val="00A125C2"/>
    <w:rsid w:val="00A12651"/>
    <w:rsid w:val="00A127C6"/>
    <w:rsid w:val="00A12AD5"/>
    <w:rsid w:val="00A12BF6"/>
    <w:rsid w:val="00A12E82"/>
    <w:rsid w:val="00A1300B"/>
    <w:rsid w:val="00A13924"/>
    <w:rsid w:val="00A13D14"/>
    <w:rsid w:val="00A1427C"/>
    <w:rsid w:val="00A1438B"/>
    <w:rsid w:val="00A143C6"/>
    <w:rsid w:val="00A147B6"/>
    <w:rsid w:val="00A15272"/>
    <w:rsid w:val="00A15354"/>
    <w:rsid w:val="00A15566"/>
    <w:rsid w:val="00A155BC"/>
    <w:rsid w:val="00A157B6"/>
    <w:rsid w:val="00A15CB2"/>
    <w:rsid w:val="00A15E25"/>
    <w:rsid w:val="00A15E73"/>
    <w:rsid w:val="00A15E91"/>
    <w:rsid w:val="00A15EBF"/>
    <w:rsid w:val="00A160A9"/>
    <w:rsid w:val="00A16535"/>
    <w:rsid w:val="00A165EA"/>
    <w:rsid w:val="00A1667A"/>
    <w:rsid w:val="00A167DF"/>
    <w:rsid w:val="00A16802"/>
    <w:rsid w:val="00A16B89"/>
    <w:rsid w:val="00A16BA7"/>
    <w:rsid w:val="00A16F0B"/>
    <w:rsid w:val="00A17312"/>
    <w:rsid w:val="00A17788"/>
    <w:rsid w:val="00A1787A"/>
    <w:rsid w:val="00A17D04"/>
    <w:rsid w:val="00A17FCA"/>
    <w:rsid w:val="00A20112"/>
    <w:rsid w:val="00A20174"/>
    <w:rsid w:val="00A2019B"/>
    <w:rsid w:val="00A205E3"/>
    <w:rsid w:val="00A2099F"/>
    <w:rsid w:val="00A20F01"/>
    <w:rsid w:val="00A21056"/>
    <w:rsid w:val="00A2110C"/>
    <w:rsid w:val="00A2139C"/>
    <w:rsid w:val="00A21619"/>
    <w:rsid w:val="00A216D4"/>
    <w:rsid w:val="00A21954"/>
    <w:rsid w:val="00A21B2D"/>
    <w:rsid w:val="00A21C45"/>
    <w:rsid w:val="00A21CEB"/>
    <w:rsid w:val="00A21FE6"/>
    <w:rsid w:val="00A221BA"/>
    <w:rsid w:val="00A222C5"/>
    <w:rsid w:val="00A22432"/>
    <w:rsid w:val="00A22467"/>
    <w:rsid w:val="00A229AC"/>
    <w:rsid w:val="00A23043"/>
    <w:rsid w:val="00A233BB"/>
    <w:rsid w:val="00A2344A"/>
    <w:rsid w:val="00A235C3"/>
    <w:rsid w:val="00A236C8"/>
    <w:rsid w:val="00A238D7"/>
    <w:rsid w:val="00A23B81"/>
    <w:rsid w:val="00A23DD4"/>
    <w:rsid w:val="00A23EBC"/>
    <w:rsid w:val="00A23FDE"/>
    <w:rsid w:val="00A24089"/>
    <w:rsid w:val="00A2442C"/>
    <w:rsid w:val="00A245E4"/>
    <w:rsid w:val="00A24875"/>
    <w:rsid w:val="00A24A74"/>
    <w:rsid w:val="00A24CBF"/>
    <w:rsid w:val="00A257A7"/>
    <w:rsid w:val="00A258F6"/>
    <w:rsid w:val="00A259A4"/>
    <w:rsid w:val="00A25B10"/>
    <w:rsid w:val="00A25E6D"/>
    <w:rsid w:val="00A25F64"/>
    <w:rsid w:val="00A26104"/>
    <w:rsid w:val="00A261B6"/>
    <w:rsid w:val="00A261CF"/>
    <w:rsid w:val="00A2629E"/>
    <w:rsid w:val="00A2643A"/>
    <w:rsid w:val="00A26612"/>
    <w:rsid w:val="00A26D7C"/>
    <w:rsid w:val="00A270B8"/>
    <w:rsid w:val="00A276EB"/>
    <w:rsid w:val="00A279E0"/>
    <w:rsid w:val="00A27F55"/>
    <w:rsid w:val="00A300B1"/>
    <w:rsid w:val="00A303D1"/>
    <w:rsid w:val="00A30515"/>
    <w:rsid w:val="00A30649"/>
    <w:rsid w:val="00A307F9"/>
    <w:rsid w:val="00A30DE9"/>
    <w:rsid w:val="00A3139C"/>
    <w:rsid w:val="00A314BE"/>
    <w:rsid w:val="00A31536"/>
    <w:rsid w:val="00A31C60"/>
    <w:rsid w:val="00A31D53"/>
    <w:rsid w:val="00A3249C"/>
    <w:rsid w:val="00A328E5"/>
    <w:rsid w:val="00A32E96"/>
    <w:rsid w:val="00A333B5"/>
    <w:rsid w:val="00A336AA"/>
    <w:rsid w:val="00A336EC"/>
    <w:rsid w:val="00A33771"/>
    <w:rsid w:val="00A33A71"/>
    <w:rsid w:val="00A33AA0"/>
    <w:rsid w:val="00A34479"/>
    <w:rsid w:val="00A347C4"/>
    <w:rsid w:val="00A34CCA"/>
    <w:rsid w:val="00A3512D"/>
    <w:rsid w:val="00A35B42"/>
    <w:rsid w:val="00A35E63"/>
    <w:rsid w:val="00A35EC4"/>
    <w:rsid w:val="00A36162"/>
    <w:rsid w:val="00A3626E"/>
    <w:rsid w:val="00A3648E"/>
    <w:rsid w:val="00A36932"/>
    <w:rsid w:val="00A36F92"/>
    <w:rsid w:val="00A37057"/>
    <w:rsid w:val="00A370CF"/>
    <w:rsid w:val="00A37129"/>
    <w:rsid w:val="00A373F4"/>
    <w:rsid w:val="00A37516"/>
    <w:rsid w:val="00A37C00"/>
    <w:rsid w:val="00A37FAC"/>
    <w:rsid w:val="00A40691"/>
    <w:rsid w:val="00A40745"/>
    <w:rsid w:val="00A40763"/>
    <w:rsid w:val="00A40972"/>
    <w:rsid w:val="00A40AC8"/>
    <w:rsid w:val="00A40DA8"/>
    <w:rsid w:val="00A41118"/>
    <w:rsid w:val="00A41443"/>
    <w:rsid w:val="00A4176F"/>
    <w:rsid w:val="00A41ADC"/>
    <w:rsid w:val="00A41EA6"/>
    <w:rsid w:val="00A4242B"/>
    <w:rsid w:val="00A4260F"/>
    <w:rsid w:val="00A42985"/>
    <w:rsid w:val="00A429DD"/>
    <w:rsid w:val="00A42BEC"/>
    <w:rsid w:val="00A42E5F"/>
    <w:rsid w:val="00A42E73"/>
    <w:rsid w:val="00A433C5"/>
    <w:rsid w:val="00A4349C"/>
    <w:rsid w:val="00A43919"/>
    <w:rsid w:val="00A43A46"/>
    <w:rsid w:val="00A43C69"/>
    <w:rsid w:val="00A43D44"/>
    <w:rsid w:val="00A444D6"/>
    <w:rsid w:val="00A446AA"/>
    <w:rsid w:val="00A447AB"/>
    <w:rsid w:val="00A44988"/>
    <w:rsid w:val="00A44AD8"/>
    <w:rsid w:val="00A44C9B"/>
    <w:rsid w:val="00A44CF9"/>
    <w:rsid w:val="00A4532F"/>
    <w:rsid w:val="00A456C0"/>
    <w:rsid w:val="00A45A05"/>
    <w:rsid w:val="00A45E83"/>
    <w:rsid w:val="00A45FA4"/>
    <w:rsid w:val="00A4620F"/>
    <w:rsid w:val="00A463A2"/>
    <w:rsid w:val="00A464F2"/>
    <w:rsid w:val="00A4660A"/>
    <w:rsid w:val="00A46889"/>
    <w:rsid w:val="00A46EFB"/>
    <w:rsid w:val="00A470A1"/>
    <w:rsid w:val="00A4731A"/>
    <w:rsid w:val="00A473D6"/>
    <w:rsid w:val="00A47627"/>
    <w:rsid w:val="00A47644"/>
    <w:rsid w:val="00A477EA"/>
    <w:rsid w:val="00A47851"/>
    <w:rsid w:val="00A4798C"/>
    <w:rsid w:val="00A47C1E"/>
    <w:rsid w:val="00A47C4D"/>
    <w:rsid w:val="00A5019A"/>
    <w:rsid w:val="00A50353"/>
    <w:rsid w:val="00A505BA"/>
    <w:rsid w:val="00A50771"/>
    <w:rsid w:val="00A5095E"/>
    <w:rsid w:val="00A50AA4"/>
    <w:rsid w:val="00A513E1"/>
    <w:rsid w:val="00A515A6"/>
    <w:rsid w:val="00A5190E"/>
    <w:rsid w:val="00A51A2C"/>
    <w:rsid w:val="00A51CCF"/>
    <w:rsid w:val="00A51F35"/>
    <w:rsid w:val="00A5213B"/>
    <w:rsid w:val="00A5220F"/>
    <w:rsid w:val="00A522E6"/>
    <w:rsid w:val="00A5240F"/>
    <w:rsid w:val="00A52AED"/>
    <w:rsid w:val="00A52E57"/>
    <w:rsid w:val="00A52F3F"/>
    <w:rsid w:val="00A53726"/>
    <w:rsid w:val="00A5375A"/>
    <w:rsid w:val="00A537F9"/>
    <w:rsid w:val="00A538D4"/>
    <w:rsid w:val="00A53CBC"/>
    <w:rsid w:val="00A54193"/>
    <w:rsid w:val="00A5419D"/>
    <w:rsid w:val="00A54247"/>
    <w:rsid w:val="00A5435A"/>
    <w:rsid w:val="00A545B5"/>
    <w:rsid w:val="00A5465E"/>
    <w:rsid w:val="00A546F9"/>
    <w:rsid w:val="00A54F8E"/>
    <w:rsid w:val="00A55304"/>
    <w:rsid w:val="00A553AC"/>
    <w:rsid w:val="00A554F2"/>
    <w:rsid w:val="00A55599"/>
    <w:rsid w:val="00A55FB7"/>
    <w:rsid w:val="00A5681D"/>
    <w:rsid w:val="00A56971"/>
    <w:rsid w:val="00A57284"/>
    <w:rsid w:val="00A572B0"/>
    <w:rsid w:val="00A57388"/>
    <w:rsid w:val="00A577AA"/>
    <w:rsid w:val="00A57824"/>
    <w:rsid w:val="00A57CDD"/>
    <w:rsid w:val="00A600E4"/>
    <w:rsid w:val="00A606AE"/>
    <w:rsid w:val="00A6093B"/>
    <w:rsid w:val="00A60AC9"/>
    <w:rsid w:val="00A60D8C"/>
    <w:rsid w:val="00A61009"/>
    <w:rsid w:val="00A61087"/>
    <w:rsid w:val="00A61187"/>
    <w:rsid w:val="00A6171B"/>
    <w:rsid w:val="00A619D8"/>
    <w:rsid w:val="00A61CC0"/>
    <w:rsid w:val="00A61E7F"/>
    <w:rsid w:val="00A61F52"/>
    <w:rsid w:val="00A61FD0"/>
    <w:rsid w:val="00A6206F"/>
    <w:rsid w:val="00A6221A"/>
    <w:rsid w:val="00A62464"/>
    <w:rsid w:val="00A6258E"/>
    <w:rsid w:val="00A627C7"/>
    <w:rsid w:val="00A62D90"/>
    <w:rsid w:val="00A62DB5"/>
    <w:rsid w:val="00A62EE4"/>
    <w:rsid w:val="00A6312D"/>
    <w:rsid w:val="00A63647"/>
    <w:rsid w:val="00A636AF"/>
    <w:rsid w:val="00A637D1"/>
    <w:rsid w:val="00A63962"/>
    <w:rsid w:val="00A644B5"/>
    <w:rsid w:val="00A64716"/>
    <w:rsid w:val="00A6484E"/>
    <w:rsid w:val="00A64A1E"/>
    <w:rsid w:val="00A64D27"/>
    <w:rsid w:val="00A64E7A"/>
    <w:rsid w:val="00A64EB2"/>
    <w:rsid w:val="00A65504"/>
    <w:rsid w:val="00A6551A"/>
    <w:rsid w:val="00A659E5"/>
    <w:rsid w:val="00A65B32"/>
    <w:rsid w:val="00A65DE3"/>
    <w:rsid w:val="00A65F83"/>
    <w:rsid w:val="00A6604C"/>
    <w:rsid w:val="00A664F8"/>
    <w:rsid w:val="00A665E8"/>
    <w:rsid w:val="00A66AF4"/>
    <w:rsid w:val="00A66F0C"/>
    <w:rsid w:val="00A67015"/>
    <w:rsid w:val="00A67702"/>
    <w:rsid w:val="00A67878"/>
    <w:rsid w:val="00A6795E"/>
    <w:rsid w:val="00A67A5B"/>
    <w:rsid w:val="00A67C47"/>
    <w:rsid w:val="00A67D17"/>
    <w:rsid w:val="00A7011F"/>
    <w:rsid w:val="00A702F9"/>
    <w:rsid w:val="00A703B4"/>
    <w:rsid w:val="00A705BC"/>
    <w:rsid w:val="00A70650"/>
    <w:rsid w:val="00A70D09"/>
    <w:rsid w:val="00A70E42"/>
    <w:rsid w:val="00A71046"/>
    <w:rsid w:val="00A7124A"/>
    <w:rsid w:val="00A712A5"/>
    <w:rsid w:val="00A7149B"/>
    <w:rsid w:val="00A71C14"/>
    <w:rsid w:val="00A71D79"/>
    <w:rsid w:val="00A724FB"/>
    <w:rsid w:val="00A7260D"/>
    <w:rsid w:val="00A72678"/>
    <w:rsid w:val="00A729B8"/>
    <w:rsid w:val="00A72D81"/>
    <w:rsid w:val="00A72D8B"/>
    <w:rsid w:val="00A72DDD"/>
    <w:rsid w:val="00A73200"/>
    <w:rsid w:val="00A7335A"/>
    <w:rsid w:val="00A73652"/>
    <w:rsid w:val="00A73861"/>
    <w:rsid w:val="00A73B82"/>
    <w:rsid w:val="00A73D79"/>
    <w:rsid w:val="00A74128"/>
    <w:rsid w:val="00A7456E"/>
    <w:rsid w:val="00A748EC"/>
    <w:rsid w:val="00A748FD"/>
    <w:rsid w:val="00A7498B"/>
    <w:rsid w:val="00A74E6D"/>
    <w:rsid w:val="00A7533B"/>
    <w:rsid w:val="00A753CC"/>
    <w:rsid w:val="00A7543C"/>
    <w:rsid w:val="00A75547"/>
    <w:rsid w:val="00A75853"/>
    <w:rsid w:val="00A75F02"/>
    <w:rsid w:val="00A75FC5"/>
    <w:rsid w:val="00A7625A"/>
    <w:rsid w:val="00A77002"/>
    <w:rsid w:val="00A7789D"/>
    <w:rsid w:val="00A77AB3"/>
    <w:rsid w:val="00A80362"/>
    <w:rsid w:val="00A80505"/>
    <w:rsid w:val="00A8096E"/>
    <w:rsid w:val="00A80A11"/>
    <w:rsid w:val="00A80A81"/>
    <w:rsid w:val="00A810A3"/>
    <w:rsid w:val="00A8118E"/>
    <w:rsid w:val="00A8120C"/>
    <w:rsid w:val="00A81339"/>
    <w:rsid w:val="00A8171C"/>
    <w:rsid w:val="00A81BD6"/>
    <w:rsid w:val="00A81BEF"/>
    <w:rsid w:val="00A81C31"/>
    <w:rsid w:val="00A81D18"/>
    <w:rsid w:val="00A81F4C"/>
    <w:rsid w:val="00A8245A"/>
    <w:rsid w:val="00A82711"/>
    <w:rsid w:val="00A82998"/>
    <w:rsid w:val="00A82E43"/>
    <w:rsid w:val="00A83A43"/>
    <w:rsid w:val="00A83CCC"/>
    <w:rsid w:val="00A83CE8"/>
    <w:rsid w:val="00A83E6E"/>
    <w:rsid w:val="00A844AD"/>
    <w:rsid w:val="00A84946"/>
    <w:rsid w:val="00A84AFA"/>
    <w:rsid w:val="00A84D34"/>
    <w:rsid w:val="00A84F91"/>
    <w:rsid w:val="00A8534B"/>
    <w:rsid w:val="00A85694"/>
    <w:rsid w:val="00A85960"/>
    <w:rsid w:val="00A861BC"/>
    <w:rsid w:val="00A86723"/>
    <w:rsid w:val="00A86853"/>
    <w:rsid w:val="00A869A8"/>
    <w:rsid w:val="00A86BA0"/>
    <w:rsid w:val="00A87322"/>
    <w:rsid w:val="00A87857"/>
    <w:rsid w:val="00A87DA4"/>
    <w:rsid w:val="00A87E2A"/>
    <w:rsid w:val="00A87F2C"/>
    <w:rsid w:val="00A87FAC"/>
    <w:rsid w:val="00A9019F"/>
    <w:rsid w:val="00A90477"/>
    <w:rsid w:val="00A90615"/>
    <w:rsid w:val="00A906A2"/>
    <w:rsid w:val="00A906E6"/>
    <w:rsid w:val="00A908D9"/>
    <w:rsid w:val="00A90A37"/>
    <w:rsid w:val="00A90B6B"/>
    <w:rsid w:val="00A90C72"/>
    <w:rsid w:val="00A90D80"/>
    <w:rsid w:val="00A90E47"/>
    <w:rsid w:val="00A91218"/>
    <w:rsid w:val="00A91392"/>
    <w:rsid w:val="00A916F5"/>
    <w:rsid w:val="00A919DC"/>
    <w:rsid w:val="00A91A3E"/>
    <w:rsid w:val="00A91B99"/>
    <w:rsid w:val="00A91BC7"/>
    <w:rsid w:val="00A91E5A"/>
    <w:rsid w:val="00A9220C"/>
    <w:rsid w:val="00A923D6"/>
    <w:rsid w:val="00A924CD"/>
    <w:rsid w:val="00A9269E"/>
    <w:rsid w:val="00A92B8C"/>
    <w:rsid w:val="00A92FA3"/>
    <w:rsid w:val="00A9309C"/>
    <w:rsid w:val="00A9320D"/>
    <w:rsid w:val="00A93E67"/>
    <w:rsid w:val="00A944DE"/>
    <w:rsid w:val="00A94502"/>
    <w:rsid w:val="00A9462B"/>
    <w:rsid w:val="00A947E0"/>
    <w:rsid w:val="00A9488A"/>
    <w:rsid w:val="00A94A6C"/>
    <w:rsid w:val="00A94BC2"/>
    <w:rsid w:val="00A94CAA"/>
    <w:rsid w:val="00A94FD3"/>
    <w:rsid w:val="00A95432"/>
    <w:rsid w:val="00A95558"/>
    <w:rsid w:val="00A95596"/>
    <w:rsid w:val="00A95638"/>
    <w:rsid w:val="00A95786"/>
    <w:rsid w:val="00A95846"/>
    <w:rsid w:val="00A9596D"/>
    <w:rsid w:val="00A95C0C"/>
    <w:rsid w:val="00A95C32"/>
    <w:rsid w:val="00A95E02"/>
    <w:rsid w:val="00A9616C"/>
    <w:rsid w:val="00A9628C"/>
    <w:rsid w:val="00A96497"/>
    <w:rsid w:val="00A96776"/>
    <w:rsid w:val="00A967E1"/>
    <w:rsid w:val="00A96942"/>
    <w:rsid w:val="00A96A52"/>
    <w:rsid w:val="00A97198"/>
    <w:rsid w:val="00A97246"/>
    <w:rsid w:val="00A972EE"/>
    <w:rsid w:val="00A973C6"/>
    <w:rsid w:val="00A97525"/>
    <w:rsid w:val="00A9764E"/>
    <w:rsid w:val="00A979E4"/>
    <w:rsid w:val="00A97AA8"/>
    <w:rsid w:val="00A97C95"/>
    <w:rsid w:val="00AA01AD"/>
    <w:rsid w:val="00AA08EE"/>
    <w:rsid w:val="00AA0A5F"/>
    <w:rsid w:val="00AA14F2"/>
    <w:rsid w:val="00AA15E9"/>
    <w:rsid w:val="00AA1BE8"/>
    <w:rsid w:val="00AA1CA1"/>
    <w:rsid w:val="00AA228B"/>
    <w:rsid w:val="00AA231E"/>
    <w:rsid w:val="00AA2320"/>
    <w:rsid w:val="00AA26A8"/>
    <w:rsid w:val="00AA27AC"/>
    <w:rsid w:val="00AA2808"/>
    <w:rsid w:val="00AA2A87"/>
    <w:rsid w:val="00AA2AB4"/>
    <w:rsid w:val="00AA2BB3"/>
    <w:rsid w:val="00AA2D8E"/>
    <w:rsid w:val="00AA3097"/>
    <w:rsid w:val="00AA31FB"/>
    <w:rsid w:val="00AA3395"/>
    <w:rsid w:val="00AA35F0"/>
    <w:rsid w:val="00AA3792"/>
    <w:rsid w:val="00AA39E0"/>
    <w:rsid w:val="00AA3A5B"/>
    <w:rsid w:val="00AA3D0F"/>
    <w:rsid w:val="00AA3DF0"/>
    <w:rsid w:val="00AA3F83"/>
    <w:rsid w:val="00AA4169"/>
    <w:rsid w:val="00AA41E9"/>
    <w:rsid w:val="00AA4488"/>
    <w:rsid w:val="00AA45A2"/>
    <w:rsid w:val="00AA45C8"/>
    <w:rsid w:val="00AA49FB"/>
    <w:rsid w:val="00AA4F63"/>
    <w:rsid w:val="00AA502C"/>
    <w:rsid w:val="00AA502D"/>
    <w:rsid w:val="00AA54E2"/>
    <w:rsid w:val="00AA56A9"/>
    <w:rsid w:val="00AA58D6"/>
    <w:rsid w:val="00AA5A48"/>
    <w:rsid w:val="00AA5D2E"/>
    <w:rsid w:val="00AA5DF9"/>
    <w:rsid w:val="00AA5E7B"/>
    <w:rsid w:val="00AA5E8B"/>
    <w:rsid w:val="00AA5FA5"/>
    <w:rsid w:val="00AA627A"/>
    <w:rsid w:val="00AA632A"/>
    <w:rsid w:val="00AA63C8"/>
    <w:rsid w:val="00AA6C60"/>
    <w:rsid w:val="00AA6CE7"/>
    <w:rsid w:val="00AA6E62"/>
    <w:rsid w:val="00AA6F29"/>
    <w:rsid w:val="00AA70B5"/>
    <w:rsid w:val="00AA75A5"/>
    <w:rsid w:val="00AA77D1"/>
    <w:rsid w:val="00AA7A20"/>
    <w:rsid w:val="00AA7CCE"/>
    <w:rsid w:val="00AA7CE3"/>
    <w:rsid w:val="00AA7DBD"/>
    <w:rsid w:val="00AA7F96"/>
    <w:rsid w:val="00AB0204"/>
    <w:rsid w:val="00AB04CA"/>
    <w:rsid w:val="00AB0558"/>
    <w:rsid w:val="00AB0568"/>
    <w:rsid w:val="00AB0578"/>
    <w:rsid w:val="00AB0730"/>
    <w:rsid w:val="00AB0AF3"/>
    <w:rsid w:val="00AB0C36"/>
    <w:rsid w:val="00AB109F"/>
    <w:rsid w:val="00AB1293"/>
    <w:rsid w:val="00AB15E9"/>
    <w:rsid w:val="00AB1B5A"/>
    <w:rsid w:val="00AB1E6E"/>
    <w:rsid w:val="00AB248F"/>
    <w:rsid w:val="00AB28F2"/>
    <w:rsid w:val="00AB2D6C"/>
    <w:rsid w:val="00AB2E4E"/>
    <w:rsid w:val="00AB2E5A"/>
    <w:rsid w:val="00AB3122"/>
    <w:rsid w:val="00AB3229"/>
    <w:rsid w:val="00AB3514"/>
    <w:rsid w:val="00AB3774"/>
    <w:rsid w:val="00AB37AB"/>
    <w:rsid w:val="00AB3BC3"/>
    <w:rsid w:val="00AB3BF6"/>
    <w:rsid w:val="00AB4384"/>
    <w:rsid w:val="00AB450A"/>
    <w:rsid w:val="00AB46B5"/>
    <w:rsid w:val="00AB48F8"/>
    <w:rsid w:val="00AB4A7E"/>
    <w:rsid w:val="00AB4C97"/>
    <w:rsid w:val="00AB4CA9"/>
    <w:rsid w:val="00AB4E29"/>
    <w:rsid w:val="00AB504E"/>
    <w:rsid w:val="00AB5096"/>
    <w:rsid w:val="00AB50C9"/>
    <w:rsid w:val="00AB5138"/>
    <w:rsid w:val="00AB5177"/>
    <w:rsid w:val="00AB54D5"/>
    <w:rsid w:val="00AB5B76"/>
    <w:rsid w:val="00AB5C26"/>
    <w:rsid w:val="00AB5D5E"/>
    <w:rsid w:val="00AB5E6E"/>
    <w:rsid w:val="00AB5EFF"/>
    <w:rsid w:val="00AB5FA9"/>
    <w:rsid w:val="00AB6115"/>
    <w:rsid w:val="00AB6688"/>
    <w:rsid w:val="00AB6719"/>
    <w:rsid w:val="00AB6928"/>
    <w:rsid w:val="00AB6967"/>
    <w:rsid w:val="00AB6996"/>
    <w:rsid w:val="00AB6AA0"/>
    <w:rsid w:val="00AB6B88"/>
    <w:rsid w:val="00AB7534"/>
    <w:rsid w:val="00AB75D6"/>
    <w:rsid w:val="00AB7DAF"/>
    <w:rsid w:val="00AB7E48"/>
    <w:rsid w:val="00AB7EA9"/>
    <w:rsid w:val="00AC018D"/>
    <w:rsid w:val="00AC01D0"/>
    <w:rsid w:val="00AC03EC"/>
    <w:rsid w:val="00AC0435"/>
    <w:rsid w:val="00AC04DB"/>
    <w:rsid w:val="00AC0832"/>
    <w:rsid w:val="00AC09D4"/>
    <w:rsid w:val="00AC0A3F"/>
    <w:rsid w:val="00AC0BDC"/>
    <w:rsid w:val="00AC0D15"/>
    <w:rsid w:val="00AC0D32"/>
    <w:rsid w:val="00AC0F90"/>
    <w:rsid w:val="00AC11CE"/>
    <w:rsid w:val="00AC19B0"/>
    <w:rsid w:val="00AC1A19"/>
    <w:rsid w:val="00AC1D30"/>
    <w:rsid w:val="00AC1D59"/>
    <w:rsid w:val="00AC1DD0"/>
    <w:rsid w:val="00AC204B"/>
    <w:rsid w:val="00AC2264"/>
    <w:rsid w:val="00AC2265"/>
    <w:rsid w:val="00AC228E"/>
    <w:rsid w:val="00AC2FE2"/>
    <w:rsid w:val="00AC3454"/>
    <w:rsid w:val="00AC34F2"/>
    <w:rsid w:val="00AC3512"/>
    <w:rsid w:val="00AC355D"/>
    <w:rsid w:val="00AC371D"/>
    <w:rsid w:val="00AC3732"/>
    <w:rsid w:val="00AC3E25"/>
    <w:rsid w:val="00AC3E4F"/>
    <w:rsid w:val="00AC3E55"/>
    <w:rsid w:val="00AC3F9A"/>
    <w:rsid w:val="00AC3F9E"/>
    <w:rsid w:val="00AC415B"/>
    <w:rsid w:val="00AC41D6"/>
    <w:rsid w:val="00AC47EE"/>
    <w:rsid w:val="00AC4B1B"/>
    <w:rsid w:val="00AC4C69"/>
    <w:rsid w:val="00AC4DBB"/>
    <w:rsid w:val="00AC5388"/>
    <w:rsid w:val="00AC555B"/>
    <w:rsid w:val="00AC5720"/>
    <w:rsid w:val="00AC5825"/>
    <w:rsid w:val="00AC5A54"/>
    <w:rsid w:val="00AC5B98"/>
    <w:rsid w:val="00AC5D03"/>
    <w:rsid w:val="00AC5D0B"/>
    <w:rsid w:val="00AC6235"/>
    <w:rsid w:val="00AC630F"/>
    <w:rsid w:val="00AC661F"/>
    <w:rsid w:val="00AC681B"/>
    <w:rsid w:val="00AC6926"/>
    <w:rsid w:val="00AC6973"/>
    <w:rsid w:val="00AC6A55"/>
    <w:rsid w:val="00AC6C12"/>
    <w:rsid w:val="00AC6C4B"/>
    <w:rsid w:val="00AC7399"/>
    <w:rsid w:val="00AC749C"/>
    <w:rsid w:val="00AC7798"/>
    <w:rsid w:val="00AC7F61"/>
    <w:rsid w:val="00AD00CF"/>
    <w:rsid w:val="00AD0DB0"/>
    <w:rsid w:val="00AD116B"/>
    <w:rsid w:val="00AD14B7"/>
    <w:rsid w:val="00AD1762"/>
    <w:rsid w:val="00AD17C7"/>
    <w:rsid w:val="00AD18A9"/>
    <w:rsid w:val="00AD18F3"/>
    <w:rsid w:val="00AD1CF5"/>
    <w:rsid w:val="00AD1E09"/>
    <w:rsid w:val="00AD1EEB"/>
    <w:rsid w:val="00AD2028"/>
    <w:rsid w:val="00AD20FC"/>
    <w:rsid w:val="00AD212F"/>
    <w:rsid w:val="00AD218D"/>
    <w:rsid w:val="00AD244F"/>
    <w:rsid w:val="00AD2571"/>
    <w:rsid w:val="00AD2675"/>
    <w:rsid w:val="00AD292C"/>
    <w:rsid w:val="00AD2A08"/>
    <w:rsid w:val="00AD2A40"/>
    <w:rsid w:val="00AD2E20"/>
    <w:rsid w:val="00AD2E4C"/>
    <w:rsid w:val="00AD2FB0"/>
    <w:rsid w:val="00AD3137"/>
    <w:rsid w:val="00AD33EF"/>
    <w:rsid w:val="00AD4144"/>
    <w:rsid w:val="00AD469E"/>
    <w:rsid w:val="00AD532A"/>
    <w:rsid w:val="00AD5AD9"/>
    <w:rsid w:val="00AD5D3E"/>
    <w:rsid w:val="00AD5D99"/>
    <w:rsid w:val="00AD5E78"/>
    <w:rsid w:val="00AD5F1F"/>
    <w:rsid w:val="00AD626D"/>
    <w:rsid w:val="00AD653D"/>
    <w:rsid w:val="00AD6549"/>
    <w:rsid w:val="00AD67EB"/>
    <w:rsid w:val="00AD6B37"/>
    <w:rsid w:val="00AD6BE7"/>
    <w:rsid w:val="00AD6E02"/>
    <w:rsid w:val="00AD7000"/>
    <w:rsid w:val="00AD725F"/>
    <w:rsid w:val="00AD72A6"/>
    <w:rsid w:val="00AD7533"/>
    <w:rsid w:val="00AD75EA"/>
    <w:rsid w:val="00AD77B5"/>
    <w:rsid w:val="00AD7941"/>
    <w:rsid w:val="00AD79E2"/>
    <w:rsid w:val="00AD7A93"/>
    <w:rsid w:val="00AD7D5E"/>
    <w:rsid w:val="00AE010A"/>
    <w:rsid w:val="00AE01F7"/>
    <w:rsid w:val="00AE03D8"/>
    <w:rsid w:val="00AE0411"/>
    <w:rsid w:val="00AE090A"/>
    <w:rsid w:val="00AE0988"/>
    <w:rsid w:val="00AE143C"/>
    <w:rsid w:val="00AE1471"/>
    <w:rsid w:val="00AE14C8"/>
    <w:rsid w:val="00AE1D7E"/>
    <w:rsid w:val="00AE2727"/>
    <w:rsid w:val="00AE2866"/>
    <w:rsid w:val="00AE2E37"/>
    <w:rsid w:val="00AE2FD5"/>
    <w:rsid w:val="00AE33A5"/>
    <w:rsid w:val="00AE33AD"/>
    <w:rsid w:val="00AE3629"/>
    <w:rsid w:val="00AE36BC"/>
    <w:rsid w:val="00AE395C"/>
    <w:rsid w:val="00AE3DC6"/>
    <w:rsid w:val="00AE3F30"/>
    <w:rsid w:val="00AE4396"/>
    <w:rsid w:val="00AE4469"/>
    <w:rsid w:val="00AE4725"/>
    <w:rsid w:val="00AE4741"/>
    <w:rsid w:val="00AE4948"/>
    <w:rsid w:val="00AE4C57"/>
    <w:rsid w:val="00AE504F"/>
    <w:rsid w:val="00AE523A"/>
    <w:rsid w:val="00AE532F"/>
    <w:rsid w:val="00AE536A"/>
    <w:rsid w:val="00AE53BD"/>
    <w:rsid w:val="00AE5558"/>
    <w:rsid w:val="00AE5A27"/>
    <w:rsid w:val="00AE6045"/>
    <w:rsid w:val="00AE6337"/>
    <w:rsid w:val="00AE6508"/>
    <w:rsid w:val="00AE6714"/>
    <w:rsid w:val="00AE688E"/>
    <w:rsid w:val="00AE6C28"/>
    <w:rsid w:val="00AE703B"/>
    <w:rsid w:val="00AE7085"/>
    <w:rsid w:val="00AE72B7"/>
    <w:rsid w:val="00AE7343"/>
    <w:rsid w:val="00AE785C"/>
    <w:rsid w:val="00AE78BE"/>
    <w:rsid w:val="00AE78E5"/>
    <w:rsid w:val="00AE7B04"/>
    <w:rsid w:val="00AF0660"/>
    <w:rsid w:val="00AF0794"/>
    <w:rsid w:val="00AF09F9"/>
    <w:rsid w:val="00AF0D77"/>
    <w:rsid w:val="00AF0E05"/>
    <w:rsid w:val="00AF0E55"/>
    <w:rsid w:val="00AF10FB"/>
    <w:rsid w:val="00AF1238"/>
    <w:rsid w:val="00AF135B"/>
    <w:rsid w:val="00AF17DB"/>
    <w:rsid w:val="00AF1BE9"/>
    <w:rsid w:val="00AF1E39"/>
    <w:rsid w:val="00AF1FBF"/>
    <w:rsid w:val="00AF2088"/>
    <w:rsid w:val="00AF284C"/>
    <w:rsid w:val="00AF2D15"/>
    <w:rsid w:val="00AF2F4A"/>
    <w:rsid w:val="00AF3039"/>
    <w:rsid w:val="00AF386C"/>
    <w:rsid w:val="00AF3870"/>
    <w:rsid w:val="00AF38F6"/>
    <w:rsid w:val="00AF3B41"/>
    <w:rsid w:val="00AF3CC3"/>
    <w:rsid w:val="00AF3D14"/>
    <w:rsid w:val="00AF3E93"/>
    <w:rsid w:val="00AF4246"/>
    <w:rsid w:val="00AF43D4"/>
    <w:rsid w:val="00AF4572"/>
    <w:rsid w:val="00AF4869"/>
    <w:rsid w:val="00AF486F"/>
    <w:rsid w:val="00AF4889"/>
    <w:rsid w:val="00AF4BA5"/>
    <w:rsid w:val="00AF4FFD"/>
    <w:rsid w:val="00AF51AE"/>
    <w:rsid w:val="00AF55A0"/>
    <w:rsid w:val="00AF5845"/>
    <w:rsid w:val="00AF5B60"/>
    <w:rsid w:val="00AF5B97"/>
    <w:rsid w:val="00AF5F71"/>
    <w:rsid w:val="00AF60A8"/>
    <w:rsid w:val="00AF611D"/>
    <w:rsid w:val="00AF63BA"/>
    <w:rsid w:val="00AF6434"/>
    <w:rsid w:val="00AF655D"/>
    <w:rsid w:val="00AF699C"/>
    <w:rsid w:val="00AF6A9F"/>
    <w:rsid w:val="00AF6AF0"/>
    <w:rsid w:val="00AF6CB5"/>
    <w:rsid w:val="00AF6F56"/>
    <w:rsid w:val="00AF73A2"/>
    <w:rsid w:val="00AF73C5"/>
    <w:rsid w:val="00AF7487"/>
    <w:rsid w:val="00AF7694"/>
    <w:rsid w:val="00AF7751"/>
    <w:rsid w:val="00AF7900"/>
    <w:rsid w:val="00AF79C6"/>
    <w:rsid w:val="00AF7C4A"/>
    <w:rsid w:val="00AF7EFC"/>
    <w:rsid w:val="00AF7FE5"/>
    <w:rsid w:val="00B00258"/>
    <w:rsid w:val="00B003B9"/>
    <w:rsid w:val="00B00403"/>
    <w:rsid w:val="00B007E5"/>
    <w:rsid w:val="00B00D28"/>
    <w:rsid w:val="00B00F07"/>
    <w:rsid w:val="00B0123A"/>
    <w:rsid w:val="00B014DB"/>
    <w:rsid w:val="00B01644"/>
    <w:rsid w:val="00B01E23"/>
    <w:rsid w:val="00B021DB"/>
    <w:rsid w:val="00B025A3"/>
    <w:rsid w:val="00B02C77"/>
    <w:rsid w:val="00B02CB5"/>
    <w:rsid w:val="00B02E17"/>
    <w:rsid w:val="00B02FCC"/>
    <w:rsid w:val="00B03522"/>
    <w:rsid w:val="00B03A57"/>
    <w:rsid w:val="00B03ADF"/>
    <w:rsid w:val="00B03E31"/>
    <w:rsid w:val="00B04058"/>
    <w:rsid w:val="00B04075"/>
    <w:rsid w:val="00B0419E"/>
    <w:rsid w:val="00B042EA"/>
    <w:rsid w:val="00B04601"/>
    <w:rsid w:val="00B046CA"/>
    <w:rsid w:val="00B04863"/>
    <w:rsid w:val="00B04D4C"/>
    <w:rsid w:val="00B0561F"/>
    <w:rsid w:val="00B05A3B"/>
    <w:rsid w:val="00B05B84"/>
    <w:rsid w:val="00B05F42"/>
    <w:rsid w:val="00B06097"/>
    <w:rsid w:val="00B0615D"/>
    <w:rsid w:val="00B06638"/>
    <w:rsid w:val="00B068B5"/>
    <w:rsid w:val="00B069E8"/>
    <w:rsid w:val="00B06D55"/>
    <w:rsid w:val="00B0742D"/>
    <w:rsid w:val="00B0764A"/>
    <w:rsid w:val="00B0766C"/>
    <w:rsid w:val="00B07877"/>
    <w:rsid w:val="00B07EE3"/>
    <w:rsid w:val="00B07FCD"/>
    <w:rsid w:val="00B10708"/>
    <w:rsid w:val="00B107F3"/>
    <w:rsid w:val="00B109A4"/>
    <w:rsid w:val="00B10A5F"/>
    <w:rsid w:val="00B10A77"/>
    <w:rsid w:val="00B10AAF"/>
    <w:rsid w:val="00B10C05"/>
    <w:rsid w:val="00B10C66"/>
    <w:rsid w:val="00B10EF8"/>
    <w:rsid w:val="00B112CC"/>
    <w:rsid w:val="00B1172A"/>
    <w:rsid w:val="00B11869"/>
    <w:rsid w:val="00B1195B"/>
    <w:rsid w:val="00B119C8"/>
    <w:rsid w:val="00B11CB5"/>
    <w:rsid w:val="00B11F81"/>
    <w:rsid w:val="00B1233C"/>
    <w:rsid w:val="00B1234B"/>
    <w:rsid w:val="00B1250B"/>
    <w:rsid w:val="00B12685"/>
    <w:rsid w:val="00B12AF2"/>
    <w:rsid w:val="00B12B86"/>
    <w:rsid w:val="00B12C2A"/>
    <w:rsid w:val="00B12DAD"/>
    <w:rsid w:val="00B12EB1"/>
    <w:rsid w:val="00B1333A"/>
    <w:rsid w:val="00B1356A"/>
    <w:rsid w:val="00B13697"/>
    <w:rsid w:val="00B13853"/>
    <w:rsid w:val="00B1393B"/>
    <w:rsid w:val="00B13A2B"/>
    <w:rsid w:val="00B13A33"/>
    <w:rsid w:val="00B13AD4"/>
    <w:rsid w:val="00B13B76"/>
    <w:rsid w:val="00B13C60"/>
    <w:rsid w:val="00B13ED3"/>
    <w:rsid w:val="00B13FEF"/>
    <w:rsid w:val="00B13FF1"/>
    <w:rsid w:val="00B1400D"/>
    <w:rsid w:val="00B14238"/>
    <w:rsid w:val="00B14321"/>
    <w:rsid w:val="00B14E1D"/>
    <w:rsid w:val="00B1556A"/>
    <w:rsid w:val="00B15818"/>
    <w:rsid w:val="00B15841"/>
    <w:rsid w:val="00B15951"/>
    <w:rsid w:val="00B15A94"/>
    <w:rsid w:val="00B1607C"/>
    <w:rsid w:val="00B160F1"/>
    <w:rsid w:val="00B16360"/>
    <w:rsid w:val="00B16601"/>
    <w:rsid w:val="00B16650"/>
    <w:rsid w:val="00B166B7"/>
    <w:rsid w:val="00B166C5"/>
    <w:rsid w:val="00B16716"/>
    <w:rsid w:val="00B16DB4"/>
    <w:rsid w:val="00B16EE7"/>
    <w:rsid w:val="00B17E7C"/>
    <w:rsid w:val="00B17E96"/>
    <w:rsid w:val="00B17F80"/>
    <w:rsid w:val="00B20213"/>
    <w:rsid w:val="00B20613"/>
    <w:rsid w:val="00B206C1"/>
    <w:rsid w:val="00B20767"/>
    <w:rsid w:val="00B20784"/>
    <w:rsid w:val="00B2082C"/>
    <w:rsid w:val="00B20D35"/>
    <w:rsid w:val="00B210CB"/>
    <w:rsid w:val="00B21903"/>
    <w:rsid w:val="00B21D2F"/>
    <w:rsid w:val="00B2226F"/>
    <w:rsid w:val="00B222B5"/>
    <w:rsid w:val="00B22846"/>
    <w:rsid w:val="00B22A98"/>
    <w:rsid w:val="00B22BDE"/>
    <w:rsid w:val="00B23C6F"/>
    <w:rsid w:val="00B242A9"/>
    <w:rsid w:val="00B24500"/>
    <w:rsid w:val="00B24714"/>
    <w:rsid w:val="00B24828"/>
    <w:rsid w:val="00B24B6E"/>
    <w:rsid w:val="00B24D67"/>
    <w:rsid w:val="00B24E2D"/>
    <w:rsid w:val="00B24EE7"/>
    <w:rsid w:val="00B24F6F"/>
    <w:rsid w:val="00B25020"/>
    <w:rsid w:val="00B251CC"/>
    <w:rsid w:val="00B251FE"/>
    <w:rsid w:val="00B2534C"/>
    <w:rsid w:val="00B25373"/>
    <w:rsid w:val="00B2547B"/>
    <w:rsid w:val="00B25AA0"/>
    <w:rsid w:val="00B25F22"/>
    <w:rsid w:val="00B2618B"/>
    <w:rsid w:val="00B26524"/>
    <w:rsid w:val="00B26690"/>
    <w:rsid w:val="00B26A46"/>
    <w:rsid w:val="00B271DC"/>
    <w:rsid w:val="00B27259"/>
    <w:rsid w:val="00B272FB"/>
    <w:rsid w:val="00B2753C"/>
    <w:rsid w:val="00B27588"/>
    <w:rsid w:val="00B2769B"/>
    <w:rsid w:val="00B27742"/>
    <w:rsid w:val="00B278B4"/>
    <w:rsid w:val="00B278F3"/>
    <w:rsid w:val="00B27928"/>
    <w:rsid w:val="00B2798A"/>
    <w:rsid w:val="00B27A44"/>
    <w:rsid w:val="00B300AD"/>
    <w:rsid w:val="00B300CA"/>
    <w:rsid w:val="00B301F7"/>
    <w:rsid w:val="00B30387"/>
    <w:rsid w:val="00B304BB"/>
    <w:rsid w:val="00B305FF"/>
    <w:rsid w:val="00B30614"/>
    <w:rsid w:val="00B306F7"/>
    <w:rsid w:val="00B308C9"/>
    <w:rsid w:val="00B30AC9"/>
    <w:rsid w:val="00B30B67"/>
    <w:rsid w:val="00B31018"/>
    <w:rsid w:val="00B3103D"/>
    <w:rsid w:val="00B311EA"/>
    <w:rsid w:val="00B312D3"/>
    <w:rsid w:val="00B31369"/>
    <w:rsid w:val="00B3136E"/>
    <w:rsid w:val="00B31402"/>
    <w:rsid w:val="00B3145F"/>
    <w:rsid w:val="00B31A97"/>
    <w:rsid w:val="00B31AFA"/>
    <w:rsid w:val="00B31BED"/>
    <w:rsid w:val="00B31ED5"/>
    <w:rsid w:val="00B31FE5"/>
    <w:rsid w:val="00B32336"/>
    <w:rsid w:val="00B32662"/>
    <w:rsid w:val="00B3266C"/>
    <w:rsid w:val="00B329E0"/>
    <w:rsid w:val="00B32B2A"/>
    <w:rsid w:val="00B32B8A"/>
    <w:rsid w:val="00B330DD"/>
    <w:rsid w:val="00B33228"/>
    <w:rsid w:val="00B333BB"/>
    <w:rsid w:val="00B337A3"/>
    <w:rsid w:val="00B337D7"/>
    <w:rsid w:val="00B337E7"/>
    <w:rsid w:val="00B33A73"/>
    <w:rsid w:val="00B33B2F"/>
    <w:rsid w:val="00B33E39"/>
    <w:rsid w:val="00B340C2"/>
    <w:rsid w:val="00B344E2"/>
    <w:rsid w:val="00B34516"/>
    <w:rsid w:val="00B3461B"/>
    <w:rsid w:val="00B34C6D"/>
    <w:rsid w:val="00B34DC7"/>
    <w:rsid w:val="00B34E4E"/>
    <w:rsid w:val="00B34F57"/>
    <w:rsid w:val="00B350DF"/>
    <w:rsid w:val="00B354D1"/>
    <w:rsid w:val="00B35596"/>
    <w:rsid w:val="00B355CD"/>
    <w:rsid w:val="00B357A3"/>
    <w:rsid w:val="00B357DA"/>
    <w:rsid w:val="00B3586B"/>
    <w:rsid w:val="00B35967"/>
    <w:rsid w:val="00B35BCF"/>
    <w:rsid w:val="00B35E47"/>
    <w:rsid w:val="00B36D94"/>
    <w:rsid w:val="00B36DB4"/>
    <w:rsid w:val="00B370B0"/>
    <w:rsid w:val="00B370DC"/>
    <w:rsid w:val="00B371BB"/>
    <w:rsid w:val="00B3757A"/>
    <w:rsid w:val="00B3760F"/>
    <w:rsid w:val="00B37716"/>
    <w:rsid w:val="00B37F70"/>
    <w:rsid w:val="00B401DE"/>
    <w:rsid w:val="00B4071B"/>
    <w:rsid w:val="00B40CC5"/>
    <w:rsid w:val="00B40F67"/>
    <w:rsid w:val="00B40F69"/>
    <w:rsid w:val="00B41217"/>
    <w:rsid w:val="00B4185D"/>
    <w:rsid w:val="00B418BD"/>
    <w:rsid w:val="00B41A50"/>
    <w:rsid w:val="00B41AF2"/>
    <w:rsid w:val="00B41B7E"/>
    <w:rsid w:val="00B41E46"/>
    <w:rsid w:val="00B41EB2"/>
    <w:rsid w:val="00B41F63"/>
    <w:rsid w:val="00B41FF0"/>
    <w:rsid w:val="00B422E4"/>
    <w:rsid w:val="00B423E8"/>
    <w:rsid w:val="00B42530"/>
    <w:rsid w:val="00B426BB"/>
    <w:rsid w:val="00B4299A"/>
    <w:rsid w:val="00B42ABA"/>
    <w:rsid w:val="00B42B4D"/>
    <w:rsid w:val="00B42D26"/>
    <w:rsid w:val="00B42FC9"/>
    <w:rsid w:val="00B430B9"/>
    <w:rsid w:val="00B4313A"/>
    <w:rsid w:val="00B43167"/>
    <w:rsid w:val="00B43AF5"/>
    <w:rsid w:val="00B447C7"/>
    <w:rsid w:val="00B44918"/>
    <w:rsid w:val="00B44DFD"/>
    <w:rsid w:val="00B45540"/>
    <w:rsid w:val="00B45AB1"/>
    <w:rsid w:val="00B4605D"/>
    <w:rsid w:val="00B46138"/>
    <w:rsid w:val="00B46503"/>
    <w:rsid w:val="00B46587"/>
    <w:rsid w:val="00B466BB"/>
    <w:rsid w:val="00B46956"/>
    <w:rsid w:val="00B4711A"/>
    <w:rsid w:val="00B4717A"/>
    <w:rsid w:val="00B476D8"/>
    <w:rsid w:val="00B47719"/>
    <w:rsid w:val="00B4787C"/>
    <w:rsid w:val="00B47E55"/>
    <w:rsid w:val="00B5007C"/>
    <w:rsid w:val="00B50471"/>
    <w:rsid w:val="00B504B0"/>
    <w:rsid w:val="00B509B3"/>
    <w:rsid w:val="00B509F7"/>
    <w:rsid w:val="00B50A77"/>
    <w:rsid w:val="00B50BD4"/>
    <w:rsid w:val="00B50C52"/>
    <w:rsid w:val="00B50DDE"/>
    <w:rsid w:val="00B511C3"/>
    <w:rsid w:val="00B513E6"/>
    <w:rsid w:val="00B514C4"/>
    <w:rsid w:val="00B51513"/>
    <w:rsid w:val="00B515AE"/>
    <w:rsid w:val="00B515B4"/>
    <w:rsid w:val="00B518BA"/>
    <w:rsid w:val="00B522AE"/>
    <w:rsid w:val="00B52636"/>
    <w:rsid w:val="00B526EE"/>
    <w:rsid w:val="00B527F1"/>
    <w:rsid w:val="00B52921"/>
    <w:rsid w:val="00B53D36"/>
    <w:rsid w:val="00B5404C"/>
    <w:rsid w:val="00B5434C"/>
    <w:rsid w:val="00B54420"/>
    <w:rsid w:val="00B544A3"/>
    <w:rsid w:val="00B5457F"/>
    <w:rsid w:val="00B54767"/>
    <w:rsid w:val="00B54841"/>
    <w:rsid w:val="00B54A14"/>
    <w:rsid w:val="00B54D7B"/>
    <w:rsid w:val="00B54D8B"/>
    <w:rsid w:val="00B55031"/>
    <w:rsid w:val="00B55285"/>
    <w:rsid w:val="00B55405"/>
    <w:rsid w:val="00B556BE"/>
    <w:rsid w:val="00B55805"/>
    <w:rsid w:val="00B55B2C"/>
    <w:rsid w:val="00B55BD2"/>
    <w:rsid w:val="00B56051"/>
    <w:rsid w:val="00B56248"/>
    <w:rsid w:val="00B566B4"/>
    <w:rsid w:val="00B56827"/>
    <w:rsid w:val="00B56997"/>
    <w:rsid w:val="00B56F04"/>
    <w:rsid w:val="00B57169"/>
    <w:rsid w:val="00B57196"/>
    <w:rsid w:val="00B57491"/>
    <w:rsid w:val="00B57510"/>
    <w:rsid w:val="00B57890"/>
    <w:rsid w:val="00B579A9"/>
    <w:rsid w:val="00B57BE5"/>
    <w:rsid w:val="00B57C1C"/>
    <w:rsid w:val="00B57D9C"/>
    <w:rsid w:val="00B601B5"/>
    <w:rsid w:val="00B604E3"/>
    <w:rsid w:val="00B60755"/>
    <w:rsid w:val="00B60951"/>
    <w:rsid w:val="00B60AD7"/>
    <w:rsid w:val="00B60AE3"/>
    <w:rsid w:val="00B60D5C"/>
    <w:rsid w:val="00B60D87"/>
    <w:rsid w:val="00B6116B"/>
    <w:rsid w:val="00B614BB"/>
    <w:rsid w:val="00B61581"/>
    <w:rsid w:val="00B6183B"/>
    <w:rsid w:val="00B61E5D"/>
    <w:rsid w:val="00B61FC8"/>
    <w:rsid w:val="00B62247"/>
    <w:rsid w:val="00B622A4"/>
    <w:rsid w:val="00B622A7"/>
    <w:rsid w:val="00B62525"/>
    <w:rsid w:val="00B626C6"/>
    <w:rsid w:val="00B62AE7"/>
    <w:rsid w:val="00B62C84"/>
    <w:rsid w:val="00B63245"/>
    <w:rsid w:val="00B632AB"/>
    <w:rsid w:val="00B63381"/>
    <w:rsid w:val="00B639C6"/>
    <w:rsid w:val="00B640BA"/>
    <w:rsid w:val="00B6439C"/>
    <w:rsid w:val="00B64F4B"/>
    <w:rsid w:val="00B65015"/>
    <w:rsid w:val="00B654A7"/>
    <w:rsid w:val="00B6558A"/>
    <w:rsid w:val="00B657E7"/>
    <w:rsid w:val="00B65842"/>
    <w:rsid w:val="00B6586E"/>
    <w:rsid w:val="00B65904"/>
    <w:rsid w:val="00B65B71"/>
    <w:rsid w:val="00B65C61"/>
    <w:rsid w:val="00B65DFE"/>
    <w:rsid w:val="00B6619E"/>
    <w:rsid w:val="00B6651B"/>
    <w:rsid w:val="00B66759"/>
    <w:rsid w:val="00B6676D"/>
    <w:rsid w:val="00B66AF4"/>
    <w:rsid w:val="00B66B9D"/>
    <w:rsid w:val="00B670D4"/>
    <w:rsid w:val="00B674CF"/>
    <w:rsid w:val="00B67817"/>
    <w:rsid w:val="00B67A07"/>
    <w:rsid w:val="00B67CE1"/>
    <w:rsid w:val="00B702EA"/>
    <w:rsid w:val="00B7034E"/>
    <w:rsid w:val="00B7058D"/>
    <w:rsid w:val="00B707F7"/>
    <w:rsid w:val="00B70C64"/>
    <w:rsid w:val="00B70D09"/>
    <w:rsid w:val="00B70D3F"/>
    <w:rsid w:val="00B70F9D"/>
    <w:rsid w:val="00B7183E"/>
    <w:rsid w:val="00B71E9F"/>
    <w:rsid w:val="00B71EFC"/>
    <w:rsid w:val="00B72103"/>
    <w:rsid w:val="00B72210"/>
    <w:rsid w:val="00B72339"/>
    <w:rsid w:val="00B7238F"/>
    <w:rsid w:val="00B723C5"/>
    <w:rsid w:val="00B725BA"/>
    <w:rsid w:val="00B727D4"/>
    <w:rsid w:val="00B727E6"/>
    <w:rsid w:val="00B7280C"/>
    <w:rsid w:val="00B729A2"/>
    <w:rsid w:val="00B72CA2"/>
    <w:rsid w:val="00B72CFB"/>
    <w:rsid w:val="00B72EFA"/>
    <w:rsid w:val="00B72FEF"/>
    <w:rsid w:val="00B73165"/>
    <w:rsid w:val="00B731BD"/>
    <w:rsid w:val="00B73C8C"/>
    <w:rsid w:val="00B73EB4"/>
    <w:rsid w:val="00B73F0D"/>
    <w:rsid w:val="00B74202"/>
    <w:rsid w:val="00B7453D"/>
    <w:rsid w:val="00B74896"/>
    <w:rsid w:val="00B74A48"/>
    <w:rsid w:val="00B74AA2"/>
    <w:rsid w:val="00B74B00"/>
    <w:rsid w:val="00B74E14"/>
    <w:rsid w:val="00B750FF"/>
    <w:rsid w:val="00B75550"/>
    <w:rsid w:val="00B755F2"/>
    <w:rsid w:val="00B7577B"/>
    <w:rsid w:val="00B75CE8"/>
    <w:rsid w:val="00B75E73"/>
    <w:rsid w:val="00B7638C"/>
    <w:rsid w:val="00B763F5"/>
    <w:rsid w:val="00B767E0"/>
    <w:rsid w:val="00B767FA"/>
    <w:rsid w:val="00B76AA2"/>
    <w:rsid w:val="00B77500"/>
    <w:rsid w:val="00B776A0"/>
    <w:rsid w:val="00B77DAE"/>
    <w:rsid w:val="00B77DDB"/>
    <w:rsid w:val="00B77F01"/>
    <w:rsid w:val="00B80002"/>
    <w:rsid w:val="00B80212"/>
    <w:rsid w:val="00B802AD"/>
    <w:rsid w:val="00B8045D"/>
    <w:rsid w:val="00B8051B"/>
    <w:rsid w:val="00B80644"/>
    <w:rsid w:val="00B80814"/>
    <w:rsid w:val="00B80F03"/>
    <w:rsid w:val="00B813C7"/>
    <w:rsid w:val="00B813F9"/>
    <w:rsid w:val="00B81C64"/>
    <w:rsid w:val="00B81D8B"/>
    <w:rsid w:val="00B82163"/>
    <w:rsid w:val="00B822E2"/>
    <w:rsid w:val="00B82781"/>
    <w:rsid w:val="00B82EDB"/>
    <w:rsid w:val="00B8315B"/>
    <w:rsid w:val="00B8354F"/>
    <w:rsid w:val="00B83566"/>
    <w:rsid w:val="00B835B8"/>
    <w:rsid w:val="00B8387E"/>
    <w:rsid w:val="00B83A7C"/>
    <w:rsid w:val="00B83B15"/>
    <w:rsid w:val="00B83C74"/>
    <w:rsid w:val="00B83D80"/>
    <w:rsid w:val="00B83DF3"/>
    <w:rsid w:val="00B83F83"/>
    <w:rsid w:val="00B8408C"/>
    <w:rsid w:val="00B840F9"/>
    <w:rsid w:val="00B841A3"/>
    <w:rsid w:val="00B841D1"/>
    <w:rsid w:val="00B84265"/>
    <w:rsid w:val="00B84335"/>
    <w:rsid w:val="00B84379"/>
    <w:rsid w:val="00B8468F"/>
    <w:rsid w:val="00B8477A"/>
    <w:rsid w:val="00B8480C"/>
    <w:rsid w:val="00B84825"/>
    <w:rsid w:val="00B84B3A"/>
    <w:rsid w:val="00B84B93"/>
    <w:rsid w:val="00B85B6E"/>
    <w:rsid w:val="00B85F31"/>
    <w:rsid w:val="00B86331"/>
    <w:rsid w:val="00B86375"/>
    <w:rsid w:val="00B8643C"/>
    <w:rsid w:val="00B867E6"/>
    <w:rsid w:val="00B8693B"/>
    <w:rsid w:val="00B86BBE"/>
    <w:rsid w:val="00B86C29"/>
    <w:rsid w:val="00B86F56"/>
    <w:rsid w:val="00B87537"/>
    <w:rsid w:val="00B87B20"/>
    <w:rsid w:val="00B902F2"/>
    <w:rsid w:val="00B9045F"/>
    <w:rsid w:val="00B906D1"/>
    <w:rsid w:val="00B90730"/>
    <w:rsid w:val="00B90F9C"/>
    <w:rsid w:val="00B910EC"/>
    <w:rsid w:val="00B9139C"/>
    <w:rsid w:val="00B91484"/>
    <w:rsid w:val="00B91713"/>
    <w:rsid w:val="00B91B9C"/>
    <w:rsid w:val="00B922FA"/>
    <w:rsid w:val="00B9243B"/>
    <w:rsid w:val="00B9291D"/>
    <w:rsid w:val="00B92A8E"/>
    <w:rsid w:val="00B92C96"/>
    <w:rsid w:val="00B92CB1"/>
    <w:rsid w:val="00B92F45"/>
    <w:rsid w:val="00B930B0"/>
    <w:rsid w:val="00B93150"/>
    <w:rsid w:val="00B932AE"/>
    <w:rsid w:val="00B93DE3"/>
    <w:rsid w:val="00B93FC9"/>
    <w:rsid w:val="00B940BB"/>
    <w:rsid w:val="00B94415"/>
    <w:rsid w:val="00B9449F"/>
    <w:rsid w:val="00B94681"/>
    <w:rsid w:val="00B947EF"/>
    <w:rsid w:val="00B94920"/>
    <w:rsid w:val="00B94A90"/>
    <w:rsid w:val="00B94AE9"/>
    <w:rsid w:val="00B94CB2"/>
    <w:rsid w:val="00B94CCF"/>
    <w:rsid w:val="00B95A2A"/>
    <w:rsid w:val="00B95A40"/>
    <w:rsid w:val="00B95D34"/>
    <w:rsid w:val="00B95DB6"/>
    <w:rsid w:val="00B95F8A"/>
    <w:rsid w:val="00B95FA5"/>
    <w:rsid w:val="00B9640D"/>
    <w:rsid w:val="00B965D3"/>
    <w:rsid w:val="00B96BBA"/>
    <w:rsid w:val="00B96D7D"/>
    <w:rsid w:val="00B96D92"/>
    <w:rsid w:val="00B96F27"/>
    <w:rsid w:val="00B96FFC"/>
    <w:rsid w:val="00B97848"/>
    <w:rsid w:val="00B978EF"/>
    <w:rsid w:val="00B97E89"/>
    <w:rsid w:val="00BA0415"/>
    <w:rsid w:val="00BA08AE"/>
    <w:rsid w:val="00BA09E1"/>
    <w:rsid w:val="00BA0DA4"/>
    <w:rsid w:val="00BA0E78"/>
    <w:rsid w:val="00BA1390"/>
    <w:rsid w:val="00BA1505"/>
    <w:rsid w:val="00BA16A4"/>
    <w:rsid w:val="00BA174F"/>
    <w:rsid w:val="00BA17CA"/>
    <w:rsid w:val="00BA1A2E"/>
    <w:rsid w:val="00BA1B19"/>
    <w:rsid w:val="00BA1B88"/>
    <w:rsid w:val="00BA1BC7"/>
    <w:rsid w:val="00BA1EB0"/>
    <w:rsid w:val="00BA1F0E"/>
    <w:rsid w:val="00BA2004"/>
    <w:rsid w:val="00BA2154"/>
    <w:rsid w:val="00BA22C5"/>
    <w:rsid w:val="00BA238E"/>
    <w:rsid w:val="00BA23E0"/>
    <w:rsid w:val="00BA24AC"/>
    <w:rsid w:val="00BA261F"/>
    <w:rsid w:val="00BA2B5E"/>
    <w:rsid w:val="00BA3257"/>
    <w:rsid w:val="00BA32E1"/>
    <w:rsid w:val="00BA34A0"/>
    <w:rsid w:val="00BA3FF0"/>
    <w:rsid w:val="00BA42EE"/>
    <w:rsid w:val="00BA49E1"/>
    <w:rsid w:val="00BA4B5B"/>
    <w:rsid w:val="00BA4D6C"/>
    <w:rsid w:val="00BA4DCB"/>
    <w:rsid w:val="00BA4DFE"/>
    <w:rsid w:val="00BA4FC4"/>
    <w:rsid w:val="00BA5188"/>
    <w:rsid w:val="00BA52C3"/>
    <w:rsid w:val="00BA5A40"/>
    <w:rsid w:val="00BA5C5C"/>
    <w:rsid w:val="00BA5EC7"/>
    <w:rsid w:val="00BA63E6"/>
    <w:rsid w:val="00BA64D5"/>
    <w:rsid w:val="00BA67CE"/>
    <w:rsid w:val="00BA683E"/>
    <w:rsid w:val="00BA6842"/>
    <w:rsid w:val="00BA69FC"/>
    <w:rsid w:val="00BA6AB9"/>
    <w:rsid w:val="00BA6B32"/>
    <w:rsid w:val="00BA6B5D"/>
    <w:rsid w:val="00BA703F"/>
    <w:rsid w:val="00BA7169"/>
    <w:rsid w:val="00BA71E6"/>
    <w:rsid w:val="00BA72CF"/>
    <w:rsid w:val="00BA73A4"/>
    <w:rsid w:val="00BA74E3"/>
    <w:rsid w:val="00BA75E8"/>
    <w:rsid w:val="00BA7798"/>
    <w:rsid w:val="00BA7AC8"/>
    <w:rsid w:val="00BA7D88"/>
    <w:rsid w:val="00BA7F12"/>
    <w:rsid w:val="00BB008C"/>
    <w:rsid w:val="00BB030B"/>
    <w:rsid w:val="00BB035C"/>
    <w:rsid w:val="00BB04C3"/>
    <w:rsid w:val="00BB05E9"/>
    <w:rsid w:val="00BB05F1"/>
    <w:rsid w:val="00BB07B9"/>
    <w:rsid w:val="00BB09A6"/>
    <w:rsid w:val="00BB09BC"/>
    <w:rsid w:val="00BB0FD0"/>
    <w:rsid w:val="00BB126C"/>
    <w:rsid w:val="00BB1926"/>
    <w:rsid w:val="00BB1E51"/>
    <w:rsid w:val="00BB1E81"/>
    <w:rsid w:val="00BB1FB1"/>
    <w:rsid w:val="00BB2028"/>
    <w:rsid w:val="00BB230A"/>
    <w:rsid w:val="00BB28F3"/>
    <w:rsid w:val="00BB2A80"/>
    <w:rsid w:val="00BB2B0E"/>
    <w:rsid w:val="00BB2B35"/>
    <w:rsid w:val="00BB2BA7"/>
    <w:rsid w:val="00BB2D43"/>
    <w:rsid w:val="00BB2E46"/>
    <w:rsid w:val="00BB2FAE"/>
    <w:rsid w:val="00BB33C8"/>
    <w:rsid w:val="00BB348E"/>
    <w:rsid w:val="00BB3830"/>
    <w:rsid w:val="00BB39BB"/>
    <w:rsid w:val="00BB3CC8"/>
    <w:rsid w:val="00BB416A"/>
    <w:rsid w:val="00BB435F"/>
    <w:rsid w:val="00BB44F9"/>
    <w:rsid w:val="00BB45D3"/>
    <w:rsid w:val="00BB4AC5"/>
    <w:rsid w:val="00BB4D4F"/>
    <w:rsid w:val="00BB5107"/>
    <w:rsid w:val="00BB521E"/>
    <w:rsid w:val="00BB555B"/>
    <w:rsid w:val="00BB56DD"/>
    <w:rsid w:val="00BB5935"/>
    <w:rsid w:val="00BB5BDD"/>
    <w:rsid w:val="00BB5CDC"/>
    <w:rsid w:val="00BB6C50"/>
    <w:rsid w:val="00BB6C9D"/>
    <w:rsid w:val="00BB785A"/>
    <w:rsid w:val="00BB7ED7"/>
    <w:rsid w:val="00BB7F0C"/>
    <w:rsid w:val="00BB7FD1"/>
    <w:rsid w:val="00BC0017"/>
    <w:rsid w:val="00BC0199"/>
    <w:rsid w:val="00BC022F"/>
    <w:rsid w:val="00BC05CB"/>
    <w:rsid w:val="00BC061F"/>
    <w:rsid w:val="00BC0624"/>
    <w:rsid w:val="00BC0DE8"/>
    <w:rsid w:val="00BC0EA1"/>
    <w:rsid w:val="00BC0EFC"/>
    <w:rsid w:val="00BC0F71"/>
    <w:rsid w:val="00BC1203"/>
    <w:rsid w:val="00BC12BE"/>
    <w:rsid w:val="00BC12E1"/>
    <w:rsid w:val="00BC1306"/>
    <w:rsid w:val="00BC1688"/>
    <w:rsid w:val="00BC192E"/>
    <w:rsid w:val="00BC1962"/>
    <w:rsid w:val="00BC1990"/>
    <w:rsid w:val="00BC1C87"/>
    <w:rsid w:val="00BC25C1"/>
    <w:rsid w:val="00BC26D6"/>
    <w:rsid w:val="00BC27E2"/>
    <w:rsid w:val="00BC2862"/>
    <w:rsid w:val="00BC29DC"/>
    <w:rsid w:val="00BC2AAF"/>
    <w:rsid w:val="00BC2B97"/>
    <w:rsid w:val="00BC2D27"/>
    <w:rsid w:val="00BC2F48"/>
    <w:rsid w:val="00BC30BD"/>
    <w:rsid w:val="00BC350B"/>
    <w:rsid w:val="00BC36A6"/>
    <w:rsid w:val="00BC3748"/>
    <w:rsid w:val="00BC3AF3"/>
    <w:rsid w:val="00BC3BB3"/>
    <w:rsid w:val="00BC3DA4"/>
    <w:rsid w:val="00BC3E6A"/>
    <w:rsid w:val="00BC3F86"/>
    <w:rsid w:val="00BC40C6"/>
    <w:rsid w:val="00BC4C56"/>
    <w:rsid w:val="00BC4F3D"/>
    <w:rsid w:val="00BC50E9"/>
    <w:rsid w:val="00BC50F8"/>
    <w:rsid w:val="00BC5392"/>
    <w:rsid w:val="00BC54D0"/>
    <w:rsid w:val="00BC5C44"/>
    <w:rsid w:val="00BC603B"/>
    <w:rsid w:val="00BC61AF"/>
    <w:rsid w:val="00BC6450"/>
    <w:rsid w:val="00BC664D"/>
    <w:rsid w:val="00BC667B"/>
    <w:rsid w:val="00BC6C3B"/>
    <w:rsid w:val="00BC6DD4"/>
    <w:rsid w:val="00BC6EAB"/>
    <w:rsid w:val="00BC7235"/>
    <w:rsid w:val="00BC72EC"/>
    <w:rsid w:val="00BC775B"/>
    <w:rsid w:val="00BC78CA"/>
    <w:rsid w:val="00BC7C06"/>
    <w:rsid w:val="00BC7D89"/>
    <w:rsid w:val="00BC7F18"/>
    <w:rsid w:val="00BD0135"/>
    <w:rsid w:val="00BD0185"/>
    <w:rsid w:val="00BD02A4"/>
    <w:rsid w:val="00BD069E"/>
    <w:rsid w:val="00BD0763"/>
    <w:rsid w:val="00BD0B80"/>
    <w:rsid w:val="00BD0E98"/>
    <w:rsid w:val="00BD0F4A"/>
    <w:rsid w:val="00BD1055"/>
    <w:rsid w:val="00BD12B3"/>
    <w:rsid w:val="00BD1819"/>
    <w:rsid w:val="00BD1DB8"/>
    <w:rsid w:val="00BD2009"/>
    <w:rsid w:val="00BD2444"/>
    <w:rsid w:val="00BD28A9"/>
    <w:rsid w:val="00BD2D95"/>
    <w:rsid w:val="00BD3171"/>
    <w:rsid w:val="00BD31AE"/>
    <w:rsid w:val="00BD3520"/>
    <w:rsid w:val="00BD379D"/>
    <w:rsid w:val="00BD3866"/>
    <w:rsid w:val="00BD3A67"/>
    <w:rsid w:val="00BD3C7D"/>
    <w:rsid w:val="00BD4088"/>
    <w:rsid w:val="00BD40E8"/>
    <w:rsid w:val="00BD4361"/>
    <w:rsid w:val="00BD4493"/>
    <w:rsid w:val="00BD49EB"/>
    <w:rsid w:val="00BD5070"/>
    <w:rsid w:val="00BD530B"/>
    <w:rsid w:val="00BD5364"/>
    <w:rsid w:val="00BD5583"/>
    <w:rsid w:val="00BD5A7C"/>
    <w:rsid w:val="00BD5F01"/>
    <w:rsid w:val="00BD60E6"/>
    <w:rsid w:val="00BD6176"/>
    <w:rsid w:val="00BD6204"/>
    <w:rsid w:val="00BD6229"/>
    <w:rsid w:val="00BD67A7"/>
    <w:rsid w:val="00BD68E0"/>
    <w:rsid w:val="00BD6D4A"/>
    <w:rsid w:val="00BD6F51"/>
    <w:rsid w:val="00BD7417"/>
    <w:rsid w:val="00BD746F"/>
    <w:rsid w:val="00BD783C"/>
    <w:rsid w:val="00BD79FA"/>
    <w:rsid w:val="00BD7CC0"/>
    <w:rsid w:val="00BD7F91"/>
    <w:rsid w:val="00BD7FA6"/>
    <w:rsid w:val="00BE0057"/>
    <w:rsid w:val="00BE0156"/>
    <w:rsid w:val="00BE018C"/>
    <w:rsid w:val="00BE0238"/>
    <w:rsid w:val="00BE05C3"/>
    <w:rsid w:val="00BE0878"/>
    <w:rsid w:val="00BE0A07"/>
    <w:rsid w:val="00BE0AF1"/>
    <w:rsid w:val="00BE0E8B"/>
    <w:rsid w:val="00BE0EBA"/>
    <w:rsid w:val="00BE0FD4"/>
    <w:rsid w:val="00BE0FE6"/>
    <w:rsid w:val="00BE0FED"/>
    <w:rsid w:val="00BE10E5"/>
    <w:rsid w:val="00BE122E"/>
    <w:rsid w:val="00BE13FC"/>
    <w:rsid w:val="00BE1821"/>
    <w:rsid w:val="00BE1830"/>
    <w:rsid w:val="00BE1A73"/>
    <w:rsid w:val="00BE2020"/>
    <w:rsid w:val="00BE2058"/>
    <w:rsid w:val="00BE2317"/>
    <w:rsid w:val="00BE2A12"/>
    <w:rsid w:val="00BE2C2C"/>
    <w:rsid w:val="00BE2F4B"/>
    <w:rsid w:val="00BE30D3"/>
    <w:rsid w:val="00BE30FA"/>
    <w:rsid w:val="00BE31A9"/>
    <w:rsid w:val="00BE3351"/>
    <w:rsid w:val="00BE3435"/>
    <w:rsid w:val="00BE38F0"/>
    <w:rsid w:val="00BE3CAA"/>
    <w:rsid w:val="00BE3DA7"/>
    <w:rsid w:val="00BE3FC0"/>
    <w:rsid w:val="00BE40E7"/>
    <w:rsid w:val="00BE4177"/>
    <w:rsid w:val="00BE4531"/>
    <w:rsid w:val="00BE47E9"/>
    <w:rsid w:val="00BE4E41"/>
    <w:rsid w:val="00BE4EC9"/>
    <w:rsid w:val="00BE50B8"/>
    <w:rsid w:val="00BE53FE"/>
    <w:rsid w:val="00BE5512"/>
    <w:rsid w:val="00BE56C8"/>
    <w:rsid w:val="00BE597B"/>
    <w:rsid w:val="00BE5A04"/>
    <w:rsid w:val="00BE5DEB"/>
    <w:rsid w:val="00BE6136"/>
    <w:rsid w:val="00BE6237"/>
    <w:rsid w:val="00BE653A"/>
    <w:rsid w:val="00BE6634"/>
    <w:rsid w:val="00BE66B8"/>
    <w:rsid w:val="00BE6751"/>
    <w:rsid w:val="00BE694E"/>
    <w:rsid w:val="00BE69AB"/>
    <w:rsid w:val="00BE69E4"/>
    <w:rsid w:val="00BE6AF5"/>
    <w:rsid w:val="00BE6BBC"/>
    <w:rsid w:val="00BE6D16"/>
    <w:rsid w:val="00BE6E95"/>
    <w:rsid w:val="00BE6F50"/>
    <w:rsid w:val="00BE71AA"/>
    <w:rsid w:val="00BE7374"/>
    <w:rsid w:val="00BE758E"/>
    <w:rsid w:val="00BE75D1"/>
    <w:rsid w:val="00BE79A7"/>
    <w:rsid w:val="00BE7D43"/>
    <w:rsid w:val="00BE7EEB"/>
    <w:rsid w:val="00BE7F0C"/>
    <w:rsid w:val="00BF0104"/>
    <w:rsid w:val="00BF0178"/>
    <w:rsid w:val="00BF0535"/>
    <w:rsid w:val="00BF0550"/>
    <w:rsid w:val="00BF0730"/>
    <w:rsid w:val="00BF0AA9"/>
    <w:rsid w:val="00BF0C96"/>
    <w:rsid w:val="00BF0D95"/>
    <w:rsid w:val="00BF1069"/>
    <w:rsid w:val="00BF136B"/>
    <w:rsid w:val="00BF1391"/>
    <w:rsid w:val="00BF190E"/>
    <w:rsid w:val="00BF1AEE"/>
    <w:rsid w:val="00BF1B8D"/>
    <w:rsid w:val="00BF1C3E"/>
    <w:rsid w:val="00BF1ECD"/>
    <w:rsid w:val="00BF20B4"/>
    <w:rsid w:val="00BF2CF5"/>
    <w:rsid w:val="00BF2D78"/>
    <w:rsid w:val="00BF33BA"/>
    <w:rsid w:val="00BF3540"/>
    <w:rsid w:val="00BF355A"/>
    <w:rsid w:val="00BF3673"/>
    <w:rsid w:val="00BF3896"/>
    <w:rsid w:val="00BF3C87"/>
    <w:rsid w:val="00BF3FCB"/>
    <w:rsid w:val="00BF49FD"/>
    <w:rsid w:val="00BF4B13"/>
    <w:rsid w:val="00BF4EB6"/>
    <w:rsid w:val="00BF50A4"/>
    <w:rsid w:val="00BF51E9"/>
    <w:rsid w:val="00BF5662"/>
    <w:rsid w:val="00BF58DF"/>
    <w:rsid w:val="00BF58EF"/>
    <w:rsid w:val="00BF6120"/>
    <w:rsid w:val="00BF61CB"/>
    <w:rsid w:val="00BF6244"/>
    <w:rsid w:val="00BF6289"/>
    <w:rsid w:val="00BF66CA"/>
    <w:rsid w:val="00BF66F2"/>
    <w:rsid w:val="00BF72CD"/>
    <w:rsid w:val="00BF759C"/>
    <w:rsid w:val="00BF7777"/>
    <w:rsid w:val="00BF7778"/>
    <w:rsid w:val="00BF7BB2"/>
    <w:rsid w:val="00BF7D4E"/>
    <w:rsid w:val="00BF7DA4"/>
    <w:rsid w:val="00C00186"/>
    <w:rsid w:val="00C0026D"/>
    <w:rsid w:val="00C004D7"/>
    <w:rsid w:val="00C004EC"/>
    <w:rsid w:val="00C0056A"/>
    <w:rsid w:val="00C00692"/>
    <w:rsid w:val="00C0075A"/>
    <w:rsid w:val="00C007F2"/>
    <w:rsid w:val="00C008ED"/>
    <w:rsid w:val="00C01220"/>
    <w:rsid w:val="00C013C9"/>
    <w:rsid w:val="00C01738"/>
    <w:rsid w:val="00C019F2"/>
    <w:rsid w:val="00C01ABB"/>
    <w:rsid w:val="00C01CF7"/>
    <w:rsid w:val="00C01F64"/>
    <w:rsid w:val="00C02045"/>
    <w:rsid w:val="00C02134"/>
    <w:rsid w:val="00C0215F"/>
    <w:rsid w:val="00C0219E"/>
    <w:rsid w:val="00C021A4"/>
    <w:rsid w:val="00C02649"/>
    <w:rsid w:val="00C0264A"/>
    <w:rsid w:val="00C0299A"/>
    <w:rsid w:val="00C02D29"/>
    <w:rsid w:val="00C02F4B"/>
    <w:rsid w:val="00C031C1"/>
    <w:rsid w:val="00C0337E"/>
    <w:rsid w:val="00C03815"/>
    <w:rsid w:val="00C03951"/>
    <w:rsid w:val="00C03D35"/>
    <w:rsid w:val="00C03DF3"/>
    <w:rsid w:val="00C03ED7"/>
    <w:rsid w:val="00C04065"/>
    <w:rsid w:val="00C0425A"/>
    <w:rsid w:val="00C04426"/>
    <w:rsid w:val="00C0461A"/>
    <w:rsid w:val="00C0499F"/>
    <w:rsid w:val="00C04DA6"/>
    <w:rsid w:val="00C04E79"/>
    <w:rsid w:val="00C04F14"/>
    <w:rsid w:val="00C0515C"/>
    <w:rsid w:val="00C055BF"/>
    <w:rsid w:val="00C05886"/>
    <w:rsid w:val="00C058BC"/>
    <w:rsid w:val="00C05900"/>
    <w:rsid w:val="00C05AB7"/>
    <w:rsid w:val="00C05DEF"/>
    <w:rsid w:val="00C05E1D"/>
    <w:rsid w:val="00C06126"/>
    <w:rsid w:val="00C062B3"/>
    <w:rsid w:val="00C066A0"/>
    <w:rsid w:val="00C067F7"/>
    <w:rsid w:val="00C06844"/>
    <w:rsid w:val="00C06899"/>
    <w:rsid w:val="00C0691B"/>
    <w:rsid w:val="00C06A29"/>
    <w:rsid w:val="00C06C4E"/>
    <w:rsid w:val="00C06E08"/>
    <w:rsid w:val="00C077AC"/>
    <w:rsid w:val="00C078E1"/>
    <w:rsid w:val="00C07B64"/>
    <w:rsid w:val="00C07B7E"/>
    <w:rsid w:val="00C07E1F"/>
    <w:rsid w:val="00C10073"/>
    <w:rsid w:val="00C10437"/>
    <w:rsid w:val="00C10634"/>
    <w:rsid w:val="00C107B4"/>
    <w:rsid w:val="00C108E6"/>
    <w:rsid w:val="00C10B01"/>
    <w:rsid w:val="00C10E9B"/>
    <w:rsid w:val="00C110F0"/>
    <w:rsid w:val="00C11380"/>
    <w:rsid w:val="00C114BB"/>
    <w:rsid w:val="00C1151D"/>
    <w:rsid w:val="00C11596"/>
    <w:rsid w:val="00C11775"/>
    <w:rsid w:val="00C11F3F"/>
    <w:rsid w:val="00C11F61"/>
    <w:rsid w:val="00C12052"/>
    <w:rsid w:val="00C12371"/>
    <w:rsid w:val="00C12599"/>
    <w:rsid w:val="00C12745"/>
    <w:rsid w:val="00C12EB0"/>
    <w:rsid w:val="00C12F28"/>
    <w:rsid w:val="00C13011"/>
    <w:rsid w:val="00C130EF"/>
    <w:rsid w:val="00C13114"/>
    <w:rsid w:val="00C1344E"/>
    <w:rsid w:val="00C13459"/>
    <w:rsid w:val="00C13568"/>
    <w:rsid w:val="00C13796"/>
    <w:rsid w:val="00C13B0C"/>
    <w:rsid w:val="00C13BE5"/>
    <w:rsid w:val="00C13D8F"/>
    <w:rsid w:val="00C13F63"/>
    <w:rsid w:val="00C14024"/>
    <w:rsid w:val="00C140AA"/>
    <w:rsid w:val="00C140F2"/>
    <w:rsid w:val="00C14311"/>
    <w:rsid w:val="00C148CE"/>
    <w:rsid w:val="00C14B2F"/>
    <w:rsid w:val="00C14C09"/>
    <w:rsid w:val="00C1540A"/>
    <w:rsid w:val="00C154F9"/>
    <w:rsid w:val="00C1565F"/>
    <w:rsid w:val="00C15862"/>
    <w:rsid w:val="00C15AE9"/>
    <w:rsid w:val="00C15E57"/>
    <w:rsid w:val="00C15EDD"/>
    <w:rsid w:val="00C15EF1"/>
    <w:rsid w:val="00C16073"/>
    <w:rsid w:val="00C164AA"/>
    <w:rsid w:val="00C165C1"/>
    <w:rsid w:val="00C1675C"/>
    <w:rsid w:val="00C16E1C"/>
    <w:rsid w:val="00C1733E"/>
    <w:rsid w:val="00C173CF"/>
    <w:rsid w:val="00C17507"/>
    <w:rsid w:val="00C179E7"/>
    <w:rsid w:val="00C17A85"/>
    <w:rsid w:val="00C17B12"/>
    <w:rsid w:val="00C17EEC"/>
    <w:rsid w:val="00C20233"/>
    <w:rsid w:val="00C20494"/>
    <w:rsid w:val="00C20BD0"/>
    <w:rsid w:val="00C212E5"/>
    <w:rsid w:val="00C213E6"/>
    <w:rsid w:val="00C21832"/>
    <w:rsid w:val="00C2187F"/>
    <w:rsid w:val="00C2189B"/>
    <w:rsid w:val="00C218B6"/>
    <w:rsid w:val="00C2192F"/>
    <w:rsid w:val="00C21942"/>
    <w:rsid w:val="00C219D6"/>
    <w:rsid w:val="00C21F7E"/>
    <w:rsid w:val="00C2204B"/>
    <w:rsid w:val="00C22305"/>
    <w:rsid w:val="00C22391"/>
    <w:rsid w:val="00C223EC"/>
    <w:rsid w:val="00C22543"/>
    <w:rsid w:val="00C2267C"/>
    <w:rsid w:val="00C22AEA"/>
    <w:rsid w:val="00C22B6D"/>
    <w:rsid w:val="00C22B83"/>
    <w:rsid w:val="00C22BE2"/>
    <w:rsid w:val="00C22C7A"/>
    <w:rsid w:val="00C22E3A"/>
    <w:rsid w:val="00C2301D"/>
    <w:rsid w:val="00C230EB"/>
    <w:rsid w:val="00C23355"/>
    <w:rsid w:val="00C23730"/>
    <w:rsid w:val="00C23BBF"/>
    <w:rsid w:val="00C23CDB"/>
    <w:rsid w:val="00C240B9"/>
    <w:rsid w:val="00C2437A"/>
    <w:rsid w:val="00C244ED"/>
    <w:rsid w:val="00C2473E"/>
    <w:rsid w:val="00C2481F"/>
    <w:rsid w:val="00C249EB"/>
    <w:rsid w:val="00C24A22"/>
    <w:rsid w:val="00C24BEE"/>
    <w:rsid w:val="00C24CDB"/>
    <w:rsid w:val="00C251FF"/>
    <w:rsid w:val="00C2539E"/>
    <w:rsid w:val="00C253A2"/>
    <w:rsid w:val="00C253E1"/>
    <w:rsid w:val="00C2543E"/>
    <w:rsid w:val="00C259F2"/>
    <w:rsid w:val="00C25E8D"/>
    <w:rsid w:val="00C26295"/>
    <w:rsid w:val="00C262DD"/>
    <w:rsid w:val="00C263A0"/>
    <w:rsid w:val="00C2648D"/>
    <w:rsid w:val="00C26544"/>
    <w:rsid w:val="00C27682"/>
    <w:rsid w:val="00C27A36"/>
    <w:rsid w:val="00C27EDE"/>
    <w:rsid w:val="00C3033D"/>
    <w:rsid w:val="00C303B7"/>
    <w:rsid w:val="00C303E8"/>
    <w:rsid w:val="00C3059E"/>
    <w:rsid w:val="00C305D1"/>
    <w:rsid w:val="00C3076E"/>
    <w:rsid w:val="00C307AD"/>
    <w:rsid w:val="00C309FD"/>
    <w:rsid w:val="00C30BA2"/>
    <w:rsid w:val="00C30C9F"/>
    <w:rsid w:val="00C30EA4"/>
    <w:rsid w:val="00C312F4"/>
    <w:rsid w:val="00C31413"/>
    <w:rsid w:val="00C3143E"/>
    <w:rsid w:val="00C31882"/>
    <w:rsid w:val="00C31BC0"/>
    <w:rsid w:val="00C31C24"/>
    <w:rsid w:val="00C31D90"/>
    <w:rsid w:val="00C321E8"/>
    <w:rsid w:val="00C32295"/>
    <w:rsid w:val="00C32298"/>
    <w:rsid w:val="00C32721"/>
    <w:rsid w:val="00C32739"/>
    <w:rsid w:val="00C327BF"/>
    <w:rsid w:val="00C327D8"/>
    <w:rsid w:val="00C3286A"/>
    <w:rsid w:val="00C32912"/>
    <w:rsid w:val="00C329C0"/>
    <w:rsid w:val="00C32B0F"/>
    <w:rsid w:val="00C32C4D"/>
    <w:rsid w:val="00C32CEF"/>
    <w:rsid w:val="00C32D33"/>
    <w:rsid w:val="00C32E06"/>
    <w:rsid w:val="00C33172"/>
    <w:rsid w:val="00C3320F"/>
    <w:rsid w:val="00C332BD"/>
    <w:rsid w:val="00C33496"/>
    <w:rsid w:val="00C33885"/>
    <w:rsid w:val="00C33986"/>
    <w:rsid w:val="00C33AB4"/>
    <w:rsid w:val="00C33C3C"/>
    <w:rsid w:val="00C33C60"/>
    <w:rsid w:val="00C33D90"/>
    <w:rsid w:val="00C341C2"/>
    <w:rsid w:val="00C344B1"/>
    <w:rsid w:val="00C34848"/>
    <w:rsid w:val="00C3499D"/>
    <w:rsid w:val="00C34D03"/>
    <w:rsid w:val="00C34E10"/>
    <w:rsid w:val="00C34E11"/>
    <w:rsid w:val="00C35316"/>
    <w:rsid w:val="00C355F7"/>
    <w:rsid w:val="00C35A4D"/>
    <w:rsid w:val="00C35B19"/>
    <w:rsid w:val="00C35B31"/>
    <w:rsid w:val="00C35B3F"/>
    <w:rsid w:val="00C35D10"/>
    <w:rsid w:val="00C35F02"/>
    <w:rsid w:val="00C36058"/>
    <w:rsid w:val="00C361C5"/>
    <w:rsid w:val="00C3627B"/>
    <w:rsid w:val="00C36621"/>
    <w:rsid w:val="00C366F5"/>
    <w:rsid w:val="00C3678D"/>
    <w:rsid w:val="00C36D2F"/>
    <w:rsid w:val="00C36E78"/>
    <w:rsid w:val="00C372FF"/>
    <w:rsid w:val="00C377B9"/>
    <w:rsid w:val="00C3794C"/>
    <w:rsid w:val="00C37C78"/>
    <w:rsid w:val="00C40213"/>
    <w:rsid w:val="00C407FA"/>
    <w:rsid w:val="00C40A34"/>
    <w:rsid w:val="00C40F8A"/>
    <w:rsid w:val="00C41035"/>
    <w:rsid w:val="00C412C0"/>
    <w:rsid w:val="00C4194E"/>
    <w:rsid w:val="00C42110"/>
    <w:rsid w:val="00C4218B"/>
    <w:rsid w:val="00C422C5"/>
    <w:rsid w:val="00C42463"/>
    <w:rsid w:val="00C424AC"/>
    <w:rsid w:val="00C42ACD"/>
    <w:rsid w:val="00C42AE4"/>
    <w:rsid w:val="00C42C39"/>
    <w:rsid w:val="00C43367"/>
    <w:rsid w:val="00C4361B"/>
    <w:rsid w:val="00C4363B"/>
    <w:rsid w:val="00C4389B"/>
    <w:rsid w:val="00C43D43"/>
    <w:rsid w:val="00C441B1"/>
    <w:rsid w:val="00C44345"/>
    <w:rsid w:val="00C4493A"/>
    <w:rsid w:val="00C44A6F"/>
    <w:rsid w:val="00C44C13"/>
    <w:rsid w:val="00C44F14"/>
    <w:rsid w:val="00C45695"/>
    <w:rsid w:val="00C457A3"/>
    <w:rsid w:val="00C45813"/>
    <w:rsid w:val="00C45C45"/>
    <w:rsid w:val="00C45D72"/>
    <w:rsid w:val="00C45E40"/>
    <w:rsid w:val="00C463F9"/>
    <w:rsid w:val="00C46573"/>
    <w:rsid w:val="00C465B4"/>
    <w:rsid w:val="00C465FD"/>
    <w:rsid w:val="00C46D05"/>
    <w:rsid w:val="00C47051"/>
    <w:rsid w:val="00C471DE"/>
    <w:rsid w:val="00C472B3"/>
    <w:rsid w:val="00C4747D"/>
    <w:rsid w:val="00C474EB"/>
    <w:rsid w:val="00C476C1"/>
    <w:rsid w:val="00C4795D"/>
    <w:rsid w:val="00C47E47"/>
    <w:rsid w:val="00C5008D"/>
    <w:rsid w:val="00C502CB"/>
    <w:rsid w:val="00C5034F"/>
    <w:rsid w:val="00C50A04"/>
    <w:rsid w:val="00C50A33"/>
    <w:rsid w:val="00C50A3A"/>
    <w:rsid w:val="00C50BC5"/>
    <w:rsid w:val="00C50D15"/>
    <w:rsid w:val="00C510A4"/>
    <w:rsid w:val="00C510CA"/>
    <w:rsid w:val="00C516D1"/>
    <w:rsid w:val="00C51713"/>
    <w:rsid w:val="00C51C42"/>
    <w:rsid w:val="00C51EA3"/>
    <w:rsid w:val="00C52749"/>
    <w:rsid w:val="00C527BD"/>
    <w:rsid w:val="00C5285D"/>
    <w:rsid w:val="00C52976"/>
    <w:rsid w:val="00C52C40"/>
    <w:rsid w:val="00C52D11"/>
    <w:rsid w:val="00C53277"/>
    <w:rsid w:val="00C53558"/>
    <w:rsid w:val="00C535A6"/>
    <w:rsid w:val="00C53736"/>
    <w:rsid w:val="00C5374D"/>
    <w:rsid w:val="00C53ACF"/>
    <w:rsid w:val="00C54421"/>
    <w:rsid w:val="00C54619"/>
    <w:rsid w:val="00C549AB"/>
    <w:rsid w:val="00C54A80"/>
    <w:rsid w:val="00C54C88"/>
    <w:rsid w:val="00C54F1E"/>
    <w:rsid w:val="00C54F29"/>
    <w:rsid w:val="00C54F51"/>
    <w:rsid w:val="00C55A4E"/>
    <w:rsid w:val="00C55C5F"/>
    <w:rsid w:val="00C55D51"/>
    <w:rsid w:val="00C56142"/>
    <w:rsid w:val="00C56189"/>
    <w:rsid w:val="00C565CB"/>
    <w:rsid w:val="00C565F4"/>
    <w:rsid w:val="00C568D7"/>
    <w:rsid w:val="00C56A66"/>
    <w:rsid w:val="00C56B7E"/>
    <w:rsid w:val="00C56EE4"/>
    <w:rsid w:val="00C56FBE"/>
    <w:rsid w:val="00C57416"/>
    <w:rsid w:val="00C57485"/>
    <w:rsid w:val="00C57B3F"/>
    <w:rsid w:val="00C57D5F"/>
    <w:rsid w:val="00C57D93"/>
    <w:rsid w:val="00C60072"/>
    <w:rsid w:val="00C600BD"/>
    <w:rsid w:val="00C601DD"/>
    <w:rsid w:val="00C60419"/>
    <w:rsid w:val="00C605CB"/>
    <w:rsid w:val="00C60632"/>
    <w:rsid w:val="00C608D4"/>
    <w:rsid w:val="00C610D0"/>
    <w:rsid w:val="00C613FF"/>
    <w:rsid w:val="00C616CF"/>
    <w:rsid w:val="00C618FA"/>
    <w:rsid w:val="00C61BDD"/>
    <w:rsid w:val="00C6257D"/>
    <w:rsid w:val="00C62702"/>
    <w:rsid w:val="00C628DC"/>
    <w:rsid w:val="00C62901"/>
    <w:rsid w:val="00C62D97"/>
    <w:rsid w:val="00C62E7F"/>
    <w:rsid w:val="00C62F6A"/>
    <w:rsid w:val="00C63136"/>
    <w:rsid w:val="00C63DE3"/>
    <w:rsid w:val="00C63E11"/>
    <w:rsid w:val="00C63E46"/>
    <w:rsid w:val="00C63E7D"/>
    <w:rsid w:val="00C63FB5"/>
    <w:rsid w:val="00C6429A"/>
    <w:rsid w:val="00C643F0"/>
    <w:rsid w:val="00C6442D"/>
    <w:rsid w:val="00C64561"/>
    <w:rsid w:val="00C65164"/>
    <w:rsid w:val="00C6517A"/>
    <w:rsid w:val="00C659DA"/>
    <w:rsid w:val="00C65B12"/>
    <w:rsid w:val="00C66409"/>
    <w:rsid w:val="00C667D4"/>
    <w:rsid w:val="00C66912"/>
    <w:rsid w:val="00C66BCB"/>
    <w:rsid w:val="00C66CE1"/>
    <w:rsid w:val="00C66FE4"/>
    <w:rsid w:val="00C6718A"/>
    <w:rsid w:val="00C67312"/>
    <w:rsid w:val="00C674A6"/>
    <w:rsid w:val="00C67DF8"/>
    <w:rsid w:val="00C67EC6"/>
    <w:rsid w:val="00C67F87"/>
    <w:rsid w:val="00C70031"/>
    <w:rsid w:val="00C70335"/>
    <w:rsid w:val="00C70416"/>
    <w:rsid w:val="00C70688"/>
    <w:rsid w:val="00C70DA4"/>
    <w:rsid w:val="00C71311"/>
    <w:rsid w:val="00C7151D"/>
    <w:rsid w:val="00C71A2A"/>
    <w:rsid w:val="00C71B01"/>
    <w:rsid w:val="00C71BCD"/>
    <w:rsid w:val="00C720A6"/>
    <w:rsid w:val="00C720D7"/>
    <w:rsid w:val="00C7237A"/>
    <w:rsid w:val="00C724D6"/>
    <w:rsid w:val="00C72572"/>
    <w:rsid w:val="00C725E7"/>
    <w:rsid w:val="00C726CA"/>
    <w:rsid w:val="00C7270D"/>
    <w:rsid w:val="00C72E13"/>
    <w:rsid w:val="00C73171"/>
    <w:rsid w:val="00C73386"/>
    <w:rsid w:val="00C73696"/>
    <w:rsid w:val="00C73734"/>
    <w:rsid w:val="00C73AA6"/>
    <w:rsid w:val="00C73CA9"/>
    <w:rsid w:val="00C7419A"/>
    <w:rsid w:val="00C742D1"/>
    <w:rsid w:val="00C74595"/>
    <w:rsid w:val="00C749B7"/>
    <w:rsid w:val="00C7509A"/>
    <w:rsid w:val="00C75303"/>
    <w:rsid w:val="00C75390"/>
    <w:rsid w:val="00C75440"/>
    <w:rsid w:val="00C75AB1"/>
    <w:rsid w:val="00C75DFB"/>
    <w:rsid w:val="00C7605C"/>
    <w:rsid w:val="00C764F7"/>
    <w:rsid w:val="00C767A2"/>
    <w:rsid w:val="00C767F0"/>
    <w:rsid w:val="00C76A09"/>
    <w:rsid w:val="00C77198"/>
    <w:rsid w:val="00C773F1"/>
    <w:rsid w:val="00C7744D"/>
    <w:rsid w:val="00C7777B"/>
    <w:rsid w:val="00C77A3A"/>
    <w:rsid w:val="00C77F11"/>
    <w:rsid w:val="00C77F1A"/>
    <w:rsid w:val="00C80442"/>
    <w:rsid w:val="00C804E8"/>
    <w:rsid w:val="00C805CA"/>
    <w:rsid w:val="00C80AC5"/>
    <w:rsid w:val="00C80C4F"/>
    <w:rsid w:val="00C80DCD"/>
    <w:rsid w:val="00C80FBA"/>
    <w:rsid w:val="00C8138D"/>
    <w:rsid w:val="00C81BE4"/>
    <w:rsid w:val="00C81EFF"/>
    <w:rsid w:val="00C81FA7"/>
    <w:rsid w:val="00C82203"/>
    <w:rsid w:val="00C82388"/>
    <w:rsid w:val="00C82410"/>
    <w:rsid w:val="00C8258F"/>
    <w:rsid w:val="00C8277A"/>
    <w:rsid w:val="00C827EC"/>
    <w:rsid w:val="00C82FC4"/>
    <w:rsid w:val="00C83257"/>
    <w:rsid w:val="00C83434"/>
    <w:rsid w:val="00C83551"/>
    <w:rsid w:val="00C835AF"/>
    <w:rsid w:val="00C838FA"/>
    <w:rsid w:val="00C83A4C"/>
    <w:rsid w:val="00C84144"/>
    <w:rsid w:val="00C8435D"/>
    <w:rsid w:val="00C84BA2"/>
    <w:rsid w:val="00C84CD7"/>
    <w:rsid w:val="00C84D46"/>
    <w:rsid w:val="00C84FED"/>
    <w:rsid w:val="00C85134"/>
    <w:rsid w:val="00C851F3"/>
    <w:rsid w:val="00C85545"/>
    <w:rsid w:val="00C8585B"/>
    <w:rsid w:val="00C85B20"/>
    <w:rsid w:val="00C85D16"/>
    <w:rsid w:val="00C85E05"/>
    <w:rsid w:val="00C8600B"/>
    <w:rsid w:val="00C862C6"/>
    <w:rsid w:val="00C868A9"/>
    <w:rsid w:val="00C8696E"/>
    <w:rsid w:val="00C869DB"/>
    <w:rsid w:val="00C86A15"/>
    <w:rsid w:val="00C86A3E"/>
    <w:rsid w:val="00C86B6B"/>
    <w:rsid w:val="00C86BF3"/>
    <w:rsid w:val="00C86F19"/>
    <w:rsid w:val="00C86F3E"/>
    <w:rsid w:val="00C870F7"/>
    <w:rsid w:val="00C9013E"/>
    <w:rsid w:val="00C901DF"/>
    <w:rsid w:val="00C9069A"/>
    <w:rsid w:val="00C90724"/>
    <w:rsid w:val="00C90C30"/>
    <w:rsid w:val="00C90FA3"/>
    <w:rsid w:val="00C9138F"/>
    <w:rsid w:val="00C916B1"/>
    <w:rsid w:val="00C91E11"/>
    <w:rsid w:val="00C91E13"/>
    <w:rsid w:val="00C9217D"/>
    <w:rsid w:val="00C92641"/>
    <w:rsid w:val="00C9301F"/>
    <w:rsid w:val="00C933FD"/>
    <w:rsid w:val="00C934B2"/>
    <w:rsid w:val="00C937FE"/>
    <w:rsid w:val="00C93C63"/>
    <w:rsid w:val="00C93D0B"/>
    <w:rsid w:val="00C93F11"/>
    <w:rsid w:val="00C94371"/>
    <w:rsid w:val="00C946FC"/>
    <w:rsid w:val="00C949B9"/>
    <w:rsid w:val="00C949F3"/>
    <w:rsid w:val="00C94A5D"/>
    <w:rsid w:val="00C94D6D"/>
    <w:rsid w:val="00C9533E"/>
    <w:rsid w:val="00C9534A"/>
    <w:rsid w:val="00C95452"/>
    <w:rsid w:val="00C9581F"/>
    <w:rsid w:val="00C95D11"/>
    <w:rsid w:val="00C95DF7"/>
    <w:rsid w:val="00C966FF"/>
    <w:rsid w:val="00C968E2"/>
    <w:rsid w:val="00C96F76"/>
    <w:rsid w:val="00C96FFA"/>
    <w:rsid w:val="00C97659"/>
    <w:rsid w:val="00C97688"/>
    <w:rsid w:val="00C97745"/>
    <w:rsid w:val="00C97773"/>
    <w:rsid w:val="00C97C80"/>
    <w:rsid w:val="00C97E0F"/>
    <w:rsid w:val="00C97EB0"/>
    <w:rsid w:val="00CA0618"/>
    <w:rsid w:val="00CA075A"/>
    <w:rsid w:val="00CA08C2"/>
    <w:rsid w:val="00CA0A2E"/>
    <w:rsid w:val="00CA0B10"/>
    <w:rsid w:val="00CA0E40"/>
    <w:rsid w:val="00CA0F7A"/>
    <w:rsid w:val="00CA1278"/>
    <w:rsid w:val="00CA15C1"/>
    <w:rsid w:val="00CA160A"/>
    <w:rsid w:val="00CA16F3"/>
    <w:rsid w:val="00CA1A3B"/>
    <w:rsid w:val="00CA1A82"/>
    <w:rsid w:val="00CA1CA7"/>
    <w:rsid w:val="00CA1DDA"/>
    <w:rsid w:val="00CA1F7C"/>
    <w:rsid w:val="00CA1FE3"/>
    <w:rsid w:val="00CA21A6"/>
    <w:rsid w:val="00CA27BD"/>
    <w:rsid w:val="00CA2ACC"/>
    <w:rsid w:val="00CA2FFF"/>
    <w:rsid w:val="00CA3199"/>
    <w:rsid w:val="00CA34BD"/>
    <w:rsid w:val="00CA377B"/>
    <w:rsid w:val="00CA39F4"/>
    <w:rsid w:val="00CA3D09"/>
    <w:rsid w:val="00CA430F"/>
    <w:rsid w:val="00CA4550"/>
    <w:rsid w:val="00CA471B"/>
    <w:rsid w:val="00CA50FB"/>
    <w:rsid w:val="00CA53CC"/>
    <w:rsid w:val="00CA574A"/>
    <w:rsid w:val="00CA581C"/>
    <w:rsid w:val="00CA5AE0"/>
    <w:rsid w:val="00CA5BBA"/>
    <w:rsid w:val="00CA5D18"/>
    <w:rsid w:val="00CA5DD1"/>
    <w:rsid w:val="00CA5EDC"/>
    <w:rsid w:val="00CA6099"/>
    <w:rsid w:val="00CA6151"/>
    <w:rsid w:val="00CA62C5"/>
    <w:rsid w:val="00CA6662"/>
    <w:rsid w:val="00CA6937"/>
    <w:rsid w:val="00CA6B21"/>
    <w:rsid w:val="00CA6CA2"/>
    <w:rsid w:val="00CA7026"/>
    <w:rsid w:val="00CA72DC"/>
    <w:rsid w:val="00CA73F6"/>
    <w:rsid w:val="00CA741E"/>
    <w:rsid w:val="00CA76A0"/>
    <w:rsid w:val="00CA7912"/>
    <w:rsid w:val="00CA7D64"/>
    <w:rsid w:val="00CB02BF"/>
    <w:rsid w:val="00CB050A"/>
    <w:rsid w:val="00CB0828"/>
    <w:rsid w:val="00CB0B6B"/>
    <w:rsid w:val="00CB0B84"/>
    <w:rsid w:val="00CB0BA2"/>
    <w:rsid w:val="00CB0FC2"/>
    <w:rsid w:val="00CB10DC"/>
    <w:rsid w:val="00CB12C3"/>
    <w:rsid w:val="00CB1364"/>
    <w:rsid w:val="00CB19CC"/>
    <w:rsid w:val="00CB1D57"/>
    <w:rsid w:val="00CB1F4B"/>
    <w:rsid w:val="00CB200F"/>
    <w:rsid w:val="00CB2224"/>
    <w:rsid w:val="00CB257F"/>
    <w:rsid w:val="00CB26B9"/>
    <w:rsid w:val="00CB281D"/>
    <w:rsid w:val="00CB2919"/>
    <w:rsid w:val="00CB2BCA"/>
    <w:rsid w:val="00CB30D7"/>
    <w:rsid w:val="00CB3141"/>
    <w:rsid w:val="00CB31D2"/>
    <w:rsid w:val="00CB320B"/>
    <w:rsid w:val="00CB3A98"/>
    <w:rsid w:val="00CB3EE1"/>
    <w:rsid w:val="00CB4264"/>
    <w:rsid w:val="00CB43D2"/>
    <w:rsid w:val="00CB4449"/>
    <w:rsid w:val="00CB4451"/>
    <w:rsid w:val="00CB4BB1"/>
    <w:rsid w:val="00CB4CD1"/>
    <w:rsid w:val="00CB4DFB"/>
    <w:rsid w:val="00CB4E29"/>
    <w:rsid w:val="00CB4FCD"/>
    <w:rsid w:val="00CB50E3"/>
    <w:rsid w:val="00CB54CA"/>
    <w:rsid w:val="00CB556B"/>
    <w:rsid w:val="00CB5615"/>
    <w:rsid w:val="00CB574F"/>
    <w:rsid w:val="00CB5829"/>
    <w:rsid w:val="00CB5882"/>
    <w:rsid w:val="00CB5A90"/>
    <w:rsid w:val="00CB60D9"/>
    <w:rsid w:val="00CB6120"/>
    <w:rsid w:val="00CB620C"/>
    <w:rsid w:val="00CB6287"/>
    <w:rsid w:val="00CB631F"/>
    <w:rsid w:val="00CB6F3C"/>
    <w:rsid w:val="00CB6FD6"/>
    <w:rsid w:val="00CB710A"/>
    <w:rsid w:val="00CB751E"/>
    <w:rsid w:val="00CB75D7"/>
    <w:rsid w:val="00CB7B90"/>
    <w:rsid w:val="00CB7C91"/>
    <w:rsid w:val="00CB7D05"/>
    <w:rsid w:val="00CB7E74"/>
    <w:rsid w:val="00CC0087"/>
    <w:rsid w:val="00CC00E5"/>
    <w:rsid w:val="00CC0158"/>
    <w:rsid w:val="00CC0182"/>
    <w:rsid w:val="00CC06D7"/>
    <w:rsid w:val="00CC08FB"/>
    <w:rsid w:val="00CC0AC3"/>
    <w:rsid w:val="00CC0FB7"/>
    <w:rsid w:val="00CC12C7"/>
    <w:rsid w:val="00CC170D"/>
    <w:rsid w:val="00CC1849"/>
    <w:rsid w:val="00CC18F7"/>
    <w:rsid w:val="00CC19CA"/>
    <w:rsid w:val="00CC1A77"/>
    <w:rsid w:val="00CC1AA5"/>
    <w:rsid w:val="00CC1BFB"/>
    <w:rsid w:val="00CC1C8C"/>
    <w:rsid w:val="00CC1DDD"/>
    <w:rsid w:val="00CC1E13"/>
    <w:rsid w:val="00CC20D5"/>
    <w:rsid w:val="00CC2189"/>
    <w:rsid w:val="00CC221C"/>
    <w:rsid w:val="00CC22E6"/>
    <w:rsid w:val="00CC2324"/>
    <w:rsid w:val="00CC2C85"/>
    <w:rsid w:val="00CC2EE6"/>
    <w:rsid w:val="00CC35D7"/>
    <w:rsid w:val="00CC3728"/>
    <w:rsid w:val="00CC3733"/>
    <w:rsid w:val="00CC3B66"/>
    <w:rsid w:val="00CC41B4"/>
    <w:rsid w:val="00CC446F"/>
    <w:rsid w:val="00CC4967"/>
    <w:rsid w:val="00CC5486"/>
    <w:rsid w:val="00CC5604"/>
    <w:rsid w:val="00CC5D75"/>
    <w:rsid w:val="00CC5D9B"/>
    <w:rsid w:val="00CC5E56"/>
    <w:rsid w:val="00CC5FD5"/>
    <w:rsid w:val="00CC6125"/>
    <w:rsid w:val="00CC6255"/>
    <w:rsid w:val="00CC6C0A"/>
    <w:rsid w:val="00CC6CED"/>
    <w:rsid w:val="00CC6D4A"/>
    <w:rsid w:val="00CC74A7"/>
    <w:rsid w:val="00CC750E"/>
    <w:rsid w:val="00CC755F"/>
    <w:rsid w:val="00CC75CC"/>
    <w:rsid w:val="00CC78DE"/>
    <w:rsid w:val="00CC7995"/>
    <w:rsid w:val="00CC7B78"/>
    <w:rsid w:val="00CC7C3A"/>
    <w:rsid w:val="00CC7FA1"/>
    <w:rsid w:val="00CD0566"/>
    <w:rsid w:val="00CD05A7"/>
    <w:rsid w:val="00CD0618"/>
    <w:rsid w:val="00CD0748"/>
    <w:rsid w:val="00CD0789"/>
    <w:rsid w:val="00CD0B1F"/>
    <w:rsid w:val="00CD0C00"/>
    <w:rsid w:val="00CD1494"/>
    <w:rsid w:val="00CD174F"/>
    <w:rsid w:val="00CD1798"/>
    <w:rsid w:val="00CD1A4F"/>
    <w:rsid w:val="00CD1E41"/>
    <w:rsid w:val="00CD1E8F"/>
    <w:rsid w:val="00CD2012"/>
    <w:rsid w:val="00CD21C6"/>
    <w:rsid w:val="00CD24CB"/>
    <w:rsid w:val="00CD25F0"/>
    <w:rsid w:val="00CD2BD7"/>
    <w:rsid w:val="00CD2C12"/>
    <w:rsid w:val="00CD2D7F"/>
    <w:rsid w:val="00CD2F56"/>
    <w:rsid w:val="00CD3007"/>
    <w:rsid w:val="00CD330B"/>
    <w:rsid w:val="00CD33EC"/>
    <w:rsid w:val="00CD33FA"/>
    <w:rsid w:val="00CD3755"/>
    <w:rsid w:val="00CD39FA"/>
    <w:rsid w:val="00CD3C46"/>
    <w:rsid w:val="00CD3F87"/>
    <w:rsid w:val="00CD40ED"/>
    <w:rsid w:val="00CD495E"/>
    <w:rsid w:val="00CD4AEE"/>
    <w:rsid w:val="00CD4C9B"/>
    <w:rsid w:val="00CD51DB"/>
    <w:rsid w:val="00CD54CA"/>
    <w:rsid w:val="00CD553B"/>
    <w:rsid w:val="00CD5663"/>
    <w:rsid w:val="00CD5A7F"/>
    <w:rsid w:val="00CD683C"/>
    <w:rsid w:val="00CD6CDF"/>
    <w:rsid w:val="00CD7102"/>
    <w:rsid w:val="00CD73A0"/>
    <w:rsid w:val="00CD73C6"/>
    <w:rsid w:val="00CD78B5"/>
    <w:rsid w:val="00CD79E2"/>
    <w:rsid w:val="00CD7E5D"/>
    <w:rsid w:val="00CD7EE9"/>
    <w:rsid w:val="00CE0481"/>
    <w:rsid w:val="00CE0997"/>
    <w:rsid w:val="00CE0AAB"/>
    <w:rsid w:val="00CE0AC8"/>
    <w:rsid w:val="00CE0D0F"/>
    <w:rsid w:val="00CE0EEE"/>
    <w:rsid w:val="00CE136E"/>
    <w:rsid w:val="00CE1558"/>
    <w:rsid w:val="00CE160F"/>
    <w:rsid w:val="00CE1BC9"/>
    <w:rsid w:val="00CE1CFE"/>
    <w:rsid w:val="00CE205B"/>
    <w:rsid w:val="00CE225C"/>
    <w:rsid w:val="00CE2763"/>
    <w:rsid w:val="00CE2AE9"/>
    <w:rsid w:val="00CE2C23"/>
    <w:rsid w:val="00CE2C5B"/>
    <w:rsid w:val="00CE2E47"/>
    <w:rsid w:val="00CE30B0"/>
    <w:rsid w:val="00CE30F6"/>
    <w:rsid w:val="00CE34A2"/>
    <w:rsid w:val="00CE352C"/>
    <w:rsid w:val="00CE354C"/>
    <w:rsid w:val="00CE3625"/>
    <w:rsid w:val="00CE36DF"/>
    <w:rsid w:val="00CE40C4"/>
    <w:rsid w:val="00CE4184"/>
    <w:rsid w:val="00CE4362"/>
    <w:rsid w:val="00CE46CC"/>
    <w:rsid w:val="00CE550C"/>
    <w:rsid w:val="00CE58B1"/>
    <w:rsid w:val="00CE5A65"/>
    <w:rsid w:val="00CE5BF4"/>
    <w:rsid w:val="00CE5D4E"/>
    <w:rsid w:val="00CE5D89"/>
    <w:rsid w:val="00CE5DB9"/>
    <w:rsid w:val="00CE5E7A"/>
    <w:rsid w:val="00CE615D"/>
    <w:rsid w:val="00CE630E"/>
    <w:rsid w:val="00CE6840"/>
    <w:rsid w:val="00CE68C8"/>
    <w:rsid w:val="00CE6DBA"/>
    <w:rsid w:val="00CE70C7"/>
    <w:rsid w:val="00CE731E"/>
    <w:rsid w:val="00CE7C90"/>
    <w:rsid w:val="00CE7D34"/>
    <w:rsid w:val="00CE7DFB"/>
    <w:rsid w:val="00CF00EB"/>
    <w:rsid w:val="00CF0224"/>
    <w:rsid w:val="00CF04B4"/>
    <w:rsid w:val="00CF051C"/>
    <w:rsid w:val="00CF0B6F"/>
    <w:rsid w:val="00CF1620"/>
    <w:rsid w:val="00CF175B"/>
    <w:rsid w:val="00CF1B8B"/>
    <w:rsid w:val="00CF1BAE"/>
    <w:rsid w:val="00CF1D53"/>
    <w:rsid w:val="00CF24C4"/>
    <w:rsid w:val="00CF2678"/>
    <w:rsid w:val="00CF2886"/>
    <w:rsid w:val="00CF2D14"/>
    <w:rsid w:val="00CF2D54"/>
    <w:rsid w:val="00CF2E04"/>
    <w:rsid w:val="00CF2F8A"/>
    <w:rsid w:val="00CF32D8"/>
    <w:rsid w:val="00CF3610"/>
    <w:rsid w:val="00CF3D86"/>
    <w:rsid w:val="00CF3DC5"/>
    <w:rsid w:val="00CF3E53"/>
    <w:rsid w:val="00CF3F38"/>
    <w:rsid w:val="00CF47F1"/>
    <w:rsid w:val="00CF4C01"/>
    <w:rsid w:val="00CF4D24"/>
    <w:rsid w:val="00CF5036"/>
    <w:rsid w:val="00CF519D"/>
    <w:rsid w:val="00CF522A"/>
    <w:rsid w:val="00CF595C"/>
    <w:rsid w:val="00CF5A21"/>
    <w:rsid w:val="00CF62CA"/>
    <w:rsid w:val="00CF634F"/>
    <w:rsid w:val="00CF662C"/>
    <w:rsid w:val="00CF6847"/>
    <w:rsid w:val="00CF700B"/>
    <w:rsid w:val="00CF728B"/>
    <w:rsid w:val="00CF76D1"/>
    <w:rsid w:val="00CF78FF"/>
    <w:rsid w:val="00CF7B7E"/>
    <w:rsid w:val="00CF7D2E"/>
    <w:rsid w:val="00CF7F88"/>
    <w:rsid w:val="00D004C8"/>
    <w:rsid w:val="00D006A6"/>
    <w:rsid w:val="00D009C0"/>
    <w:rsid w:val="00D00A10"/>
    <w:rsid w:val="00D00A95"/>
    <w:rsid w:val="00D00C54"/>
    <w:rsid w:val="00D00F98"/>
    <w:rsid w:val="00D0136B"/>
    <w:rsid w:val="00D01381"/>
    <w:rsid w:val="00D0157D"/>
    <w:rsid w:val="00D015AF"/>
    <w:rsid w:val="00D01687"/>
    <w:rsid w:val="00D01940"/>
    <w:rsid w:val="00D01A59"/>
    <w:rsid w:val="00D01C6E"/>
    <w:rsid w:val="00D01E0A"/>
    <w:rsid w:val="00D01F11"/>
    <w:rsid w:val="00D01F6C"/>
    <w:rsid w:val="00D0238A"/>
    <w:rsid w:val="00D024DB"/>
    <w:rsid w:val="00D02560"/>
    <w:rsid w:val="00D025B6"/>
    <w:rsid w:val="00D02BBC"/>
    <w:rsid w:val="00D031A9"/>
    <w:rsid w:val="00D03229"/>
    <w:rsid w:val="00D03250"/>
    <w:rsid w:val="00D033E7"/>
    <w:rsid w:val="00D034F4"/>
    <w:rsid w:val="00D0354E"/>
    <w:rsid w:val="00D03691"/>
    <w:rsid w:val="00D03E01"/>
    <w:rsid w:val="00D03F28"/>
    <w:rsid w:val="00D043D1"/>
    <w:rsid w:val="00D04410"/>
    <w:rsid w:val="00D044B6"/>
    <w:rsid w:val="00D044D8"/>
    <w:rsid w:val="00D04623"/>
    <w:rsid w:val="00D04838"/>
    <w:rsid w:val="00D04E4B"/>
    <w:rsid w:val="00D05011"/>
    <w:rsid w:val="00D050CF"/>
    <w:rsid w:val="00D05468"/>
    <w:rsid w:val="00D05492"/>
    <w:rsid w:val="00D054EB"/>
    <w:rsid w:val="00D05718"/>
    <w:rsid w:val="00D05AF6"/>
    <w:rsid w:val="00D05F12"/>
    <w:rsid w:val="00D06163"/>
    <w:rsid w:val="00D063F1"/>
    <w:rsid w:val="00D06549"/>
    <w:rsid w:val="00D0698D"/>
    <w:rsid w:val="00D06FAF"/>
    <w:rsid w:val="00D07323"/>
    <w:rsid w:val="00D075DA"/>
    <w:rsid w:val="00D07B49"/>
    <w:rsid w:val="00D07B87"/>
    <w:rsid w:val="00D07BA6"/>
    <w:rsid w:val="00D100AE"/>
    <w:rsid w:val="00D1019E"/>
    <w:rsid w:val="00D1028C"/>
    <w:rsid w:val="00D10386"/>
    <w:rsid w:val="00D105B3"/>
    <w:rsid w:val="00D10772"/>
    <w:rsid w:val="00D10A9D"/>
    <w:rsid w:val="00D10D73"/>
    <w:rsid w:val="00D1105C"/>
    <w:rsid w:val="00D11151"/>
    <w:rsid w:val="00D1125A"/>
    <w:rsid w:val="00D117EF"/>
    <w:rsid w:val="00D11912"/>
    <w:rsid w:val="00D11B7A"/>
    <w:rsid w:val="00D12082"/>
    <w:rsid w:val="00D12AD3"/>
    <w:rsid w:val="00D12D41"/>
    <w:rsid w:val="00D12E61"/>
    <w:rsid w:val="00D1304E"/>
    <w:rsid w:val="00D131A7"/>
    <w:rsid w:val="00D13450"/>
    <w:rsid w:val="00D13515"/>
    <w:rsid w:val="00D135F9"/>
    <w:rsid w:val="00D13958"/>
    <w:rsid w:val="00D13AE4"/>
    <w:rsid w:val="00D13C40"/>
    <w:rsid w:val="00D13C49"/>
    <w:rsid w:val="00D13D83"/>
    <w:rsid w:val="00D14669"/>
    <w:rsid w:val="00D14723"/>
    <w:rsid w:val="00D14949"/>
    <w:rsid w:val="00D14C1A"/>
    <w:rsid w:val="00D1500C"/>
    <w:rsid w:val="00D1557E"/>
    <w:rsid w:val="00D15601"/>
    <w:rsid w:val="00D15A06"/>
    <w:rsid w:val="00D15E61"/>
    <w:rsid w:val="00D16189"/>
    <w:rsid w:val="00D1632E"/>
    <w:rsid w:val="00D1642F"/>
    <w:rsid w:val="00D16464"/>
    <w:rsid w:val="00D16809"/>
    <w:rsid w:val="00D16A37"/>
    <w:rsid w:val="00D16BAF"/>
    <w:rsid w:val="00D16E44"/>
    <w:rsid w:val="00D16EA4"/>
    <w:rsid w:val="00D17140"/>
    <w:rsid w:val="00D171CD"/>
    <w:rsid w:val="00D20190"/>
    <w:rsid w:val="00D20207"/>
    <w:rsid w:val="00D2087E"/>
    <w:rsid w:val="00D20A74"/>
    <w:rsid w:val="00D2166D"/>
    <w:rsid w:val="00D2184A"/>
    <w:rsid w:val="00D21879"/>
    <w:rsid w:val="00D218F8"/>
    <w:rsid w:val="00D219A2"/>
    <w:rsid w:val="00D21A5E"/>
    <w:rsid w:val="00D21B1E"/>
    <w:rsid w:val="00D21EC1"/>
    <w:rsid w:val="00D2207A"/>
    <w:rsid w:val="00D22661"/>
    <w:rsid w:val="00D22AB9"/>
    <w:rsid w:val="00D22CFE"/>
    <w:rsid w:val="00D2318F"/>
    <w:rsid w:val="00D232F0"/>
    <w:rsid w:val="00D23458"/>
    <w:rsid w:val="00D23471"/>
    <w:rsid w:val="00D2354C"/>
    <w:rsid w:val="00D2366B"/>
    <w:rsid w:val="00D236A6"/>
    <w:rsid w:val="00D23D0C"/>
    <w:rsid w:val="00D23E0D"/>
    <w:rsid w:val="00D23F54"/>
    <w:rsid w:val="00D24336"/>
    <w:rsid w:val="00D2437A"/>
    <w:rsid w:val="00D24608"/>
    <w:rsid w:val="00D246C6"/>
    <w:rsid w:val="00D24E35"/>
    <w:rsid w:val="00D252B0"/>
    <w:rsid w:val="00D252E9"/>
    <w:rsid w:val="00D25687"/>
    <w:rsid w:val="00D257E9"/>
    <w:rsid w:val="00D25843"/>
    <w:rsid w:val="00D25975"/>
    <w:rsid w:val="00D25CD7"/>
    <w:rsid w:val="00D25D43"/>
    <w:rsid w:val="00D26237"/>
    <w:rsid w:val="00D26793"/>
    <w:rsid w:val="00D26838"/>
    <w:rsid w:val="00D26DAE"/>
    <w:rsid w:val="00D26FE1"/>
    <w:rsid w:val="00D27024"/>
    <w:rsid w:val="00D274B7"/>
    <w:rsid w:val="00D277E5"/>
    <w:rsid w:val="00D2782A"/>
    <w:rsid w:val="00D27AA1"/>
    <w:rsid w:val="00D27EA1"/>
    <w:rsid w:val="00D30311"/>
    <w:rsid w:val="00D30724"/>
    <w:rsid w:val="00D309B7"/>
    <w:rsid w:val="00D30A12"/>
    <w:rsid w:val="00D30AA0"/>
    <w:rsid w:val="00D30B6A"/>
    <w:rsid w:val="00D30DF5"/>
    <w:rsid w:val="00D30E79"/>
    <w:rsid w:val="00D311C7"/>
    <w:rsid w:val="00D312FF"/>
    <w:rsid w:val="00D31378"/>
    <w:rsid w:val="00D31762"/>
    <w:rsid w:val="00D3202C"/>
    <w:rsid w:val="00D3229F"/>
    <w:rsid w:val="00D323AB"/>
    <w:rsid w:val="00D324F7"/>
    <w:rsid w:val="00D32719"/>
    <w:rsid w:val="00D32D95"/>
    <w:rsid w:val="00D32DCA"/>
    <w:rsid w:val="00D33172"/>
    <w:rsid w:val="00D33392"/>
    <w:rsid w:val="00D3376C"/>
    <w:rsid w:val="00D337D0"/>
    <w:rsid w:val="00D33870"/>
    <w:rsid w:val="00D33ACF"/>
    <w:rsid w:val="00D33C7D"/>
    <w:rsid w:val="00D342C8"/>
    <w:rsid w:val="00D34431"/>
    <w:rsid w:val="00D349ED"/>
    <w:rsid w:val="00D34A44"/>
    <w:rsid w:val="00D34AE7"/>
    <w:rsid w:val="00D34CD0"/>
    <w:rsid w:val="00D34D98"/>
    <w:rsid w:val="00D34DF0"/>
    <w:rsid w:val="00D34E32"/>
    <w:rsid w:val="00D3528C"/>
    <w:rsid w:val="00D353C6"/>
    <w:rsid w:val="00D354DE"/>
    <w:rsid w:val="00D356C1"/>
    <w:rsid w:val="00D35A28"/>
    <w:rsid w:val="00D35CE2"/>
    <w:rsid w:val="00D35D10"/>
    <w:rsid w:val="00D362BA"/>
    <w:rsid w:val="00D3694A"/>
    <w:rsid w:val="00D36FA0"/>
    <w:rsid w:val="00D37347"/>
    <w:rsid w:val="00D375FA"/>
    <w:rsid w:val="00D37BAB"/>
    <w:rsid w:val="00D4002A"/>
    <w:rsid w:val="00D40045"/>
    <w:rsid w:val="00D40304"/>
    <w:rsid w:val="00D403C8"/>
    <w:rsid w:val="00D405B1"/>
    <w:rsid w:val="00D41184"/>
    <w:rsid w:val="00D413E4"/>
    <w:rsid w:val="00D414FA"/>
    <w:rsid w:val="00D4162F"/>
    <w:rsid w:val="00D41682"/>
    <w:rsid w:val="00D416F1"/>
    <w:rsid w:val="00D4190D"/>
    <w:rsid w:val="00D41C94"/>
    <w:rsid w:val="00D43138"/>
    <w:rsid w:val="00D4329D"/>
    <w:rsid w:val="00D43892"/>
    <w:rsid w:val="00D43C4A"/>
    <w:rsid w:val="00D43D07"/>
    <w:rsid w:val="00D43F19"/>
    <w:rsid w:val="00D44309"/>
    <w:rsid w:val="00D44476"/>
    <w:rsid w:val="00D44836"/>
    <w:rsid w:val="00D4484A"/>
    <w:rsid w:val="00D44863"/>
    <w:rsid w:val="00D4493B"/>
    <w:rsid w:val="00D4493C"/>
    <w:rsid w:val="00D44A42"/>
    <w:rsid w:val="00D44B23"/>
    <w:rsid w:val="00D44E51"/>
    <w:rsid w:val="00D450E8"/>
    <w:rsid w:val="00D452A7"/>
    <w:rsid w:val="00D4569C"/>
    <w:rsid w:val="00D45ADB"/>
    <w:rsid w:val="00D45DD8"/>
    <w:rsid w:val="00D45E31"/>
    <w:rsid w:val="00D45F4E"/>
    <w:rsid w:val="00D4620E"/>
    <w:rsid w:val="00D463A4"/>
    <w:rsid w:val="00D46B85"/>
    <w:rsid w:val="00D46B8D"/>
    <w:rsid w:val="00D46B9A"/>
    <w:rsid w:val="00D47033"/>
    <w:rsid w:val="00D472A7"/>
    <w:rsid w:val="00D47623"/>
    <w:rsid w:val="00D479AE"/>
    <w:rsid w:val="00D47D65"/>
    <w:rsid w:val="00D5029C"/>
    <w:rsid w:val="00D5059E"/>
    <w:rsid w:val="00D5075E"/>
    <w:rsid w:val="00D5088A"/>
    <w:rsid w:val="00D50D43"/>
    <w:rsid w:val="00D51954"/>
    <w:rsid w:val="00D51A81"/>
    <w:rsid w:val="00D51D70"/>
    <w:rsid w:val="00D52834"/>
    <w:rsid w:val="00D52A3B"/>
    <w:rsid w:val="00D52A78"/>
    <w:rsid w:val="00D52AEF"/>
    <w:rsid w:val="00D535CE"/>
    <w:rsid w:val="00D536B4"/>
    <w:rsid w:val="00D53782"/>
    <w:rsid w:val="00D53A29"/>
    <w:rsid w:val="00D53C1E"/>
    <w:rsid w:val="00D53DEF"/>
    <w:rsid w:val="00D53EEF"/>
    <w:rsid w:val="00D54246"/>
    <w:rsid w:val="00D54880"/>
    <w:rsid w:val="00D54896"/>
    <w:rsid w:val="00D548E8"/>
    <w:rsid w:val="00D54A1A"/>
    <w:rsid w:val="00D54D5B"/>
    <w:rsid w:val="00D5512D"/>
    <w:rsid w:val="00D55C2F"/>
    <w:rsid w:val="00D55E95"/>
    <w:rsid w:val="00D560FE"/>
    <w:rsid w:val="00D56380"/>
    <w:rsid w:val="00D56557"/>
    <w:rsid w:val="00D56887"/>
    <w:rsid w:val="00D56E04"/>
    <w:rsid w:val="00D56E66"/>
    <w:rsid w:val="00D56F2C"/>
    <w:rsid w:val="00D56F66"/>
    <w:rsid w:val="00D579B1"/>
    <w:rsid w:val="00D57DD8"/>
    <w:rsid w:val="00D60181"/>
    <w:rsid w:val="00D60339"/>
    <w:rsid w:val="00D6035A"/>
    <w:rsid w:val="00D607DF"/>
    <w:rsid w:val="00D60A4C"/>
    <w:rsid w:val="00D60ED1"/>
    <w:rsid w:val="00D611A6"/>
    <w:rsid w:val="00D61343"/>
    <w:rsid w:val="00D6184A"/>
    <w:rsid w:val="00D61AD2"/>
    <w:rsid w:val="00D61C04"/>
    <w:rsid w:val="00D61C3E"/>
    <w:rsid w:val="00D61DC5"/>
    <w:rsid w:val="00D61F68"/>
    <w:rsid w:val="00D61FD5"/>
    <w:rsid w:val="00D624C0"/>
    <w:rsid w:val="00D62539"/>
    <w:rsid w:val="00D6274D"/>
    <w:rsid w:val="00D62895"/>
    <w:rsid w:val="00D62AE3"/>
    <w:rsid w:val="00D63145"/>
    <w:rsid w:val="00D63454"/>
    <w:rsid w:val="00D63C4E"/>
    <w:rsid w:val="00D63F91"/>
    <w:rsid w:val="00D641C5"/>
    <w:rsid w:val="00D6434C"/>
    <w:rsid w:val="00D645CF"/>
    <w:rsid w:val="00D6497A"/>
    <w:rsid w:val="00D649FC"/>
    <w:rsid w:val="00D64C8E"/>
    <w:rsid w:val="00D64CCC"/>
    <w:rsid w:val="00D64F23"/>
    <w:rsid w:val="00D64F82"/>
    <w:rsid w:val="00D655C7"/>
    <w:rsid w:val="00D6572D"/>
    <w:rsid w:val="00D6590E"/>
    <w:rsid w:val="00D65A38"/>
    <w:rsid w:val="00D65C92"/>
    <w:rsid w:val="00D65C9C"/>
    <w:rsid w:val="00D6629A"/>
    <w:rsid w:val="00D66544"/>
    <w:rsid w:val="00D66726"/>
    <w:rsid w:val="00D668DB"/>
    <w:rsid w:val="00D66C68"/>
    <w:rsid w:val="00D66C83"/>
    <w:rsid w:val="00D66DA8"/>
    <w:rsid w:val="00D66DAF"/>
    <w:rsid w:val="00D67199"/>
    <w:rsid w:val="00D6727B"/>
    <w:rsid w:val="00D6732C"/>
    <w:rsid w:val="00D67DD5"/>
    <w:rsid w:val="00D67F30"/>
    <w:rsid w:val="00D70277"/>
    <w:rsid w:val="00D702DB"/>
    <w:rsid w:val="00D70635"/>
    <w:rsid w:val="00D706E8"/>
    <w:rsid w:val="00D7084E"/>
    <w:rsid w:val="00D70856"/>
    <w:rsid w:val="00D70AF7"/>
    <w:rsid w:val="00D711D2"/>
    <w:rsid w:val="00D712AA"/>
    <w:rsid w:val="00D71561"/>
    <w:rsid w:val="00D7180F"/>
    <w:rsid w:val="00D71A7B"/>
    <w:rsid w:val="00D71CEB"/>
    <w:rsid w:val="00D71DB4"/>
    <w:rsid w:val="00D71E33"/>
    <w:rsid w:val="00D71ED0"/>
    <w:rsid w:val="00D72127"/>
    <w:rsid w:val="00D72795"/>
    <w:rsid w:val="00D72874"/>
    <w:rsid w:val="00D72D16"/>
    <w:rsid w:val="00D72D2D"/>
    <w:rsid w:val="00D72FC6"/>
    <w:rsid w:val="00D73334"/>
    <w:rsid w:val="00D7335D"/>
    <w:rsid w:val="00D73434"/>
    <w:rsid w:val="00D734A4"/>
    <w:rsid w:val="00D7367C"/>
    <w:rsid w:val="00D73AB5"/>
    <w:rsid w:val="00D73CAD"/>
    <w:rsid w:val="00D74151"/>
    <w:rsid w:val="00D74221"/>
    <w:rsid w:val="00D7461C"/>
    <w:rsid w:val="00D7465F"/>
    <w:rsid w:val="00D74F31"/>
    <w:rsid w:val="00D74F5B"/>
    <w:rsid w:val="00D7513D"/>
    <w:rsid w:val="00D7564C"/>
    <w:rsid w:val="00D757EF"/>
    <w:rsid w:val="00D75C4E"/>
    <w:rsid w:val="00D76013"/>
    <w:rsid w:val="00D7616B"/>
    <w:rsid w:val="00D765BD"/>
    <w:rsid w:val="00D76862"/>
    <w:rsid w:val="00D76EBB"/>
    <w:rsid w:val="00D76F80"/>
    <w:rsid w:val="00D7713B"/>
    <w:rsid w:val="00D771D0"/>
    <w:rsid w:val="00D772A3"/>
    <w:rsid w:val="00D772CE"/>
    <w:rsid w:val="00D77329"/>
    <w:rsid w:val="00D77C46"/>
    <w:rsid w:val="00D77E37"/>
    <w:rsid w:val="00D80323"/>
    <w:rsid w:val="00D80AA5"/>
    <w:rsid w:val="00D8124F"/>
    <w:rsid w:val="00D8140E"/>
    <w:rsid w:val="00D81755"/>
    <w:rsid w:val="00D818EB"/>
    <w:rsid w:val="00D819FF"/>
    <w:rsid w:val="00D81E3F"/>
    <w:rsid w:val="00D82062"/>
    <w:rsid w:val="00D828D8"/>
    <w:rsid w:val="00D82C41"/>
    <w:rsid w:val="00D830FB"/>
    <w:rsid w:val="00D83400"/>
    <w:rsid w:val="00D83613"/>
    <w:rsid w:val="00D83A42"/>
    <w:rsid w:val="00D83A78"/>
    <w:rsid w:val="00D83F06"/>
    <w:rsid w:val="00D840F2"/>
    <w:rsid w:val="00D8411F"/>
    <w:rsid w:val="00D8418D"/>
    <w:rsid w:val="00D84190"/>
    <w:rsid w:val="00D842EB"/>
    <w:rsid w:val="00D843D2"/>
    <w:rsid w:val="00D843ED"/>
    <w:rsid w:val="00D8458C"/>
    <w:rsid w:val="00D84791"/>
    <w:rsid w:val="00D84B48"/>
    <w:rsid w:val="00D84E39"/>
    <w:rsid w:val="00D84E80"/>
    <w:rsid w:val="00D852ED"/>
    <w:rsid w:val="00D85494"/>
    <w:rsid w:val="00D854DC"/>
    <w:rsid w:val="00D85535"/>
    <w:rsid w:val="00D8556D"/>
    <w:rsid w:val="00D856E8"/>
    <w:rsid w:val="00D85903"/>
    <w:rsid w:val="00D85C07"/>
    <w:rsid w:val="00D85FE9"/>
    <w:rsid w:val="00D8626A"/>
    <w:rsid w:val="00D8675C"/>
    <w:rsid w:val="00D869BB"/>
    <w:rsid w:val="00D86B41"/>
    <w:rsid w:val="00D86F1F"/>
    <w:rsid w:val="00D87118"/>
    <w:rsid w:val="00D87169"/>
    <w:rsid w:val="00D871E5"/>
    <w:rsid w:val="00D87388"/>
    <w:rsid w:val="00D87569"/>
    <w:rsid w:val="00D877A7"/>
    <w:rsid w:val="00D87EA4"/>
    <w:rsid w:val="00D902B3"/>
    <w:rsid w:val="00D903A7"/>
    <w:rsid w:val="00D904D6"/>
    <w:rsid w:val="00D90528"/>
    <w:rsid w:val="00D909C0"/>
    <w:rsid w:val="00D90CD0"/>
    <w:rsid w:val="00D90D92"/>
    <w:rsid w:val="00D90EA5"/>
    <w:rsid w:val="00D90F3D"/>
    <w:rsid w:val="00D90F67"/>
    <w:rsid w:val="00D90FF0"/>
    <w:rsid w:val="00D91049"/>
    <w:rsid w:val="00D910A7"/>
    <w:rsid w:val="00D91DA2"/>
    <w:rsid w:val="00D91E80"/>
    <w:rsid w:val="00D9202D"/>
    <w:rsid w:val="00D924A7"/>
    <w:rsid w:val="00D92882"/>
    <w:rsid w:val="00D92996"/>
    <w:rsid w:val="00D92A27"/>
    <w:rsid w:val="00D9324B"/>
    <w:rsid w:val="00D9352E"/>
    <w:rsid w:val="00D936DE"/>
    <w:rsid w:val="00D936F1"/>
    <w:rsid w:val="00D938E3"/>
    <w:rsid w:val="00D93A94"/>
    <w:rsid w:val="00D93AF4"/>
    <w:rsid w:val="00D93BC4"/>
    <w:rsid w:val="00D93C74"/>
    <w:rsid w:val="00D94121"/>
    <w:rsid w:val="00D942C5"/>
    <w:rsid w:val="00D94303"/>
    <w:rsid w:val="00D94959"/>
    <w:rsid w:val="00D94976"/>
    <w:rsid w:val="00D94E79"/>
    <w:rsid w:val="00D94EC0"/>
    <w:rsid w:val="00D94F62"/>
    <w:rsid w:val="00D9505D"/>
    <w:rsid w:val="00D9518A"/>
    <w:rsid w:val="00D95279"/>
    <w:rsid w:val="00D95864"/>
    <w:rsid w:val="00D95A8D"/>
    <w:rsid w:val="00D95B12"/>
    <w:rsid w:val="00D95CA7"/>
    <w:rsid w:val="00D960A4"/>
    <w:rsid w:val="00D96171"/>
    <w:rsid w:val="00D9632A"/>
    <w:rsid w:val="00D9643E"/>
    <w:rsid w:val="00D9648F"/>
    <w:rsid w:val="00D9689E"/>
    <w:rsid w:val="00D96B36"/>
    <w:rsid w:val="00D96D98"/>
    <w:rsid w:val="00D9708A"/>
    <w:rsid w:val="00D975E6"/>
    <w:rsid w:val="00D97CD8"/>
    <w:rsid w:val="00D97D07"/>
    <w:rsid w:val="00DA036E"/>
    <w:rsid w:val="00DA038B"/>
    <w:rsid w:val="00DA0673"/>
    <w:rsid w:val="00DA06A7"/>
    <w:rsid w:val="00DA0849"/>
    <w:rsid w:val="00DA0C39"/>
    <w:rsid w:val="00DA0C91"/>
    <w:rsid w:val="00DA0D54"/>
    <w:rsid w:val="00DA1294"/>
    <w:rsid w:val="00DA1592"/>
    <w:rsid w:val="00DA160B"/>
    <w:rsid w:val="00DA1782"/>
    <w:rsid w:val="00DA18D4"/>
    <w:rsid w:val="00DA1BAA"/>
    <w:rsid w:val="00DA2122"/>
    <w:rsid w:val="00DA2382"/>
    <w:rsid w:val="00DA2560"/>
    <w:rsid w:val="00DA2F5B"/>
    <w:rsid w:val="00DA30DB"/>
    <w:rsid w:val="00DA3109"/>
    <w:rsid w:val="00DA36C8"/>
    <w:rsid w:val="00DA39B5"/>
    <w:rsid w:val="00DA3ABD"/>
    <w:rsid w:val="00DA3EF2"/>
    <w:rsid w:val="00DA3F1D"/>
    <w:rsid w:val="00DA3F8B"/>
    <w:rsid w:val="00DA496B"/>
    <w:rsid w:val="00DA4A10"/>
    <w:rsid w:val="00DA4AC2"/>
    <w:rsid w:val="00DA5331"/>
    <w:rsid w:val="00DA5413"/>
    <w:rsid w:val="00DA5642"/>
    <w:rsid w:val="00DA56AF"/>
    <w:rsid w:val="00DA5ACE"/>
    <w:rsid w:val="00DA5B54"/>
    <w:rsid w:val="00DA5CA9"/>
    <w:rsid w:val="00DA66DD"/>
    <w:rsid w:val="00DA69B3"/>
    <w:rsid w:val="00DA6A1C"/>
    <w:rsid w:val="00DA6C4E"/>
    <w:rsid w:val="00DA6C80"/>
    <w:rsid w:val="00DA6D22"/>
    <w:rsid w:val="00DA6D77"/>
    <w:rsid w:val="00DA6DB9"/>
    <w:rsid w:val="00DA6DEC"/>
    <w:rsid w:val="00DA70E1"/>
    <w:rsid w:val="00DA756A"/>
    <w:rsid w:val="00DA788B"/>
    <w:rsid w:val="00DA79AC"/>
    <w:rsid w:val="00DA7E7D"/>
    <w:rsid w:val="00DB07A3"/>
    <w:rsid w:val="00DB0A3E"/>
    <w:rsid w:val="00DB0BF7"/>
    <w:rsid w:val="00DB0EEF"/>
    <w:rsid w:val="00DB0F27"/>
    <w:rsid w:val="00DB15A8"/>
    <w:rsid w:val="00DB1689"/>
    <w:rsid w:val="00DB1D42"/>
    <w:rsid w:val="00DB1E63"/>
    <w:rsid w:val="00DB1F8D"/>
    <w:rsid w:val="00DB2035"/>
    <w:rsid w:val="00DB2301"/>
    <w:rsid w:val="00DB24C0"/>
    <w:rsid w:val="00DB2731"/>
    <w:rsid w:val="00DB2813"/>
    <w:rsid w:val="00DB2D05"/>
    <w:rsid w:val="00DB3097"/>
    <w:rsid w:val="00DB345C"/>
    <w:rsid w:val="00DB4002"/>
    <w:rsid w:val="00DB40BE"/>
    <w:rsid w:val="00DB4566"/>
    <w:rsid w:val="00DB4954"/>
    <w:rsid w:val="00DB4E58"/>
    <w:rsid w:val="00DB59A5"/>
    <w:rsid w:val="00DB5C4B"/>
    <w:rsid w:val="00DB6139"/>
    <w:rsid w:val="00DB6160"/>
    <w:rsid w:val="00DB6220"/>
    <w:rsid w:val="00DB6413"/>
    <w:rsid w:val="00DB6627"/>
    <w:rsid w:val="00DB77CF"/>
    <w:rsid w:val="00DB77D8"/>
    <w:rsid w:val="00DB788A"/>
    <w:rsid w:val="00DB78F4"/>
    <w:rsid w:val="00DB7F11"/>
    <w:rsid w:val="00DC092C"/>
    <w:rsid w:val="00DC0CED"/>
    <w:rsid w:val="00DC0D26"/>
    <w:rsid w:val="00DC11B8"/>
    <w:rsid w:val="00DC15DC"/>
    <w:rsid w:val="00DC17EE"/>
    <w:rsid w:val="00DC215D"/>
    <w:rsid w:val="00DC21E4"/>
    <w:rsid w:val="00DC2267"/>
    <w:rsid w:val="00DC23BA"/>
    <w:rsid w:val="00DC2965"/>
    <w:rsid w:val="00DC2AC2"/>
    <w:rsid w:val="00DC2ADB"/>
    <w:rsid w:val="00DC2B74"/>
    <w:rsid w:val="00DC32C6"/>
    <w:rsid w:val="00DC3330"/>
    <w:rsid w:val="00DC3556"/>
    <w:rsid w:val="00DC371D"/>
    <w:rsid w:val="00DC3777"/>
    <w:rsid w:val="00DC394A"/>
    <w:rsid w:val="00DC39C7"/>
    <w:rsid w:val="00DC3A00"/>
    <w:rsid w:val="00DC3B5F"/>
    <w:rsid w:val="00DC3CD2"/>
    <w:rsid w:val="00DC4257"/>
    <w:rsid w:val="00DC435F"/>
    <w:rsid w:val="00DC46D1"/>
    <w:rsid w:val="00DC486C"/>
    <w:rsid w:val="00DC4B13"/>
    <w:rsid w:val="00DC4BE8"/>
    <w:rsid w:val="00DC4DF0"/>
    <w:rsid w:val="00DC4E63"/>
    <w:rsid w:val="00DC4FD8"/>
    <w:rsid w:val="00DC5252"/>
    <w:rsid w:val="00DC59FB"/>
    <w:rsid w:val="00DC5B71"/>
    <w:rsid w:val="00DC5C72"/>
    <w:rsid w:val="00DC5EC4"/>
    <w:rsid w:val="00DC5F39"/>
    <w:rsid w:val="00DC60FA"/>
    <w:rsid w:val="00DC6168"/>
    <w:rsid w:val="00DC656B"/>
    <w:rsid w:val="00DC67E4"/>
    <w:rsid w:val="00DC6DEB"/>
    <w:rsid w:val="00DC723A"/>
    <w:rsid w:val="00DC753C"/>
    <w:rsid w:val="00DC7580"/>
    <w:rsid w:val="00DC78C5"/>
    <w:rsid w:val="00DC7FD3"/>
    <w:rsid w:val="00DD0011"/>
    <w:rsid w:val="00DD003C"/>
    <w:rsid w:val="00DD02A9"/>
    <w:rsid w:val="00DD02C4"/>
    <w:rsid w:val="00DD03BD"/>
    <w:rsid w:val="00DD07DF"/>
    <w:rsid w:val="00DD09CC"/>
    <w:rsid w:val="00DD0E42"/>
    <w:rsid w:val="00DD0E96"/>
    <w:rsid w:val="00DD0F47"/>
    <w:rsid w:val="00DD1133"/>
    <w:rsid w:val="00DD12D9"/>
    <w:rsid w:val="00DD12F8"/>
    <w:rsid w:val="00DD148F"/>
    <w:rsid w:val="00DD178D"/>
    <w:rsid w:val="00DD1CC0"/>
    <w:rsid w:val="00DD1EB1"/>
    <w:rsid w:val="00DD1F2B"/>
    <w:rsid w:val="00DD2C4C"/>
    <w:rsid w:val="00DD2F0E"/>
    <w:rsid w:val="00DD3068"/>
    <w:rsid w:val="00DD3277"/>
    <w:rsid w:val="00DD38CD"/>
    <w:rsid w:val="00DD38F1"/>
    <w:rsid w:val="00DD3AFD"/>
    <w:rsid w:val="00DD4045"/>
    <w:rsid w:val="00DD425B"/>
    <w:rsid w:val="00DD45F7"/>
    <w:rsid w:val="00DD4913"/>
    <w:rsid w:val="00DD49A7"/>
    <w:rsid w:val="00DD4A43"/>
    <w:rsid w:val="00DD4A9A"/>
    <w:rsid w:val="00DD4AB5"/>
    <w:rsid w:val="00DD4CF6"/>
    <w:rsid w:val="00DD524B"/>
    <w:rsid w:val="00DD5543"/>
    <w:rsid w:val="00DD59D0"/>
    <w:rsid w:val="00DD5A60"/>
    <w:rsid w:val="00DD5CB3"/>
    <w:rsid w:val="00DD5EF5"/>
    <w:rsid w:val="00DD6805"/>
    <w:rsid w:val="00DD6E3F"/>
    <w:rsid w:val="00DD6F67"/>
    <w:rsid w:val="00DD7478"/>
    <w:rsid w:val="00DD74B6"/>
    <w:rsid w:val="00DD76B6"/>
    <w:rsid w:val="00DD77CF"/>
    <w:rsid w:val="00DD78EC"/>
    <w:rsid w:val="00DD78FC"/>
    <w:rsid w:val="00DD792C"/>
    <w:rsid w:val="00DD7A88"/>
    <w:rsid w:val="00DD7E6D"/>
    <w:rsid w:val="00DE0316"/>
    <w:rsid w:val="00DE05FC"/>
    <w:rsid w:val="00DE0D22"/>
    <w:rsid w:val="00DE0DDD"/>
    <w:rsid w:val="00DE1D6A"/>
    <w:rsid w:val="00DE1EA6"/>
    <w:rsid w:val="00DE20E1"/>
    <w:rsid w:val="00DE2152"/>
    <w:rsid w:val="00DE24DE"/>
    <w:rsid w:val="00DE266B"/>
    <w:rsid w:val="00DE268B"/>
    <w:rsid w:val="00DE2CA5"/>
    <w:rsid w:val="00DE343D"/>
    <w:rsid w:val="00DE3559"/>
    <w:rsid w:val="00DE36E6"/>
    <w:rsid w:val="00DE4006"/>
    <w:rsid w:val="00DE4057"/>
    <w:rsid w:val="00DE42C0"/>
    <w:rsid w:val="00DE451B"/>
    <w:rsid w:val="00DE451C"/>
    <w:rsid w:val="00DE4AE7"/>
    <w:rsid w:val="00DE4CB3"/>
    <w:rsid w:val="00DE53FC"/>
    <w:rsid w:val="00DE5794"/>
    <w:rsid w:val="00DE5BC1"/>
    <w:rsid w:val="00DE5DB1"/>
    <w:rsid w:val="00DE5E51"/>
    <w:rsid w:val="00DE5FB9"/>
    <w:rsid w:val="00DE6003"/>
    <w:rsid w:val="00DE6076"/>
    <w:rsid w:val="00DE626E"/>
    <w:rsid w:val="00DE68D2"/>
    <w:rsid w:val="00DE698E"/>
    <w:rsid w:val="00DE6C20"/>
    <w:rsid w:val="00DE6CDB"/>
    <w:rsid w:val="00DE6E42"/>
    <w:rsid w:val="00DE6E68"/>
    <w:rsid w:val="00DE6F45"/>
    <w:rsid w:val="00DE7133"/>
    <w:rsid w:val="00DE7213"/>
    <w:rsid w:val="00DE74CC"/>
    <w:rsid w:val="00DE77F4"/>
    <w:rsid w:val="00DE77F9"/>
    <w:rsid w:val="00DE790A"/>
    <w:rsid w:val="00DE7994"/>
    <w:rsid w:val="00DE7C3D"/>
    <w:rsid w:val="00DE7C5D"/>
    <w:rsid w:val="00DF02F9"/>
    <w:rsid w:val="00DF046F"/>
    <w:rsid w:val="00DF05B2"/>
    <w:rsid w:val="00DF083E"/>
    <w:rsid w:val="00DF08C3"/>
    <w:rsid w:val="00DF0A70"/>
    <w:rsid w:val="00DF0CE4"/>
    <w:rsid w:val="00DF0D8C"/>
    <w:rsid w:val="00DF1036"/>
    <w:rsid w:val="00DF1145"/>
    <w:rsid w:val="00DF1315"/>
    <w:rsid w:val="00DF15F0"/>
    <w:rsid w:val="00DF1984"/>
    <w:rsid w:val="00DF1F8E"/>
    <w:rsid w:val="00DF20DA"/>
    <w:rsid w:val="00DF20EA"/>
    <w:rsid w:val="00DF2163"/>
    <w:rsid w:val="00DF2272"/>
    <w:rsid w:val="00DF25F0"/>
    <w:rsid w:val="00DF27A0"/>
    <w:rsid w:val="00DF3154"/>
    <w:rsid w:val="00DF3435"/>
    <w:rsid w:val="00DF398F"/>
    <w:rsid w:val="00DF40C6"/>
    <w:rsid w:val="00DF4223"/>
    <w:rsid w:val="00DF4487"/>
    <w:rsid w:val="00DF45A8"/>
    <w:rsid w:val="00DF4787"/>
    <w:rsid w:val="00DF4B38"/>
    <w:rsid w:val="00DF4C49"/>
    <w:rsid w:val="00DF4CE4"/>
    <w:rsid w:val="00DF4DE7"/>
    <w:rsid w:val="00DF5107"/>
    <w:rsid w:val="00DF5C69"/>
    <w:rsid w:val="00DF5DE8"/>
    <w:rsid w:val="00DF6115"/>
    <w:rsid w:val="00DF625C"/>
    <w:rsid w:val="00DF6687"/>
    <w:rsid w:val="00DF6861"/>
    <w:rsid w:val="00DF7127"/>
    <w:rsid w:val="00DF7246"/>
    <w:rsid w:val="00DF7288"/>
    <w:rsid w:val="00DF7417"/>
    <w:rsid w:val="00DF7422"/>
    <w:rsid w:val="00DF76FF"/>
    <w:rsid w:val="00DF78AB"/>
    <w:rsid w:val="00DF7A9D"/>
    <w:rsid w:val="00DF7CB7"/>
    <w:rsid w:val="00DF7D38"/>
    <w:rsid w:val="00E003EC"/>
    <w:rsid w:val="00E0059F"/>
    <w:rsid w:val="00E00607"/>
    <w:rsid w:val="00E008AD"/>
    <w:rsid w:val="00E00C55"/>
    <w:rsid w:val="00E00C5C"/>
    <w:rsid w:val="00E014AA"/>
    <w:rsid w:val="00E01916"/>
    <w:rsid w:val="00E01A57"/>
    <w:rsid w:val="00E01EDB"/>
    <w:rsid w:val="00E02364"/>
    <w:rsid w:val="00E029C4"/>
    <w:rsid w:val="00E02A30"/>
    <w:rsid w:val="00E02D15"/>
    <w:rsid w:val="00E02E70"/>
    <w:rsid w:val="00E02F8C"/>
    <w:rsid w:val="00E031CA"/>
    <w:rsid w:val="00E03360"/>
    <w:rsid w:val="00E033A7"/>
    <w:rsid w:val="00E03430"/>
    <w:rsid w:val="00E03682"/>
    <w:rsid w:val="00E03860"/>
    <w:rsid w:val="00E03A03"/>
    <w:rsid w:val="00E04070"/>
    <w:rsid w:val="00E043F1"/>
    <w:rsid w:val="00E04507"/>
    <w:rsid w:val="00E0468D"/>
    <w:rsid w:val="00E04867"/>
    <w:rsid w:val="00E04AD1"/>
    <w:rsid w:val="00E050C9"/>
    <w:rsid w:val="00E052E6"/>
    <w:rsid w:val="00E05504"/>
    <w:rsid w:val="00E0556C"/>
    <w:rsid w:val="00E05AFD"/>
    <w:rsid w:val="00E05EDA"/>
    <w:rsid w:val="00E05F85"/>
    <w:rsid w:val="00E06361"/>
    <w:rsid w:val="00E065B8"/>
    <w:rsid w:val="00E06D51"/>
    <w:rsid w:val="00E07101"/>
    <w:rsid w:val="00E071AA"/>
    <w:rsid w:val="00E0741A"/>
    <w:rsid w:val="00E078AE"/>
    <w:rsid w:val="00E0799D"/>
    <w:rsid w:val="00E07EBE"/>
    <w:rsid w:val="00E10525"/>
    <w:rsid w:val="00E106B0"/>
    <w:rsid w:val="00E108B8"/>
    <w:rsid w:val="00E10A9F"/>
    <w:rsid w:val="00E10B43"/>
    <w:rsid w:val="00E10B82"/>
    <w:rsid w:val="00E110D0"/>
    <w:rsid w:val="00E113AF"/>
    <w:rsid w:val="00E113C3"/>
    <w:rsid w:val="00E1169E"/>
    <w:rsid w:val="00E11B14"/>
    <w:rsid w:val="00E121A4"/>
    <w:rsid w:val="00E128B4"/>
    <w:rsid w:val="00E12B0A"/>
    <w:rsid w:val="00E12B14"/>
    <w:rsid w:val="00E13516"/>
    <w:rsid w:val="00E1377F"/>
    <w:rsid w:val="00E13A1D"/>
    <w:rsid w:val="00E1419B"/>
    <w:rsid w:val="00E14606"/>
    <w:rsid w:val="00E14BC2"/>
    <w:rsid w:val="00E14F1F"/>
    <w:rsid w:val="00E151E2"/>
    <w:rsid w:val="00E15211"/>
    <w:rsid w:val="00E155F9"/>
    <w:rsid w:val="00E15676"/>
    <w:rsid w:val="00E1598D"/>
    <w:rsid w:val="00E15AA8"/>
    <w:rsid w:val="00E15BA4"/>
    <w:rsid w:val="00E15ED0"/>
    <w:rsid w:val="00E169DC"/>
    <w:rsid w:val="00E16EA3"/>
    <w:rsid w:val="00E17094"/>
    <w:rsid w:val="00E1719A"/>
    <w:rsid w:val="00E17356"/>
    <w:rsid w:val="00E174A4"/>
    <w:rsid w:val="00E17548"/>
    <w:rsid w:val="00E175B4"/>
    <w:rsid w:val="00E1763C"/>
    <w:rsid w:val="00E17725"/>
    <w:rsid w:val="00E1786B"/>
    <w:rsid w:val="00E17B60"/>
    <w:rsid w:val="00E20510"/>
    <w:rsid w:val="00E207DA"/>
    <w:rsid w:val="00E20B4E"/>
    <w:rsid w:val="00E20B5C"/>
    <w:rsid w:val="00E20C23"/>
    <w:rsid w:val="00E20F6A"/>
    <w:rsid w:val="00E20F7A"/>
    <w:rsid w:val="00E2109A"/>
    <w:rsid w:val="00E212B4"/>
    <w:rsid w:val="00E212CB"/>
    <w:rsid w:val="00E21842"/>
    <w:rsid w:val="00E21B3A"/>
    <w:rsid w:val="00E21CE7"/>
    <w:rsid w:val="00E21E19"/>
    <w:rsid w:val="00E21F14"/>
    <w:rsid w:val="00E22533"/>
    <w:rsid w:val="00E2289C"/>
    <w:rsid w:val="00E228FD"/>
    <w:rsid w:val="00E22AA8"/>
    <w:rsid w:val="00E22AD5"/>
    <w:rsid w:val="00E22DC6"/>
    <w:rsid w:val="00E22F47"/>
    <w:rsid w:val="00E23391"/>
    <w:rsid w:val="00E23D2A"/>
    <w:rsid w:val="00E23DEF"/>
    <w:rsid w:val="00E23F89"/>
    <w:rsid w:val="00E23FED"/>
    <w:rsid w:val="00E2430E"/>
    <w:rsid w:val="00E2437A"/>
    <w:rsid w:val="00E244C3"/>
    <w:rsid w:val="00E24BC9"/>
    <w:rsid w:val="00E24E04"/>
    <w:rsid w:val="00E24FA8"/>
    <w:rsid w:val="00E25397"/>
    <w:rsid w:val="00E25500"/>
    <w:rsid w:val="00E257E3"/>
    <w:rsid w:val="00E25B56"/>
    <w:rsid w:val="00E25BA1"/>
    <w:rsid w:val="00E25BB5"/>
    <w:rsid w:val="00E25DB2"/>
    <w:rsid w:val="00E261B5"/>
    <w:rsid w:val="00E2687A"/>
    <w:rsid w:val="00E26E9A"/>
    <w:rsid w:val="00E26F48"/>
    <w:rsid w:val="00E26F62"/>
    <w:rsid w:val="00E270A8"/>
    <w:rsid w:val="00E27372"/>
    <w:rsid w:val="00E275D9"/>
    <w:rsid w:val="00E278B4"/>
    <w:rsid w:val="00E27CB7"/>
    <w:rsid w:val="00E3037F"/>
    <w:rsid w:val="00E305A4"/>
    <w:rsid w:val="00E307A3"/>
    <w:rsid w:val="00E30831"/>
    <w:rsid w:val="00E3099E"/>
    <w:rsid w:val="00E30BEC"/>
    <w:rsid w:val="00E31086"/>
    <w:rsid w:val="00E3122D"/>
    <w:rsid w:val="00E312CA"/>
    <w:rsid w:val="00E3176B"/>
    <w:rsid w:val="00E31933"/>
    <w:rsid w:val="00E31A41"/>
    <w:rsid w:val="00E31BFB"/>
    <w:rsid w:val="00E31EEA"/>
    <w:rsid w:val="00E31FBD"/>
    <w:rsid w:val="00E321D3"/>
    <w:rsid w:val="00E327A2"/>
    <w:rsid w:val="00E32AFF"/>
    <w:rsid w:val="00E32BCC"/>
    <w:rsid w:val="00E32F87"/>
    <w:rsid w:val="00E33064"/>
    <w:rsid w:val="00E33650"/>
    <w:rsid w:val="00E33692"/>
    <w:rsid w:val="00E33A50"/>
    <w:rsid w:val="00E33BFB"/>
    <w:rsid w:val="00E33ECA"/>
    <w:rsid w:val="00E34210"/>
    <w:rsid w:val="00E344FA"/>
    <w:rsid w:val="00E34712"/>
    <w:rsid w:val="00E3473B"/>
    <w:rsid w:val="00E3483C"/>
    <w:rsid w:val="00E3487F"/>
    <w:rsid w:val="00E34B15"/>
    <w:rsid w:val="00E34F40"/>
    <w:rsid w:val="00E350EA"/>
    <w:rsid w:val="00E3531D"/>
    <w:rsid w:val="00E35758"/>
    <w:rsid w:val="00E35B12"/>
    <w:rsid w:val="00E35D80"/>
    <w:rsid w:val="00E35F30"/>
    <w:rsid w:val="00E3628D"/>
    <w:rsid w:val="00E36379"/>
    <w:rsid w:val="00E36631"/>
    <w:rsid w:val="00E368BC"/>
    <w:rsid w:val="00E36ADA"/>
    <w:rsid w:val="00E3706F"/>
    <w:rsid w:val="00E37301"/>
    <w:rsid w:val="00E3730C"/>
    <w:rsid w:val="00E373FC"/>
    <w:rsid w:val="00E3756C"/>
    <w:rsid w:val="00E3769F"/>
    <w:rsid w:val="00E376F9"/>
    <w:rsid w:val="00E37858"/>
    <w:rsid w:val="00E37938"/>
    <w:rsid w:val="00E37D1A"/>
    <w:rsid w:val="00E37DB5"/>
    <w:rsid w:val="00E4078F"/>
    <w:rsid w:val="00E4137F"/>
    <w:rsid w:val="00E417FA"/>
    <w:rsid w:val="00E41B88"/>
    <w:rsid w:val="00E41D12"/>
    <w:rsid w:val="00E41D69"/>
    <w:rsid w:val="00E420A5"/>
    <w:rsid w:val="00E42897"/>
    <w:rsid w:val="00E42B07"/>
    <w:rsid w:val="00E42B8E"/>
    <w:rsid w:val="00E42C6C"/>
    <w:rsid w:val="00E43109"/>
    <w:rsid w:val="00E43177"/>
    <w:rsid w:val="00E43A98"/>
    <w:rsid w:val="00E43B81"/>
    <w:rsid w:val="00E43C05"/>
    <w:rsid w:val="00E43F4C"/>
    <w:rsid w:val="00E44085"/>
    <w:rsid w:val="00E441A4"/>
    <w:rsid w:val="00E44269"/>
    <w:rsid w:val="00E44500"/>
    <w:rsid w:val="00E4453A"/>
    <w:rsid w:val="00E446F6"/>
    <w:rsid w:val="00E44B35"/>
    <w:rsid w:val="00E44DBA"/>
    <w:rsid w:val="00E451CA"/>
    <w:rsid w:val="00E451E3"/>
    <w:rsid w:val="00E4544A"/>
    <w:rsid w:val="00E454B3"/>
    <w:rsid w:val="00E45610"/>
    <w:rsid w:val="00E4579B"/>
    <w:rsid w:val="00E457DA"/>
    <w:rsid w:val="00E45A7B"/>
    <w:rsid w:val="00E46018"/>
    <w:rsid w:val="00E46185"/>
    <w:rsid w:val="00E467E4"/>
    <w:rsid w:val="00E46950"/>
    <w:rsid w:val="00E46AFF"/>
    <w:rsid w:val="00E46C38"/>
    <w:rsid w:val="00E46C78"/>
    <w:rsid w:val="00E46D02"/>
    <w:rsid w:val="00E46D6F"/>
    <w:rsid w:val="00E46D7B"/>
    <w:rsid w:val="00E47424"/>
    <w:rsid w:val="00E47649"/>
    <w:rsid w:val="00E47747"/>
    <w:rsid w:val="00E47959"/>
    <w:rsid w:val="00E47CF0"/>
    <w:rsid w:val="00E50060"/>
    <w:rsid w:val="00E500BA"/>
    <w:rsid w:val="00E507B3"/>
    <w:rsid w:val="00E50C0E"/>
    <w:rsid w:val="00E50C62"/>
    <w:rsid w:val="00E50D90"/>
    <w:rsid w:val="00E51658"/>
    <w:rsid w:val="00E518F9"/>
    <w:rsid w:val="00E51907"/>
    <w:rsid w:val="00E519CF"/>
    <w:rsid w:val="00E51BBA"/>
    <w:rsid w:val="00E51D07"/>
    <w:rsid w:val="00E52317"/>
    <w:rsid w:val="00E52384"/>
    <w:rsid w:val="00E52BE8"/>
    <w:rsid w:val="00E52DFB"/>
    <w:rsid w:val="00E52E14"/>
    <w:rsid w:val="00E52EEB"/>
    <w:rsid w:val="00E530F9"/>
    <w:rsid w:val="00E532E4"/>
    <w:rsid w:val="00E5375B"/>
    <w:rsid w:val="00E538E3"/>
    <w:rsid w:val="00E539CF"/>
    <w:rsid w:val="00E53A0F"/>
    <w:rsid w:val="00E542AB"/>
    <w:rsid w:val="00E54487"/>
    <w:rsid w:val="00E546C7"/>
    <w:rsid w:val="00E54745"/>
    <w:rsid w:val="00E5476A"/>
    <w:rsid w:val="00E5494E"/>
    <w:rsid w:val="00E54B09"/>
    <w:rsid w:val="00E54B93"/>
    <w:rsid w:val="00E54F73"/>
    <w:rsid w:val="00E55276"/>
    <w:rsid w:val="00E552AC"/>
    <w:rsid w:val="00E55715"/>
    <w:rsid w:val="00E557B8"/>
    <w:rsid w:val="00E557C1"/>
    <w:rsid w:val="00E55C69"/>
    <w:rsid w:val="00E55CC1"/>
    <w:rsid w:val="00E55E0D"/>
    <w:rsid w:val="00E561D6"/>
    <w:rsid w:val="00E56B2B"/>
    <w:rsid w:val="00E56CBB"/>
    <w:rsid w:val="00E56D4B"/>
    <w:rsid w:val="00E56DE9"/>
    <w:rsid w:val="00E56E5D"/>
    <w:rsid w:val="00E56F98"/>
    <w:rsid w:val="00E570FE"/>
    <w:rsid w:val="00E572A3"/>
    <w:rsid w:val="00E5799B"/>
    <w:rsid w:val="00E57B8A"/>
    <w:rsid w:val="00E57DAA"/>
    <w:rsid w:val="00E57E96"/>
    <w:rsid w:val="00E57EF4"/>
    <w:rsid w:val="00E57FD4"/>
    <w:rsid w:val="00E600E7"/>
    <w:rsid w:val="00E604CF"/>
    <w:rsid w:val="00E60686"/>
    <w:rsid w:val="00E6072E"/>
    <w:rsid w:val="00E608F9"/>
    <w:rsid w:val="00E60C87"/>
    <w:rsid w:val="00E60CFF"/>
    <w:rsid w:val="00E6107D"/>
    <w:rsid w:val="00E61350"/>
    <w:rsid w:val="00E61562"/>
    <w:rsid w:val="00E61623"/>
    <w:rsid w:val="00E61D24"/>
    <w:rsid w:val="00E61DE9"/>
    <w:rsid w:val="00E61ECC"/>
    <w:rsid w:val="00E61FFB"/>
    <w:rsid w:val="00E62265"/>
    <w:rsid w:val="00E6228B"/>
    <w:rsid w:val="00E62378"/>
    <w:rsid w:val="00E6262C"/>
    <w:rsid w:val="00E62A79"/>
    <w:rsid w:val="00E62BA2"/>
    <w:rsid w:val="00E63402"/>
    <w:rsid w:val="00E634A4"/>
    <w:rsid w:val="00E635A1"/>
    <w:rsid w:val="00E636AE"/>
    <w:rsid w:val="00E636F6"/>
    <w:rsid w:val="00E64058"/>
    <w:rsid w:val="00E6410F"/>
    <w:rsid w:val="00E64142"/>
    <w:rsid w:val="00E64348"/>
    <w:rsid w:val="00E643AE"/>
    <w:rsid w:val="00E646D2"/>
    <w:rsid w:val="00E64915"/>
    <w:rsid w:val="00E64CD0"/>
    <w:rsid w:val="00E64F4F"/>
    <w:rsid w:val="00E6515E"/>
    <w:rsid w:val="00E6516C"/>
    <w:rsid w:val="00E6562B"/>
    <w:rsid w:val="00E65637"/>
    <w:rsid w:val="00E65C1A"/>
    <w:rsid w:val="00E65D94"/>
    <w:rsid w:val="00E65E70"/>
    <w:rsid w:val="00E669B9"/>
    <w:rsid w:val="00E66DFD"/>
    <w:rsid w:val="00E6755A"/>
    <w:rsid w:val="00E677BA"/>
    <w:rsid w:val="00E6785E"/>
    <w:rsid w:val="00E67BD9"/>
    <w:rsid w:val="00E67D49"/>
    <w:rsid w:val="00E67EBF"/>
    <w:rsid w:val="00E67EF5"/>
    <w:rsid w:val="00E67F0B"/>
    <w:rsid w:val="00E7033B"/>
    <w:rsid w:val="00E704E4"/>
    <w:rsid w:val="00E70617"/>
    <w:rsid w:val="00E70717"/>
    <w:rsid w:val="00E707DD"/>
    <w:rsid w:val="00E70F09"/>
    <w:rsid w:val="00E70FFF"/>
    <w:rsid w:val="00E710CD"/>
    <w:rsid w:val="00E7127C"/>
    <w:rsid w:val="00E71314"/>
    <w:rsid w:val="00E71605"/>
    <w:rsid w:val="00E71641"/>
    <w:rsid w:val="00E7168F"/>
    <w:rsid w:val="00E716AA"/>
    <w:rsid w:val="00E7188E"/>
    <w:rsid w:val="00E719BF"/>
    <w:rsid w:val="00E719D3"/>
    <w:rsid w:val="00E71DAB"/>
    <w:rsid w:val="00E71EAD"/>
    <w:rsid w:val="00E72747"/>
    <w:rsid w:val="00E72833"/>
    <w:rsid w:val="00E72B48"/>
    <w:rsid w:val="00E72B59"/>
    <w:rsid w:val="00E72CC6"/>
    <w:rsid w:val="00E730E2"/>
    <w:rsid w:val="00E7327F"/>
    <w:rsid w:val="00E73337"/>
    <w:rsid w:val="00E734E6"/>
    <w:rsid w:val="00E73906"/>
    <w:rsid w:val="00E73B92"/>
    <w:rsid w:val="00E73C41"/>
    <w:rsid w:val="00E73EB9"/>
    <w:rsid w:val="00E74588"/>
    <w:rsid w:val="00E74636"/>
    <w:rsid w:val="00E746A1"/>
    <w:rsid w:val="00E74762"/>
    <w:rsid w:val="00E749FE"/>
    <w:rsid w:val="00E74AD7"/>
    <w:rsid w:val="00E74DD5"/>
    <w:rsid w:val="00E74ED6"/>
    <w:rsid w:val="00E750C6"/>
    <w:rsid w:val="00E752BF"/>
    <w:rsid w:val="00E7572B"/>
    <w:rsid w:val="00E75BD7"/>
    <w:rsid w:val="00E75DED"/>
    <w:rsid w:val="00E76174"/>
    <w:rsid w:val="00E7623E"/>
    <w:rsid w:val="00E76586"/>
    <w:rsid w:val="00E765A2"/>
    <w:rsid w:val="00E769B4"/>
    <w:rsid w:val="00E76A2A"/>
    <w:rsid w:val="00E76D94"/>
    <w:rsid w:val="00E76E47"/>
    <w:rsid w:val="00E77119"/>
    <w:rsid w:val="00E77902"/>
    <w:rsid w:val="00E7795A"/>
    <w:rsid w:val="00E77DD0"/>
    <w:rsid w:val="00E77E9B"/>
    <w:rsid w:val="00E77ED9"/>
    <w:rsid w:val="00E801BD"/>
    <w:rsid w:val="00E801EB"/>
    <w:rsid w:val="00E80DB5"/>
    <w:rsid w:val="00E80E8F"/>
    <w:rsid w:val="00E8101A"/>
    <w:rsid w:val="00E81032"/>
    <w:rsid w:val="00E811D3"/>
    <w:rsid w:val="00E812FC"/>
    <w:rsid w:val="00E81315"/>
    <w:rsid w:val="00E814CC"/>
    <w:rsid w:val="00E816EC"/>
    <w:rsid w:val="00E82441"/>
    <w:rsid w:val="00E8260B"/>
    <w:rsid w:val="00E826D3"/>
    <w:rsid w:val="00E8275A"/>
    <w:rsid w:val="00E82948"/>
    <w:rsid w:val="00E82A22"/>
    <w:rsid w:val="00E82B3D"/>
    <w:rsid w:val="00E8313B"/>
    <w:rsid w:val="00E83499"/>
    <w:rsid w:val="00E8363E"/>
    <w:rsid w:val="00E83800"/>
    <w:rsid w:val="00E839A8"/>
    <w:rsid w:val="00E83C26"/>
    <w:rsid w:val="00E83D14"/>
    <w:rsid w:val="00E83EC5"/>
    <w:rsid w:val="00E83F08"/>
    <w:rsid w:val="00E84085"/>
    <w:rsid w:val="00E84777"/>
    <w:rsid w:val="00E847FA"/>
    <w:rsid w:val="00E848EA"/>
    <w:rsid w:val="00E84939"/>
    <w:rsid w:val="00E84958"/>
    <w:rsid w:val="00E84B76"/>
    <w:rsid w:val="00E85008"/>
    <w:rsid w:val="00E85064"/>
    <w:rsid w:val="00E8562E"/>
    <w:rsid w:val="00E85926"/>
    <w:rsid w:val="00E85BA9"/>
    <w:rsid w:val="00E85C44"/>
    <w:rsid w:val="00E85CAB"/>
    <w:rsid w:val="00E85DF5"/>
    <w:rsid w:val="00E86158"/>
    <w:rsid w:val="00E86360"/>
    <w:rsid w:val="00E86704"/>
    <w:rsid w:val="00E86798"/>
    <w:rsid w:val="00E86861"/>
    <w:rsid w:val="00E86E3D"/>
    <w:rsid w:val="00E86FB5"/>
    <w:rsid w:val="00E8723F"/>
    <w:rsid w:val="00E87B2D"/>
    <w:rsid w:val="00E87B31"/>
    <w:rsid w:val="00E87D8B"/>
    <w:rsid w:val="00E90242"/>
    <w:rsid w:val="00E906A3"/>
    <w:rsid w:val="00E90E04"/>
    <w:rsid w:val="00E912BE"/>
    <w:rsid w:val="00E918F6"/>
    <w:rsid w:val="00E91CA7"/>
    <w:rsid w:val="00E91F21"/>
    <w:rsid w:val="00E92201"/>
    <w:rsid w:val="00E9227C"/>
    <w:rsid w:val="00E92339"/>
    <w:rsid w:val="00E9267E"/>
    <w:rsid w:val="00E92783"/>
    <w:rsid w:val="00E928BF"/>
    <w:rsid w:val="00E93156"/>
    <w:rsid w:val="00E93486"/>
    <w:rsid w:val="00E935F8"/>
    <w:rsid w:val="00E939BC"/>
    <w:rsid w:val="00E93C65"/>
    <w:rsid w:val="00E93F10"/>
    <w:rsid w:val="00E94241"/>
    <w:rsid w:val="00E94688"/>
    <w:rsid w:val="00E94A89"/>
    <w:rsid w:val="00E94BE2"/>
    <w:rsid w:val="00E94DEE"/>
    <w:rsid w:val="00E9508E"/>
    <w:rsid w:val="00E95307"/>
    <w:rsid w:val="00E95678"/>
    <w:rsid w:val="00E9573A"/>
    <w:rsid w:val="00E95945"/>
    <w:rsid w:val="00E959AC"/>
    <w:rsid w:val="00E95B5E"/>
    <w:rsid w:val="00E95D32"/>
    <w:rsid w:val="00E9693B"/>
    <w:rsid w:val="00E9694F"/>
    <w:rsid w:val="00E96C2C"/>
    <w:rsid w:val="00E971F3"/>
    <w:rsid w:val="00E97289"/>
    <w:rsid w:val="00E976DE"/>
    <w:rsid w:val="00E9771A"/>
    <w:rsid w:val="00E9793F"/>
    <w:rsid w:val="00E97AB2"/>
    <w:rsid w:val="00E97D12"/>
    <w:rsid w:val="00E97EEE"/>
    <w:rsid w:val="00EA012C"/>
    <w:rsid w:val="00EA0247"/>
    <w:rsid w:val="00EA0393"/>
    <w:rsid w:val="00EA05F4"/>
    <w:rsid w:val="00EA0861"/>
    <w:rsid w:val="00EA0B8C"/>
    <w:rsid w:val="00EA0D62"/>
    <w:rsid w:val="00EA1298"/>
    <w:rsid w:val="00EA18D8"/>
    <w:rsid w:val="00EA18FD"/>
    <w:rsid w:val="00EA1A11"/>
    <w:rsid w:val="00EA1A9D"/>
    <w:rsid w:val="00EA1D3E"/>
    <w:rsid w:val="00EA2027"/>
    <w:rsid w:val="00EA209F"/>
    <w:rsid w:val="00EA214B"/>
    <w:rsid w:val="00EA22B2"/>
    <w:rsid w:val="00EA25ED"/>
    <w:rsid w:val="00EA295B"/>
    <w:rsid w:val="00EA2A08"/>
    <w:rsid w:val="00EA2CC2"/>
    <w:rsid w:val="00EA2F66"/>
    <w:rsid w:val="00EA3186"/>
    <w:rsid w:val="00EA31B9"/>
    <w:rsid w:val="00EA31F4"/>
    <w:rsid w:val="00EA3216"/>
    <w:rsid w:val="00EA32D0"/>
    <w:rsid w:val="00EA3481"/>
    <w:rsid w:val="00EA374C"/>
    <w:rsid w:val="00EA37F0"/>
    <w:rsid w:val="00EA3836"/>
    <w:rsid w:val="00EA3A73"/>
    <w:rsid w:val="00EA3AE9"/>
    <w:rsid w:val="00EA402C"/>
    <w:rsid w:val="00EA438D"/>
    <w:rsid w:val="00EA4837"/>
    <w:rsid w:val="00EA4860"/>
    <w:rsid w:val="00EA4CEE"/>
    <w:rsid w:val="00EA4D83"/>
    <w:rsid w:val="00EA52CA"/>
    <w:rsid w:val="00EA55CB"/>
    <w:rsid w:val="00EA57BD"/>
    <w:rsid w:val="00EA5C29"/>
    <w:rsid w:val="00EA5DD2"/>
    <w:rsid w:val="00EA65E7"/>
    <w:rsid w:val="00EA678C"/>
    <w:rsid w:val="00EA6A34"/>
    <w:rsid w:val="00EA73F5"/>
    <w:rsid w:val="00EA7602"/>
    <w:rsid w:val="00EA7973"/>
    <w:rsid w:val="00EA79DA"/>
    <w:rsid w:val="00EA7B02"/>
    <w:rsid w:val="00EB0073"/>
    <w:rsid w:val="00EB02F3"/>
    <w:rsid w:val="00EB09C4"/>
    <w:rsid w:val="00EB0CC6"/>
    <w:rsid w:val="00EB0ECE"/>
    <w:rsid w:val="00EB0FB4"/>
    <w:rsid w:val="00EB1057"/>
    <w:rsid w:val="00EB10BF"/>
    <w:rsid w:val="00EB11AF"/>
    <w:rsid w:val="00EB1510"/>
    <w:rsid w:val="00EB15BD"/>
    <w:rsid w:val="00EB1ADF"/>
    <w:rsid w:val="00EB1BC6"/>
    <w:rsid w:val="00EB1F19"/>
    <w:rsid w:val="00EB2398"/>
    <w:rsid w:val="00EB2415"/>
    <w:rsid w:val="00EB2917"/>
    <w:rsid w:val="00EB2A8B"/>
    <w:rsid w:val="00EB2ADD"/>
    <w:rsid w:val="00EB2AEA"/>
    <w:rsid w:val="00EB2B04"/>
    <w:rsid w:val="00EB2D6C"/>
    <w:rsid w:val="00EB308F"/>
    <w:rsid w:val="00EB32BB"/>
    <w:rsid w:val="00EB35ED"/>
    <w:rsid w:val="00EB36A3"/>
    <w:rsid w:val="00EB37D6"/>
    <w:rsid w:val="00EB380F"/>
    <w:rsid w:val="00EB3912"/>
    <w:rsid w:val="00EB3E70"/>
    <w:rsid w:val="00EB3F64"/>
    <w:rsid w:val="00EB46B9"/>
    <w:rsid w:val="00EB480B"/>
    <w:rsid w:val="00EB480F"/>
    <w:rsid w:val="00EB485E"/>
    <w:rsid w:val="00EB4CF6"/>
    <w:rsid w:val="00EB522A"/>
    <w:rsid w:val="00EB5334"/>
    <w:rsid w:val="00EB5634"/>
    <w:rsid w:val="00EB565B"/>
    <w:rsid w:val="00EB578E"/>
    <w:rsid w:val="00EB5D73"/>
    <w:rsid w:val="00EB5E5C"/>
    <w:rsid w:val="00EB5F4D"/>
    <w:rsid w:val="00EB61C2"/>
    <w:rsid w:val="00EB628A"/>
    <w:rsid w:val="00EB649A"/>
    <w:rsid w:val="00EB6646"/>
    <w:rsid w:val="00EB6865"/>
    <w:rsid w:val="00EB6E1F"/>
    <w:rsid w:val="00EB7145"/>
    <w:rsid w:val="00EB7263"/>
    <w:rsid w:val="00EB7305"/>
    <w:rsid w:val="00EB740F"/>
    <w:rsid w:val="00EB7807"/>
    <w:rsid w:val="00EB7CDD"/>
    <w:rsid w:val="00EB7F7C"/>
    <w:rsid w:val="00EC0010"/>
    <w:rsid w:val="00EC0916"/>
    <w:rsid w:val="00EC0D4C"/>
    <w:rsid w:val="00EC15FF"/>
    <w:rsid w:val="00EC19E8"/>
    <w:rsid w:val="00EC1F1F"/>
    <w:rsid w:val="00EC20AB"/>
    <w:rsid w:val="00EC20E1"/>
    <w:rsid w:val="00EC24C7"/>
    <w:rsid w:val="00EC252A"/>
    <w:rsid w:val="00EC256A"/>
    <w:rsid w:val="00EC280C"/>
    <w:rsid w:val="00EC28C9"/>
    <w:rsid w:val="00EC2A9C"/>
    <w:rsid w:val="00EC2AC4"/>
    <w:rsid w:val="00EC2DA9"/>
    <w:rsid w:val="00EC3070"/>
    <w:rsid w:val="00EC30ED"/>
    <w:rsid w:val="00EC328D"/>
    <w:rsid w:val="00EC3423"/>
    <w:rsid w:val="00EC3760"/>
    <w:rsid w:val="00EC3A43"/>
    <w:rsid w:val="00EC3E26"/>
    <w:rsid w:val="00EC3EFD"/>
    <w:rsid w:val="00EC4387"/>
    <w:rsid w:val="00EC48F9"/>
    <w:rsid w:val="00EC4924"/>
    <w:rsid w:val="00EC4B2B"/>
    <w:rsid w:val="00EC584D"/>
    <w:rsid w:val="00EC588B"/>
    <w:rsid w:val="00EC5B3A"/>
    <w:rsid w:val="00EC5D9E"/>
    <w:rsid w:val="00EC5F46"/>
    <w:rsid w:val="00EC6237"/>
    <w:rsid w:val="00EC62CC"/>
    <w:rsid w:val="00EC67A3"/>
    <w:rsid w:val="00EC680C"/>
    <w:rsid w:val="00EC694D"/>
    <w:rsid w:val="00EC69AA"/>
    <w:rsid w:val="00EC69C6"/>
    <w:rsid w:val="00EC6A70"/>
    <w:rsid w:val="00EC6FF2"/>
    <w:rsid w:val="00EC748A"/>
    <w:rsid w:val="00EC7493"/>
    <w:rsid w:val="00EC7642"/>
    <w:rsid w:val="00EC7648"/>
    <w:rsid w:val="00EC7810"/>
    <w:rsid w:val="00EC7C17"/>
    <w:rsid w:val="00EC7F6B"/>
    <w:rsid w:val="00ED05BD"/>
    <w:rsid w:val="00ED07A1"/>
    <w:rsid w:val="00ED0AE0"/>
    <w:rsid w:val="00ED0BD9"/>
    <w:rsid w:val="00ED0D59"/>
    <w:rsid w:val="00ED1330"/>
    <w:rsid w:val="00ED167E"/>
    <w:rsid w:val="00ED1863"/>
    <w:rsid w:val="00ED1D7F"/>
    <w:rsid w:val="00ED225F"/>
    <w:rsid w:val="00ED241F"/>
    <w:rsid w:val="00ED2555"/>
    <w:rsid w:val="00ED257E"/>
    <w:rsid w:val="00ED29A1"/>
    <w:rsid w:val="00ED29A4"/>
    <w:rsid w:val="00ED2B59"/>
    <w:rsid w:val="00ED2C6A"/>
    <w:rsid w:val="00ED3064"/>
    <w:rsid w:val="00ED311C"/>
    <w:rsid w:val="00ED322C"/>
    <w:rsid w:val="00ED323B"/>
    <w:rsid w:val="00ED357B"/>
    <w:rsid w:val="00ED3ACF"/>
    <w:rsid w:val="00ED3DC4"/>
    <w:rsid w:val="00ED3F03"/>
    <w:rsid w:val="00ED3FB0"/>
    <w:rsid w:val="00ED418B"/>
    <w:rsid w:val="00ED419E"/>
    <w:rsid w:val="00ED43FA"/>
    <w:rsid w:val="00ED440A"/>
    <w:rsid w:val="00ED4FA8"/>
    <w:rsid w:val="00ED56F0"/>
    <w:rsid w:val="00ED596C"/>
    <w:rsid w:val="00ED5B94"/>
    <w:rsid w:val="00ED5CD4"/>
    <w:rsid w:val="00ED5E8C"/>
    <w:rsid w:val="00ED64CF"/>
    <w:rsid w:val="00ED6AF2"/>
    <w:rsid w:val="00ED6E1C"/>
    <w:rsid w:val="00ED704D"/>
    <w:rsid w:val="00ED73A1"/>
    <w:rsid w:val="00ED77A1"/>
    <w:rsid w:val="00ED78E4"/>
    <w:rsid w:val="00ED79DD"/>
    <w:rsid w:val="00ED7B25"/>
    <w:rsid w:val="00ED7B35"/>
    <w:rsid w:val="00ED7BA8"/>
    <w:rsid w:val="00ED7D05"/>
    <w:rsid w:val="00ED7F0F"/>
    <w:rsid w:val="00ED7F63"/>
    <w:rsid w:val="00ED7F77"/>
    <w:rsid w:val="00EE0149"/>
    <w:rsid w:val="00EE019F"/>
    <w:rsid w:val="00EE02DA"/>
    <w:rsid w:val="00EE0529"/>
    <w:rsid w:val="00EE062F"/>
    <w:rsid w:val="00EE084F"/>
    <w:rsid w:val="00EE0DD8"/>
    <w:rsid w:val="00EE10AB"/>
    <w:rsid w:val="00EE114B"/>
    <w:rsid w:val="00EE12B9"/>
    <w:rsid w:val="00EE1529"/>
    <w:rsid w:val="00EE1BB9"/>
    <w:rsid w:val="00EE1C3D"/>
    <w:rsid w:val="00EE28AB"/>
    <w:rsid w:val="00EE2C34"/>
    <w:rsid w:val="00EE2C4F"/>
    <w:rsid w:val="00EE2CC9"/>
    <w:rsid w:val="00EE2DB0"/>
    <w:rsid w:val="00EE347C"/>
    <w:rsid w:val="00EE3557"/>
    <w:rsid w:val="00EE36AD"/>
    <w:rsid w:val="00EE388B"/>
    <w:rsid w:val="00EE3E01"/>
    <w:rsid w:val="00EE3F68"/>
    <w:rsid w:val="00EE4B5E"/>
    <w:rsid w:val="00EE53EB"/>
    <w:rsid w:val="00EE5A8E"/>
    <w:rsid w:val="00EE5D3D"/>
    <w:rsid w:val="00EE5FC0"/>
    <w:rsid w:val="00EE613F"/>
    <w:rsid w:val="00EE61F1"/>
    <w:rsid w:val="00EE633E"/>
    <w:rsid w:val="00EE679C"/>
    <w:rsid w:val="00EE6877"/>
    <w:rsid w:val="00EE6AC5"/>
    <w:rsid w:val="00EE6FB5"/>
    <w:rsid w:val="00EE770C"/>
    <w:rsid w:val="00EE77F2"/>
    <w:rsid w:val="00EE7D22"/>
    <w:rsid w:val="00EE7E45"/>
    <w:rsid w:val="00EE7FA5"/>
    <w:rsid w:val="00EF03EF"/>
    <w:rsid w:val="00EF0466"/>
    <w:rsid w:val="00EF0601"/>
    <w:rsid w:val="00EF0697"/>
    <w:rsid w:val="00EF0720"/>
    <w:rsid w:val="00EF08C3"/>
    <w:rsid w:val="00EF0955"/>
    <w:rsid w:val="00EF09FC"/>
    <w:rsid w:val="00EF0C32"/>
    <w:rsid w:val="00EF114C"/>
    <w:rsid w:val="00EF1451"/>
    <w:rsid w:val="00EF15D3"/>
    <w:rsid w:val="00EF1720"/>
    <w:rsid w:val="00EF1790"/>
    <w:rsid w:val="00EF1892"/>
    <w:rsid w:val="00EF1C32"/>
    <w:rsid w:val="00EF2121"/>
    <w:rsid w:val="00EF21F1"/>
    <w:rsid w:val="00EF29A8"/>
    <w:rsid w:val="00EF2AFF"/>
    <w:rsid w:val="00EF2D0B"/>
    <w:rsid w:val="00EF353B"/>
    <w:rsid w:val="00EF3BA6"/>
    <w:rsid w:val="00EF3C38"/>
    <w:rsid w:val="00EF3C53"/>
    <w:rsid w:val="00EF3F84"/>
    <w:rsid w:val="00EF46F4"/>
    <w:rsid w:val="00EF48D6"/>
    <w:rsid w:val="00EF4B5C"/>
    <w:rsid w:val="00EF4B65"/>
    <w:rsid w:val="00EF4BA4"/>
    <w:rsid w:val="00EF500B"/>
    <w:rsid w:val="00EF5095"/>
    <w:rsid w:val="00EF520C"/>
    <w:rsid w:val="00EF5295"/>
    <w:rsid w:val="00EF52C6"/>
    <w:rsid w:val="00EF530A"/>
    <w:rsid w:val="00EF589C"/>
    <w:rsid w:val="00EF5B4D"/>
    <w:rsid w:val="00EF5D9A"/>
    <w:rsid w:val="00EF6010"/>
    <w:rsid w:val="00EF622D"/>
    <w:rsid w:val="00EF6561"/>
    <w:rsid w:val="00EF6A46"/>
    <w:rsid w:val="00EF6B48"/>
    <w:rsid w:val="00EF6B80"/>
    <w:rsid w:val="00EF6F94"/>
    <w:rsid w:val="00EF6FBB"/>
    <w:rsid w:val="00EF709C"/>
    <w:rsid w:val="00EF70B0"/>
    <w:rsid w:val="00EF7406"/>
    <w:rsid w:val="00EF7620"/>
    <w:rsid w:val="00EF765F"/>
    <w:rsid w:val="00EF7FF3"/>
    <w:rsid w:val="00F00021"/>
    <w:rsid w:val="00F00341"/>
    <w:rsid w:val="00F00357"/>
    <w:rsid w:val="00F0054A"/>
    <w:rsid w:val="00F0066B"/>
    <w:rsid w:val="00F007B0"/>
    <w:rsid w:val="00F0089A"/>
    <w:rsid w:val="00F00F8A"/>
    <w:rsid w:val="00F00FE8"/>
    <w:rsid w:val="00F010A6"/>
    <w:rsid w:val="00F0116C"/>
    <w:rsid w:val="00F0136B"/>
    <w:rsid w:val="00F014EE"/>
    <w:rsid w:val="00F01515"/>
    <w:rsid w:val="00F015DC"/>
    <w:rsid w:val="00F01AA2"/>
    <w:rsid w:val="00F01B65"/>
    <w:rsid w:val="00F01FF1"/>
    <w:rsid w:val="00F02332"/>
    <w:rsid w:val="00F0287D"/>
    <w:rsid w:val="00F02CD5"/>
    <w:rsid w:val="00F030A5"/>
    <w:rsid w:val="00F033CF"/>
    <w:rsid w:val="00F03654"/>
    <w:rsid w:val="00F03707"/>
    <w:rsid w:val="00F03D6B"/>
    <w:rsid w:val="00F042D6"/>
    <w:rsid w:val="00F0456A"/>
    <w:rsid w:val="00F0468A"/>
    <w:rsid w:val="00F04C62"/>
    <w:rsid w:val="00F04D2A"/>
    <w:rsid w:val="00F054BF"/>
    <w:rsid w:val="00F059E5"/>
    <w:rsid w:val="00F05BC8"/>
    <w:rsid w:val="00F05C97"/>
    <w:rsid w:val="00F05F4B"/>
    <w:rsid w:val="00F060BB"/>
    <w:rsid w:val="00F063EB"/>
    <w:rsid w:val="00F06417"/>
    <w:rsid w:val="00F06A56"/>
    <w:rsid w:val="00F06A68"/>
    <w:rsid w:val="00F06C63"/>
    <w:rsid w:val="00F06DBE"/>
    <w:rsid w:val="00F07310"/>
    <w:rsid w:val="00F073A5"/>
    <w:rsid w:val="00F074A6"/>
    <w:rsid w:val="00F076D0"/>
    <w:rsid w:val="00F07808"/>
    <w:rsid w:val="00F0787B"/>
    <w:rsid w:val="00F078BA"/>
    <w:rsid w:val="00F079AD"/>
    <w:rsid w:val="00F07DBC"/>
    <w:rsid w:val="00F07F22"/>
    <w:rsid w:val="00F10110"/>
    <w:rsid w:val="00F10263"/>
    <w:rsid w:val="00F106B7"/>
    <w:rsid w:val="00F10A59"/>
    <w:rsid w:val="00F10EE7"/>
    <w:rsid w:val="00F1124B"/>
    <w:rsid w:val="00F1126F"/>
    <w:rsid w:val="00F11452"/>
    <w:rsid w:val="00F115EF"/>
    <w:rsid w:val="00F11663"/>
    <w:rsid w:val="00F1183A"/>
    <w:rsid w:val="00F11AA9"/>
    <w:rsid w:val="00F11AC8"/>
    <w:rsid w:val="00F12828"/>
    <w:rsid w:val="00F12859"/>
    <w:rsid w:val="00F12E6F"/>
    <w:rsid w:val="00F130A7"/>
    <w:rsid w:val="00F1328F"/>
    <w:rsid w:val="00F1334F"/>
    <w:rsid w:val="00F13364"/>
    <w:rsid w:val="00F133B2"/>
    <w:rsid w:val="00F1367C"/>
    <w:rsid w:val="00F138D5"/>
    <w:rsid w:val="00F13FCE"/>
    <w:rsid w:val="00F13FD1"/>
    <w:rsid w:val="00F14084"/>
    <w:rsid w:val="00F14820"/>
    <w:rsid w:val="00F14995"/>
    <w:rsid w:val="00F14D1F"/>
    <w:rsid w:val="00F14D89"/>
    <w:rsid w:val="00F14E55"/>
    <w:rsid w:val="00F14F1E"/>
    <w:rsid w:val="00F15142"/>
    <w:rsid w:val="00F15338"/>
    <w:rsid w:val="00F15A11"/>
    <w:rsid w:val="00F15E0C"/>
    <w:rsid w:val="00F15E44"/>
    <w:rsid w:val="00F15E9A"/>
    <w:rsid w:val="00F16233"/>
    <w:rsid w:val="00F167AD"/>
    <w:rsid w:val="00F16B60"/>
    <w:rsid w:val="00F16B92"/>
    <w:rsid w:val="00F16C09"/>
    <w:rsid w:val="00F16C40"/>
    <w:rsid w:val="00F16E17"/>
    <w:rsid w:val="00F16F08"/>
    <w:rsid w:val="00F16F3A"/>
    <w:rsid w:val="00F1708B"/>
    <w:rsid w:val="00F170DE"/>
    <w:rsid w:val="00F171F2"/>
    <w:rsid w:val="00F1753E"/>
    <w:rsid w:val="00F1771C"/>
    <w:rsid w:val="00F1793E"/>
    <w:rsid w:val="00F17B1D"/>
    <w:rsid w:val="00F17B65"/>
    <w:rsid w:val="00F200D6"/>
    <w:rsid w:val="00F20D1B"/>
    <w:rsid w:val="00F20FED"/>
    <w:rsid w:val="00F21A7C"/>
    <w:rsid w:val="00F22277"/>
    <w:rsid w:val="00F224D5"/>
    <w:rsid w:val="00F22500"/>
    <w:rsid w:val="00F22702"/>
    <w:rsid w:val="00F22ACC"/>
    <w:rsid w:val="00F23337"/>
    <w:rsid w:val="00F23710"/>
    <w:rsid w:val="00F23902"/>
    <w:rsid w:val="00F23BCB"/>
    <w:rsid w:val="00F23E55"/>
    <w:rsid w:val="00F23FCE"/>
    <w:rsid w:val="00F2430B"/>
    <w:rsid w:val="00F2441A"/>
    <w:rsid w:val="00F244D6"/>
    <w:rsid w:val="00F247FF"/>
    <w:rsid w:val="00F2494A"/>
    <w:rsid w:val="00F253BA"/>
    <w:rsid w:val="00F25413"/>
    <w:rsid w:val="00F25863"/>
    <w:rsid w:val="00F25C11"/>
    <w:rsid w:val="00F25FC9"/>
    <w:rsid w:val="00F266DD"/>
    <w:rsid w:val="00F26957"/>
    <w:rsid w:val="00F26A5E"/>
    <w:rsid w:val="00F26A6B"/>
    <w:rsid w:val="00F26B87"/>
    <w:rsid w:val="00F270A9"/>
    <w:rsid w:val="00F273EE"/>
    <w:rsid w:val="00F27582"/>
    <w:rsid w:val="00F27729"/>
    <w:rsid w:val="00F27764"/>
    <w:rsid w:val="00F27884"/>
    <w:rsid w:val="00F27A59"/>
    <w:rsid w:val="00F27F58"/>
    <w:rsid w:val="00F3018C"/>
    <w:rsid w:val="00F3040C"/>
    <w:rsid w:val="00F3087F"/>
    <w:rsid w:val="00F3102B"/>
    <w:rsid w:val="00F31226"/>
    <w:rsid w:val="00F312E7"/>
    <w:rsid w:val="00F3152B"/>
    <w:rsid w:val="00F31615"/>
    <w:rsid w:val="00F31741"/>
    <w:rsid w:val="00F3183C"/>
    <w:rsid w:val="00F3196E"/>
    <w:rsid w:val="00F31A21"/>
    <w:rsid w:val="00F31AB4"/>
    <w:rsid w:val="00F31C9F"/>
    <w:rsid w:val="00F31D03"/>
    <w:rsid w:val="00F31DBB"/>
    <w:rsid w:val="00F32687"/>
    <w:rsid w:val="00F329C1"/>
    <w:rsid w:val="00F329D3"/>
    <w:rsid w:val="00F32A7D"/>
    <w:rsid w:val="00F32E4C"/>
    <w:rsid w:val="00F32F4E"/>
    <w:rsid w:val="00F3330F"/>
    <w:rsid w:val="00F3331D"/>
    <w:rsid w:val="00F342AE"/>
    <w:rsid w:val="00F342D4"/>
    <w:rsid w:val="00F34323"/>
    <w:rsid w:val="00F3440B"/>
    <w:rsid w:val="00F34B4C"/>
    <w:rsid w:val="00F34D8C"/>
    <w:rsid w:val="00F34F97"/>
    <w:rsid w:val="00F34FC7"/>
    <w:rsid w:val="00F34FE0"/>
    <w:rsid w:val="00F35080"/>
    <w:rsid w:val="00F350F7"/>
    <w:rsid w:val="00F358D5"/>
    <w:rsid w:val="00F35CC9"/>
    <w:rsid w:val="00F36060"/>
    <w:rsid w:val="00F36279"/>
    <w:rsid w:val="00F3645D"/>
    <w:rsid w:val="00F36632"/>
    <w:rsid w:val="00F36813"/>
    <w:rsid w:val="00F369EA"/>
    <w:rsid w:val="00F36A18"/>
    <w:rsid w:val="00F36BAA"/>
    <w:rsid w:val="00F36BB6"/>
    <w:rsid w:val="00F36BDB"/>
    <w:rsid w:val="00F37173"/>
    <w:rsid w:val="00F37439"/>
    <w:rsid w:val="00F378EB"/>
    <w:rsid w:val="00F37E64"/>
    <w:rsid w:val="00F4013E"/>
    <w:rsid w:val="00F40396"/>
    <w:rsid w:val="00F40679"/>
    <w:rsid w:val="00F407ED"/>
    <w:rsid w:val="00F4087A"/>
    <w:rsid w:val="00F40B40"/>
    <w:rsid w:val="00F40CBD"/>
    <w:rsid w:val="00F4150F"/>
    <w:rsid w:val="00F4169F"/>
    <w:rsid w:val="00F417E2"/>
    <w:rsid w:val="00F41BDD"/>
    <w:rsid w:val="00F41DC5"/>
    <w:rsid w:val="00F41E0C"/>
    <w:rsid w:val="00F41F04"/>
    <w:rsid w:val="00F42203"/>
    <w:rsid w:val="00F42AA0"/>
    <w:rsid w:val="00F432DA"/>
    <w:rsid w:val="00F43396"/>
    <w:rsid w:val="00F435D8"/>
    <w:rsid w:val="00F43892"/>
    <w:rsid w:val="00F439AB"/>
    <w:rsid w:val="00F43CDF"/>
    <w:rsid w:val="00F4409C"/>
    <w:rsid w:val="00F441E1"/>
    <w:rsid w:val="00F444A3"/>
    <w:rsid w:val="00F445AE"/>
    <w:rsid w:val="00F44770"/>
    <w:rsid w:val="00F44B83"/>
    <w:rsid w:val="00F44FD5"/>
    <w:rsid w:val="00F4548A"/>
    <w:rsid w:val="00F454A2"/>
    <w:rsid w:val="00F4555C"/>
    <w:rsid w:val="00F455AE"/>
    <w:rsid w:val="00F4589F"/>
    <w:rsid w:val="00F4595B"/>
    <w:rsid w:val="00F45A53"/>
    <w:rsid w:val="00F45DC4"/>
    <w:rsid w:val="00F46089"/>
    <w:rsid w:val="00F46173"/>
    <w:rsid w:val="00F46181"/>
    <w:rsid w:val="00F463EB"/>
    <w:rsid w:val="00F46807"/>
    <w:rsid w:val="00F46859"/>
    <w:rsid w:val="00F46962"/>
    <w:rsid w:val="00F46B57"/>
    <w:rsid w:val="00F46C20"/>
    <w:rsid w:val="00F46D01"/>
    <w:rsid w:val="00F47115"/>
    <w:rsid w:val="00F4722C"/>
    <w:rsid w:val="00F47A30"/>
    <w:rsid w:val="00F502CE"/>
    <w:rsid w:val="00F50364"/>
    <w:rsid w:val="00F5058B"/>
    <w:rsid w:val="00F5074D"/>
    <w:rsid w:val="00F50F32"/>
    <w:rsid w:val="00F51500"/>
    <w:rsid w:val="00F5173D"/>
    <w:rsid w:val="00F51905"/>
    <w:rsid w:val="00F51BEA"/>
    <w:rsid w:val="00F51CE3"/>
    <w:rsid w:val="00F520A2"/>
    <w:rsid w:val="00F525E1"/>
    <w:rsid w:val="00F52A48"/>
    <w:rsid w:val="00F52C81"/>
    <w:rsid w:val="00F52DA4"/>
    <w:rsid w:val="00F52DAF"/>
    <w:rsid w:val="00F5399D"/>
    <w:rsid w:val="00F53F6B"/>
    <w:rsid w:val="00F541DA"/>
    <w:rsid w:val="00F5437F"/>
    <w:rsid w:val="00F543F9"/>
    <w:rsid w:val="00F544C2"/>
    <w:rsid w:val="00F5456E"/>
    <w:rsid w:val="00F5495B"/>
    <w:rsid w:val="00F54993"/>
    <w:rsid w:val="00F549CC"/>
    <w:rsid w:val="00F54F6B"/>
    <w:rsid w:val="00F5517A"/>
    <w:rsid w:val="00F551A2"/>
    <w:rsid w:val="00F5550A"/>
    <w:rsid w:val="00F557B3"/>
    <w:rsid w:val="00F55836"/>
    <w:rsid w:val="00F55894"/>
    <w:rsid w:val="00F5600D"/>
    <w:rsid w:val="00F56038"/>
    <w:rsid w:val="00F56106"/>
    <w:rsid w:val="00F562EF"/>
    <w:rsid w:val="00F5678D"/>
    <w:rsid w:val="00F56BC3"/>
    <w:rsid w:val="00F56C97"/>
    <w:rsid w:val="00F56CD3"/>
    <w:rsid w:val="00F56E28"/>
    <w:rsid w:val="00F56E4A"/>
    <w:rsid w:val="00F5720B"/>
    <w:rsid w:val="00F575FF"/>
    <w:rsid w:val="00F57A55"/>
    <w:rsid w:val="00F57BB4"/>
    <w:rsid w:val="00F57C3A"/>
    <w:rsid w:val="00F57D90"/>
    <w:rsid w:val="00F57E5E"/>
    <w:rsid w:val="00F6003B"/>
    <w:rsid w:val="00F6027C"/>
    <w:rsid w:val="00F60FB8"/>
    <w:rsid w:val="00F610C8"/>
    <w:rsid w:val="00F6169D"/>
    <w:rsid w:val="00F6182A"/>
    <w:rsid w:val="00F61E27"/>
    <w:rsid w:val="00F61E28"/>
    <w:rsid w:val="00F621D4"/>
    <w:rsid w:val="00F6254F"/>
    <w:rsid w:val="00F629F4"/>
    <w:rsid w:val="00F62A9D"/>
    <w:rsid w:val="00F62CEE"/>
    <w:rsid w:val="00F62D3B"/>
    <w:rsid w:val="00F62F04"/>
    <w:rsid w:val="00F62F1D"/>
    <w:rsid w:val="00F63261"/>
    <w:rsid w:val="00F6336D"/>
    <w:rsid w:val="00F637F4"/>
    <w:rsid w:val="00F639D9"/>
    <w:rsid w:val="00F63A83"/>
    <w:rsid w:val="00F63AEC"/>
    <w:rsid w:val="00F63B7A"/>
    <w:rsid w:val="00F63C40"/>
    <w:rsid w:val="00F63DFF"/>
    <w:rsid w:val="00F642E8"/>
    <w:rsid w:val="00F6432D"/>
    <w:rsid w:val="00F643C6"/>
    <w:rsid w:val="00F644C0"/>
    <w:rsid w:val="00F64C7E"/>
    <w:rsid w:val="00F64DF8"/>
    <w:rsid w:val="00F64F6B"/>
    <w:rsid w:val="00F65287"/>
    <w:rsid w:val="00F65D84"/>
    <w:rsid w:val="00F66164"/>
    <w:rsid w:val="00F66352"/>
    <w:rsid w:val="00F663D1"/>
    <w:rsid w:val="00F6678A"/>
    <w:rsid w:val="00F667AE"/>
    <w:rsid w:val="00F66944"/>
    <w:rsid w:val="00F66E95"/>
    <w:rsid w:val="00F671E7"/>
    <w:rsid w:val="00F6723B"/>
    <w:rsid w:val="00F673A8"/>
    <w:rsid w:val="00F676A4"/>
    <w:rsid w:val="00F677DD"/>
    <w:rsid w:val="00F67B93"/>
    <w:rsid w:val="00F700F0"/>
    <w:rsid w:val="00F70357"/>
    <w:rsid w:val="00F70400"/>
    <w:rsid w:val="00F707AD"/>
    <w:rsid w:val="00F707FB"/>
    <w:rsid w:val="00F708AA"/>
    <w:rsid w:val="00F70965"/>
    <w:rsid w:val="00F71112"/>
    <w:rsid w:val="00F7124D"/>
    <w:rsid w:val="00F7192E"/>
    <w:rsid w:val="00F71DD0"/>
    <w:rsid w:val="00F71E8C"/>
    <w:rsid w:val="00F721ED"/>
    <w:rsid w:val="00F72205"/>
    <w:rsid w:val="00F729F5"/>
    <w:rsid w:val="00F72D9C"/>
    <w:rsid w:val="00F7304F"/>
    <w:rsid w:val="00F734B0"/>
    <w:rsid w:val="00F734E6"/>
    <w:rsid w:val="00F73898"/>
    <w:rsid w:val="00F73983"/>
    <w:rsid w:val="00F73DD1"/>
    <w:rsid w:val="00F7405E"/>
    <w:rsid w:val="00F7420F"/>
    <w:rsid w:val="00F74431"/>
    <w:rsid w:val="00F749E4"/>
    <w:rsid w:val="00F754B6"/>
    <w:rsid w:val="00F75C70"/>
    <w:rsid w:val="00F75E9F"/>
    <w:rsid w:val="00F76126"/>
    <w:rsid w:val="00F761C3"/>
    <w:rsid w:val="00F76446"/>
    <w:rsid w:val="00F76C30"/>
    <w:rsid w:val="00F76F2F"/>
    <w:rsid w:val="00F7717F"/>
    <w:rsid w:val="00F77365"/>
    <w:rsid w:val="00F77560"/>
    <w:rsid w:val="00F775CD"/>
    <w:rsid w:val="00F777CC"/>
    <w:rsid w:val="00F77A13"/>
    <w:rsid w:val="00F77CB4"/>
    <w:rsid w:val="00F77E00"/>
    <w:rsid w:val="00F8004E"/>
    <w:rsid w:val="00F802BD"/>
    <w:rsid w:val="00F80665"/>
    <w:rsid w:val="00F808DB"/>
    <w:rsid w:val="00F80924"/>
    <w:rsid w:val="00F80CD2"/>
    <w:rsid w:val="00F80EC2"/>
    <w:rsid w:val="00F8109D"/>
    <w:rsid w:val="00F81110"/>
    <w:rsid w:val="00F8118E"/>
    <w:rsid w:val="00F81371"/>
    <w:rsid w:val="00F814AE"/>
    <w:rsid w:val="00F814BE"/>
    <w:rsid w:val="00F81562"/>
    <w:rsid w:val="00F81A66"/>
    <w:rsid w:val="00F81DEA"/>
    <w:rsid w:val="00F82663"/>
    <w:rsid w:val="00F82862"/>
    <w:rsid w:val="00F829FE"/>
    <w:rsid w:val="00F82A32"/>
    <w:rsid w:val="00F82DE3"/>
    <w:rsid w:val="00F832E2"/>
    <w:rsid w:val="00F83437"/>
    <w:rsid w:val="00F8359A"/>
    <w:rsid w:val="00F8365D"/>
    <w:rsid w:val="00F839AA"/>
    <w:rsid w:val="00F83B0F"/>
    <w:rsid w:val="00F83BDA"/>
    <w:rsid w:val="00F83D45"/>
    <w:rsid w:val="00F84386"/>
    <w:rsid w:val="00F848C5"/>
    <w:rsid w:val="00F848C6"/>
    <w:rsid w:val="00F84A4C"/>
    <w:rsid w:val="00F84AAF"/>
    <w:rsid w:val="00F84B1A"/>
    <w:rsid w:val="00F84C45"/>
    <w:rsid w:val="00F84E7D"/>
    <w:rsid w:val="00F8513F"/>
    <w:rsid w:val="00F85261"/>
    <w:rsid w:val="00F85713"/>
    <w:rsid w:val="00F85736"/>
    <w:rsid w:val="00F859A9"/>
    <w:rsid w:val="00F859C0"/>
    <w:rsid w:val="00F85A24"/>
    <w:rsid w:val="00F85C34"/>
    <w:rsid w:val="00F85F63"/>
    <w:rsid w:val="00F86071"/>
    <w:rsid w:val="00F861D3"/>
    <w:rsid w:val="00F866E5"/>
    <w:rsid w:val="00F866F2"/>
    <w:rsid w:val="00F86821"/>
    <w:rsid w:val="00F8696C"/>
    <w:rsid w:val="00F86CDE"/>
    <w:rsid w:val="00F87202"/>
    <w:rsid w:val="00F8726D"/>
    <w:rsid w:val="00F87514"/>
    <w:rsid w:val="00F877C7"/>
    <w:rsid w:val="00F87AAF"/>
    <w:rsid w:val="00F87D6E"/>
    <w:rsid w:val="00F87FBE"/>
    <w:rsid w:val="00F90240"/>
    <w:rsid w:val="00F90CB5"/>
    <w:rsid w:val="00F90E8D"/>
    <w:rsid w:val="00F9113B"/>
    <w:rsid w:val="00F911B3"/>
    <w:rsid w:val="00F913BC"/>
    <w:rsid w:val="00F914BC"/>
    <w:rsid w:val="00F917A0"/>
    <w:rsid w:val="00F91960"/>
    <w:rsid w:val="00F91AD3"/>
    <w:rsid w:val="00F91C34"/>
    <w:rsid w:val="00F91E0A"/>
    <w:rsid w:val="00F91F64"/>
    <w:rsid w:val="00F91FF3"/>
    <w:rsid w:val="00F92023"/>
    <w:rsid w:val="00F9274A"/>
    <w:rsid w:val="00F927C5"/>
    <w:rsid w:val="00F929F9"/>
    <w:rsid w:val="00F92E96"/>
    <w:rsid w:val="00F92ED2"/>
    <w:rsid w:val="00F93353"/>
    <w:rsid w:val="00F9358C"/>
    <w:rsid w:val="00F93748"/>
    <w:rsid w:val="00F937CC"/>
    <w:rsid w:val="00F93C98"/>
    <w:rsid w:val="00F940AF"/>
    <w:rsid w:val="00F9424D"/>
    <w:rsid w:val="00F94498"/>
    <w:rsid w:val="00F94499"/>
    <w:rsid w:val="00F945C7"/>
    <w:rsid w:val="00F9480E"/>
    <w:rsid w:val="00F94C9A"/>
    <w:rsid w:val="00F9516E"/>
    <w:rsid w:val="00F95290"/>
    <w:rsid w:val="00F955D9"/>
    <w:rsid w:val="00F9642D"/>
    <w:rsid w:val="00F96471"/>
    <w:rsid w:val="00F9648D"/>
    <w:rsid w:val="00F964D9"/>
    <w:rsid w:val="00F96701"/>
    <w:rsid w:val="00F9683E"/>
    <w:rsid w:val="00F96939"/>
    <w:rsid w:val="00F96D4D"/>
    <w:rsid w:val="00F96D65"/>
    <w:rsid w:val="00F97491"/>
    <w:rsid w:val="00F97884"/>
    <w:rsid w:val="00F97E1D"/>
    <w:rsid w:val="00FA0113"/>
    <w:rsid w:val="00FA0285"/>
    <w:rsid w:val="00FA073F"/>
    <w:rsid w:val="00FA0AC2"/>
    <w:rsid w:val="00FA0B67"/>
    <w:rsid w:val="00FA0DE6"/>
    <w:rsid w:val="00FA102C"/>
    <w:rsid w:val="00FA1295"/>
    <w:rsid w:val="00FA1715"/>
    <w:rsid w:val="00FA18F4"/>
    <w:rsid w:val="00FA1A42"/>
    <w:rsid w:val="00FA1ADC"/>
    <w:rsid w:val="00FA1B6C"/>
    <w:rsid w:val="00FA1C7D"/>
    <w:rsid w:val="00FA1ED9"/>
    <w:rsid w:val="00FA2237"/>
    <w:rsid w:val="00FA22DC"/>
    <w:rsid w:val="00FA22F9"/>
    <w:rsid w:val="00FA2361"/>
    <w:rsid w:val="00FA251F"/>
    <w:rsid w:val="00FA259B"/>
    <w:rsid w:val="00FA28A4"/>
    <w:rsid w:val="00FA2D2E"/>
    <w:rsid w:val="00FA2EDB"/>
    <w:rsid w:val="00FA3627"/>
    <w:rsid w:val="00FA37F4"/>
    <w:rsid w:val="00FA3A4A"/>
    <w:rsid w:val="00FA3DB0"/>
    <w:rsid w:val="00FA3DD4"/>
    <w:rsid w:val="00FA3FEA"/>
    <w:rsid w:val="00FA434D"/>
    <w:rsid w:val="00FA4750"/>
    <w:rsid w:val="00FA48AB"/>
    <w:rsid w:val="00FA4AD5"/>
    <w:rsid w:val="00FA4F4E"/>
    <w:rsid w:val="00FA4F94"/>
    <w:rsid w:val="00FA515F"/>
    <w:rsid w:val="00FA5359"/>
    <w:rsid w:val="00FA5648"/>
    <w:rsid w:val="00FA5900"/>
    <w:rsid w:val="00FA60A0"/>
    <w:rsid w:val="00FA6265"/>
    <w:rsid w:val="00FA6275"/>
    <w:rsid w:val="00FA67C6"/>
    <w:rsid w:val="00FA6C67"/>
    <w:rsid w:val="00FA6EE4"/>
    <w:rsid w:val="00FA738A"/>
    <w:rsid w:val="00FA7501"/>
    <w:rsid w:val="00FA785F"/>
    <w:rsid w:val="00FA7AA3"/>
    <w:rsid w:val="00FA7C00"/>
    <w:rsid w:val="00FA7DAD"/>
    <w:rsid w:val="00FA7E59"/>
    <w:rsid w:val="00FA7F16"/>
    <w:rsid w:val="00FB00D7"/>
    <w:rsid w:val="00FB0AAC"/>
    <w:rsid w:val="00FB1960"/>
    <w:rsid w:val="00FB1A39"/>
    <w:rsid w:val="00FB1AFB"/>
    <w:rsid w:val="00FB1D76"/>
    <w:rsid w:val="00FB1F3F"/>
    <w:rsid w:val="00FB230D"/>
    <w:rsid w:val="00FB2388"/>
    <w:rsid w:val="00FB2849"/>
    <w:rsid w:val="00FB316D"/>
    <w:rsid w:val="00FB38AB"/>
    <w:rsid w:val="00FB3903"/>
    <w:rsid w:val="00FB3D6B"/>
    <w:rsid w:val="00FB412F"/>
    <w:rsid w:val="00FB4402"/>
    <w:rsid w:val="00FB452C"/>
    <w:rsid w:val="00FB4678"/>
    <w:rsid w:val="00FB46D1"/>
    <w:rsid w:val="00FB490D"/>
    <w:rsid w:val="00FB4A64"/>
    <w:rsid w:val="00FB4ACA"/>
    <w:rsid w:val="00FB4B9D"/>
    <w:rsid w:val="00FB4C4B"/>
    <w:rsid w:val="00FB4CFF"/>
    <w:rsid w:val="00FB5AC2"/>
    <w:rsid w:val="00FB5DF0"/>
    <w:rsid w:val="00FB5E8E"/>
    <w:rsid w:val="00FB66E3"/>
    <w:rsid w:val="00FB6B41"/>
    <w:rsid w:val="00FB7048"/>
    <w:rsid w:val="00FB7589"/>
    <w:rsid w:val="00FB75AC"/>
    <w:rsid w:val="00FB7A50"/>
    <w:rsid w:val="00FB7C10"/>
    <w:rsid w:val="00FB7D91"/>
    <w:rsid w:val="00FB7EFE"/>
    <w:rsid w:val="00FC00AB"/>
    <w:rsid w:val="00FC022E"/>
    <w:rsid w:val="00FC037F"/>
    <w:rsid w:val="00FC05ED"/>
    <w:rsid w:val="00FC0629"/>
    <w:rsid w:val="00FC0DF2"/>
    <w:rsid w:val="00FC1468"/>
    <w:rsid w:val="00FC1483"/>
    <w:rsid w:val="00FC1A0A"/>
    <w:rsid w:val="00FC2CAD"/>
    <w:rsid w:val="00FC2D3A"/>
    <w:rsid w:val="00FC316F"/>
    <w:rsid w:val="00FC3366"/>
    <w:rsid w:val="00FC3522"/>
    <w:rsid w:val="00FC37B7"/>
    <w:rsid w:val="00FC38E1"/>
    <w:rsid w:val="00FC3981"/>
    <w:rsid w:val="00FC3B0B"/>
    <w:rsid w:val="00FC3BDD"/>
    <w:rsid w:val="00FC4305"/>
    <w:rsid w:val="00FC43C3"/>
    <w:rsid w:val="00FC46BB"/>
    <w:rsid w:val="00FC4B21"/>
    <w:rsid w:val="00FC4C68"/>
    <w:rsid w:val="00FC4D42"/>
    <w:rsid w:val="00FC53BB"/>
    <w:rsid w:val="00FC560B"/>
    <w:rsid w:val="00FC56D5"/>
    <w:rsid w:val="00FC585D"/>
    <w:rsid w:val="00FC5AD9"/>
    <w:rsid w:val="00FC5F2A"/>
    <w:rsid w:val="00FC6091"/>
    <w:rsid w:val="00FC6174"/>
    <w:rsid w:val="00FC6550"/>
    <w:rsid w:val="00FC6642"/>
    <w:rsid w:val="00FC6661"/>
    <w:rsid w:val="00FC681F"/>
    <w:rsid w:val="00FC6913"/>
    <w:rsid w:val="00FC6CEC"/>
    <w:rsid w:val="00FC6D28"/>
    <w:rsid w:val="00FC6DE0"/>
    <w:rsid w:val="00FC6E47"/>
    <w:rsid w:val="00FC778B"/>
    <w:rsid w:val="00FC7A4F"/>
    <w:rsid w:val="00FC7CB6"/>
    <w:rsid w:val="00FC7EA8"/>
    <w:rsid w:val="00FC7EB6"/>
    <w:rsid w:val="00FC7F5E"/>
    <w:rsid w:val="00FC7F9D"/>
    <w:rsid w:val="00FD048C"/>
    <w:rsid w:val="00FD065D"/>
    <w:rsid w:val="00FD070C"/>
    <w:rsid w:val="00FD079D"/>
    <w:rsid w:val="00FD1001"/>
    <w:rsid w:val="00FD105E"/>
    <w:rsid w:val="00FD19AF"/>
    <w:rsid w:val="00FD1AA5"/>
    <w:rsid w:val="00FD1B38"/>
    <w:rsid w:val="00FD1C62"/>
    <w:rsid w:val="00FD1E3A"/>
    <w:rsid w:val="00FD233A"/>
    <w:rsid w:val="00FD2776"/>
    <w:rsid w:val="00FD28FA"/>
    <w:rsid w:val="00FD2AFF"/>
    <w:rsid w:val="00FD2CDD"/>
    <w:rsid w:val="00FD31FE"/>
    <w:rsid w:val="00FD32EA"/>
    <w:rsid w:val="00FD3E49"/>
    <w:rsid w:val="00FD4154"/>
    <w:rsid w:val="00FD42BA"/>
    <w:rsid w:val="00FD47A4"/>
    <w:rsid w:val="00FD488E"/>
    <w:rsid w:val="00FD48AF"/>
    <w:rsid w:val="00FD492D"/>
    <w:rsid w:val="00FD4C6A"/>
    <w:rsid w:val="00FD4CAE"/>
    <w:rsid w:val="00FD4D7D"/>
    <w:rsid w:val="00FD4E5F"/>
    <w:rsid w:val="00FD4E73"/>
    <w:rsid w:val="00FD4ED3"/>
    <w:rsid w:val="00FD5297"/>
    <w:rsid w:val="00FD52D2"/>
    <w:rsid w:val="00FD539F"/>
    <w:rsid w:val="00FD54B0"/>
    <w:rsid w:val="00FD5564"/>
    <w:rsid w:val="00FD5752"/>
    <w:rsid w:val="00FD5964"/>
    <w:rsid w:val="00FD5996"/>
    <w:rsid w:val="00FD59E9"/>
    <w:rsid w:val="00FD5C6B"/>
    <w:rsid w:val="00FD5C7C"/>
    <w:rsid w:val="00FD60A9"/>
    <w:rsid w:val="00FD619E"/>
    <w:rsid w:val="00FD6282"/>
    <w:rsid w:val="00FD636D"/>
    <w:rsid w:val="00FD6691"/>
    <w:rsid w:val="00FD6A52"/>
    <w:rsid w:val="00FD6CD6"/>
    <w:rsid w:val="00FD6F32"/>
    <w:rsid w:val="00FD73B1"/>
    <w:rsid w:val="00FD73D7"/>
    <w:rsid w:val="00FD7A42"/>
    <w:rsid w:val="00FD7A7D"/>
    <w:rsid w:val="00FD7A89"/>
    <w:rsid w:val="00FD7C89"/>
    <w:rsid w:val="00FD7FC7"/>
    <w:rsid w:val="00FE0729"/>
    <w:rsid w:val="00FE0E23"/>
    <w:rsid w:val="00FE1254"/>
    <w:rsid w:val="00FE1533"/>
    <w:rsid w:val="00FE1639"/>
    <w:rsid w:val="00FE193D"/>
    <w:rsid w:val="00FE1B95"/>
    <w:rsid w:val="00FE1DDA"/>
    <w:rsid w:val="00FE224A"/>
    <w:rsid w:val="00FE24C8"/>
    <w:rsid w:val="00FE27B8"/>
    <w:rsid w:val="00FE27CB"/>
    <w:rsid w:val="00FE29A8"/>
    <w:rsid w:val="00FE2A23"/>
    <w:rsid w:val="00FE2E11"/>
    <w:rsid w:val="00FE3135"/>
    <w:rsid w:val="00FE31A6"/>
    <w:rsid w:val="00FE32CA"/>
    <w:rsid w:val="00FE357C"/>
    <w:rsid w:val="00FE36F8"/>
    <w:rsid w:val="00FE3718"/>
    <w:rsid w:val="00FE37B7"/>
    <w:rsid w:val="00FE394F"/>
    <w:rsid w:val="00FE3A35"/>
    <w:rsid w:val="00FE3B54"/>
    <w:rsid w:val="00FE3D71"/>
    <w:rsid w:val="00FE43ED"/>
    <w:rsid w:val="00FE4951"/>
    <w:rsid w:val="00FE4ACC"/>
    <w:rsid w:val="00FE4DED"/>
    <w:rsid w:val="00FE4F25"/>
    <w:rsid w:val="00FE5121"/>
    <w:rsid w:val="00FE5199"/>
    <w:rsid w:val="00FE53F2"/>
    <w:rsid w:val="00FE5510"/>
    <w:rsid w:val="00FE55F4"/>
    <w:rsid w:val="00FE56E3"/>
    <w:rsid w:val="00FE5C21"/>
    <w:rsid w:val="00FE5C8F"/>
    <w:rsid w:val="00FE5F63"/>
    <w:rsid w:val="00FE5FDF"/>
    <w:rsid w:val="00FE61D9"/>
    <w:rsid w:val="00FE65B4"/>
    <w:rsid w:val="00FE660F"/>
    <w:rsid w:val="00FE69F7"/>
    <w:rsid w:val="00FE6C6F"/>
    <w:rsid w:val="00FE6DEE"/>
    <w:rsid w:val="00FE7371"/>
    <w:rsid w:val="00FE737A"/>
    <w:rsid w:val="00FE73FE"/>
    <w:rsid w:val="00FE7422"/>
    <w:rsid w:val="00FE74FD"/>
    <w:rsid w:val="00FE766F"/>
    <w:rsid w:val="00FE76DE"/>
    <w:rsid w:val="00FE77E1"/>
    <w:rsid w:val="00FE7A18"/>
    <w:rsid w:val="00FE7FC2"/>
    <w:rsid w:val="00FF021C"/>
    <w:rsid w:val="00FF0520"/>
    <w:rsid w:val="00FF0938"/>
    <w:rsid w:val="00FF0999"/>
    <w:rsid w:val="00FF0A4D"/>
    <w:rsid w:val="00FF0D42"/>
    <w:rsid w:val="00FF1323"/>
    <w:rsid w:val="00FF1362"/>
    <w:rsid w:val="00FF1938"/>
    <w:rsid w:val="00FF1DEE"/>
    <w:rsid w:val="00FF23C5"/>
    <w:rsid w:val="00FF240F"/>
    <w:rsid w:val="00FF2794"/>
    <w:rsid w:val="00FF2839"/>
    <w:rsid w:val="00FF3BBC"/>
    <w:rsid w:val="00FF401B"/>
    <w:rsid w:val="00FF4159"/>
    <w:rsid w:val="00FF415A"/>
    <w:rsid w:val="00FF480F"/>
    <w:rsid w:val="00FF48C7"/>
    <w:rsid w:val="00FF544C"/>
    <w:rsid w:val="00FF5800"/>
    <w:rsid w:val="00FF5A83"/>
    <w:rsid w:val="00FF5C5C"/>
    <w:rsid w:val="00FF5DC5"/>
    <w:rsid w:val="00FF5EAF"/>
    <w:rsid w:val="00FF5ED2"/>
    <w:rsid w:val="00FF5EE5"/>
    <w:rsid w:val="00FF606D"/>
    <w:rsid w:val="00FF6482"/>
    <w:rsid w:val="00FF65FF"/>
    <w:rsid w:val="00FF6FCB"/>
    <w:rsid w:val="00FF73FD"/>
    <w:rsid w:val="00FF774D"/>
    <w:rsid w:val="0135106A"/>
    <w:rsid w:val="02227A7A"/>
    <w:rsid w:val="0304D6F8"/>
    <w:rsid w:val="03A19E1F"/>
    <w:rsid w:val="03E6F080"/>
    <w:rsid w:val="04EE4E29"/>
    <w:rsid w:val="0503CDCB"/>
    <w:rsid w:val="0688737C"/>
    <w:rsid w:val="06B9D57A"/>
    <w:rsid w:val="06F6C8A7"/>
    <w:rsid w:val="07911600"/>
    <w:rsid w:val="0AF5DDE0"/>
    <w:rsid w:val="0B1996FB"/>
    <w:rsid w:val="0EC80FDF"/>
    <w:rsid w:val="0F2D91D3"/>
    <w:rsid w:val="103BF117"/>
    <w:rsid w:val="10A65E54"/>
    <w:rsid w:val="119C5E75"/>
    <w:rsid w:val="13CAEB19"/>
    <w:rsid w:val="13EB5FF3"/>
    <w:rsid w:val="142F218D"/>
    <w:rsid w:val="16751645"/>
    <w:rsid w:val="167EDF63"/>
    <w:rsid w:val="16B93DAE"/>
    <w:rsid w:val="1824AC63"/>
    <w:rsid w:val="1AA9052D"/>
    <w:rsid w:val="1BFD1693"/>
    <w:rsid w:val="1CB23460"/>
    <w:rsid w:val="1DA549C9"/>
    <w:rsid w:val="1ED865CE"/>
    <w:rsid w:val="211071FA"/>
    <w:rsid w:val="22C0B7EA"/>
    <w:rsid w:val="237C440A"/>
    <w:rsid w:val="247FCDF1"/>
    <w:rsid w:val="25490781"/>
    <w:rsid w:val="260CEE32"/>
    <w:rsid w:val="28376370"/>
    <w:rsid w:val="285766AA"/>
    <w:rsid w:val="29C1C04A"/>
    <w:rsid w:val="2AE3ED1B"/>
    <w:rsid w:val="2B91F591"/>
    <w:rsid w:val="2C74D035"/>
    <w:rsid w:val="2C891D8B"/>
    <w:rsid w:val="2D048F10"/>
    <w:rsid w:val="2DD55970"/>
    <w:rsid w:val="2E13DF0F"/>
    <w:rsid w:val="2F940CEE"/>
    <w:rsid w:val="3132A33E"/>
    <w:rsid w:val="31D35DB1"/>
    <w:rsid w:val="31D6D38D"/>
    <w:rsid w:val="3365E70D"/>
    <w:rsid w:val="33D502E5"/>
    <w:rsid w:val="34D3AC34"/>
    <w:rsid w:val="364F7B46"/>
    <w:rsid w:val="36631AE8"/>
    <w:rsid w:val="37DE50C3"/>
    <w:rsid w:val="38216E06"/>
    <w:rsid w:val="3885E3CF"/>
    <w:rsid w:val="38A105FC"/>
    <w:rsid w:val="3920D487"/>
    <w:rsid w:val="39CAA4F3"/>
    <w:rsid w:val="3E14FE68"/>
    <w:rsid w:val="408F0193"/>
    <w:rsid w:val="41E3610A"/>
    <w:rsid w:val="425E33FA"/>
    <w:rsid w:val="43C8362F"/>
    <w:rsid w:val="43F6E3AB"/>
    <w:rsid w:val="44675B60"/>
    <w:rsid w:val="456326D4"/>
    <w:rsid w:val="460D0E1B"/>
    <w:rsid w:val="46693213"/>
    <w:rsid w:val="4674FC05"/>
    <w:rsid w:val="46E5BE75"/>
    <w:rsid w:val="46FFC3AA"/>
    <w:rsid w:val="4706E3C0"/>
    <w:rsid w:val="471F5A5D"/>
    <w:rsid w:val="4726E780"/>
    <w:rsid w:val="47282432"/>
    <w:rsid w:val="48543695"/>
    <w:rsid w:val="4A43EACF"/>
    <w:rsid w:val="4B1E9F67"/>
    <w:rsid w:val="4BA12AE3"/>
    <w:rsid w:val="4D454C76"/>
    <w:rsid w:val="4E0E78A0"/>
    <w:rsid w:val="4E66102B"/>
    <w:rsid w:val="4EBCFFC5"/>
    <w:rsid w:val="4FB3DA36"/>
    <w:rsid w:val="4FECAA13"/>
    <w:rsid w:val="501FFDD7"/>
    <w:rsid w:val="50F7A156"/>
    <w:rsid w:val="51629865"/>
    <w:rsid w:val="5220EF03"/>
    <w:rsid w:val="52495B59"/>
    <w:rsid w:val="52D068FE"/>
    <w:rsid w:val="52D71F6E"/>
    <w:rsid w:val="531FB304"/>
    <w:rsid w:val="54078F8C"/>
    <w:rsid w:val="547759BA"/>
    <w:rsid w:val="553E74C1"/>
    <w:rsid w:val="570A3274"/>
    <w:rsid w:val="579E6FB7"/>
    <w:rsid w:val="579F8E47"/>
    <w:rsid w:val="581200F4"/>
    <w:rsid w:val="58A3A780"/>
    <w:rsid w:val="5AAFC8B4"/>
    <w:rsid w:val="5AD04B93"/>
    <w:rsid w:val="5C5F92AD"/>
    <w:rsid w:val="5D8D74D4"/>
    <w:rsid w:val="5F1B452C"/>
    <w:rsid w:val="612B1B62"/>
    <w:rsid w:val="61FA2D78"/>
    <w:rsid w:val="62C9F8A9"/>
    <w:rsid w:val="63AD1FAB"/>
    <w:rsid w:val="6475BCB0"/>
    <w:rsid w:val="6555AE3F"/>
    <w:rsid w:val="6745C681"/>
    <w:rsid w:val="67998927"/>
    <w:rsid w:val="689E5C33"/>
    <w:rsid w:val="68F3BAC3"/>
    <w:rsid w:val="68FA583A"/>
    <w:rsid w:val="694D7E29"/>
    <w:rsid w:val="695348DA"/>
    <w:rsid w:val="6A1557A0"/>
    <w:rsid w:val="6A63AEA1"/>
    <w:rsid w:val="6B7FF216"/>
    <w:rsid w:val="6C789D2B"/>
    <w:rsid w:val="70B086BD"/>
    <w:rsid w:val="722666AE"/>
    <w:rsid w:val="723316D7"/>
    <w:rsid w:val="72CACE6C"/>
    <w:rsid w:val="731F76C3"/>
    <w:rsid w:val="73720D07"/>
    <w:rsid w:val="73A4237A"/>
    <w:rsid w:val="74178A0C"/>
    <w:rsid w:val="756E2456"/>
    <w:rsid w:val="7589D5FF"/>
    <w:rsid w:val="77333029"/>
    <w:rsid w:val="7734DE64"/>
    <w:rsid w:val="78523F52"/>
    <w:rsid w:val="7A8D39FF"/>
    <w:rsid w:val="7B6192BF"/>
    <w:rsid w:val="7BB2F164"/>
    <w:rsid w:val="7C66B3BE"/>
    <w:rsid w:val="7D4DFA36"/>
    <w:rsid w:val="7D7338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6A36B"/>
  <w15:chartTrackingRefBased/>
  <w15:docId w15:val="{2B87ACDB-5A84-48A4-821C-1D5A12F6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0CC"/>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4B7400"/>
    <w:pPr>
      <w:keepNext/>
      <w:widowControl w:val="0"/>
      <w:tabs>
        <w:tab w:val="left" w:pos="851"/>
      </w:tabs>
      <w:spacing w:line="240" w:lineRule="auto"/>
      <w:outlineLvl w:val="0"/>
    </w:pPr>
    <w:rPr>
      <w:rFonts w:ascii="Montserrat Ultra Light" w:eastAsiaTheme="majorEastAsia" w:hAnsi="Montserrat Ultra Light" w:cstheme="majorBidi"/>
      <w:b/>
      <w:bCs/>
      <w:color w:val="004563"/>
      <w:sz w:val="56"/>
      <w:szCs w:val="28"/>
    </w:rPr>
  </w:style>
  <w:style w:type="paragraph" w:styleId="Heading2">
    <w:name w:val="heading 2"/>
    <w:basedOn w:val="Normal"/>
    <w:next w:val="Heading3"/>
    <w:link w:val="Heading2Char"/>
    <w:uiPriority w:val="9"/>
    <w:qFormat/>
    <w:rsid w:val="00B767FA"/>
    <w:pPr>
      <w:keepNext/>
      <w:widowControl w:val="0"/>
      <w:tabs>
        <w:tab w:val="clear" w:pos="567"/>
        <w:tab w:val="left" w:pos="851"/>
      </w:tabs>
      <w:spacing w:after="120" w:line="240" w:lineRule="auto"/>
      <w:ind w:left="851" w:hanging="851"/>
      <w:outlineLvl w:val="1"/>
    </w:pPr>
    <w:rPr>
      <w:rFonts w:ascii="Montserrat Ultra Light" w:eastAsiaTheme="majorEastAsia" w:hAnsi="Montserrat Ultra Light" w:cstheme="majorBidi"/>
      <w:b/>
      <w:bCs/>
      <w:color w:val="004563"/>
      <w:sz w:val="56"/>
      <w:szCs w:val="26"/>
    </w:rPr>
  </w:style>
  <w:style w:type="paragraph" w:styleId="Heading3">
    <w:name w:val="heading 3"/>
    <w:basedOn w:val="Normal"/>
    <w:next w:val="Heading4"/>
    <w:link w:val="Heading3Char"/>
    <w:uiPriority w:val="9"/>
    <w:qFormat/>
    <w:rsid w:val="00F033CF"/>
    <w:pPr>
      <w:keepNext/>
      <w:widowControl w:val="0"/>
      <w:spacing w:before="240" w:line="240" w:lineRule="auto"/>
      <w:outlineLvl w:val="2"/>
    </w:pPr>
    <w:rPr>
      <w:rFonts w:ascii="Montserrat Extra Bold" w:eastAsiaTheme="majorEastAsia" w:hAnsi="Montserrat Extra Bold" w:cstheme="majorBidi"/>
      <w:bCs/>
      <w:color w:val="004563"/>
      <w:sz w:val="32"/>
    </w:rPr>
  </w:style>
  <w:style w:type="paragraph" w:styleId="Heading4">
    <w:name w:val="heading 4"/>
    <w:basedOn w:val="Normal"/>
    <w:next w:val="Heading5"/>
    <w:link w:val="Heading4Char"/>
    <w:uiPriority w:val="9"/>
    <w:qFormat/>
    <w:rsid w:val="00F033CF"/>
    <w:pPr>
      <w:keepNext/>
      <w:widowControl w:val="0"/>
      <w:spacing w:before="240" w:line="240" w:lineRule="auto"/>
      <w:outlineLvl w:val="3"/>
    </w:pPr>
    <w:rPr>
      <w:rFonts w:ascii="Montserrat Semi Bold" w:eastAsiaTheme="majorEastAsia" w:hAnsi="Montserrat Semi Bold" w:cstheme="majorBidi"/>
      <w:bCs/>
      <w:iCs/>
      <w:color w:val="006991"/>
      <w:sz w:val="28"/>
    </w:rPr>
  </w:style>
  <w:style w:type="paragraph" w:styleId="Heading5">
    <w:name w:val="heading 5"/>
    <w:basedOn w:val="Normal"/>
    <w:next w:val="Heading6"/>
    <w:link w:val="Heading5Char"/>
    <w:uiPriority w:val="9"/>
    <w:qFormat/>
    <w:rsid w:val="00F033CF"/>
    <w:pPr>
      <w:keepNext/>
      <w:tabs>
        <w:tab w:val="clear" w:pos="567"/>
      </w:tabs>
      <w:outlineLvl w:val="4"/>
    </w:pPr>
    <w:rPr>
      <w:rFonts w:ascii="Montserrat Semi Bold" w:eastAsiaTheme="majorEastAsia" w:hAnsi="Montserrat Semi Bold" w:cstheme="majorBidi"/>
      <w:color w:val="636466"/>
      <w:sz w:val="24"/>
    </w:rPr>
  </w:style>
  <w:style w:type="paragraph" w:styleId="Heading6">
    <w:name w:val="heading 6"/>
    <w:basedOn w:val="Normal"/>
    <w:next w:val="Normal"/>
    <w:link w:val="Heading6Char"/>
    <w:uiPriority w:val="9"/>
    <w:qFormat/>
    <w:rsid w:val="00F033CF"/>
    <w:pPr>
      <w:keepNext/>
      <w:keepLines/>
      <w:outlineLvl w:val="5"/>
    </w:pPr>
    <w:rPr>
      <w:rFonts w:ascii="Montserrat Semi Bold" w:eastAsiaTheme="majorEastAsia" w:hAnsi="Montserrat Semi Bold" w:cstheme="majorBidi"/>
      <w:i/>
      <w:iCs/>
      <w:color w:val="6364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Bullet1">
    <w:name w:val="CGC Bullet 1"/>
    <w:basedOn w:val="Normal"/>
    <w:qFormat/>
    <w:rsid w:val="001F5CB2"/>
    <w:pPr>
      <w:numPr>
        <w:numId w:val="1"/>
      </w:numPr>
      <w:ind w:left="924" w:hanging="357"/>
    </w:pPr>
  </w:style>
  <w:style w:type="paragraph" w:customStyle="1" w:styleId="CGCBullet2">
    <w:name w:val="CGC Bullet 2"/>
    <w:basedOn w:val="Normal"/>
    <w:qFormat/>
    <w:rsid w:val="00BC27E2"/>
    <w:pPr>
      <w:numPr>
        <w:numId w:val="2"/>
      </w:numPr>
      <w:ind w:left="1191" w:hanging="340"/>
    </w:pPr>
  </w:style>
  <w:style w:type="paragraph" w:customStyle="1" w:styleId="CGCBullet3">
    <w:name w:val="CGC Bullet 3"/>
    <w:basedOn w:val="Normal"/>
    <w:qFormat/>
    <w:rsid w:val="00BC27E2"/>
    <w:pPr>
      <w:numPr>
        <w:numId w:val="3"/>
      </w:numPr>
    </w:pPr>
  </w:style>
  <w:style w:type="paragraph" w:customStyle="1" w:styleId="CGCTableFootnote">
    <w:name w:val="CGC Table Footnote"/>
    <w:basedOn w:val="Normal"/>
    <w:next w:val="NoSpacing"/>
    <w:link w:val="CGCTableFootnoteChar"/>
    <w:qFormat/>
    <w:rsid w:val="00556773"/>
    <w:pPr>
      <w:tabs>
        <w:tab w:val="clear" w:pos="567"/>
        <w:tab w:val="left" w:pos="680"/>
      </w:tabs>
      <w:spacing w:before="40" w:line="240" w:lineRule="auto"/>
      <w:ind w:left="340" w:hanging="227"/>
    </w:pPr>
    <w:rPr>
      <w:sz w:val="14"/>
      <w:szCs w:val="24"/>
    </w:rPr>
  </w:style>
  <w:style w:type="character" w:customStyle="1" w:styleId="CGCTableFootnoteChar">
    <w:name w:val="CGC Table Footnote Char"/>
    <w:basedOn w:val="DefaultParagraphFont"/>
    <w:link w:val="CGCTableFootnote"/>
    <w:rsid w:val="00556773"/>
    <w:rPr>
      <w:rFonts w:ascii="Open Sans Light" w:hAnsi="Open Sans Light"/>
      <w:sz w:val="14"/>
      <w:szCs w:val="24"/>
    </w:rPr>
  </w:style>
  <w:style w:type="paragraph" w:styleId="NoSpacing">
    <w:name w:val="No Spacing"/>
    <w:link w:val="NoSpacingChar"/>
    <w:uiPriority w:val="1"/>
    <w:qFormat/>
    <w:rsid w:val="00F033CF"/>
    <w:pPr>
      <w:tabs>
        <w:tab w:val="left" w:pos="567"/>
      </w:tabs>
      <w:spacing w:after="0" w:line="240" w:lineRule="auto"/>
    </w:pPr>
    <w:rPr>
      <w:sz w:val="24"/>
    </w:rPr>
  </w:style>
  <w:style w:type="paragraph" w:customStyle="1" w:styleId="CGCDataCaption">
    <w:name w:val="CGC Data Caption"/>
    <w:basedOn w:val="CGCTableFootnote"/>
    <w:next w:val="NoSpacing"/>
    <w:link w:val="DataCaptionChar"/>
    <w:rsid w:val="00F033CF"/>
    <w:rPr>
      <w:rFonts w:asciiTheme="minorHAnsi" w:hAnsiTheme="minorHAnsi"/>
      <w:sz w:val="20"/>
    </w:rPr>
  </w:style>
  <w:style w:type="character" w:customStyle="1" w:styleId="DataCaptionChar">
    <w:name w:val="Data Caption Char"/>
    <w:basedOn w:val="DefaultParagraphFont"/>
    <w:link w:val="CGCDataCaption"/>
    <w:rsid w:val="00F033CF"/>
    <w:rPr>
      <w:sz w:val="20"/>
      <w:szCs w:val="24"/>
    </w:rPr>
  </w:style>
  <w:style w:type="paragraph" w:customStyle="1" w:styleId="CGCParaNumber">
    <w:name w:val="CGC Para Number"/>
    <w:basedOn w:val="Normal"/>
    <w:qFormat/>
    <w:rsid w:val="00E6755A"/>
    <w:pPr>
      <w:numPr>
        <w:numId w:val="4"/>
      </w:numPr>
      <w:ind w:left="567" w:hanging="567"/>
    </w:pPr>
  </w:style>
  <w:style w:type="paragraph" w:customStyle="1" w:styleId="CGCQuoteText">
    <w:name w:val="CGC Quote Text"/>
    <w:basedOn w:val="Normal"/>
    <w:next w:val="Normal"/>
    <w:qFormat/>
    <w:rsid w:val="00F033CF"/>
    <w:pPr>
      <w:spacing w:after="120"/>
      <w:ind w:left="1021" w:right="1021"/>
    </w:pPr>
  </w:style>
  <w:style w:type="paragraph" w:customStyle="1" w:styleId="CGCQuoteBullet">
    <w:name w:val="CGC Quote Bullet"/>
    <w:basedOn w:val="CGCQuoteText"/>
    <w:next w:val="Normal"/>
    <w:qFormat/>
    <w:rsid w:val="00F033CF"/>
    <w:pPr>
      <w:ind w:left="1378" w:hanging="357"/>
    </w:pPr>
  </w:style>
  <w:style w:type="paragraph" w:customStyle="1" w:styleId="CGCTableheader">
    <w:name w:val="CGC Table header"/>
    <w:basedOn w:val="Normal"/>
    <w:next w:val="Normal"/>
    <w:rsid w:val="00754E2E"/>
    <w:pPr>
      <w:spacing w:before="0" w:line="240" w:lineRule="auto"/>
    </w:pPr>
    <w:rPr>
      <w:rFonts w:ascii="Open Sans SemiBold" w:hAnsi="Open Sans SemiBold"/>
      <w:color w:val="FFFFFF" w:themeColor="background1"/>
      <w:sz w:val="16"/>
    </w:rPr>
  </w:style>
  <w:style w:type="paragraph" w:customStyle="1" w:styleId="CGCTableHeading">
    <w:name w:val="CGC Table Heading"/>
    <w:basedOn w:val="Normal"/>
    <w:next w:val="Normal"/>
    <w:link w:val="CGCTableHeadingChar"/>
    <w:qFormat/>
    <w:rsid w:val="00811A06"/>
    <w:pPr>
      <w:keepNext/>
      <w:keepLines/>
      <w:tabs>
        <w:tab w:val="clear" w:pos="567"/>
        <w:tab w:val="left" w:pos="1420"/>
      </w:tabs>
      <w:spacing w:before="240" w:after="120" w:line="240" w:lineRule="auto"/>
      <w:ind w:left="1134" w:hanging="1134"/>
    </w:pPr>
    <w:rPr>
      <w:rFonts w:ascii="Montserrat Ultra Light" w:hAnsi="Montserrat Ultra Light"/>
      <w:b/>
      <w:iCs/>
      <w:color w:val="000000" w:themeColor="text1"/>
      <w:szCs w:val="18"/>
    </w:rPr>
  </w:style>
  <w:style w:type="character" w:customStyle="1" w:styleId="CGCTableHeadingChar">
    <w:name w:val="CGC Table Heading Char"/>
    <w:basedOn w:val="DefaultParagraphFont"/>
    <w:link w:val="CGCTableHeading"/>
    <w:rsid w:val="00F033CF"/>
    <w:rPr>
      <w:rFonts w:ascii="Montserrat Ultra Light" w:hAnsi="Montserrat Ultra Light"/>
      <w:b/>
      <w:iCs/>
      <w:color w:val="000000" w:themeColor="text1"/>
      <w:sz w:val="20"/>
      <w:szCs w:val="18"/>
    </w:rPr>
  </w:style>
  <w:style w:type="paragraph" w:customStyle="1" w:styleId="CGCTablenote">
    <w:name w:val="CGC Table note"/>
    <w:basedOn w:val="Normal"/>
    <w:next w:val="Normal"/>
    <w:qFormat/>
    <w:rsid w:val="00556773"/>
    <w:pPr>
      <w:tabs>
        <w:tab w:val="clear" w:pos="567"/>
        <w:tab w:val="left" w:pos="680"/>
      </w:tabs>
      <w:spacing w:before="40" w:line="240" w:lineRule="auto"/>
      <w:ind w:left="680" w:hanging="567"/>
    </w:pPr>
    <w:rPr>
      <w:sz w:val="14"/>
    </w:rPr>
  </w:style>
  <w:style w:type="paragraph" w:customStyle="1" w:styleId="CGCTablerow">
    <w:name w:val="CGC Table row"/>
    <w:basedOn w:val="Normal"/>
    <w:rsid w:val="00F033CF"/>
    <w:pPr>
      <w:spacing w:before="0" w:line="240" w:lineRule="auto"/>
    </w:pPr>
    <w:rPr>
      <w:sz w:val="16"/>
    </w:rPr>
  </w:style>
  <w:style w:type="paragraph" w:customStyle="1" w:styleId="CGCTablesubhead1">
    <w:name w:val="CGC Table subhead1"/>
    <w:basedOn w:val="Normal"/>
    <w:rsid w:val="00F033CF"/>
    <w:pPr>
      <w:spacing w:before="0" w:line="240" w:lineRule="auto"/>
    </w:pPr>
    <w:rPr>
      <w:rFonts w:ascii="Open Sans SemiBold" w:hAnsi="Open Sans SemiBold"/>
      <w:sz w:val="16"/>
    </w:rPr>
  </w:style>
  <w:style w:type="paragraph" w:customStyle="1" w:styleId="CGCTablesubhead2">
    <w:name w:val="CGC Table subhead2"/>
    <w:basedOn w:val="Normal"/>
    <w:rsid w:val="0028772D"/>
    <w:pPr>
      <w:spacing w:before="0" w:line="240" w:lineRule="auto"/>
      <w:jc w:val="right"/>
    </w:pPr>
    <w:rPr>
      <w:rFonts w:ascii="Open Sans SemiBold" w:hAnsi="Open Sans SemiBold"/>
      <w:sz w:val="16"/>
    </w:rPr>
  </w:style>
  <w:style w:type="paragraph" w:customStyle="1" w:styleId="CGCTabletitle">
    <w:name w:val="CGC Table title"/>
    <w:basedOn w:val="Normal"/>
    <w:next w:val="Normal"/>
    <w:rsid w:val="00F033CF"/>
    <w:pPr>
      <w:spacing w:before="240" w:after="120" w:line="240" w:lineRule="auto"/>
    </w:pPr>
    <w:rPr>
      <w:rFonts w:ascii="Montserrat Ultra Light" w:hAnsi="Montserrat Ultra Light"/>
      <w:b/>
    </w:rPr>
  </w:style>
  <w:style w:type="paragraph" w:styleId="Footer">
    <w:name w:val="footer"/>
    <w:basedOn w:val="Normal"/>
    <w:link w:val="FooterChar"/>
    <w:uiPriority w:val="99"/>
    <w:unhideWhenUsed/>
    <w:rsid w:val="00F033CF"/>
    <w:pPr>
      <w:tabs>
        <w:tab w:val="center" w:pos="4513"/>
        <w:tab w:val="right" w:pos="9026"/>
      </w:tabs>
      <w:spacing w:before="0" w:line="240" w:lineRule="auto"/>
      <w:ind w:left="-284" w:right="-284"/>
      <w:jc w:val="right"/>
    </w:pPr>
    <w:rPr>
      <w:rFonts w:ascii="Montserrat Ultra Light" w:hAnsi="Montserrat Ultra Light"/>
      <w:b/>
      <w:color w:val="004563"/>
    </w:rPr>
  </w:style>
  <w:style w:type="character" w:customStyle="1" w:styleId="FooterChar">
    <w:name w:val="Footer Char"/>
    <w:basedOn w:val="DefaultParagraphFont"/>
    <w:link w:val="Footer"/>
    <w:uiPriority w:val="99"/>
    <w:rsid w:val="00F033CF"/>
    <w:rPr>
      <w:rFonts w:ascii="Montserrat Ultra Light" w:hAnsi="Montserrat Ultra Light"/>
      <w:b/>
      <w:color w:val="004563"/>
      <w:sz w:val="18"/>
    </w:rPr>
  </w:style>
  <w:style w:type="character" w:styleId="FootnoteReference">
    <w:name w:val="footnote reference"/>
    <w:basedOn w:val="DefaultParagraphFont"/>
    <w:rsid w:val="00F033CF"/>
    <w:rPr>
      <w:vertAlign w:val="superscript"/>
    </w:rPr>
  </w:style>
  <w:style w:type="paragraph" w:styleId="FootnoteText">
    <w:name w:val="footnote text"/>
    <w:basedOn w:val="Normal"/>
    <w:link w:val="FootnoteTextChar"/>
    <w:qFormat/>
    <w:rsid w:val="007E0B49"/>
    <w:pPr>
      <w:tabs>
        <w:tab w:val="clear" w:pos="567"/>
        <w:tab w:val="left" w:pos="227"/>
      </w:tabs>
      <w:spacing w:before="40" w:line="240" w:lineRule="auto"/>
      <w:ind w:left="227" w:hanging="227"/>
    </w:pPr>
    <w:rPr>
      <w:sz w:val="14"/>
      <w:szCs w:val="20"/>
    </w:rPr>
  </w:style>
  <w:style w:type="character" w:customStyle="1" w:styleId="FootnoteTextChar">
    <w:name w:val="Footnote Text Char"/>
    <w:basedOn w:val="DefaultParagraphFont"/>
    <w:link w:val="FootnoteText"/>
    <w:rsid w:val="007E0B49"/>
    <w:rPr>
      <w:rFonts w:ascii="Open Sans Light" w:hAnsi="Open Sans Light"/>
      <w:sz w:val="14"/>
      <w:szCs w:val="20"/>
    </w:rPr>
  </w:style>
  <w:style w:type="paragraph" w:styleId="Header">
    <w:name w:val="header"/>
    <w:basedOn w:val="Normal"/>
    <w:link w:val="HeaderChar"/>
    <w:uiPriority w:val="99"/>
    <w:unhideWhenUsed/>
    <w:rsid w:val="00F033CF"/>
    <w:pPr>
      <w:tabs>
        <w:tab w:val="center" w:pos="4513"/>
        <w:tab w:val="right" w:pos="9026"/>
      </w:tabs>
      <w:spacing w:before="0" w:line="240" w:lineRule="auto"/>
      <w:jc w:val="right"/>
    </w:pPr>
    <w:rPr>
      <w:rFonts w:ascii="Montserrat Ultra Light" w:hAnsi="Montserrat Ultra Light"/>
      <w:color w:val="004563"/>
    </w:rPr>
  </w:style>
  <w:style w:type="character" w:customStyle="1" w:styleId="HeaderChar">
    <w:name w:val="Header Char"/>
    <w:basedOn w:val="DefaultParagraphFont"/>
    <w:link w:val="Header"/>
    <w:uiPriority w:val="99"/>
    <w:rsid w:val="00F033CF"/>
    <w:rPr>
      <w:rFonts w:ascii="Montserrat Ultra Light" w:hAnsi="Montserrat Ultra Light"/>
      <w:color w:val="004563"/>
      <w:sz w:val="18"/>
    </w:rPr>
  </w:style>
  <w:style w:type="character" w:customStyle="1" w:styleId="Heading1Char">
    <w:name w:val="Heading 1 Char"/>
    <w:basedOn w:val="DefaultParagraphFont"/>
    <w:link w:val="Heading1"/>
    <w:uiPriority w:val="9"/>
    <w:rsid w:val="00F033CF"/>
    <w:rPr>
      <w:rFonts w:ascii="Montserrat Ultra Light" w:eastAsiaTheme="majorEastAsia" w:hAnsi="Montserrat Ultra Light" w:cstheme="majorBidi"/>
      <w:b/>
      <w:bCs/>
      <w:color w:val="004563"/>
      <w:sz w:val="56"/>
      <w:szCs w:val="28"/>
    </w:rPr>
  </w:style>
  <w:style w:type="character" w:customStyle="1" w:styleId="Heading2Char">
    <w:name w:val="Heading 2 Char"/>
    <w:basedOn w:val="DefaultParagraphFont"/>
    <w:link w:val="Heading2"/>
    <w:uiPriority w:val="9"/>
    <w:rsid w:val="00B767FA"/>
    <w:rPr>
      <w:rFonts w:ascii="Montserrat Ultra Light" w:eastAsiaTheme="majorEastAsia" w:hAnsi="Montserrat Ultra Light" w:cstheme="majorBidi"/>
      <w:b/>
      <w:bCs/>
      <w:color w:val="004563"/>
      <w:sz w:val="56"/>
      <w:szCs w:val="26"/>
    </w:rPr>
  </w:style>
  <w:style w:type="character" w:customStyle="1" w:styleId="Heading3Char">
    <w:name w:val="Heading 3 Char"/>
    <w:basedOn w:val="DefaultParagraphFont"/>
    <w:link w:val="Heading3"/>
    <w:uiPriority w:val="9"/>
    <w:rsid w:val="00F033CF"/>
    <w:rPr>
      <w:rFonts w:ascii="Montserrat Extra Bold" w:eastAsiaTheme="majorEastAsia" w:hAnsi="Montserrat Extra Bold" w:cstheme="majorBidi"/>
      <w:bCs/>
      <w:color w:val="004563"/>
      <w:sz w:val="32"/>
    </w:rPr>
  </w:style>
  <w:style w:type="character" w:customStyle="1" w:styleId="Heading4Char">
    <w:name w:val="Heading 4 Char"/>
    <w:basedOn w:val="DefaultParagraphFont"/>
    <w:link w:val="Heading4"/>
    <w:uiPriority w:val="9"/>
    <w:rsid w:val="00F033CF"/>
    <w:rPr>
      <w:rFonts w:ascii="Montserrat Semi Bold" w:eastAsiaTheme="majorEastAsia" w:hAnsi="Montserrat Semi Bold" w:cstheme="majorBidi"/>
      <w:bCs/>
      <w:iCs/>
      <w:color w:val="006991"/>
      <w:sz w:val="28"/>
    </w:rPr>
  </w:style>
  <w:style w:type="character" w:customStyle="1" w:styleId="Heading5Char">
    <w:name w:val="Heading 5 Char"/>
    <w:basedOn w:val="DefaultParagraphFont"/>
    <w:link w:val="Heading5"/>
    <w:uiPriority w:val="9"/>
    <w:rsid w:val="00F033CF"/>
    <w:rPr>
      <w:rFonts w:ascii="Montserrat Semi Bold" w:eastAsiaTheme="majorEastAsia" w:hAnsi="Montserrat Semi Bold" w:cstheme="majorBidi"/>
      <w:color w:val="636466"/>
      <w:sz w:val="24"/>
    </w:rPr>
  </w:style>
  <w:style w:type="character" w:customStyle="1" w:styleId="Heading6Char">
    <w:name w:val="Heading 6 Char"/>
    <w:basedOn w:val="DefaultParagraphFont"/>
    <w:link w:val="Heading6"/>
    <w:uiPriority w:val="9"/>
    <w:rsid w:val="00F033CF"/>
    <w:rPr>
      <w:rFonts w:ascii="Montserrat Semi Bold" w:eastAsiaTheme="majorEastAsia" w:hAnsi="Montserrat Semi Bold" w:cstheme="majorBidi"/>
      <w:i/>
      <w:iCs/>
      <w:color w:val="636466"/>
      <w:sz w:val="20"/>
    </w:rPr>
  </w:style>
  <w:style w:type="character" w:styleId="Hyperlink">
    <w:name w:val="Hyperlink"/>
    <w:basedOn w:val="DefaultParagraphFont"/>
    <w:uiPriority w:val="99"/>
    <w:unhideWhenUsed/>
    <w:qFormat/>
    <w:rsid w:val="00F033CF"/>
    <w:rPr>
      <w:color w:val="006991"/>
      <w:u w:val="single"/>
    </w:rPr>
  </w:style>
  <w:style w:type="character" w:customStyle="1" w:styleId="NoSpacingChar">
    <w:name w:val="No Spacing Char"/>
    <w:basedOn w:val="DefaultParagraphFont"/>
    <w:link w:val="NoSpacing"/>
    <w:uiPriority w:val="1"/>
    <w:rsid w:val="00F033CF"/>
    <w:rPr>
      <w:sz w:val="24"/>
    </w:rPr>
  </w:style>
  <w:style w:type="paragraph" w:customStyle="1" w:styleId="Publicationtitle1">
    <w:name w:val="Publication title 1"/>
    <w:basedOn w:val="Normal"/>
    <w:next w:val="Normal"/>
    <w:rsid w:val="00B31AFA"/>
    <w:pPr>
      <w:spacing w:line="240" w:lineRule="auto"/>
      <w:jc w:val="center"/>
    </w:pPr>
    <w:rPr>
      <w:rFonts w:ascii="Montserrat Extra Bold" w:hAnsi="Montserrat Extra Bold"/>
      <w:color w:val="004563"/>
      <w:sz w:val="60"/>
    </w:rPr>
  </w:style>
  <w:style w:type="paragraph" w:customStyle="1" w:styleId="Publicationtitle2">
    <w:name w:val="Publication title 2"/>
    <w:basedOn w:val="Publicationtitle1"/>
    <w:next w:val="Normal"/>
    <w:rsid w:val="00F033CF"/>
    <w:rPr>
      <w:rFonts w:ascii="Montserrat Ultra Light" w:hAnsi="Montserrat Ultra Light"/>
      <w:b/>
      <w:color w:val="60B5D7"/>
      <w:sz w:val="52"/>
    </w:rPr>
  </w:style>
  <w:style w:type="paragraph" w:customStyle="1" w:styleId="Publicationtitle3">
    <w:name w:val="Publication title 3"/>
    <w:basedOn w:val="Publicationtitle2"/>
    <w:next w:val="Normal"/>
    <w:rsid w:val="00324303"/>
    <w:rPr>
      <w:b w:val="0"/>
      <w:color w:val="FFFFFF" w:themeColor="background1"/>
    </w:rPr>
  </w:style>
  <w:style w:type="table" w:styleId="TableGrid">
    <w:name w:val="Table Grid"/>
    <w:basedOn w:val="TableNormal"/>
    <w:uiPriority w:val="39"/>
    <w:rsid w:val="00F0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F033C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3CF"/>
    <w:rPr>
      <w:rFonts w:asciiTheme="majorHAnsi" w:eastAsiaTheme="majorEastAsia" w:hAnsiTheme="majorHAnsi" w:cstheme="majorBidi"/>
      <w:spacing w:val="-10"/>
      <w:kern w:val="28"/>
      <w:sz w:val="56"/>
      <w:szCs w:val="56"/>
    </w:rPr>
  </w:style>
  <w:style w:type="paragraph" w:styleId="TOC1">
    <w:name w:val="toc 1"/>
    <w:basedOn w:val="Normal"/>
    <w:next w:val="Normal"/>
    <w:uiPriority w:val="39"/>
    <w:rsid w:val="00E61FFB"/>
    <w:pPr>
      <w:tabs>
        <w:tab w:val="clear" w:pos="567"/>
        <w:tab w:val="right" w:pos="8942"/>
      </w:tabs>
      <w:spacing w:before="80" w:line="240" w:lineRule="auto"/>
      <w:ind w:left="113"/>
    </w:pPr>
    <w:rPr>
      <w:rFonts w:ascii="Open Sans" w:hAnsi="Open Sans"/>
      <w:b/>
      <w:bCs/>
      <w:color w:val="636466"/>
      <w:szCs w:val="20"/>
      <w:lang w:val="en-AU"/>
    </w:rPr>
  </w:style>
  <w:style w:type="paragraph" w:styleId="TOC2">
    <w:name w:val="toc 2"/>
    <w:basedOn w:val="Normal"/>
    <w:next w:val="Normal"/>
    <w:rsid w:val="004938AA"/>
    <w:pPr>
      <w:tabs>
        <w:tab w:val="clear" w:pos="567"/>
        <w:tab w:val="right" w:pos="8942"/>
      </w:tabs>
      <w:spacing w:before="0"/>
      <w:ind w:left="113"/>
    </w:pPr>
    <w:rPr>
      <w:rFonts w:ascii="Open Sans" w:hAnsi="Open Sans"/>
      <w:color w:val="636466"/>
      <w:szCs w:val="20"/>
      <w:lang w:val="en-AU"/>
    </w:rPr>
  </w:style>
  <w:style w:type="paragraph" w:styleId="TOC3">
    <w:name w:val="toc 3"/>
    <w:basedOn w:val="Normal"/>
    <w:next w:val="Normal"/>
    <w:uiPriority w:val="39"/>
    <w:rsid w:val="00E61FFB"/>
    <w:pPr>
      <w:tabs>
        <w:tab w:val="clear" w:pos="567"/>
        <w:tab w:val="right" w:pos="8942"/>
      </w:tabs>
      <w:spacing w:before="40" w:line="240" w:lineRule="auto"/>
      <w:ind w:left="397"/>
    </w:pPr>
    <w:rPr>
      <w:iCs/>
      <w:color w:val="636466"/>
      <w:lang w:val="en-AU"/>
    </w:rPr>
  </w:style>
  <w:style w:type="paragraph" w:styleId="TOC4">
    <w:name w:val="toc 4"/>
    <w:basedOn w:val="Normal"/>
    <w:next w:val="Normal"/>
    <w:uiPriority w:val="39"/>
    <w:rsid w:val="004938AA"/>
    <w:pPr>
      <w:tabs>
        <w:tab w:val="clear" w:pos="567"/>
        <w:tab w:val="right" w:pos="8942"/>
      </w:tabs>
      <w:spacing w:before="40" w:line="276" w:lineRule="auto"/>
      <w:ind w:left="680"/>
    </w:pPr>
    <w:rPr>
      <w:i/>
      <w:color w:val="636466"/>
      <w:lang w:val="en-AU"/>
    </w:rPr>
  </w:style>
  <w:style w:type="paragraph" w:styleId="TOCHeading">
    <w:name w:val="TOC Heading"/>
    <w:basedOn w:val="Heading1"/>
    <w:next w:val="Normal"/>
    <w:uiPriority w:val="39"/>
    <w:semiHidden/>
    <w:unhideWhenUsed/>
    <w:qFormat/>
    <w:rsid w:val="00F033CF"/>
    <w:pPr>
      <w:keepLines/>
      <w:spacing w:before="480" w:line="320" w:lineRule="atLeast"/>
      <w:outlineLvl w:val="9"/>
    </w:pPr>
    <w:rPr>
      <w:rFonts w:asciiTheme="majorHAnsi" w:hAnsiTheme="majorHAnsi"/>
      <w:caps/>
      <w:color w:val="2F5496" w:themeColor="accent1" w:themeShade="BF"/>
      <w:sz w:val="28"/>
    </w:rPr>
  </w:style>
  <w:style w:type="paragraph" w:customStyle="1" w:styleId="TOCtitle">
    <w:name w:val="TOC title"/>
    <w:basedOn w:val="Normal"/>
    <w:next w:val="Normal"/>
    <w:rsid w:val="00F033CF"/>
    <w:pPr>
      <w:ind w:left="113"/>
    </w:pPr>
    <w:rPr>
      <w:rFonts w:ascii="Montserrat Extra Bold" w:hAnsi="Montserrat Extra Bold"/>
      <w:color w:val="004563"/>
      <w:sz w:val="32"/>
    </w:rPr>
  </w:style>
  <w:style w:type="paragraph" w:styleId="ListParagraph">
    <w:name w:val="List Paragraph"/>
    <w:basedOn w:val="Normal"/>
    <w:uiPriority w:val="34"/>
    <w:rsid w:val="00816858"/>
    <w:pPr>
      <w:ind w:left="720"/>
      <w:contextualSpacing/>
    </w:pPr>
  </w:style>
  <w:style w:type="table" w:customStyle="1" w:styleId="Calendar1">
    <w:name w:val="Calendar 1"/>
    <w:basedOn w:val="TableNormal"/>
    <w:uiPriority w:val="99"/>
    <w:qFormat/>
    <w:rsid w:val="00D72D2D"/>
    <w:pPr>
      <w:spacing w:after="0" w:line="240" w:lineRule="auto"/>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813BD8"/>
    <w:rPr>
      <w:sz w:val="16"/>
      <w:szCs w:val="16"/>
    </w:rPr>
  </w:style>
  <w:style w:type="paragraph" w:styleId="CommentText">
    <w:name w:val="annotation text"/>
    <w:basedOn w:val="Normal"/>
    <w:link w:val="CommentTextChar"/>
    <w:uiPriority w:val="99"/>
    <w:semiHidden/>
    <w:unhideWhenUsed/>
    <w:rsid w:val="00813BD8"/>
    <w:pPr>
      <w:spacing w:line="240" w:lineRule="auto"/>
    </w:pPr>
    <w:rPr>
      <w:szCs w:val="20"/>
    </w:rPr>
  </w:style>
  <w:style w:type="character" w:customStyle="1" w:styleId="CommentTextChar">
    <w:name w:val="Comment Text Char"/>
    <w:basedOn w:val="DefaultParagraphFont"/>
    <w:link w:val="CommentText"/>
    <w:uiPriority w:val="99"/>
    <w:semiHidden/>
    <w:rsid w:val="00813BD8"/>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813BD8"/>
    <w:rPr>
      <w:b/>
      <w:bCs/>
    </w:rPr>
  </w:style>
  <w:style w:type="character" w:customStyle="1" w:styleId="CommentSubjectChar">
    <w:name w:val="Comment Subject Char"/>
    <w:basedOn w:val="CommentTextChar"/>
    <w:link w:val="CommentSubject"/>
    <w:uiPriority w:val="99"/>
    <w:semiHidden/>
    <w:rsid w:val="00813BD8"/>
    <w:rPr>
      <w:rFonts w:ascii="Open Sans Light" w:hAnsi="Open Sans Light"/>
      <w:b/>
      <w:bCs/>
      <w:sz w:val="20"/>
      <w:szCs w:val="20"/>
    </w:rPr>
  </w:style>
  <w:style w:type="paragraph" w:styleId="BalloonText">
    <w:name w:val="Balloon Text"/>
    <w:basedOn w:val="Normal"/>
    <w:link w:val="BalloonTextChar"/>
    <w:uiPriority w:val="99"/>
    <w:semiHidden/>
    <w:unhideWhenUsed/>
    <w:rsid w:val="00813BD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BD8"/>
    <w:rPr>
      <w:rFonts w:ascii="Segoe UI" w:hAnsi="Segoe UI" w:cs="Segoe UI"/>
      <w:sz w:val="18"/>
      <w:szCs w:val="18"/>
    </w:rPr>
  </w:style>
  <w:style w:type="paragraph" w:styleId="Caption">
    <w:name w:val="caption"/>
    <w:basedOn w:val="CGCTableHeading"/>
    <w:next w:val="Normal"/>
    <w:uiPriority w:val="35"/>
    <w:unhideWhenUsed/>
    <w:qFormat/>
    <w:rsid w:val="00811A06"/>
    <w:pPr>
      <w:tabs>
        <w:tab w:val="clear" w:pos="1420"/>
        <w:tab w:val="left" w:pos="1418"/>
      </w:tabs>
    </w:pPr>
    <w:rPr>
      <w:iCs w:val="0"/>
    </w:rPr>
  </w:style>
  <w:style w:type="character" w:styleId="UnresolvedMention">
    <w:name w:val="Unresolved Mention"/>
    <w:basedOn w:val="DefaultParagraphFont"/>
    <w:uiPriority w:val="99"/>
    <w:unhideWhenUsed/>
    <w:rsid w:val="005903D2"/>
    <w:rPr>
      <w:color w:val="605E5C"/>
      <w:shd w:val="clear" w:color="auto" w:fill="E1DFDD"/>
    </w:rPr>
  </w:style>
  <w:style w:type="character" w:styleId="Mention">
    <w:name w:val="Mention"/>
    <w:basedOn w:val="DefaultParagraphFont"/>
    <w:uiPriority w:val="99"/>
    <w:unhideWhenUsed/>
    <w:rsid w:val="0052359A"/>
    <w:rPr>
      <w:color w:val="2B579A"/>
      <w:shd w:val="clear" w:color="auto" w:fill="E1DFDD"/>
    </w:rPr>
  </w:style>
  <w:style w:type="paragraph" w:customStyle="1" w:styleId="paragraph">
    <w:name w:val="paragraph"/>
    <w:basedOn w:val="Normal"/>
    <w:rsid w:val="00C851F3"/>
    <w:pPr>
      <w:tabs>
        <w:tab w:val="clear" w:pos="567"/>
      </w:tabs>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C851F3"/>
  </w:style>
  <w:style w:type="character" w:customStyle="1" w:styleId="eop">
    <w:name w:val="eop"/>
    <w:basedOn w:val="DefaultParagraphFont"/>
    <w:rsid w:val="00C851F3"/>
  </w:style>
  <w:style w:type="character" w:customStyle="1" w:styleId="spellingerror">
    <w:name w:val="spellingerror"/>
    <w:basedOn w:val="DefaultParagraphFont"/>
    <w:rsid w:val="00C851F3"/>
  </w:style>
  <w:style w:type="paragraph" w:styleId="TOC5">
    <w:name w:val="toc 5"/>
    <w:basedOn w:val="Normal"/>
    <w:next w:val="Normal"/>
    <w:autoRedefine/>
    <w:unhideWhenUsed/>
    <w:rsid w:val="004938AA"/>
    <w:pPr>
      <w:tabs>
        <w:tab w:val="clear" w:pos="567"/>
      </w:tabs>
      <w:ind w:left="799"/>
    </w:pPr>
  </w:style>
  <w:style w:type="paragraph" w:styleId="TOC6">
    <w:name w:val="toc 6"/>
    <w:basedOn w:val="Normal"/>
    <w:next w:val="Normal"/>
    <w:autoRedefine/>
    <w:unhideWhenUsed/>
    <w:rsid w:val="004938AA"/>
    <w:pPr>
      <w:tabs>
        <w:tab w:val="clear" w:pos="567"/>
      </w:tabs>
      <w:ind w:left="998"/>
    </w:pPr>
  </w:style>
  <w:style w:type="paragraph" w:styleId="TOC7">
    <w:name w:val="toc 7"/>
    <w:basedOn w:val="Normal"/>
    <w:next w:val="Normal"/>
    <w:autoRedefine/>
    <w:uiPriority w:val="39"/>
    <w:semiHidden/>
    <w:unhideWhenUsed/>
    <w:rsid w:val="0086160D"/>
    <w:pPr>
      <w:tabs>
        <w:tab w:val="clear" w:pos="567"/>
      </w:tabs>
      <w:spacing w:after="100"/>
      <w:ind w:left="1200"/>
    </w:pPr>
  </w:style>
  <w:style w:type="paragraph" w:styleId="TOC8">
    <w:name w:val="toc 8"/>
    <w:basedOn w:val="Normal"/>
    <w:next w:val="Normal"/>
    <w:autoRedefine/>
    <w:uiPriority w:val="39"/>
    <w:semiHidden/>
    <w:unhideWhenUsed/>
    <w:rsid w:val="0086160D"/>
    <w:pPr>
      <w:tabs>
        <w:tab w:val="clear" w:pos="567"/>
      </w:tabs>
      <w:spacing w:after="100"/>
      <w:ind w:left="1400"/>
    </w:pPr>
  </w:style>
  <w:style w:type="paragraph" w:styleId="TOC9">
    <w:name w:val="toc 9"/>
    <w:basedOn w:val="Normal"/>
    <w:next w:val="Normal"/>
    <w:autoRedefine/>
    <w:uiPriority w:val="39"/>
    <w:semiHidden/>
    <w:unhideWhenUsed/>
    <w:rsid w:val="0086160D"/>
    <w:pPr>
      <w:tabs>
        <w:tab w:val="clear" w:pos="567"/>
      </w:tabs>
      <w:spacing w:after="100"/>
      <w:ind w:left="1600"/>
    </w:pPr>
  </w:style>
  <w:style w:type="paragraph" w:styleId="Revision">
    <w:name w:val="Revision"/>
    <w:hidden/>
    <w:uiPriority w:val="99"/>
    <w:semiHidden/>
    <w:rsid w:val="00200603"/>
    <w:pPr>
      <w:spacing w:after="0" w:line="240" w:lineRule="auto"/>
    </w:pPr>
    <w:rPr>
      <w:rFonts w:ascii="Open Sans Light" w:hAnsi="Open Sans Light"/>
      <w:sz w:val="20"/>
    </w:rPr>
  </w:style>
  <w:style w:type="paragraph" w:customStyle="1" w:styleId="CGCSubbulletlist">
    <w:name w:val="CGC Sub bullet list"/>
    <w:aliases w:val="CGC List 2"/>
    <w:basedOn w:val="Normal"/>
    <w:qFormat/>
    <w:rsid w:val="004E6C9D"/>
    <w:pPr>
      <w:numPr>
        <w:numId w:val="27"/>
      </w:numPr>
      <w:tabs>
        <w:tab w:val="clear" w:pos="567"/>
        <w:tab w:val="clear" w:pos="927"/>
        <w:tab w:val="left" w:pos="1701"/>
      </w:tabs>
      <w:spacing w:before="0" w:after="80" w:line="300" w:lineRule="atLeast"/>
    </w:pPr>
    <w:rPr>
      <w:rFonts w:asciiTheme="minorHAnsi" w:hAnsiTheme="minorHAnsi"/>
      <w:sz w:val="24"/>
      <w:szCs w:val="20"/>
      <w:lang w:val="en-AU"/>
    </w:rPr>
  </w:style>
  <w:style w:type="character" w:styleId="FollowedHyperlink">
    <w:name w:val="FollowedHyperlink"/>
    <w:basedOn w:val="DefaultParagraphFont"/>
    <w:uiPriority w:val="99"/>
    <w:semiHidden/>
    <w:unhideWhenUsed/>
    <w:rsid w:val="00887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2100">
      <w:bodyDiv w:val="1"/>
      <w:marLeft w:val="0"/>
      <w:marRight w:val="0"/>
      <w:marTop w:val="0"/>
      <w:marBottom w:val="0"/>
      <w:divBdr>
        <w:top w:val="none" w:sz="0" w:space="0" w:color="auto"/>
        <w:left w:val="none" w:sz="0" w:space="0" w:color="auto"/>
        <w:bottom w:val="none" w:sz="0" w:space="0" w:color="auto"/>
        <w:right w:val="none" w:sz="0" w:space="0" w:color="auto"/>
      </w:divBdr>
    </w:div>
    <w:div w:id="33503881">
      <w:bodyDiv w:val="1"/>
      <w:marLeft w:val="0"/>
      <w:marRight w:val="0"/>
      <w:marTop w:val="0"/>
      <w:marBottom w:val="0"/>
      <w:divBdr>
        <w:top w:val="none" w:sz="0" w:space="0" w:color="auto"/>
        <w:left w:val="none" w:sz="0" w:space="0" w:color="auto"/>
        <w:bottom w:val="none" w:sz="0" w:space="0" w:color="auto"/>
        <w:right w:val="none" w:sz="0" w:space="0" w:color="auto"/>
      </w:divBdr>
    </w:div>
    <w:div w:id="44640653">
      <w:bodyDiv w:val="1"/>
      <w:marLeft w:val="0"/>
      <w:marRight w:val="0"/>
      <w:marTop w:val="0"/>
      <w:marBottom w:val="0"/>
      <w:divBdr>
        <w:top w:val="none" w:sz="0" w:space="0" w:color="auto"/>
        <w:left w:val="none" w:sz="0" w:space="0" w:color="auto"/>
        <w:bottom w:val="none" w:sz="0" w:space="0" w:color="auto"/>
        <w:right w:val="none" w:sz="0" w:space="0" w:color="auto"/>
      </w:divBdr>
    </w:div>
    <w:div w:id="63181702">
      <w:bodyDiv w:val="1"/>
      <w:marLeft w:val="0"/>
      <w:marRight w:val="0"/>
      <w:marTop w:val="0"/>
      <w:marBottom w:val="0"/>
      <w:divBdr>
        <w:top w:val="none" w:sz="0" w:space="0" w:color="auto"/>
        <w:left w:val="none" w:sz="0" w:space="0" w:color="auto"/>
        <w:bottom w:val="none" w:sz="0" w:space="0" w:color="auto"/>
        <w:right w:val="none" w:sz="0" w:space="0" w:color="auto"/>
      </w:divBdr>
    </w:div>
    <w:div w:id="85420770">
      <w:bodyDiv w:val="1"/>
      <w:marLeft w:val="0"/>
      <w:marRight w:val="0"/>
      <w:marTop w:val="0"/>
      <w:marBottom w:val="0"/>
      <w:divBdr>
        <w:top w:val="none" w:sz="0" w:space="0" w:color="auto"/>
        <w:left w:val="none" w:sz="0" w:space="0" w:color="auto"/>
        <w:bottom w:val="none" w:sz="0" w:space="0" w:color="auto"/>
        <w:right w:val="none" w:sz="0" w:space="0" w:color="auto"/>
      </w:divBdr>
    </w:div>
    <w:div w:id="90782612">
      <w:bodyDiv w:val="1"/>
      <w:marLeft w:val="0"/>
      <w:marRight w:val="0"/>
      <w:marTop w:val="0"/>
      <w:marBottom w:val="0"/>
      <w:divBdr>
        <w:top w:val="none" w:sz="0" w:space="0" w:color="auto"/>
        <w:left w:val="none" w:sz="0" w:space="0" w:color="auto"/>
        <w:bottom w:val="none" w:sz="0" w:space="0" w:color="auto"/>
        <w:right w:val="none" w:sz="0" w:space="0" w:color="auto"/>
      </w:divBdr>
    </w:div>
    <w:div w:id="96217364">
      <w:bodyDiv w:val="1"/>
      <w:marLeft w:val="0"/>
      <w:marRight w:val="0"/>
      <w:marTop w:val="0"/>
      <w:marBottom w:val="0"/>
      <w:divBdr>
        <w:top w:val="none" w:sz="0" w:space="0" w:color="auto"/>
        <w:left w:val="none" w:sz="0" w:space="0" w:color="auto"/>
        <w:bottom w:val="none" w:sz="0" w:space="0" w:color="auto"/>
        <w:right w:val="none" w:sz="0" w:space="0" w:color="auto"/>
      </w:divBdr>
    </w:div>
    <w:div w:id="99372061">
      <w:bodyDiv w:val="1"/>
      <w:marLeft w:val="0"/>
      <w:marRight w:val="0"/>
      <w:marTop w:val="0"/>
      <w:marBottom w:val="0"/>
      <w:divBdr>
        <w:top w:val="none" w:sz="0" w:space="0" w:color="auto"/>
        <w:left w:val="none" w:sz="0" w:space="0" w:color="auto"/>
        <w:bottom w:val="none" w:sz="0" w:space="0" w:color="auto"/>
        <w:right w:val="none" w:sz="0" w:space="0" w:color="auto"/>
      </w:divBdr>
    </w:div>
    <w:div w:id="106197957">
      <w:bodyDiv w:val="1"/>
      <w:marLeft w:val="0"/>
      <w:marRight w:val="0"/>
      <w:marTop w:val="0"/>
      <w:marBottom w:val="0"/>
      <w:divBdr>
        <w:top w:val="none" w:sz="0" w:space="0" w:color="auto"/>
        <w:left w:val="none" w:sz="0" w:space="0" w:color="auto"/>
        <w:bottom w:val="none" w:sz="0" w:space="0" w:color="auto"/>
        <w:right w:val="none" w:sz="0" w:space="0" w:color="auto"/>
      </w:divBdr>
    </w:div>
    <w:div w:id="116873253">
      <w:bodyDiv w:val="1"/>
      <w:marLeft w:val="0"/>
      <w:marRight w:val="0"/>
      <w:marTop w:val="0"/>
      <w:marBottom w:val="0"/>
      <w:divBdr>
        <w:top w:val="none" w:sz="0" w:space="0" w:color="auto"/>
        <w:left w:val="none" w:sz="0" w:space="0" w:color="auto"/>
        <w:bottom w:val="none" w:sz="0" w:space="0" w:color="auto"/>
        <w:right w:val="none" w:sz="0" w:space="0" w:color="auto"/>
      </w:divBdr>
    </w:div>
    <w:div w:id="133760141">
      <w:bodyDiv w:val="1"/>
      <w:marLeft w:val="0"/>
      <w:marRight w:val="0"/>
      <w:marTop w:val="0"/>
      <w:marBottom w:val="0"/>
      <w:divBdr>
        <w:top w:val="none" w:sz="0" w:space="0" w:color="auto"/>
        <w:left w:val="none" w:sz="0" w:space="0" w:color="auto"/>
        <w:bottom w:val="none" w:sz="0" w:space="0" w:color="auto"/>
        <w:right w:val="none" w:sz="0" w:space="0" w:color="auto"/>
      </w:divBdr>
    </w:div>
    <w:div w:id="145560865">
      <w:bodyDiv w:val="1"/>
      <w:marLeft w:val="0"/>
      <w:marRight w:val="0"/>
      <w:marTop w:val="0"/>
      <w:marBottom w:val="0"/>
      <w:divBdr>
        <w:top w:val="none" w:sz="0" w:space="0" w:color="auto"/>
        <w:left w:val="none" w:sz="0" w:space="0" w:color="auto"/>
        <w:bottom w:val="none" w:sz="0" w:space="0" w:color="auto"/>
        <w:right w:val="none" w:sz="0" w:space="0" w:color="auto"/>
      </w:divBdr>
    </w:div>
    <w:div w:id="148059665">
      <w:bodyDiv w:val="1"/>
      <w:marLeft w:val="0"/>
      <w:marRight w:val="0"/>
      <w:marTop w:val="0"/>
      <w:marBottom w:val="0"/>
      <w:divBdr>
        <w:top w:val="none" w:sz="0" w:space="0" w:color="auto"/>
        <w:left w:val="none" w:sz="0" w:space="0" w:color="auto"/>
        <w:bottom w:val="none" w:sz="0" w:space="0" w:color="auto"/>
        <w:right w:val="none" w:sz="0" w:space="0" w:color="auto"/>
      </w:divBdr>
    </w:div>
    <w:div w:id="168493198">
      <w:bodyDiv w:val="1"/>
      <w:marLeft w:val="0"/>
      <w:marRight w:val="0"/>
      <w:marTop w:val="0"/>
      <w:marBottom w:val="0"/>
      <w:divBdr>
        <w:top w:val="none" w:sz="0" w:space="0" w:color="auto"/>
        <w:left w:val="none" w:sz="0" w:space="0" w:color="auto"/>
        <w:bottom w:val="none" w:sz="0" w:space="0" w:color="auto"/>
        <w:right w:val="none" w:sz="0" w:space="0" w:color="auto"/>
      </w:divBdr>
    </w:div>
    <w:div w:id="180629266">
      <w:bodyDiv w:val="1"/>
      <w:marLeft w:val="0"/>
      <w:marRight w:val="0"/>
      <w:marTop w:val="0"/>
      <w:marBottom w:val="0"/>
      <w:divBdr>
        <w:top w:val="none" w:sz="0" w:space="0" w:color="auto"/>
        <w:left w:val="none" w:sz="0" w:space="0" w:color="auto"/>
        <w:bottom w:val="none" w:sz="0" w:space="0" w:color="auto"/>
        <w:right w:val="none" w:sz="0" w:space="0" w:color="auto"/>
      </w:divBdr>
    </w:div>
    <w:div w:id="180748396">
      <w:bodyDiv w:val="1"/>
      <w:marLeft w:val="0"/>
      <w:marRight w:val="0"/>
      <w:marTop w:val="0"/>
      <w:marBottom w:val="0"/>
      <w:divBdr>
        <w:top w:val="none" w:sz="0" w:space="0" w:color="auto"/>
        <w:left w:val="none" w:sz="0" w:space="0" w:color="auto"/>
        <w:bottom w:val="none" w:sz="0" w:space="0" w:color="auto"/>
        <w:right w:val="none" w:sz="0" w:space="0" w:color="auto"/>
      </w:divBdr>
    </w:div>
    <w:div w:id="181477190">
      <w:bodyDiv w:val="1"/>
      <w:marLeft w:val="0"/>
      <w:marRight w:val="0"/>
      <w:marTop w:val="0"/>
      <w:marBottom w:val="0"/>
      <w:divBdr>
        <w:top w:val="none" w:sz="0" w:space="0" w:color="auto"/>
        <w:left w:val="none" w:sz="0" w:space="0" w:color="auto"/>
        <w:bottom w:val="none" w:sz="0" w:space="0" w:color="auto"/>
        <w:right w:val="none" w:sz="0" w:space="0" w:color="auto"/>
      </w:divBdr>
    </w:div>
    <w:div w:id="213591523">
      <w:bodyDiv w:val="1"/>
      <w:marLeft w:val="0"/>
      <w:marRight w:val="0"/>
      <w:marTop w:val="0"/>
      <w:marBottom w:val="0"/>
      <w:divBdr>
        <w:top w:val="none" w:sz="0" w:space="0" w:color="auto"/>
        <w:left w:val="none" w:sz="0" w:space="0" w:color="auto"/>
        <w:bottom w:val="none" w:sz="0" w:space="0" w:color="auto"/>
        <w:right w:val="none" w:sz="0" w:space="0" w:color="auto"/>
      </w:divBdr>
    </w:div>
    <w:div w:id="221451751">
      <w:bodyDiv w:val="1"/>
      <w:marLeft w:val="0"/>
      <w:marRight w:val="0"/>
      <w:marTop w:val="0"/>
      <w:marBottom w:val="0"/>
      <w:divBdr>
        <w:top w:val="none" w:sz="0" w:space="0" w:color="auto"/>
        <w:left w:val="none" w:sz="0" w:space="0" w:color="auto"/>
        <w:bottom w:val="none" w:sz="0" w:space="0" w:color="auto"/>
        <w:right w:val="none" w:sz="0" w:space="0" w:color="auto"/>
      </w:divBdr>
    </w:div>
    <w:div w:id="227493769">
      <w:bodyDiv w:val="1"/>
      <w:marLeft w:val="0"/>
      <w:marRight w:val="0"/>
      <w:marTop w:val="0"/>
      <w:marBottom w:val="0"/>
      <w:divBdr>
        <w:top w:val="none" w:sz="0" w:space="0" w:color="auto"/>
        <w:left w:val="none" w:sz="0" w:space="0" w:color="auto"/>
        <w:bottom w:val="none" w:sz="0" w:space="0" w:color="auto"/>
        <w:right w:val="none" w:sz="0" w:space="0" w:color="auto"/>
      </w:divBdr>
    </w:div>
    <w:div w:id="278874787">
      <w:bodyDiv w:val="1"/>
      <w:marLeft w:val="0"/>
      <w:marRight w:val="0"/>
      <w:marTop w:val="0"/>
      <w:marBottom w:val="0"/>
      <w:divBdr>
        <w:top w:val="none" w:sz="0" w:space="0" w:color="auto"/>
        <w:left w:val="none" w:sz="0" w:space="0" w:color="auto"/>
        <w:bottom w:val="none" w:sz="0" w:space="0" w:color="auto"/>
        <w:right w:val="none" w:sz="0" w:space="0" w:color="auto"/>
      </w:divBdr>
    </w:div>
    <w:div w:id="285086397">
      <w:bodyDiv w:val="1"/>
      <w:marLeft w:val="0"/>
      <w:marRight w:val="0"/>
      <w:marTop w:val="0"/>
      <w:marBottom w:val="0"/>
      <w:divBdr>
        <w:top w:val="none" w:sz="0" w:space="0" w:color="auto"/>
        <w:left w:val="none" w:sz="0" w:space="0" w:color="auto"/>
        <w:bottom w:val="none" w:sz="0" w:space="0" w:color="auto"/>
        <w:right w:val="none" w:sz="0" w:space="0" w:color="auto"/>
      </w:divBdr>
    </w:div>
    <w:div w:id="285894506">
      <w:bodyDiv w:val="1"/>
      <w:marLeft w:val="0"/>
      <w:marRight w:val="0"/>
      <w:marTop w:val="0"/>
      <w:marBottom w:val="0"/>
      <w:divBdr>
        <w:top w:val="none" w:sz="0" w:space="0" w:color="auto"/>
        <w:left w:val="none" w:sz="0" w:space="0" w:color="auto"/>
        <w:bottom w:val="none" w:sz="0" w:space="0" w:color="auto"/>
        <w:right w:val="none" w:sz="0" w:space="0" w:color="auto"/>
      </w:divBdr>
    </w:div>
    <w:div w:id="295567432">
      <w:bodyDiv w:val="1"/>
      <w:marLeft w:val="0"/>
      <w:marRight w:val="0"/>
      <w:marTop w:val="0"/>
      <w:marBottom w:val="0"/>
      <w:divBdr>
        <w:top w:val="none" w:sz="0" w:space="0" w:color="auto"/>
        <w:left w:val="none" w:sz="0" w:space="0" w:color="auto"/>
        <w:bottom w:val="none" w:sz="0" w:space="0" w:color="auto"/>
        <w:right w:val="none" w:sz="0" w:space="0" w:color="auto"/>
      </w:divBdr>
    </w:div>
    <w:div w:id="323167246">
      <w:bodyDiv w:val="1"/>
      <w:marLeft w:val="0"/>
      <w:marRight w:val="0"/>
      <w:marTop w:val="0"/>
      <w:marBottom w:val="0"/>
      <w:divBdr>
        <w:top w:val="none" w:sz="0" w:space="0" w:color="auto"/>
        <w:left w:val="none" w:sz="0" w:space="0" w:color="auto"/>
        <w:bottom w:val="none" w:sz="0" w:space="0" w:color="auto"/>
        <w:right w:val="none" w:sz="0" w:space="0" w:color="auto"/>
      </w:divBdr>
    </w:div>
    <w:div w:id="323823869">
      <w:bodyDiv w:val="1"/>
      <w:marLeft w:val="0"/>
      <w:marRight w:val="0"/>
      <w:marTop w:val="0"/>
      <w:marBottom w:val="0"/>
      <w:divBdr>
        <w:top w:val="none" w:sz="0" w:space="0" w:color="auto"/>
        <w:left w:val="none" w:sz="0" w:space="0" w:color="auto"/>
        <w:bottom w:val="none" w:sz="0" w:space="0" w:color="auto"/>
        <w:right w:val="none" w:sz="0" w:space="0" w:color="auto"/>
      </w:divBdr>
    </w:div>
    <w:div w:id="342560555">
      <w:bodyDiv w:val="1"/>
      <w:marLeft w:val="0"/>
      <w:marRight w:val="0"/>
      <w:marTop w:val="0"/>
      <w:marBottom w:val="0"/>
      <w:divBdr>
        <w:top w:val="none" w:sz="0" w:space="0" w:color="auto"/>
        <w:left w:val="none" w:sz="0" w:space="0" w:color="auto"/>
        <w:bottom w:val="none" w:sz="0" w:space="0" w:color="auto"/>
        <w:right w:val="none" w:sz="0" w:space="0" w:color="auto"/>
      </w:divBdr>
    </w:div>
    <w:div w:id="371155571">
      <w:bodyDiv w:val="1"/>
      <w:marLeft w:val="0"/>
      <w:marRight w:val="0"/>
      <w:marTop w:val="0"/>
      <w:marBottom w:val="0"/>
      <w:divBdr>
        <w:top w:val="none" w:sz="0" w:space="0" w:color="auto"/>
        <w:left w:val="none" w:sz="0" w:space="0" w:color="auto"/>
        <w:bottom w:val="none" w:sz="0" w:space="0" w:color="auto"/>
        <w:right w:val="none" w:sz="0" w:space="0" w:color="auto"/>
      </w:divBdr>
    </w:div>
    <w:div w:id="379669016">
      <w:bodyDiv w:val="1"/>
      <w:marLeft w:val="0"/>
      <w:marRight w:val="0"/>
      <w:marTop w:val="0"/>
      <w:marBottom w:val="0"/>
      <w:divBdr>
        <w:top w:val="none" w:sz="0" w:space="0" w:color="auto"/>
        <w:left w:val="none" w:sz="0" w:space="0" w:color="auto"/>
        <w:bottom w:val="none" w:sz="0" w:space="0" w:color="auto"/>
        <w:right w:val="none" w:sz="0" w:space="0" w:color="auto"/>
      </w:divBdr>
    </w:div>
    <w:div w:id="395664608">
      <w:bodyDiv w:val="1"/>
      <w:marLeft w:val="0"/>
      <w:marRight w:val="0"/>
      <w:marTop w:val="0"/>
      <w:marBottom w:val="0"/>
      <w:divBdr>
        <w:top w:val="none" w:sz="0" w:space="0" w:color="auto"/>
        <w:left w:val="none" w:sz="0" w:space="0" w:color="auto"/>
        <w:bottom w:val="none" w:sz="0" w:space="0" w:color="auto"/>
        <w:right w:val="none" w:sz="0" w:space="0" w:color="auto"/>
      </w:divBdr>
    </w:div>
    <w:div w:id="400104641">
      <w:bodyDiv w:val="1"/>
      <w:marLeft w:val="0"/>
      <w:marRight w:val="0"/>
      <w:marTop w:val="0"/>
      <w:marBottom w:val="0"/>
      <w:divBdr>
        <w:top w:val="none" w:sz="0" w:space="0" w:color="auto"/>
        <w:left w:val="none" w:sz="0" w:space="0" w:color="auto"/>
        <w:bottom w:val="none" w:sz="0" w:space="0" w:color="auto"/>
        <w:right w:val="none" w:sz="0" w:space="0" w:color="auto"/>
      </w:divBdr>
    </w:div>
    <w:div w:id="401218632">
      <w:bodyDiv w:val="1"/>
      <w:marLeft w:val="0"/>
      <w:marRight w:val="0"/>
      <w:marTop w:val="0"/>
      <w:marBottom w:val="0"/>
      <w:divBdr>
        <w:top w:val="none" w:sz="0" w:space="0" w:color="auto"/>
        <w:left w:val="none" w:sz="0" w:space="0" w:color="auto"/>
        <w:bottom w:val="none" w:sz="0" w:space="0" w:color="auto"/>
        <w:right w:val="none" w:sz="0" w:space="0" w:color="auto"/>
      </w:divBdr>
    </w:div>
    <w:div w:id="405569011">
      <w:bodyDiv w:val="1"/>
      <w:marLeft w:val="0"/>
      <w:marRight w:val="0"/>
      <w:marTop w:val="0"/>
      <w:marBottom w:val="0"/>
      <w:divBdr>
        <w:top w:val="none" w:sz="0" w:space="0" w:color="auto"/>
        <w:left w:val="none" w:sz="0" w:space="0" w:color="auto"/>
        <w:bottom w:val="none" w:sz="0" w:space="0" w:color="auto"/>
        <w:right w:val="none" w:sz="0" w:space="0" w:color="auto"/>
      </w:divBdr>
    </w:div>
    <w:div w:id="438373719">
      <w:bodyDiv w:val="1"/>
      <w:marLeft w:val="0"/>
      <w:marRight w:val="0"/>
      <w:marTop w:val="0"/>
      <w:marBottom w:val="0"/>
      <w:divBdr>
        <w:top w:val="none" w:sz="0" w:space="0" w:color="auto"/>
        <w:left w:val="none" w:sz="0" w:space="0" w:color="auto"/>
        <w:bottom w:val="none" w:sz="0" w:space="0" w:color="auto"/>
        <w:right w:val="none" w:sz="0" w:space="0" w:color="auto"/>
      </w:divBdr>
    </w:div>
    <w:div w:id="443810367">
      <w:bodyDiv w:val="1"/>
      <w:marLeft w:val="0"/>
      <w:marRight w:val="0"/>
      <w:marTop w:val="0"/>
      <w:marBottom w:val="0"/>
      <w:divBdr>
        <w:top w:val="none" w:sz="0" w:space="0" w:color="auto"/>
        <w:left w:val="none" w:sz="0" w:space="0" w:color="auto"/>
        <w:bottom w:val="none" w:sz="0" w:space="0" w:color="auto"/>
        <w:right w:val="none" w:sz="0" w:space="0" w:color="auto"/>
      </w:divBdr>
    </w:div>
    <w:div w:id="459109304">
      <w:bodyDiv w:val="1"/>
      <w:marLeft w:val="0"/>
      <w:marRight w:val="0"/>
      <w:marTop w:val="0"/>
      <w:marBottom w:val="0"/>
      <w:divBdr>
        <w:top w:val="none" w:sz="0" w:space="0" w:color="auto"/>
        <w:left w:val="none" w:sz="0" w:space="0" w:color="auto"/>
        <w:bottom w:val="none" w:sz="0" w:space="0" w:color="auto"/>
        <w:right w:val="none" w:sz="0" w:space="0" w:color="auto"/>
      </w:divBdr>
    </w:div>
    <w:div w:id="461583180">
      <w:bodyDiv w:val="1"/>
      <w:marLeft w:val="0"/>
      <w:marRight w:val="0"/>
      <w:marTop w:val="0"/>
      <w:marBottom w:val="0"/>
      <w:divBdr>
        <w:top w:val="none" w:sz="0" w:space="0" w:color="auto"/>
        <w:left w:val="none" w:sz="0" w:space="0" w:color="auto"/>
        <w:bottom w:val="none" w:sz="0" w:space="0" w:color="auto"/>
        <w:right w:val="none" w:sz="0" w:space="0" w:color="auto"/>
      </w:divBdr>
    </w:div>
    <w:div w:id="473986328">
      <w:bodyDiv w:val="1"/>
      <w:marLeft w:val="0"/>
      <w:marRight w:val="0"/>
      <w:marTop w:val="0"/>
      <w:marBottom w:val="0"/>
      <w:divBdr>
        <w:top w:val="none" w:sz="0" w:space="0" w:color="auto"/>
        <w:left w:val="none" w:sz="0" w:space="0" w:color="auto"/>
        <w:bottom w:val="none" w:sz="0" w:space="0" w:color="auto"/>
        <w:right w:val="none" w:sz="0" w:space="0" w:color="auto"/>
      </w:divBdr>
    </w:div>
    <w:div w:id="493297815">
      <w:bodyDiv w:val="1"/>
      <w:marLeft w:val="0"/>
      <w:marRight w:val="0"/>
      <w:marTop w:val="0"/>
      <w:marBottom w:val="0"/>
      <w:divBdr>
        <w:top w:val="none" w:sz="0" w:space="0" w:color="auto"/>
        <w:left w:val="none" w:sz="0" w:space="0" w:color="auto"/>
        <w:bottom w:val="none" w:sz="0" w:space="0" w:color="auto"/>
        <w:right w:val="none" w:sz="0" w:space="0" w:color="auto"/>
      </w:divBdr>
    </w:div>
    <w:div w:id="530456501">
      <w:bodyDiv w:val="1"/>
      <w:marLeft w:val="0"/>
      <w:marRight w:val="0"/>
      <w:marTop w:val="0"/>
      <w:marBottom w:val="0"/>
      <w:divBdr>
        <w:top w:val="none" w:sz="0" w:space="0" w:color="auto"/>
        <w:left w:val="none" w:sz="0" w:space="0" w:color="auto"/>
        <w:bottom w:val="none" w:sz="0" w:space="0" w:color="auto"/>
        <w:right w:val="none" w:sz="0" w:space="0" w:color="auto"/>
      </w:divBdr>
    </w:div>
    <w:div w:id="533423488">
      <w:bodyDiv w:val="1"/>
      <w:marLeft w:val="0"/>
      <w:marRight w:val="0"/>
      <w:marTop w:val="0"/>
      <w:marBottom w:val="0"/>
      <w:divBdr>
        <w:top w:val="none" w:sz="0" w:space="0" w:color="auto"/>
        <w:left w:val="none" w:sz="0" w:space="0" w:color="auto"/>
        <w:bottom w:val="none" w:sz="0" w:space="0" w:color="auto"/>
        <w:right w:val="none" w:sz="0" w:space="0" w:color="auto"/>
      </w:divBdr>
    </w:div>
    <w:div w:id="544945749">
      <w:bodyDiv w:val="1"/>
      <w:marLeft w:val="0"/>
      <w:marRight w:val="0"/>
      <w:marTop w:val="0"/>
      <w:marBottom w:val="0"/>
      <w:divBdr>
        <w:top w:val="none" w:sz="0" w:space="0" w:color="auto"/>
        <w:left w:val="none" w:sz="0" w:space="0" w:color="auto"/>
        <w:bottom w:val="none" w:sz="0" w:space="0" w:color="auto"/>
        <w:right w:val="none" w:sz="0" w:space="0" w:color="auto"/>
      </w:divBdr>
    </w:div>
    <w:div w:id="548996945">
      <w:bodyDiv w:val="1"/>
      <w:marLeft w:val="0"/>
      <w:marRight w:val="0"/>
      <w:marTop w:val="0"/>
      <w:marBottom w:val="0"/>
      <w:divBdr>
        <w:top w:val="none" w:sz="0" w:space="0" w:color="auto"/>
        <w:left w:val="none" w:sz="0" w:space="0" w:color="auto"/>
        <w:bottom w:val="none" w:sz="0" w:space="0" w:color="auto"/>
        <w:right w:val="none" w:sz="0" w:space="0" w:color="auto"/>
      </w:divBdr>
    </w:div>
    <w:div w:id="552540721">
      <w:bodyDiv w:val="1"/>
      <w:marLeft w:val="0"/>
      <w:marRight w:val="0"/>
      <w:marTop w:val="0"/>
      <w:marBottom w:val="0"/>
      <w:divBdr>
        <w:top w:val="none" w:sz="0" w:space="0" w:color="auto"/>
        <w:left w:val="none" w:sz="0" w:space="0" w:color="auto"/>
        <w:bottom w:val="none" w:sz="0" w:space="0" w:color="auto"/>
        <w:right w:val="none" w:sz="0" w:space="0" w:color="auto"/>
      </w:divBdr>
    </w:div>
    <w:div w:id="564073089">
      <w:bodyDiv w:val="1"/>
      <w:marLeft w:val="0"/>
      <w:marRight w:val="0"/>
      <w:marTop w:val="0"/>
      <w:marBottom w:val="0"/>
      <w:divBdr>
        <w:top w:val="none" w:sz="0" w:space="0" w:color="auto"/>
        <w:left w:val="none" w:sz="0" w:space="0" w:color="auto"/>
        <w:bottom w:val="none" w:sz="0" w:space="0" w:color="auto"/>
        <w:right w:val="none" w:sz="0" w:space="0" w:color="auto"/>
      </w:divBdr>
    </w:div>
    <w:div w:id="569967811">
      <w:bodyDiv w:val="1"/>
      <w:marLeft w:val="0"/>
      <w:marRight w:val="0"/>
      <w:marTop w:val="0"/>
      <w:marBottom w:val="0"/>
      <w:divBdr>
        <w:top w:val="none" w:sz="0" w:space="0" w:color="auto"/>
        <w:left w:val="none" w:sz="0" w:space="0" w:color="auto"/>
        <w:bottom w:val="none" w:sz="0" w:space="0" w:color="auto"/>
        <w:right w:val="none" w:sz="0" w:space="0" w:color="auto"/>
      </w:divBdr>
    </w:div>
    <w:div w:id="585462164">
      <w:bodyDiv w:val="1"/>
      <w:marLeft w:val="0"/>
      <w:marRight w:val="0"/>
      <w:marTop w:val="0"/>
      <w:marBottom w:val="0"/>
      <w:divBdr>
        <w:top w:val="none" w:sz="0" w:space="0" w:color="auto"/>
        <w:left w:val="none" w:sz="0" w:space="0" w:color="auto"/>
        <w:bottom w:val="none" w:sz="0" w:space="0" w:color="auto"/>
        <w:right w:val="none" w:sz="0" w:space="0" w:color="auto"/>
      </w:divBdr>
    </w:div>
    <w:div w:id="585922963">
      <w:bodyDiv w:val="1"/>
      <w:marLeft w:val="0"/>
      <w:marRight w:val="0"/>
      <w:marTop w:val="0"/>
      <w:marBottom w:val="0"/>
      <w:divBdr>
        <w:top w:val="none" w:sz="0" w:space="0" w:color="auto"/>
        <w:left w:val="none" w:sz="0" w:space="0" w:color="auto"/>
        <w:bottom w:val="none" w:sz="0" w:space="0" w:color="auto"/>
        <w:right w:val="none" w:sz="0" w:space="0" w:color="auto"/>
      </w:divBdr>
    </w:div>
    <w:div w:id="604118274">
      <w:bodyDiv w:val="1"/>
      <w:marLeft w:val="0"/>
      <w:marRight w:val="0"/>
      <w:marTop w:val="0"/>
      <w:marBottom w:val="0"/>
      <w:divBdr>
        <w:top w:val="none" w:sz="0" w:space="0" w:color="auto"/>
        <w:left w:val="none" w:sz="0" w:space="0" w:color="auto"/>
        <w:bottom w:val="none" w:sz="0" w:space="0" w:color="auto"/>
        <w:right w:val="none" w:sz="0" w:space="0" w:color="auto"/>
      </w:divBdr>
    </w:div>
    <w:div w:id="630483342">
      <w:bodyDiv w:val="1"/>
      <w:marLeft w:val="0"/>
      <w:marRight w:val="0"/>
      <w:marTop w:val="0"/>
      <w:marBottom w:val="0"/>
      <w:divBdr>
        <w:top w:val="none" w:sz="0" w:space="0" w:color="auto"/>
        <w:left w:val="none" w:sz="0" w:space="0" w:color="auto"/>
        <w:bottom w:val="none" w:sz="0" w:space="0" w:color="auto"/>
        <w:right w:val="none" w:sz="0" w:space="0" w:color="auto"/>
      </w:divBdr>
    </w:div>
    <w:div w:id="635179409">
      <w:bodyDiv w:val="1"/>
      <w:marLeft w:val="0"/>
      <w:marRight w:val="0"/>
      <w:marTop w:val="0"/>
      <w:marBottom w:val="0"/>
      <w:divBdr>
        <w:top w:val="none" w:sz="0" w:space="0" w:color="auto"/>
        <w:left w:val="none" w:sz="0" w:space="0" w:color="auto"/>
        <w:bottom w:val="none" w:sz="0" w:space="0" w:color="auto"/>
        <w:right w:val="none" w:sz="0" w:space="0" w:color="auto"/>
      </w:divBdr>
    </w:div>
    <w:div w:id="643850759">
      <w:bodyDiv w:val="1"/>
      <w:marLeft w:val="0"/>
      <w:marRight w:val="0"/>
      <w:marTop w:val="0"/>
      <w:marBottom w:val="0"/>
      <w:divBdr>
        <w:top w:val="none" w:sz="0" w:space="0" w:color="auto"/>
        <w:left w:val="none" w:sz="0" w:space="0" w:color="auto"/>
        <w:bottom w:val="none" w:sz="0" w:space="0" w:color="auto"/>
        <w:right w:val="none" w:sz="0" w:space="0" w:color="auto"/>
      </w:divBdr>
    </w:div>
    <w:div w:id="645866060">
      <w:bodyDiv w:val="1"/>
      <w:marLeft w:val="0"/>
      <w:marRight w:val="0"/>
      <w:marTop w:val="0"/>
      <w:marBottom w:val="0"/>
      <w:divBdr>
        <w:top w:val="none" w:sz="0" w:space="0" w:color="auto"/>
        <w:left w:val="none" w:sz="0" w:space="0" w:color="auto"/>
        <w:bottom w:val="none" w:sz="0" w:space="0" w:color="auto"/>
        <w:right w:val="none" w:sz="0" w:space="0" w:color="auto"/>
      </w:divBdr>
    </w:div>
    <w:div w:id="659577124">
      <w:bodyDiv w:val="1"/>
      <w:marLeft w:val="0"/>
      <w:marRight w:val="0"/>
      <w:marTop w:val="0"/>
      <w:marBottom w:val="0"/>
      <w:divBdr>
        <w:top w:val="none" w:sz="0" w:space="0" w:color="auto"/>
        <w:left w:val="none" w:sz="0" w:space="0" w:color="auto"/>
        <w:bottom w:val="none" w:sz="0" w:space="0" w:color="auto"/>
        <w:right w:val="none" w:sz="0" w:space="0" w:color="auto"/>
      </w:divBdr>
    </w:div>
    <w:div w:id="667752635">
      <w:bodyDiv w:val="1"/>
      <w:marLeft w:val="0"/>
      <w:marRight w:val="0"/>
      <w:marTop w:val="0"/>
      <w:marBottom w:val="0"/>
      <w:divBdr>
        <w:top w:val="none" w:sz="0" w:space="0" w:color="auto"/>
        <w:left w:val="none" w:sz="0" w:space="0" w:color="auto"/>
        <w:bottom w:val="none" w:sz="0" w:space="0" w:color="auto"/>
        <w:right w:val="none" w:sz="0" w:space="0" w:color="auto"/>
      </w:divBdr>
    </w:div>
    <w:div w:id="672341230">
      <w:bodyDiv w:val="1"/>
      <w:marLeft w:val="0"/>
      <w:marRight w:val="0"/>
      <w:marTop w:val="0"/>
      <w:marBottom w:val="0"/>
      <w:divBdr>
        <w:top w:val="none" w:sz="0" w:space="0" w:color="auto"/>
        <w:left w:val="none" w:sz="0" w:space="0" w:color="auto"/>
        <w:bottom w:val="none" w:sz="0" w:space="0" w:color="auto"/>
        <w:right w:val="none" w:sz="0" w:space="0" w:color="auto"/>
      </w:divBdr>
    </w:div>
    <w:div w:id="692153440">
      <w:bodyDiv w:val="1"/>
      <w:marLeft w:val="0"/>
      <w:marRight w:val="0"/>
      <w:marTop w:val="0"/>
      <w:marBottom w:val="0"/>
      <w:divBdr>
        <w:top w:val="none" w:sz="0" w:space="0" w:color="auto"/>
        <w:left w:val="none" w:sz="0" w:space="0" w:color="auto"/>
        <w:bottom w:val="none" w:sz="0" w:space="0" w:color="auto"/>
        <w:right w:val="none" w:sz="0" w:space="0" w:color="auto"/>
      </w:divBdr>
    </w:div>
    <w:div w:id="698891177">
      <w:bodyDiv w:val="1"/>
      <w:marLeft w:val="0"/>
      <w:marRight w:val="0"/>
      <w:marTop w:val="0"/>
      <w:marBottom w:val="0"/>
      <w:divBdr>
        <w:top w:val="none" w:sz="0" w:space="0" w:color="auto"/>
        <w:left w:val="none" w:sz="0" w:space="0" w:color="auto"/>
        <w:bottom w:val="none" w:sz="0" w:space="0" w:color="auto"/>
        <w:right w:val="none" w:sz="0" w:space="0" w:color="auto"/>
      </w:divBdr>
    </w:div>
    <w:div w:id="737436155">
      <w:bodyDiv w:val="1"/>
      <w:marLeft w:val="0"/>
      <w:marRight w:val="0"/>
      <w:marTop w:val="0"/>
      <w:marBottom w:val="0"/>
      <w:divBdr>
        <w:top w:val="none" w:sz="0" w:space="0" w:color="auto"/>
        <w:left w:val="none" w:sz="0" w:space="0" w:color="auto"/>
        <w:bottom w:val="none" w:sz="0" w:space="0" w:color="auto"/>
        <w:right w:val="none" w:sz="0" w:space="0" w:color="auto"/>
      </w:divBdr>
    </w:div>
    <w:div w:id="740443177">
      <w:bodyDiv w:val="1"/>
      <w:marLeft w:val="0"/>
      <w:marRight w:val="0"/>
      <w:marTop w:val="0"/>
      <w:marBottom w:val="0"/>
      <w:divBdr>
        <w:top w:val="none" w:sz="0" w:space="0" w:color="auto"/>
        <w:left w:val="none" w:sz="0" w:space="0" w:color="auto"/>
        <w:bottom w:val="none" w:sz="0" w:space="0" w:color="auto"/>
        <w:right w:val="none" w:sz="0" w:space="0" w:color="auto"/>
      </w:divBdr>
    </w:div>
    <w:div w:id="741292302">
      <w:bodyDiv w:val="1"/>
      <w:marLeft w:val="0"/>
      <w:marRight w:val="0"/>
      <w:marTop w:val="0"/>
      <w:marBottom w:val="0"/>
      <w:divBdr>
        <w:top w:val="none" w:sz="0" w:space="0" w:color="auto"/>
        <w:left w:val="none" w:sz="0" w:space="0" w:color="auto"/>
        <w:bottom w:val="none" w:sz="0" w:space="0" w:color="auto"/>
        <w:right w:val="none" w:sz="0" w:space="0" w:color="auto"/>
      </w:divBdr>
    </w:div>
    <w:div w:id="745148802">
      <w:bodyDiv w:val="1"/>
      <w:marLeft w:val="0"/>
      <w:marRight w:val="0"/>
      <w:marTop w:val="0"/>
      <w:marBottom w:val="0"/>
      <w:divBdr>
        <w:top w:val="none" w:sz="0" w:space="0" w:color="auto"/>
        <w:left w:val="none" w:sz="0" w:space="0" w:color="auto"/>
        <w:bottom w:val="none" w:sz="0" w:space="0" w:color="auto"/>
        <w:right w:val="none" w:sz="0" w:space="0" w:color="auto"/>
      </w:divBdr>
    </w:div>
    <w:div w:id="748037483">
      <w:bodyDiv w:val="1"/>
      <w:marLeft w:val="0"/>
      <w:marRight w:val="0"/>
      <w:marTop w:val="0"/>
      <w:marBottom w:val="0"/>
      <w:divBdr>
        <w:top w:val="none" w:sz="0" w:space="0" w:color="auto"/>
        <w:left w:val="none" w:sz="0" w:space="0" w:color="auto"/>
        <w:bottom w:val="none" w:sz="0" w:space="0" w:color="auto"/>
        <w:right w:val="none" w:sz="0" w:space="0" w:color="auto"/>
      </w:divBdr>
    </w:div>
    <w:div w:id="753549703">
      <w:bodyDiv w:val="1"/>
      <w:marLeft w:val="0"/>
      <w:marRight w:val="0"/>
      <w:marTop w:val="0"/>
      <w:marBottom w:val="0"/>
      <w:divBdr>
        <w:top w:val="none" w:sz="0" w:space="0" w:color="auto"/>
        <w:left w:val="none" w:sz="0" w:space="0" w:color="auto"/>
        <w:bottom w:val="none" w:sz="0" w:space="0" w:color="auto"/>
        <w:right w:val="none" w:sz="0" w:space="0" w:color="auto"/>
      </w:divBdr>
    </w:div>
    <w:div w:id="757290280">
      <w:bodyDiv w:val="1"/>
      <w:marLeft w:val="0"/>
      <w:marRight w:val="0"/>
      <w:marTop w:val="0"/>
      <w:marBottom w:val="0"/>
      <w:divBdr>
        <w:top w:val="none" w:sz="0" w:space="0" w:color="auto"/>
        <w:left w:val="none" w:sz="0" w:space="0" w:color="auto"/>
        <w:bottom w:val="none" w:sz="0" w:space="0" w:color="auto"/>
        <w:right w:val="none" w:sz="0" w:space="0" w:color="auto"/>
      </w:divBdr>
    </w:div>
    <w:div w:id="758791908">
      <w:bodyDiv w:val="1"/>
      <w:marLeft w:val="0"/>
      <w:marRight w:val="0"/>
      <w:marTop w:val="0"/>
      <w:marBottom w:val="0"/>
      <w:divBdr>
        <w:top w:val="none" w:sz="0" w:space="0" w:color="auto"/>
        <w:left w:val="none" w:sz="0" w:space="0" w:color="auto"/>
        <w:bottom w:val="none" w:sz="0" w:space="0" w:color="auto"/>
        <w:right w:val="none" w:sz="0" w:space="0" w:color="auto"/>
      </w:divBdr>
    </w:div>
    <w:div w:id="780341157">
      <w:bodyDiv w:val="1"/>
      <w:marLeft w:val="0"/>
      <w:marRight w:val="0"/>
      <w:marTop w:val="0"/>
      <w:marBottom w:val="0"/>
      <w:divBdr>
        <w:top w:val="none" w:sz="0" w:space="0" w:color="auto"/>
        <w:left w:val="none" w:sz="0" w:space="0" w:color="auto"/>
        <w:bottom w:val="none" w:sz="0" w:space="0" w:color="auto"/>
        <w:right w:val="none" w:sz="0" w:space="0" w:color="auto"/>
      </w:divBdr>
    </w:div>
    <w:div w:id="785077603">
      <w:bodyDiv w:val="1"/>
      <w:marLeft w:val="0"/>
      <w:marRight w:val="0"/>
      <w:marTop w:val="0"/>
      <w:marBottom w:val="0"/>
      <w:divBdr>
        <w:top w:val="none" w:sz="0" w:space="0" w:color="auto"/>
        <w:left w:val="none" w:sz="0" w:space="0" w:color="auto"/>
        <w:bottom w:val="none" w:sz="0" w:space="0" w:color="auto"/>
        <w:right w:val="none" w:sz="0" w:space="0" w:color="auto"/>
      </w:divBdr>
    </w:div>
    <w:div w:id="809711079">
      <w:bodyDiv w:val="1"/>
      <w:marLeft w:val="0"/>
      <w:marRight w:val="0"/>
      <w:marTop w:val="0"/>
      <w:marBottom w:val="0"/>
      <w:divBdr>
        <w:top w:val="none" w:sz="0" w:space="0" w:color="auto"/>
        <w:left w:val="none" w:sz="0" w:space="0" w:color="auto"/>
        <w:bottom w:val="none" w:sz="0" w:space="0" w:color="auto"/>
        <w:right w:val="none" w:sz="0" w:space="0" w:color="auto"/>
      </w:divBdr>
    </w:div>
    <w:div w:id="832989331">
      <w:bodyDiv w:val="1"/>
      <w:marLeft w:val="0"/>
      <w:marRight w:val="0"/>
      <w:marTop w:val="0"/>
      <w:marBottom w:val="0"/>
      <w:divBdr>
        <w:top w:val="none" w:sz="0" w:space="0" w:color="auto"/>
        <w:left w:val="none" w:sz="0" w:space="0" w:color="auto"/>
        <w:bottom w:val="none" w:sz="0" w:space="0" w:color="auto"/>
        <w:right w:val="none" w:sz="0" w:space="0" w:color="auto"/>
      </w:divBdr>
    </w:div>
    <w:div w:id="883568141">
      <w:bodyDiv w:val="1"/>
      <w:marLeft w:val="0"/>
      <w:marRight w:val="0"/>
      <w:marTop w:val="0"/>
      <w:marBottom w:val="0"/>
      <w:divBdr>
        <w:top w:val="none" w:sz="0" w:space="0" w:color="auto"/>
        <w:left w:val="none" w:sz="0" w:space="0" w:color="auto"/>
        <w:bottom w:val="none" w:sz="0" w:space="0" w:color="auto"/>
        <w:right w:val="none" w:sz="0" w:space="0" w:color="auto"/>
      </w:divBdr>
    </w:div>
    <w:div w:id="884410265">
      <w:bodyDiv w:val="1"/>
      <w:marLeft w:val="0"/>
      <w:marRight w:val="0"/>
      <w:marTop w:val="0"/>
      <w:marBottom w:val="0"/>
      <w:divBdr>
        <w:top w:val="none" w:sz="0" w:space="0" w:color="auto"/>
        <w:left w:val="none" w:sz="0" w:space="0" w:color="auto"/>
        <w:bottom w:val="none" w:sz="0" w:space="0" w:color="auto"/>
        <w:right w:val="none" w:sz="0" w:space="0" w:color="auto"/>
      </w:divBdr>
    </w:div>
    <w:div w:id="885601949">
      <w:bodyDiv w:val="1"/>
      <w:marLeft w:val="0"/>
      <w:marRight w:val="0"/>
      <w:marTop w:val="0"/>
      <w:marBottom w:val="0"/>
      <w:divBdr>
        <w:top w:val="none" w:sz="0" w:space="0" w:color="auto"/>
        <w:left w:val="none" w:sz="0" w:space="0" w:color="auto"/>
        <w:bottom w:val="none" w:sz="0" w:space="0" w:color="auto"/>
        <w:right w:val="none" w:sz="0" w:space="0" w:color="auto"/>
      </w:divBdr>
    </w:div>
    <w:div w:id="888998913">
      <w:bodyDiv w:val="1"/>
      <w:marLeft w:val="0"/>
      <w:marRight w:val="0"/>
      <w:marTop w:val="0"/>
      <w:marBottom w:val="0"/>
      <w:divBdr>
        <w:top w:val="none" w:sz="0" w:space="0" w:color="auto"/>
        <w:left w:val="none" w:sz="0" w:space="0" w:color="auto"/>
        <w:bottom w:val="none" w:sz="0" w:space="0" w:color="auto"/>
        <w:right w:val="none" w:sz="0" w:space="0" w:color="auto"/>
      </w:divBdr>
    </w:div>
    <w:div w:id="891237458">
      <w:bodyDiv w:val="1"/>
      <w:marLeft w:val="0"/>
      <w:marRight w:val="0"/>
      <w:marTop w:val="0"/>
      <w:marBottom w:val="0"/>
      <w:divBdr>
        <w:top w:val="none" w:sz="0" w:space="0" w:color="auto"/>
        <w:left w:val="none" w:sz="0" w:space="0" w:color="auto"/>
        <w:bottom w:val="none" w:sz="0" w:space="0" w:color="auto"/>
        <w:right w:val="none" w:sz="0" w:space="0" w:color="auto"/>
      </w:divBdr>
    </w:div>
    <w:div w:id="900213325">
      <w:bodyDiv w:val="1"/>
      <w:marLeft w:val="0"/>
      <w:marRight w:val="0"/>
      <w:marTop w:val="0"/>
      <w:marBottom w:val="0"/>
      <w:divBdr>
        <w:top w:val="none" w:sz="0" w:space="0" w:color="auto"/>
        <w:left w:val="none" w:sz="0" w:space="0" w:color="auto"/>
        <w:bottom w:val="none" w:sz="0" w:space="0" w:color="auto"/>
        <w:right w:val="none" w:sz="0" w:space="0" w:color="auto"/>
      </w:divBdr>
    </w:div>
    <w:div w:id="904340982">
      <w:bodyDiv w:val="1"/>
      <w:marLeft w:val="0"/>
      <w:marRight w:val="0"/>
      <w:marTop w:val="0"/>
      <w:marBottom w:val="0"/>
      <w:divBdr>
        <w:top w:val="none" w:sz="0" w:space="0" w:color="auto"/>
        <w:left w:val="none" w:sz="0" w:space="0" w:color="auto"/>
        <w:bottom w:val="none" w:sz="0" w:space="0" w:color="auto"/>
        <w:right w:val="none" w:sz="0" w:space="0" w:color="auto"/>
      </w:divBdr>
    </w:div>
    <w:div w:id="909968881">
      <w:bodyDiv w:val="1"/>
      <w:marLeft w:val="0"/>
      <w:marRight w:val="0"/>
      <w:marTop w:val="0"/>
      <w:marBottom w:val="0"/>
      <w:divBdr>
        <w:top w:val="none" w:sz="0" w:space="0" w:color="auto"/>
        <w:left w:val="none" w:sz="0" w:space="0" w:color="auto"/>
        <w:bottom w:val="none" w:sz="0" w:space="0" w:color="auto"/>
        <w:right w:val="none" w:sz="0" w:space="0" w:color="auto"/>
      </w:divBdr>
    </w:div>
    <w:div w:id="919826101">
      <w:bodyDiv w:val="1"/>
      <w:marLeft w:val="0"/>
      <w:marRight w:val="0"/>
      <w:marTop w:val="0"/>
      <w:marBottom w:val="0"/>
      <w:divBdr>
        <w:top w:val="none" w:sz="0" w:space="0" w:color="auto"/>
        <w:left w:val="none" w:sz="0" w:space="0" w:color="auto"/>
        <w:bottom w:val="none" w:sz="0" w:space="0" w:color="auto"/>
        <w:right w:val="none" w:sz="0" w:space="0" w:color="auto"/>
      </w:divBdr>
    </w:div>
    <w:div w:id="948272739">
      <w:bodyDiv w:val="1"/>
      <w:marLeft w:val="0"/>
      <w:marRight w:val="0"/>
      <w:marTop w:val="0"/>
      <w:marBottom w:val="0"/>
      <w:divBdr>
        <w:top w:val="none" w:sz="0" w:space="0" w:color="auto"/>
        <w:left w:val="none" w:sz="0" w:space="0" w:color="auto"/>
        <w:bottom w:val="none" w:sz="0" w:space="0" w:color="auto"/>
        <w:right w:val="none" w:sz="0" w:space="0" w:color="auto"/>
      </w:divBdr>
    </w:div>
    <w:div w:id="960108185">
      <w:bodyDiv w:val="1"/>
      <w:marLeft w:val="0"/>
      <w:marRight w:val="0"/>
      <w:marTop w:val="0"/>
      <w:marBottom w:val="0"/>
      <w:divBdr>
        <w:top w:val="none" w:sz="0" w:space="0" w:color="auto"/>
        <w:left w:val="none" w:sz="0" w:space="0" w:color="auto"/>
        <w:bottom w:val="none" w:sz="0" w:space="0" w:color="auto"/>
        <w:right w:val="none" w:sz="0" w:space="0" w:color="auto"/>
      </w:divBdr>
    </w:div>
    <w:div w:id="967051459">
      <w:bodyDiv w:val="1"/>
      <w:marLeft w:val="0"/>
      <w:marRight w:val="0"/>
      <w:marTop w:val="0"/>
      <w:marBottom w:val="0"/>
      <w:divBdr>
        <w:top w:val="none" w:sz="0" w:space="0" w:color="auto"/>
        <w:left w:val="none" w:sz="0" w:space="0" w:color="auto"/>
        <w:bottom w:val="none" w:sz="0" w:space="0" w:color="auto"/>
        <w:right w:val="none" w:sz="0" w:space="0" w:color="auto"/>
      </w:divBdr>
    </w:div>
    <w:div w:id="968360425">
      <w:bodyDiv w:val="1"/>
      <w:marLeft w:val="0"/>
      <w:marRight w:val="0"/>
      <w:marTop w:val="0"/>
      <w:marBottom w:val="0"/>
      <w:divBdr>
        <w:top w:val="none" w:sz="0" w:space="0" w:color="auto"/>
        <w:left w:val="none" w:sz="0" w:space="0" w:color="auto"/>
        <w:bottom w:val="none" w:sz="0" w:space="0" w:color="auto"/>
        <w:right w:val="none" w:sz="0" w:space="0" w:color="auto"/>
      </w:divBdr>
    </w:div>
    <w:div w:id="993097678">
      <w:bodyDiv w:val="1"/>
      <w:marLeft w:val="0"/>
      <w:marRight w:val="0"/>
      <w:marTop w:val="0"/>
      <w:marBottom w:val="0"/>
      <w:divBdr>
        <w:top w:val="none" w:sz="0" w:space="0" w:color="auto"/>
        <w:left w:val="none" w:sz="0" w:space="0" w:color="auto"/>
        <w:bottom w:val="none" w:sz="0" w:space="0" w:color="auto"/>
        <w:right w:val="none" w:sz="0" w:space="0" w:color="auto"/>
      </w:divBdr>
    </w:div>
    <w:div w:id="998969419">
      <w:bodyDiv w:val="1"/>
      <w:marLeft w:val="0"/>
      <w:marRight w:val="0"/>
      <w:marTop w:val="0"/>
      <w:marBottom w:val="0"/>
      <w:divBdr>
        <w:top w:val="none" w:sz="0" w:space="0" w:color="auto"/>
        <w:left w:val="none" w:sz="0" w:space="0" w:color="auto"/>
        <w:bottom w:val="none" w:sz="0" w:space="0" w:color="auto"/>
        <w:right w:val="none" w:sz="0" w:space="0" w:color="auto"/>
      </w:divBdr>
    </w:div>
    <w:div w:id="1003505921">
      <w:bodyDiv w:val="1"/>
      <w:marLeft w:val="0"/>
      <w:marRight w:val="0"/>
      <w:marTop w:val="0"/>
      <w:marBottom w:val="0"/>
      <w:divBdr>
        <w:top w:val="none" w:sz="0" w:space="0" w:color="auto"/>
        <w:left w:val="none" w:sz="0" w:space="0" w:color="auto"/>
        <w:bottom w:val="none" w:sz="0" w:space="0" w:color="auto"/>
        <w:right w:val="none" w:sz="0" w:space="0" w:color="auto"/>
      </w:divBdr>
    </w:div>
    <w:div w:id="1024861540">
      <w:bodyDiv w:val="1"/>
      <w:marLeft w:val="0"/>
      <w:marRight w:val="0"/>
      <w:marTop w:val="0"/>
      <w:marBottom w:val="0"/>
      <w:divBdr>
        <w:top w:val="none" w:sz="0" w:space="0" w:color="auto"/>
        <w:left w:val="none" w:sz="0" w:space="0" w:color="auto"/>
        <w:bottom w:val="none" w:sz="0" w:space="0" w:color="auto"/>
        <w:right w:val="none" w:sz="0" w:space="0" w:color="auto"/>
      </w:divBdr>
    </w:div>
    <w:div w:id="1029575043">
      <w:bodyDiv w:val="1"/>
      <w:marLeft w:val="0"/>
      <w:marRight w:val="0"/>
      <w:marTop w:val="0"/>
      <w:marBottom w:val="0"/>
      <w:divBdr>
        <w:top w:val="none" w:sz="0" w:space="0" w:color="auto"/>
        <w:left w:val="none" w:sz="0" w:space="0" w:color="auto"/>
        <w:bottom w:val="none" w:sz="0" w:space="0" w:color="auto"/>
        <w:right w:val="none" w:sz="0" w:space="0" w:color="auto"/>
      </w:divBdr>
    </w:div>
    <w:div w:id="1029836196">
      <w:bodyDiv w:val="1"/>
      <w:marLeft w:val="0"/>
      <w:marRight w:val="0"/>
      <w:marTop w:val="0"/>
      <w:marBottom w:val="0"/>
      <w:divBdr>
        <w:top w:val="none" w:sz="0" w:space="0" w:color="auto"/>
        <w:left w:val="none" w:sz="0" w:space="0" w:color="auto"/>
        <w:bottom w:val="none" w:sz="0" w:space="0" w:color="auto"/>
        <w:right w:val="none" w:sz="0" w:space="0" w:color="auto"/>
      </w:divBdr>
    </w:div>
    <w:div w:id="1034382165">
      <w:bodyDiv w:val="1"/>
      <w:marLeft w:val="0"/>
      <w:marRight w:val="0"/>
      <w:marTop w:val="0"/>
      <w:marBottom w:val="0"/>
      <w:divBdr>
        <w:top w:val="none" w:sz="0" w:space="0" w:color="auto"/>
        <w:left w:val="none" w:sz="0" w:space="0" w:color="auto"/>
        <w:bottom w:val="none" w:sz="0" w:space="0" w:color="auto"/>
        <w:right w:val="none" w:sz="0" w:space="0" w:color="auto"/>
      </w:divBdr>
    </w:div>
    <w:div w:id="1037773324">
      <w:bodyDiv w:val="1"/>
      <w:marLeft w:val="0"/>
      <w:marRight w:val="0"/>
      <w:marTop w:val="0"/>
      <w:marBottom w:val="0"/>
      <w:divBdr>
        <w:top w:val="none" w:sz="0" w:space="0" w:color="auto"/>
        <w:left w:val="none" w:sz="0" w:space="0" w:color="auto"/>
        <w:bottom w:val="none" w:sz="0" w:space="0" w:color="auto"/>
        <w:right w:val="none" w:sz="0" w:space="0" w:color="auto"/>
      </w:divBdr>
    </w:div>
    <w:div w:id="1055395645">
      <w:bodyDiv w:val="1"/>
      <w:marLeft w:val="0"/>
      <w:marRight w:val="0"/>
      <w:marTop w:val="0"/>
      <w:marBottom w:val="0"/>
      <w:divBdr>
        <w:top w:val="none" w:sz="0" w:space="0" w:color="auto"/>
        <w:left w:val="none" w:sz="0" w:space="0" w:color="auto"/>
        <w:bottom w:val="none" w:sz="0" w:space="0" w:color="auto"/>
        <w:right w:val="none" w:sz="0" w:space="0" w:color="auto"/>
      </w:divBdr>
    </w:div>
    <w:div w:id="1056512959">
      <w:bodyDiv w:val="1"/>
      <w:marLeft w:val="0"/>
      <w:marRight w:val="0"/>
      <w:marTop w:val="0"/>
      <w:marBottom w:val="0"/>
      <w:divBdr>
        <w:top w:val="none" w:sz="0" w:space="0" w:color="auto"/>
        <w:left w:val="none" w:sz="0" w:space="0" w:color="auto"/>
        <w:bottom w:val="none" w:sz="0" w:space="0" w:color="auto"/>
        <w:right w:val="none" w:sz="0" w:space="0" w:color="auto"/>
      </w:divBdr>
    </w:div>
    <w:div w:id="1070343232">
      <w:bodyDiv w:val="1"/>
      <w:marLeft w:val="0"/>
      <w:marRight w:val="0"/>
      <w:marTop w:val="0"/>
      <w:marBottom w:val="0"/>
      <w:divBdr>
        <w:top w:val="none" w:sz="0" w:space="0" w:color="auto"/>
        <w:left w:val="none" w:sz="0" w:space="0" w:color="auto"/>
        <w:bottom w:val="none" w:sz="0" w:space="0" w:color="auto"/>
        <w:right w:val="none" w:sz="0" w:space="0" w:color="auto"/>
      </w:divBdr>
    </w:div>
    <w:div w:id="1100025664">
      <w:bodyDiv w:val="1"/>
      <w:marLeft w:val="0"/>
      <w:marRight w:val="0"/>
      <w:marTop w:val="0"/>
      <w:marBottom w:val="0"/>
      <w:divBdr>
        <w:top w:val="none" w:sz="0" w:space="0" w:color="auto"/>
        <w:left w:val="none" w:sz="0" w:space="0" w:color="auto"/>
        <w:bottom w:val="none" w:sz="0" w:space="0" w:color="auto"/>
        <w:right w:val="none" w:sz="0" w:space="0" w:color="auto"/>
      </w:divBdr>
    </w:div>
    <w:div w:id="1102261802">
      <w:bodyDiv w:val="1"/>
      <w:marLeft w:val="0"/>
      <w:marRight w:val="0"/>
      <w:marTop w:val="0"/>
      <w:marBottom w:val="0"/>
      <w:divBdr>
        <w:top w:val="none" w:sz="0" w:space="0" w:color="auto"/>
        <w:left w:val="none" w:sz="0" w:space="0" w:color="auto"/>
        <w:bottom w:val="none" w:sz="0" w:space="0" w:color="auto"/>
        <w:right w:val="none" w:sz="0" w:space="0" w:color="auto"/>
      </w:divBdr>
    </w:div>
    <w:div w:id="1116602615">
      <w:bodyDiv w:val="1"/>
      <w:marLeft w:val="0"/>
      <w:marRight w:val="0"/>
      <w:marTop w:val="0"/>
      <w:marBottom w:val="0"/>
      <w:divBdr>
        <w:top w:val="none" w:sz="0" w:space="0" w:color="auto"/>
        <w:left w:val="none" w:sz="0" w:space="0" w:color="auto"/>
        <w:bottom w:val="none" w:sz="0" w:space="0" w:color="auto"/>
        <w:right w:val="none" w:sz="0" w:space="0" w:color="auto"/>
      </w:divBdr>
    </w:div>
    <w:div w:id="1124158340">
      <w:bodyDiv w:val="1"/>
      <w:marLeft w:val="0"/>
      <w:marRight w:val="0"/>
      <w:marTop w:val="0"/>
      <w:marBottom w:val="0"/>
      <w:divBdr>
        <w:top w:val="none" w:sz="0" w:space="0" w:color="auto"/>
        <w:left w:val="none" w:sz="0" w:space="0" w:color="auto"/>
        <w:bottom w:val="none" w:sz="0" w:space="0" w:color="auto"/>
        <w:right w:val="none" w:sz="0" w:space="0" w:color="auto"/>
      </w:divBdr>
    </w:div>
    <w:div w:id="1136609266">
      <w:bodyDiv w:val="1"/>
      <w:marLeft w:val="0"/>
      <w:marRight w:val="0"/>
      <w:marTop w:val="0"/>
      <w:marBottom w:val="0"/>
      <w:divBdr>
        <w:top w:val="none" w:sz="0" w:space="0" w:color="auto"/>
        <w:left w:val="none" w:sz="0" w:space="0" w:color="auto"/>
        <w:bottom w:val="none" w:sz="0" w:space="0" w:color="auto"/>
        <w:right w:val="none" w:sz="0" w:space="0" w:color="auto"/>
      </w:divBdr>
    </w:div>
    <w:div w:id="1139349238">
      <w:bodyDiv w:val="1"/>
      <w:marLeft w:val="0"/>
      <w:marRight w:val="0"/>
      <w:marTop w:val="0"/>
      <w:marBottom w:val="0"/>
      <w:divBdr>
        <w:top w:val="none" w:sz="0" w:space="0" w:color="auto"/>
        <w:left w:val="none" w:sz="0" w:space="0" w:color="auto"/>
        <w:bottom w:val="none" w:sz="0" w:space="0" w:color="auto"/>
        <w:right w:val="none" w:sz="0" w:space="0" w:color="auto"/>
      </w:divBdr>
    </w:div>
    <w:div w:id="1143622239">
      <w:bodyDiv w:val="1"/>
      <w:marLeft w:val="0"/>
      <w:marRight w:val="0"/>
      <w:marTop w:val="0"/>
      <w:marBottom w:val="0"/>
      <w:divBdr>
        <w:top w:val="none" w:sz="0" w:space="0" w:color="auto"/>
        <w:left w:val="none" w:sz="0" w:space="0" w:color="auto"/>
        <w:bottom w:val="none" w:sz="0" w:space="0" w:color="auto"/>
        <w:right w:val="none" w:sz="0" w:space="0" w:color="auto"/>
      </w:divBdr>
    </w:div>
    <w:div w:id="1162967720">
      <w:bodyDiv w:val="1"/>
      <w:marLeft w:val="0"/>
      <w:marRight w:val="0"/>
      <w:marTop w:val="0"/>
      <w:marBottom w:val="0"/>
      <w:divBdr>
        <w:top w:val="none" w:sz="0" w:space="0" w:color="auto"/>
        <w:left w:val="none" w:sz="0" w:space="0" w:color="auto"/>
        <w:bottom w:val="none" w:sz="0" w:space="0" w:color="auto"/>
        <w:right w:val="none" w:sz="0" w:space="0" w:color="auto"/>
      </w:divBdr>
    </w:div>
    <w:div w:id="1168210130">
      <w:bodyDiv w:val="1"/>
      <w:marLeft w:val="0"/>
      <w:marRight w:val="0"/>
      <w:marTop w:val="0"/>
      <w:marBottom w:val="0"/>
      <w:divBdr>
        <w:top w:val="none" w:sz="0" w:space="0" w:color="auto"/>
        <w:left w:val="none" w:sz="0" w:space="0" w:color="auto"/>
        <w:bottom w:val="none" w:sz="0" w:space="0" w:color="auto"/>
        <w:right w:val="none" w:sz="0" w:space="0" w:color="auto"/>
      </w:divBdr>
    </w:div>
    <w:div w:id="1176117551">
      <w:bodyDiv w:val="1"/>
      <w:marLeft w:val="0"/>
      <w:marRight w:val="0"/>
      <w:marTop w:val="0"/>
      <w:marBottom w:val="0"/>
      <w:divBdr>
        <w:top w:val="none" w:sz="0" w:space="0" w:color="auto"/>
        <w:left w:val="none" w:sz="0" w:space="0" w:color="auto"/>
        <w:bottom w:val="none" w:sz="0" w:space="0" w:color="auto"/>
        <w:right w:val="none" w:sz="0" w:space="0" w:color="auto"/>
      </w:divBdr>
    </w:div>
    <w:div w:id="1180849086">
      <w:bodyDiv w:val="1"/>
      <w:marLeft w:val="0"/>
      <w:marRight w:val="0"/>
      <w:marTop w:val="0"/>
      <w:marBottom w:val="0"/>
      <w:divBdr>
        <w:top w:val="none" w:sz="0" w:space="0" w:color="auto"/>
        <w:left w:val="none" w:sz="0" w:space="0" w:color="auto"/>
        <w:bottom w:val="none" w:sz="0" w:space="0" w:color="auto"/>
        <w:right w:val="none" w:sz="0" w:space="0" w:color="auto"/>
      </w:divBdr>
    </w:div>
    <w:div w:id="1192305480">
      <w:bodyDiv w:val="1"/>
      <w:marLeft w:val="0"/>
      <w:marRight w:val="0"/>
      <w:marTop w:val="0"/>
      <w:marBottom w:val="0"/>
      <w:divBdr>
        <w:top w:val="none" w:sz="0" w:space="0" w:color="auto"/>
        <w:left w:val="none" w:sz="0" w:space="0" w:color="auto"/>
        <w:bottom w:val="none" w:sz="0" w:space="0" w:color="auto"/>
        <w:right w:val="none" w:sz="0" w:space="0" w:color="auto"/>
      </w:divBdr>
    </w:div>
    <w:div w:id="1194608903">
      <w:bodyDiv w:val="1"/>
      <w:marLeft w:val="0"/>
      <w:marRight w:val="0"/>
      <w:marTop w:val="0"/>
      <w:marBottom w:val="0"/>
      <w:divBdr>
        <w:top w:val="none" w:sz="0" w:space="0" w:color="auto"/>
        <w:left w:val="none" w:sz="0" w:space="0" w:color="auto"/>
        <w:bottom w:val="none" w:sz="0" w:space="0" w:color="auto"/>
        <w:right w:val="none" w:sz="0" w:space="0" w:color="auto"/>
      </w:divBdr>
    </w:div>
    <w:div w:id="1198470377">
      <w:bodyDiv w:val="1"/>
      <w:marLeft w:val="0"/>
      <w:marRight w:val="0"/>
      <w:marTop w:val="0"/>
      <w:marBottom w:val="0"/>
      <w:divBdr>
        <w:top w:val="none" w:sz="0" w:space="0" w:color="auto"/>
        <w:left w:val="none" w:sz="0" w:space="0" w:color="auto"/>
        <w:bottom w:val="none" w:sz="0" w:space="0" w:color="auto"/>
        <w:right w:val="none" w:sz="0" w:space="0" w:color="auto"/>
      </w:divBdr>
    </w:div>
    <w:div w:id="1207452466">
      <w:bodyDiv w:val="1"/>
      <w:marLeft w:val="0"/>
      <w:marRight w:val="0"/>
      <w:marTop w:val="0"/>
      <w:marBottom w:val="0"/>
      <w:divBdr>
        <w:top w:val="none" w:sz="0" w:space="0" w:color="auto"/>
        <w:left w:val="none" w:sz="0" w:space="0" w:color="auto"/>
        <w:bottom w:val="none" w:sz="0" w:space="0" w:color="auto"/>
        <w:right w:val="none" w:sz="0" w:space="0" w:color="auto"/>
      </w:divBdr>
    </w:div>
    <w:div w:id="1208296630">
      <w:bodyDiv w:val="1"/>
      <w:marLeft w:val="0"/>
      <w:marRight w:val="0"/>
      <w:marTop w:val="0"/>
      <w:marBottom w:val="0"/>
      <w:divBdr>
        <w:top w:val="none" w:sz="0" w:space="0" w:color="auto"/>
        <w:left w:val="none" w:sz="0" w:space="0" w:color="auto"/>
        <w:bottom w:val="none" w:sz="0" w:space="0" w:color="auto"/>
        <w:right w:val="none" w:sz="0" w:space="0" w:color="auto"/>
      </w:divBdr>
    </w:div>
    <w:div w:id="1214464980">
      <w:bodyDiv w:val="1"/>
      <w:marLeft w:val="0"/>
      <w:marRight w:val="0"/>
      <w:marTop w:val="0"/>
      <w:marBottom w:val="0"/>
      <w:divBdr>
        <w:top w:val="none" w:sz="0" w:space="0" w:color="auto"/>
        <w:left w:val="none" w:sz="0" w:space="0" w:color="auto"/>
        <w:bottom w:val="none" w:sz="0" w:space="0" w:color="auto"/>
        <w:right w:val="none" w:sz="0" w:space="0" w:color="auto"/>
      </w:divBdr>
    </w:div>
    <w:div w:id="1215627730">
      <w:bodyDiv w:val="1"/>
      <w:marLeft w:val="0"/>
      <w:marRight w:val="0"/>
      <w:marTop w:val="0"/>
      <w:marBottom w:val="0"/>
      <w:divBdr>
        <w:top w:val="none" w:sz="0" w:space="0" w:color="auto"/>
        <w:left w:val="none" w:sz="0" w:space="0" w:color="auto"/>
        <w:bottom w:val="none" w:sz="0" w:space="0" w:color="auto"/>
        <w:right w:val="none" w:sz="0" w:space="0" w:color="auto"/>
      </w:divBdr>
    </w:div>
    <w:div w:id="1216501553">
      <w:bodyDiv w:val="1"/>
      <w:marLeft w:val="0"/>
      <w:marRight w:val="0"/>
      <w:marTop w:val="0"/>
      <w:marBottom w:val="0"/>
      <w:divBdr>
        <w:top w:val="none" w:sz="0" w:space="0" w:color="auto"/>
        <w:left w:val="none" w:sz="0" w:space="0" w:color="auto"/>
        <w:bottom w:val="none" w:sz="0" w:space="0" w:color="auto"/>
        <w:right w:val="none" w:sz="0" w:space="0" w:color="auto"/>
      </w:divBdr>
    </w:div>
    <w:div w:id="1219827443">
      <w:bodyDiv w:val="1"/>
      <w:marLeft w:val="0"/>
      <w:marRight w:val="0"/>
      <w:marTop w:val="0"/>
      <w:marBottom w:val="0"/>
      <w:divBdr>
        <w:top w:val="none" w:sz="0" w:space="0" w:color="auto"/>
        <w:left w:val="none" w:sz="0" w:space="0" w:color="auto"/>
        <w:bottom w:val="none" w:sz="0" w:space="0" w:color="auto"/>
        <w:right w:val="none" w:sz="0" w:space="0" w:color="auto"/>
      </w:divBdr>
    </w:div>
    <w:div w:id="1220173283">
      <w:bodyDiv w:val="1"/>
      <w:marLeft w:val="0"/>
      <w:marRight w:val="0"/>
      <w:marTop w:val="0"/>
      <w:marBottom w:val="0"/>
      <w:divBdr>
        <w:top w:val="none" w:sz="0" w:space="0" w:color="auto"/>
        <w:left w:val="none" w:sz="0" w:space="0" w:color="auto"/>
        <w:bottom w:val="none" w:sz="0" w:space="0" w:color="auto"/>
        <w:right w:val="none" w:sz="0" w:space="0" w:color="auto"/>
      </w:divBdr>
    </w:div>
    <w:div w:id="1240867849">
      <w:bodyDiv w:val="1"/>
      <w:marLeft w:val="0"/>
      <w:marRight w:val="0"/>
      <w:marTop w:val="0"/>
      <w:marBottom w:val="0"/>
      <w:divBdr>
        <w:top w:val="none" w:sz="0" w:space="0" w:color="auto"/>
        <w:left w:val="none" w:sz="0" w:space="0" w:color="auto"/>
        <w:bottom w:val="none" w:sz="0" w:space="0" w:color="auto"/>
        <w:right w:val="none" w:sz="0" w:space="0" w:color="auto"/>
      </w:divBdr>
    </w:div>
    <w:div w:id="1241525832">
      <w:bodyDiv w:val="1"/>
      <w:marLeft w:val="0"/>
      <w:marRight w:val="0"/>
      <w:marTop w:val="0"/>
      <w:marBottom w:val="0"/>
      <w:divBdr>
        <w:top w:val="none" w:sz="0" w:space="0" w:color="auto"/>
        <w:left w:val="none" w:sz="0" w:space="0" w:color="auto"/>
        <w:bottom w:val="none" w:sz="0" w:space="0" w:color="auto"/>
        <w:right w:val="none" w:sz="0" w:space="0" w:color="auto"/>
      </w:divBdr>
    </w:div>
    <w:div w:id="1249076542">
      <w:bodyDiv w:val="1"/>
      <w:marLeft w:val="0"/>
      <w:marRight w:val="0"/>
      <w:marTop w:val="0"/>
      <w:marBottom w:val="0"/>
      <w:divBdr>
        <w:top w:val="none" w:sz="0" w:space="0" w:color="auto"/>
        <w:left w:val="none" w:sz="0" w:space="0" w:color="auto"/>
        <w:bottom w:val="none" w:sz="0" w:space="0" w:color="auto"/>
        <w:right w:val="none" w:sz="0" w:space="0" w:color="auto"/>
      </w:divBdr>
    </w:div>
    <w:div w:id="1258634878">
      <w:bodyDiv w:val="1"/>
      <w:marLeft w:val="0"/>
      <w:marRight w:val="0"/>
      <w:marTop w:val="0"/>
      <w:marBottom w:val="0"/>
      <w:divBdr>
        <w:top w:val="none" w:sz="0" w:space="0" w:color="auto"/>
        <w:left w:val="none" w:sz="0" w:space="0" w:color="auto"/>
        <w:bottom w:val="none" w:sz="0" w:space="0" w:color="auto"/>
        <w:right w:val="none" w:sz="0" w:space="0" w:color="auto"/>
      </w:divBdr>
    </w:div>
    <w:div w:id="1275333466">
      <w:bodyDiv w:val="1"/>
      <w:marLeft w:val="0"/>
      <w:marRight w:val="0"/>
      <w:marTop w:val="0"/>
      <w:marBottom w:val="0"/>
      <w:divBdr>
        <w:top w:val="none" w:sz="0" w:space="0" w:color="auto"/>
        <w:left w:val="none" w:sz="0" w:space="0" w:color="auto"/>
        <w:bottom w:val="none" w:sz="0" w:space="0" w:color="auto"/>
        <w:right w:val="none" w:sz="0" w:space="0" w:color="auto"/>
      </w:divBdr>
    </w:div>
    <w:div w:id="1306742365">
      <w:bodyDiv w:val="1"/>
      <w:marLeft w:val="0"/>
      <w:marRight w:val="0"/>
      <w:marTop w:val="0"/>
      <w:marBottom w:val="0"/>
      <w:divBdr>
        <w:top w:val="none" w:sz="0" w:space="0" w:color="auto"/>
        <w:left w:val="none" w:sz="0" w:space="0" w:color="auto"/>
        <w:bottom w:val="none" w:sz="0" w:space="0" w:color="auto"/>
        <w:right w:val="none" w:sz="0" w:space="0" w:color="auto"/>
      </w:divBdr>
    </w:div>
    <w:div w:id="1307129399">
      <w:bodyDiv w:val="1"/>
      <w:marLeft w:val="0"/>
      <w:marRight w:val="0"/>
      <w:marTop w:val="0"/>
      <w:marBottom w:val="0"/>
      <w:divBdr>
        <w:top w:val="none" w:sz="0" w:space="0" w:color="auto"/>
        <w:left w:val="none" w:sz="0" w:space="0" w:color="auto"/>
        <w:bottom w:val="none" w:sz="0" w:space="0" w:color="auto"/>
        <w:right w:val="none" w:sz="0" w:space="0" w:color="auto"/>
      </w:divBdr>
    </w:div>
    <w:div w:id="1308628428">
      <w:bodyDiv w:val="1"/>
      <w:marLeft w:val="0"/>
      <w:marRight w:val="0"/>
      <w:marTop w:val="0"/>
      <w:marBottom w:val="0"/>
      <w:divBdr>
        <w:top w:val="none" w:sz="0" w:space="0" w:color="auto"/>
        <w:left w:val="none" w:sz="0" w:space="0" w:color="auto"/>
        <w:bottom w:val="none" w:sz="0" w:space="0" w:color="auto"/>
        <w:right w:val="none" w:sz="0" w:space="0" w:color="auto"/>
      </w:divBdr>
    </w:div>
    <w:div w:id="1310667715">
      <w:bodyDiv w:val="1"/>
      <w:marLeft w:val="0"/>
      <w:marRight w:val="0"/>
      <w:marTop w:val="0"/>
      <w:marBottom w:val="0"/>
      <w:divBdr>
        <w:top w:val="none" w:sz="0" w:space="0" w:color="auto"/>
        <w:left w:val="none" w:sz="0" w:space="0" w:color="auto"/>
        <w:bottom w:val="none" w:sz="0" w:space="0" w:color="auto"/>
        <w:right w:val="none" w:sz="0" w:space="0" w:color="auto"/>
      </w:divBdr>
    </w:div>
    <w:div w:id="1313021140">
      <w:bodyDiv w:val="1"/>
      <w:marLeft w:val="0"/>
      <w:marRight w:val="0"/>
      <w:marTop w:val="0"/>
      <w:marBottom w:val="0"/>
      <w:divBdr>
        <w:top w:val="none" w:sz="0" w:space="0" w:color="auto"/>
        <w:left w:val="none" w:sz="0" w:space="0" w:color="auto"/>
        <w:bottom w:val="none" w:sz="0" w:space="0" w:color="auto"/>
        <w:right w:val="none" w:sz="0" w:space="0" w:color="auto"/>
      </w:divBdr>
    </w:div>
    <w:div w:id="1321471406">
      <w:bodyDiv w:val="1"/>
      <w:marLeft w:val="0"/>
      <w:marRight w:val="0"/>
      <w:marTop w:val="0"/>
      <w:marBottom w:val="0"/>
      <w:divBdr>
        <w:top w:val="none" w:sz="0" w:space="0" w:color="auto"/>
        <w:left w:val="none" w:sz="0" w:space="0" w:color="auto"/>
        <w:bottom w:val="none" w:sz="0" w:space="0" w:color="auto"/>
        <w:right w:val="none" w:sz="0" w:space="0" w:color="auto"/>
      </w:divBdr>
    </w:div>
    <w:div w:id="1359507962">
      <w:bodyDiv w:val="1"/>
      <w:marLeft w:val="0"/>
      <w:marRight w:val="0"/>
      <w:marTop w:val="0"/>
      <w:marBottom w:val="0"/>
      <w:divBdr>
        <w:top w:val="none" w:sz="0" w:space="0" w:color="auto"/>
        <w:left w:val="none" w:sz="0" w:space="0" w:color="auto"/>
        <w:bottom w:val="none" w:sz="0" w:space="0" w:color="auto"/>
        <w:right w:val="none" w:sz="0" w:space="0" w:color="auto"/>
      </w:divBdr>
    </w:div>
    <w:div w:id="1364332227">
      <w:bodyDiv w:val="1"/>
      <w:marLeft w:val="0"/>
      <w:marRight w:val="0"/>
      <w:marTop w:val="0"/>
      <w:marBottom w:val="0"/>
      <w:divBdr>
        <w:top w:val="none" w:sz="0" w:space="0" w:color="auto"/>
        <w:left w:val="none" w:sz="0" w:space="0" w:color="auto"/>
        <w:bottom w:val="none" w:sz="0" w:space="0" w:color="auto"/>
        <w:right w:val="none" w:sz="0" w:space="0" w:color="auto"/>
      </w:divBdr>
    </w:div>
    <w:div w:id="1393963619">
      <w:bodyDiv w:val="1"/>
      <w:marLeft w:val="0"/>
      <w:marRight w:val="0"/>
      <w:marTop w:val="0"/>
      <w:marBottom w:val="0"/>
      <w:divBdr>
        <w:top w:val="none" w:sz="0" w:space="0" w:color="auto"/>
        <w:left w:val="none" w:sz="0" w:space="0" w:color="auto"/>
        <w:bottom w:val="none" w:sz="0" w:space="0" w:color="auto"/>
        <w:right w:val="none" w:sz="0" w:space="0" w:color="auto"/>
      </w:divBdr>
    </w:div>
    <w:div w:id="1397507299">
      <w:bodyDiv w:val="1"/>
      <w:marLeft w:val="0"/>
      <w:marRight w:val="0"/>
      <w:marTop w:val="0"/>
      <w:marBottom w:val="0"/>
      <w:divBdr>
        <w:top w:val="none" w:sz="0" w:space="0" w:color="auto"/>
        <w:left w:val="none" w:sz="0" w:space="0" w:color="auto"/>
        <w:bottom w:val="none" w:sz="0" w:space="0" w:color="auto"/>
        <w:right w:val="none" w:sz="0" w:space="0" w:color="auto"/>
      </w:divBdr>
    </w:div>
    <w:div w:id="1398354616">
      <w:bodyDiv w:val="1"/>
      <w:marLeft w:val="0"/>
      <w:marRight w:val="0"/>
      <w:marTop w:val="0"/>
      <w:marBottom w:val="0"/>
      <w:divBdr>
        <w:top w:val="none" w:sz="0" w:space="0" w:color="auto"/>
        <w:left w:val="none" w:sz="0" w:space="0" w:color="auto"/>
        <w:bottom w:val="none" w:sz="0" w:space="0" w:color="auto"/>
        <w:right w:val="none" w:sz="0" w:space="0" w:color="auto"/>
      </w:divBdr>
    </w:div>
    <w:div w:id="1403874468">
      <w:bodyDiv w:val="1"/>
      <w:marLeft w:val="0"/>
      <w:marRight w:val="0"/>
      <w:marTop w:val="0"/>
      <w:marBottom w:val="0"/>
      <w:divBdr>
        <w:top w:val="none" w:sz="0" w:space="0" w:color="auto"/>
        <w:left w:val="none" w:sz="0" w:space="0" w:color="auto"/>
        <w:bottom w:val="none" w:sz="0" w:space="0" w:color="auto"/>
        <w:right w:val="none" w:sz="0" w:space="0" w:color="auto"/>
      </w:divBdr>
    </w:div>
    <w:div w:id="1420830264">
      <w:bodyDiv w:val="1"/>
      <w:marLeft w:val="0"/>
      <w:marRight w:val="0"/>
      <w:marTop w:val="0"/>
      <w:marBottom w:val="0"/>
      <w:divBdr>
        <w:top w:val="none" w:sz="0" w:space="0" w:color="auto"/>
        <w:left w:val="none" w:sz="0" w:space="0" w:color="auto"/>
        <w:bottom w:val="none" w:sz="0" w:space="0" w:color="auto"/>
        <w:right w:val="none" w:sz="0" w:space="0" w:color="auto"/>
      </w:divBdr>
    </w:div>
    <w:div w:id="1430390605">
      <w:bodyDiv w:val="1"/>
      <w:marLeft w:val="0"/>
      <w:marRight w:val="0"/>
      <w:marTop w:val="0"/>
      <w:marBottom w:val="0"/>
      <w:divBdr>
        <w:top w:val="none" w:sz="0" w:space="0" w:color="auto"/>
        <w:left w:val="none" w:sz="0" w:space="0" w:color="auto"/>
        <w:bottom w:val="none" w:sz="0" w:space="0" w:color="auto"/>
        <w:right w:val="none" w:sz="0" w:space="0" w:color="auto"/>
      </w:divBdr>
    </w:div>
    <w:div w:id="1433668002">
      <w:bodyDiv w:val="1"/>
      <w:marLeft w:val="0"/>
      <w:marRight w:val="0"/>
      <w:marTop w:val="0"/>
      <w:marBottom w:val="0"/>
      <w:divBdr>
        <w:top w:val="none" w:sz="0" w:space="0" w:color="auto"/>
        <w:left w:val="none" w:sz="0" w:space="0" w:color="auto"/>
        <w:bottom w:val="none" w:sz="0" w:space="0" w:color="auto"/>
        <w:right w:val="none" w:sz="0" w:space="0" w:color="auto"/>
      </w:divBdr>
    </w:div>
    <w:div w:id="1434861225">
      <w:bodyDiv w:val="1"/>
      <w:marLeft w:val="0"/>
      <w:marRight w:val="0"/>
      <w:marTop w:val="0"/>
      <w:marBottom w:val="0"/>
      <w:divBdr>
        <w:top w:val="none" w:sz="0" w:space="0" w:color="auto"/>
        <w:left w:val="none" w:sz="0" w:space="0" w:color="auto"/>
        <w:bottom w:val="none" w:sz="0" w:space="0" w:color="auto"/>
        <w:right w:val="none" w:sz="0" w:space="0" w:color="auto"/>
      </w:divBdr>
    </w:div>
    <w:div w:id="1439137224">
      <w:bodyDiv w:val="1"/>
      <w:marLeft w:val="0"/>
      <w:marRight w:val="0"/>
      <w:marTop w:val="0"/>
      <w:marBottom w:val="0"/>
      <w:divBdr>
        <w:top w:val="none" w:sz="0" w:space="0" w:color="auto"/>
        <w:left w:val="none" w:sz="0" w:space="0" w:color="auto"/>
        <w:bottom w:val="none" w:sz="0" w:space="0" w:color="auto"/>
        <w:right w:val="none" w:sz="0" w:space="0" w:color="auto"/>
      </w:divBdr>
    </w:div>
    <w:div w:id="1440029335">
      <w:bodyDiv w:val="1"/>
      <w:marLeft w:val="0"/>
      <w:marRight w:val="0"/>
      <w:marTop w:val="0"/>
      <w:marBottom w:val="0"/>
      <w:divBdr>
        <w:top w:val="none" w:sz="0" w:space="0" w:color="auto"/>
        <w:left w:val="none" w:sz="0" w:space="0" w:color="auto"/>
        <w:bottom w:val="none" w:sz="0" w:space="0" w:color="auto"/>
        <w:right w:val="none" w:sz="0" w:space="0" w:color="auto"/>
      </w:divBdr>
    </w:div>
    <w:div w:id="1447385297">
      <w:bodyDiv w:val="1"/>
      <w:marLeft w:val="0"/>
      <w:marRight w:val="0"/>
      <w:marTop w:val="0"/>
      <w:marBottom w:val="0"/>
      <w:divBdr>
        <w:top w:val="none" w:sz="0" w:space="0" w:color="auto"/>
        <w:left w:val="none" w:sz="0" w:space="0" w:color="auto"/>
        <w:bottom w:val="none" w:sz="0" w:space="0" w:color="auto"/>
        <w:right w:val="none" w:sz="0" w:space="0" w:color="auto"/>
      </w:divBdr>
    </w:div>
    <w:div w:id="1455519765">
      <w:bodyDiv w:val="1"/>
      <w:marLeft w:val="0"/>
      <w:marRight w:val="0"/>
      <w:marTop w:val="0"/>
      <w:marBottom w:val="0"/>
      <w:divBdr>
        <w:top w:val="none" w:sz="0" w:space="0" w:color="auto"/>
        <w:left w:val="none" w:sz="0" w:space="0" w:color="auto"/>
        <w:bottom w:val="none" w:sz="0" w:space="0" w:color="auto"/>
        <w:right w:val="none" w:sz="0" w:space="0" w:color="auto"/>
      </w:divBdr>
    </w:div>
    <w:div w:id="1463158619">
      <w:bodyDiv w:val="1"/>
      <w:marLeft w:val="0"/>
      <w:marRight w:val="0"/>
      <w:marTop w:val="0"/>
      <w:marBottom w:val="0"/>
      <w:divBdr>
        <w:top w:val="none" w:sz="0" w:space="0" w:color="auto"/>
        <w:left w:val="none" w:sz="0" w:space="0" w:color="auto"/>
        <w:bottom w:val="none" w:sz="0" w:space="0" w:color="auto"/>
        <w:right w:val="none" w:sz="0" w:space="0" w:color="auto"/>
      </w:divBdr>
    </w:div>
    <w:div w:id="1471632730">
      <w:bodyDiv w:val="1"/>
      <w:marLeft w:val="0"/>
      <w:marRight w:val="0"/>
      <w:marTop w:val="0"/>
      <w:marBottom w:val="0"/>
      <w:divBdr>
        <w:top w:val="none" w:sz="0" w:space="0" w:color="auto"/>
        <w:left w:val="none" w:sz="0" w:space="0" w:color="auto"/>
        <w:bottom w:val="none" w:sz="0" w:space="0" w:color="auto"/>
        <w:right w:val="none" w:sz="0" w:space="0" w:color="auto"/>
      </w:divBdr>
    </w:div>
    <w:div w:id="1472475113">
      <w:bodyDiv w:val="1"/>
      <w:marLeft w:val="0"/>
      <w:marRight w:val="0"/>
      <w:marTop w:val="0"/>
      <w:marBottom w:val="0"/>
      <w:divBdr>
        <w:top w:val="none" w:sz="0" w:space="0" w:color="auto"/>
        <w:left w:val="none" w:sz="0" w:space="0" w:color="auto"/>
        <w:bottom w:val="none" w:sz="0" w:space="0" w:color="auto"/>
        <w:right w:val="none" w:sz="0" w:space="0" w:color="auto"/>
      </w:divBdr>
    </w:div>
    <w:div w:id="1476264824">
      <w:bodyDiv w:val="1"/>
      <w:marLeft w:val="0"/>
      <w:marRight w:val="0"/>
      <w:marTop w:val="0"/>
      <w:marBottom w:val="0"/>
      <w:divBdr>
        <w:top w:val="none" w:sz="0" w:space="0" w:color="auto"/>
        <w:left w:val="none" w:sz="0" w:space="0" w:color="auto"/>
        <w:bottom w:val="none" w:sz="0" w:space="0" w:color="auto"/>
        <w:right w:val="none" w:sz="0" w:space="0" w:color="auto"/>
      </w:divBdr>
    </w:div>
    <w:div w:id="1477213521">
      <w:bodyDiv w:val="1"/>
      <w:marLeft w:val="0"/>
      <w:marRight w:val="0"/>
      <w:marTop w:val="0"/>
      <w:marBottom w:val="0"/>
      <w:divBdr>
        <w:top w:val="none" w:sz="0" w:space="0" w:color="auto"/>
        <w:left w:val="none" w:sz="0" w:space="0" w:color="auto"/>
        <w:bottom w:val="none" w:sz="0" w:space="0" w:color="auto"/>
        <w:right w:val="none" w:sz="0" w:space="0" w:color="auto"/>
      </w:divBdr>
    </w:div>
    <w:div w:id="1483812123">
      <w:bodyDiv w:val="1"/>
      <w:marLeft w:val="0"/>
      <w:marRight w:val="0"/>
      <w:marTop w:val="0"/>
      <w:marBottom w:val="0"/>
      <w:divBdr>
        <w:top w:val="none" w:sz="0" w:space="0" w:color="auto"/>
        <w:left w:val="none" w:sz="0" w:space="0" w:color="auto"/>
        <w:bottom w:val="none" w:sz="0" w:space="0" w:color="auto"/>
        <w:right w:val="none" w:sz="0" w:space="0" w:color="auto"/>
      </w:divBdr>
    </w:div>
    <w:div w:id="1485970663">
      <w:bodyDiv w:val="1"/>
      <w:marLeft w:val="0"/>
      <w:marRight w:val="0"/>
      <w:marTop w:val="0"/>
      <w:marBottom w:val="0"/>
      <w:divBdr>
        <w:top w:val="none" w:sz="0" w:space="0" w:color="auto"/>
        <w:left w:val="none" w:sz="0" w:space="0" w:color="auto"/>
        <w:bottom w:val="none" w:sz="0" w:space="0" w:color="auto"/>
        <w:right w:val="none" w:sz="0" w:space="0" w:color="auto"/>
      </w:divBdr>
    </w:div>
    <w:div w:id="1491019589">
      <w:bodyDiv w:val="1"/>
      <w:marLeft w:val="0"/>
      <w:marRight w:val="0"/>
      <w:marTop w:val="0"/>
      <w:marBottom w:val="0"/>
      <w:divBdr>
        <w:top w:val="none" w:sz="0" w:space="0" w:color="auto"/>
        <w:left w:val="none" w:sz="0" w:space="0" w:color="auto"/>
        <w:bottom w:val="none" w:sz="0" w:space="0" w:color="auto"/>
        <w:right w:val="none" w:sz="0" w:space="0" w:color="auto"/>
      </w:divBdr>
    </w:div>
    <w:div w:id="1510365386">
      <w:bodyDiv w:val="1"/>
      <w:marLeft w:val="0"/>
      <w:marRight w:val="0"/>
      <w:marTop w:val="0"/>
      <w:marBottom w:val="0"/>
      <w:divBdr>
        <w:top w:val="none" w:sz="0" w:space="0" w:color="auto"/>
        <w:left w:val="none" w:sz="0" w:space="0" w:color="auto"/>
        <w:bottom w:val="none" w:sz="0" w:space="0" w:color="auto"/>
        <w:right w:val="none" w:sz="0" w:space="0" w:color="auto"/>
      </w:divBdr>
    </w:div>
    <w:div w:id="1515802014">
      <w:bodyDiv w:val="1"/>
      <w:marLeft w:val="0"/>
      <w:marRight w:val="0"/>
      <w:marTop w:val="0"/>
      <w:marBottom w:val="0"/>
      <w:divBdr>
        <w:top w:val="none" w:sz="0" w:space="0" w:color="auto"/>
        <w:left w:val="none" w:sz="0" w:space="0" w:color="auto"/>
        <w:bottom w:val="none" w:sz="0" w:space="0" w:color="auto"/>
        <w:right w:val="none" w:sz="0" w:space="0" w:color="auto"/>
      </w:divBdr>
    </w:div>
    <w:div w:id="1521580841">
      <w:bodyDiv w:val="1"/>
      <w:marLeft w:val="0"/>
      <w:marRight w:val="0"/>
      <w:marTop w:val="0"/>
      <w:marBottom w:val="0"/>
      <w:divBdr>
        <w:top w:val="none" w:sz="0" w:space="0" w:color="auto"/>
        <w:left w:val="none" w:sz="0" w:space="0" w:color="auto"/>
        <w:bottom w:val="none" w:sz="0" w:space="0" w:color="auto"/>
        <w:right w:val="none" w:sz="0" w:space="0" w:color="auto"/>
      </w:divBdr>
    </w:div>
    <w:div w:id="1550922444">
      <w:bodyDiv w:val="1"/>
      <w:marLeft w:val="0"/>
      <w:marRight w:val="0"/>
      <w:marTop w:val="0"/>
      <w:marBottom w:val="0"/>
      <w:divBdr>
        <w:top w:val="none" w:sz="0" w:space="0" w:color="auto"/>
        <w:left w:val="none" w:sz="0" w:space="0" w:color="auto"/>
        <w:bottom w:val="none" w:sz="0" w:space="0" w:color="auto"/>
        <w:right w:val="none" w:sz="0" w:space="0" w:color="auto"/>
      </w:divBdr>
    </w:div>
    <w:div w:id="1555504812">
      <w:bodyDiv w:val="1"/>
      <w:marLeft w:val="0"/>
      <w:marRight w:val="0"/>
      <w:marTop w:val="0"/>
      <w:marBottom w:val="0"/>
      <w:divBdr>
        <w:top w:val="none" w:sz="0" w:space="0" w:color="auto"/>
        <w:left w:val="none" w:sz="0" w:space="0" w:color="auto"/>
        <w:bottom w:val="none" w:sz="0" w:space="0" w:color="auto"/>
        <w:right w:val="none" w:sz="0" w:space="0" w:color="auto"/>
      </w:divBdr>
    </w:div>
    <w:div w:id="1556551866">
      <w:bodyDiv w:val="1"/>
      <w:marLeft w:val="0"/>
      <w:marRight w:val="0"/>
      <w:marTop w:val="0"/>
      <w:marBottom w:val="0"/>
      <w:divBdr>
        <w:top w:val="none" w:sz="0" w:space="0" w:color="auto"/>
        <w:left w:val="none" w:sz="0" w:space="0" w:color="auto"/>
        <w:bottom w:val="none" w:sz="0" w:space="0" w:color="auto"/>
        <w:right w:val="none" w:sz="0" w:space="0" w:color="auto"/>
      </w:divBdr>
    </w:div>
    <w:div w:id="1566716541">
      <w:bodyDiv w:val="1"/>
      <w:marLeft w:val="0"/>
      <w:marRight w:val="0"/>
      <w:marTop w:val="0"/>
      <w:marBottom w:val="0"/>
      <w:divBdr>
        <w:top w:val="none" w:sz="0" w:space="0" w:color="auto"/>
        <w:left w:val="none" w:sz="0" w:space="0" w:color="auto"/>
        <w:bottom w:val="none" w:sz="0" w:space="0" w:color="auto"/>
        <w:right w:val="none" w:sz="0" w:space="0" w:color="auto"/>
      </w:divBdr>
    </w:div>
    <w:div w:id="1569877142">
      <w:bodyDiv w:val="1"/>
      <w:marLeft w:val="0"/>
      <w:marRight w:val="0"/>
      <w:marTop w:val="0"/>
      <w:marBottom w:val="0"/>
      <w:divBdr>
        <w:top w:val="none" w:sz="0" w:space="0" w:color="auto"/>
        <w:left w:val="none" w:sz="0" w:space="0" w:color="auto"/>
        <w:bottom w:val="none" w:sz="0" w:space="0" w:color="auto"/>
        <w:right w:val="none" w:sz="0" w:space="0" w:color="auto"/>
      </w:divBdr>
    </w:div>
    <w:div w:id="1589654964">
      <w:bodyDiv w:val="1"/>
      <w:marLeft w:val="0"/>
      <w:marRight w:val="0"/>
      <w:marTop w:val="0"/>
      <w:marBottom w:val="0"/>
      <w:divBdr>
        <w:top w:val="none" w:sz="0" w:space="0" w:color="auto"/>
        <w:left w:val="none" w:sz="0" w:space="0" w:color="auto"/>
        <w:bottom w:val="none" w:sz="0" w:space="0" w:color="auto"/>
        <w:right w:val="none" w:sz="0" w:space="0" w:color="auto"/>
      </w:divBdr>
    </w:div>
    <w:div w:id="1590389083">
      <w:bodyDiv w:val="1"/>
      <w:marLeft w:val="0"/>
      <w:marRight w:val="0"/>
      <w:marTop w:val="0"/>
      <w:marBottom w:val="0"/>
      <w:divBdr>
        <w:top w:val="none" w:sz="0" w:space="0" w:color="auto"/>
        <w:left w:val="none" w:sz="0" w:space="0" w:color="auto"/>
        <w:bottom w:val="none" w:sz="0" w:space="0" w:color="auto"/>
        <w:right w:val="none" w:sz="0" w:space="0" w:color="auto"/>
      </w:divBdr>
    </w:div>
    <w:div w:id="1592736571">
      <w:bodyDiv w:val="1"/>
      <w:marLeft w:val="0"/>
      <w:marRight w:val="0"/>
      <w:marTop w:val="0"/>
      <w:marBottom w:val="0"/>
      <w:divBdr>
        <w:top w:val="none" w:sz="0" w:space="0" w:color="auto"/>
        <w:left w:val="none" w:sz="0" w:space="0" w:color="auto"/>
        <w:bottom w:val="none" w:sz="0" w:space="0" w:color="auto"/>
        <w:right w:val="none" w:sz="0" w:space="0" w:color="auto"/>
      </w:divBdr>
    </w:div>
    <w:div w:id="1597709524">
      <w:bodyDiv w:val="1"/>
      <w:marLeft w:val="0"/>
      <w:marRight w:val="0"/>
      <w:marTop w:val="0"/>
      <w:marBottom w:val="0"/>
      <w:divBdr>
        <w:top w:val="none" w:sz="0" w:space="0" w:color="auto"/>
        <w:left w:val="none" w:sz="0" w:space="0" w:color="auto"/>
        <w:bottom w:val="none" w:sz="0" w:space="0" w:color="auto"/>
        <w:right w:val="none" w:sz="0" w:space="0" w:color="auto"/>
      </w:divBdr>
    </w:div>
    <w:div w:id="1608196259">
      <w:bodyDiv w:val="1"/>
      <w:marLeft w:val="0"/>
      <w:marRight w:val="0"/>
      <w:marTop w:val="0"/>
      <w:marBottom w:val="0"/>
      <w:divBdr>
        <w:top w:val="none" w:sz="0" w:space="0" w:color="auto"/>
        <w:left w:val="none" w:sz="0" w:space="0" w:color="auto"/>
        <w:bottom w:val="none" w:sz="0" w:space="0" w:color="auto"/>
        <w:right w:val="none" w:sz="0" w:space="0" w:color="auto"/>
      </w:divBdr>
    </w:div>
    <w:div w:id="1619873321">
      <w:bodyDiv w:val="1"/>
      <w:marLeft w:val="0"/>
      <w:marRight w:val="0"/>
      <w:marTop w:val="0"/>
      <w:marBottom w:val="0"/>
      <w:divBdr>
        <w:top w:val="none" w:sz="0" w:space="0" w:color="auto"/>
        <w:left w:val="none" w:sz="0" w:space="0" w:color="auto"/>
        <w:bottom w:val="none" w:sz="0" w:space="0" w:color="auto"/>
        <w:right w:val="none" w:sz="0" w:space="0" w:color="auto"/>
      </w:divBdr>
    </w:div>
    <w:div w:id="1625185747">
      <w:bodyDiv w:val="1"/>
      <w:marLeft w:val="0"/>
      <w:marRight w:val="0"/>
      <w:marTop w:val="0"/>
      <w:marBottom w:val="0"/>
      <w:divBdr>
        <w:top w:val="none" w:sz="0" w:space="0" w:color="auto"/>
        <w:left w:val="none" w:sz="0" w:space="0" w:color="auto"/>
        <w:bottom w:val="none" w:sz="0" w:space="0" w:color="auto"/>
        <w:right w:val="none" w:sz="0" w:space="0" w:color="auto"/>
      </w:divBdr>
    </w:div>
    <w:div w:id="1633250045">
      <w:bodyDiv w:val="1"/>
      <w:marLeft w:val="0"/>
      <w:marRight w:val="0"/>
      <w:marTop w:val="0"/>
      <w:marBottom w:val="0"/>
      <w:divBdr>
        <w:top w:val="none" w:sz="0" w:space="0" w:color="auto"/>
        <w:left w:val="none" w:sz="0" w:space="0" w:color="auto"/>
        <w:bottom w:val="none" w:sz="0" w:space="0" w:color="auto"/>
        <w:right w:val="none" w:sz="0" w:space="0" w:color="auto"/>
      </w:divBdr>
    </w:div>
    <w:div w:id="1635600835">
      <w:bodyDiv w:val="1"/>
      <w:marLeft w:val="0"/>
      <w:marRight w:val="0"/>
      <w:marTop w:val="0"/>
      <w:marBottom w:val="0"/>
      <w:divBdr>
        <w:top w:val="none" w:sz="0" w:space="0" w:color="auto"/>
        <w:left w:val="none" w:sz="0" w:space="0" w:color="auto"/>
        <w:bottom w:val="none" w:sz="0" w:space="0" w:color="auto"/>
        <w:right w:val="none" w:sz="0" w:space="0" w:color="auto"/>
      </w:divBdr>
      <w:divsChild>
        <w:div w:id="547480">
          <w:marLeft w:val="0"/>
          <w:marRight w:val="0"/>
          <w:marTop w:val="0"/>
          <w:marBottom w:val="0"/>
          <w:divBdr>
            <w:top w:val="none" w:sz="0" w:space="0" w:color="auto"/>
            <w:left w:val="none" w:sz="0" w:space="0" w:color="auto"/>
            <w:bottom w:val="none" w:sz="0" w:space="0" w:color="auto"/>
            <w:right w:val="none" w:sz="0" w:space="0" w:color="auto"/>
          </w:divBdr>
          <w:divsChild>
            <w:div w:id="764348723">
              <w:marLeft w:val="0"/>
              <w:marRight w:val="0"/>
              <w:marTop w:val="0"/>
              <w:marBottom w:val="0"/>
              <w:divBdr>
                <w:top w:val="none" w:sz="0" w:space="0" w:color="auto"/>
                <w:left w:val="none" w:sz="0" w:space="0" w:color="auto"/>
                <w:bottom w:val="none" w:sz="0" w:space="0" w:color="auto"/>
                <w:right w:val="none" w:sz="0" w:space="0" w:color="auto"/>
              </w:divBdr>
            </w:div>
          </w:divsChild>
        </w:div>
        <w:div w:id="14382719">
          <w:marLeft w:val="0"/>
          <w:marRight w:val="0"/>
          <w:marTop w:val="0"/>
          <w:marBottom w:val="0"/>
          <w:divBdr>
            <w:top w:val="none" w:sz="0" w:space="0" w:color="auto"/>
            <w:left w:val="none" w:sz="0" w:space="0" w:color="auto"/>
            <w:bottom w:val="none" w:sz="0" w:space="0" w:color="auto"/>
            <w:right w:val="none" w:sz="0" w:space="0" w:color="auto"/>
          </w:divBdr>
          <w:divsChild>
            <w:div w:id="1770465176">
              <w:marLeft w:val="0"/>
              <w:marRight w:val="0"/>
              <w:marTop w:val="0"/>
              <w:marBottom w:val="0"/>
              <w:divBdr>
                <w:top w:val="none" w:sz="0" w:space="0" w:color="auto"/>
                <w:left w:val="none" w:sz="0" w:space="0" w:color="auto"/>
                <w:bottom w:val="none" w:sz="0" w:space="0" w:color="auto"/>
                <w:right w:val="none" w:sz="0" w:space="0" w:color="auto"/>
              </w:divBdr>
            </w:div>
          </w:divsChild>
        </w:div>
        <w:div w:id="44573764">
          <w:marLeft w:val="0"/>
          <w:marRight w:val="0"/>
          <w:marTop w:val="0"/>
          <w:marBottom w:val="0"/>
          <w:divBdr>
            <w:top w:val="none" w:sz="0" w:space="0" w:color="auto"/>
            <w:left w:val="none" w:sz="0" w:space="0" w:color="auto"/>
            <w:bottom w:val="none" w:sz="0" w:space="0" w:color="auto"/>
            <w:right w:val="none" w:sz="0" w:space="0" w:color="auto"/>
          </w:divBdr>
          <w:divsChild>
            <w:div w:id="1630163860">
              <w:marLeft w:val="0"/>
              <w:marRight w:val="0"/>
              <w:marTop w:val="0"/>
              <w:marBottom w:val="0"/>
              <w:divBdr>
                <w:top w:val="none" w:sz="0" w:space="0" w:color="auto"/>
                <w:left w:val="none" w:sz="0" w:space="0" w:color="auto"/>
                <w:bottom w:val="none" w:sz="0" w:space="0" w:color="auto"/>
                <w:right w:val="none" w:sz="0" w:space="0" w:color="auto"/>
              </w:divBdr>
            </w:div>
          </w:divsChild>
        </w:div>
        <w:div w:id="68314606">
          <w:marLeft w:val="0"/>
          <w:marRight w:val="0"/>
          <w:marTop w:val="0"/>
          <w:marBottom w:val="0"/>
          <w:divBdr>
            <w:top w:val="none" w:sz="0" w:space="0" w:color="auto"/>
            <w:left w:val="none" w:sz="0" w:space="0" w:color="auto"/>
            <w:bottom w:val="none" w:sz="0" w:space="0" w:color="auto"/>
            <w:right w:val="none" w:sz="0" w:space="0" w:color="auto"/>
          </w:divBdr>
          <w:divsChild>
            <w:div w:id="1044987438">
              <w:marLeft w:val="0"/>
              <w:marRight w:val="0"/>
              <w:marTop w:val="0"/>
              <w:marBottom w:val="0"/>
              <w:divBdr>
                <w:top w:val="none" w:sz="0" w:space="0" w:color="auto"/>
                <w:left w:val="none" w:sz="0" w:space="0" w:color="auto"/>
                <w:bottom w:val="none" w:sz="0" w:space="0" w:color="auto"/>
                <w:right w:val="none" w:sz="0" w:space="0" w:color="auto"/>
              </w:divBdr>
            </w:div>
          </w:divsChild>
        </w:div>
        <w:div w:id="119962412">
          <w:marLeft w:val="0"/>
          <w:marRight w:val="0"/>
          <w:marTop w:val="0"/>
          <w:marBottom w:val="0"/>
          <w:divBdr>
            <w:top w:val="none" w:sz="0" w:space="0" w:color="auto"/>
            <w:left w:val="none" w:sz="0" w:space="0" w:color="auto"/>
            <w:bottom w:val="none" w:sz="0" w:space="0" w:color="auto"/>
            <w:right w:val="none" w:sz="0" w:space="0" w:color="auto"/>
          </w:divBdr>
          <w:divsChild>
            <w:div w:id="912617653">
              <w:marLeft w:val="0"/>
              <w:marRight w:val="0"/>
              <w:marTop w:val="0"/>
              <w:marBottom w:val="0"/>
              <w:divBdr>
                <w:top w:val="none" w:sz="0" w:space="0" w:color="auto"/>
                <w:left w:val="none" w:sz="0" w:space="0" w:color="auto"/>
                <w:bottom w:val="none" w:sz="0" w:space="0" w:color="auto"/>
                <w:right w:val="none" w:sz="0" w:space="0" w:color="auto"/>
              </w:divBdr>
            </w:div>
          </w:divsChild>
        </w:div>
        <w:div w:id="121307438">
          <w:marLeft w:val="0"/>
          <w:marRight w:val="0"/>
          <w:marTop w:val="0"/>
          <w:marBottom w:val="0"/>
          <w:divBdr>
            <w:top w:val="none" w:sz="0" w:space="0" w:color="auto"/>
            <w:left w:val="none" w:sz="0" w:space="0" w:color="auto"/>
            <w:bottom w:val="none" w:sz="0" w:space="0" w:color="auto"/>
            <w:right w:val="none" w:sz="0" w:space="0" w:color="auto"/>
          </w:divBdr>
          <w:divsChild>
            <w:div w:id="406266596">
              <w:marLeft w:val="0"/>
              <w:marRight w:val="0"/>
              <w:marTop w:val="0"/>
              <w:marBottom w:val="0"/>
              <w:divBdr>
                <w:top w:val="none" w:sz="0" w:space="0" w:color="auto"/>
                <w:left w:val="none" w:sz="0" w:space="0" w:color="auto"/>
                <w:bottom w:val="none" w:sz="0" w:space="0" w:color="auto"/>
                <w:right w:val="none" w:sz="0" w:space="0" w:color="auto"/>
              </w:divBdr>
            </w:div>
          </w:divsChild>
        </w:div>
        <w:div w:id="133723093">
          <w:marLeft w:val="0"/>
          <w:marRight w:val="0"/>
          <w:marTop w:val="0"/>
          <w:marBottom w:val="0"/>
          <w:divBdr>
            <w:top w:val="none" w:sz="0" w:space="0" w:color="auto"/>
            <w:left w:val="none" w:sz="0" w:space="0" w:color="auto"/>
            <w:bottom w:val="none" w:sz="0" w:space="0" w:color="auto"/>
            <w:right w:val="none" w:sz="0" w:space="0" w:color="auto"/>
          </w:divBdr>
          <w:divsChild>
            <w:div w:id="529033043">
              <w:marLeft w:val="0"/>
              <w:marRight w:val="0"/>
              <w:marTop w:val="0"/>
              <w:marBottom w:val="0"/>
              <w:divBdr>
                <w:top w:val="none" w:sz="0" w:space="0" w:color="auto"/>
                <w:left w:val="none" w:sz="0" w:space="0" w:color="auto"/>
                <w:bottom w:val="none" w:sz="0" w:space="0" w:color="auto"/>
                <w:right w:val="none" w:sz="0" w:space="0" w:color="auto"/>
              </w:divBdr>
            </w:div>
          </w:divsChild>
        </w:div>
        <w:div w:id="137691290">
          <w:marLeft w:val="0"/>
          <w:marRight w:val="0"/>
          <w:marTop w:val="0"/>
          <w:marBottom w:val="0"/>
          <w:divBdr>
            <w:top w:val="none" w:sz="0" w:space="0" w:color="auto"/>
            <w:left w:val="none" w:sz="0" w:space="0" w:color="auto"/>
            <w:bottom w:val="none" w:sz="0" w:space="0" w:color="auto"/>
            <w:right w:val="none" w:sz="0" w:space="0" w:color="auto"/>
          </w:divBdr>
          <w:divsChild>
            <w:div w:id="1201675216">
              <w:marLeft w:val="0"/>
              <w:marRight w:val="0"/>
              <w:marTop w:val="0"/>
              <w:marBottom w:val="0"/>
              <w:divBdr>
                <w:top w:val="none" w:sz="0" w:space="0" w:color="auto"/>
                <w:left w:val="none" w:sz="0" w:space="0" w:color="auto"/>
                <w:bottom w:val="none" w:sz="0" w:space="0" w:color="auto"/>
                <w:right w:val="none" w:sz="0" w:space="0" w:color="auto"/>
              </w:divBdr>
            </w:div>
          </w:divsChild>
        </w:div>
        <w:div w:id="156382657">
          <w:marLeft w:val="0"/>
          <w:marRight w:val="0"/>
          <w:marTop w:val="0"/>
          <w:marBottom w:val="0"/>
          <w:divBdr>
            <w:top w:val="none" w:sz="0" w:space="0" w:color="auto"/>
            <w:left w:val="none" w:sz="0" w:space="0" w:color="auto"/>
            <w:bottom w:val="none" w:sz="0" w:space="0" w:color="auto"/>
            <w:right w:val="none" w:sz="0" w:space="0" w:color="auto"/>
          </w:divBdr>
          <w:divsChild>
            <w:div w:id="1675767661">
              <w:marLeft w:val="0"/>
              <w:marRight w:val="0"/>
              <w:marTop w:val="0"/>
              <w:marBottom w:val="0"/>
              <w:divBdr>
                <w:top w:val="none" w:sz="0" w:space="0" w:color="auto"/>
                <w:left w:val="none" w:sz="0" w:space="0" w:color="auto"/>
                <w:bottom w:val="none" w:sz="0" w:space="0" w:color="auto"/>
                <w:right w:val="none" w:sz="0" w:space="0" w:color="auto"/>
              </w:divBdr>
            </w:div>
          </w:divsChild>
        </w:div>
        <w:div w:id="161432289">
          <w:marLeft w:val="0"/>
          <w:marRight w:val="0"/>
          <w:marTop w:val="0"/>
          <w:marBottom w:val="0"/>
          <w:divBdr>
            <w:top w:val="none" w:sz="0" w:space="0" w:color="auto"/>
            <w:left w:val="none" w:sz="0" w:space="0" w:color="auto"/>
            <w:bottom w:val="none" w:sz="0" w:space="0" w:color="auto"/>
            <w:right w:val="none" w:sz="0" w:space="0" w:color="auto"/>
          </w:divBdr>
          <w:divsChild>
            <w:div w:id="579675202">
              <w:marLeft w:val="0"/>
              <w:marRight w:val="0"/>
              <w:marTop w:val="0"/>
              <w:marBottom w:val="0"/>
              <w:divBdr>
                <w:top w:val="none" w:sz="0" w:space="0" w:color="auto"/>
                <w:left w:val="none" w:sz="0" w:space="0" w:color="auto"/>
                <w:bottom w:val="none" w:sz="0" w:space="0" w:color="auto"/>
                <w:right w:val="none" w:sz="0" w:space="0" w:color="auto"/>
              </w:divBdr>
            </w:div>
          </w:divsChild>
        </w:div>
        <w:div w:id="188371925">
          <w:marLeft w:val="0"/>
          <w:marRight w:val="0"/>
          <w:marTop w:val="0"/>
          <w:marBottom w:val="0"/>
          <w:divBdr>
            <w:top w:val="none" w:sz="0" w:space="0" w:color="auto"/>
            <w:left w:val="none" w:sz="0" w:space="0" w:color="auto"/>
            <w:bottom w:val="none" w:sz="0" w:space="0" w:color="auto"/>
            <w:right w:val="none" w:sz="0" w:space="0" w:color="auto"/>
          </w:divBdr>
          <w:divsChild>
            <w:div w:id="109322973">
              <w:marLeft w:val="0"/>
              <w:marRight w:val="0"/>
              <w:marTop w:val="0"/>
              <w:marBottom w:val="0"/>
              <w:divBdr>
                <w:top w:val="none" w:sz="0" w:space="0" w:color="auto"/>
                <w:left w:val="none" w:sz="0" w:space="0" w:color="auto"/>
                <w:bottom w:val="none" w:sz="0" w:space="0" w:color="auto"/>
                <w:right w:val="none" w:sz="0" w:space="0" w:color="auto"/>
              </w:divBdr>
            </w:div>
          </w:divsChild>
        </w:div>
        <w:div w:id="198124333">
          <w:marLeft w:val="0"/>
          <w:marRight w:val="0"/>
          <w:marTop w:val="0"/>
          <w:marBottom w:val="0"/>
          <w:divBdr>
            <w:top w:val="none" w:sz="0" w:space="0" w:color="auto"/>
            <w:left w:val="none" w:sz="0" w:space="0" w:color="auto"/>
            <w:bottom w:val="none" w:sz="0" w:space="0" w:color="auto"/>
            <w:right w:val="none" w:sz="0" w:space="0" w:color="auto"/>
          </w:divBdr>
          <w:divsChild>
            <w:div w:id="1760102981">
              <w:marLeft w:val="0"/>
              <w:marRight w:val="0"/>
              <w:marTop w:val="0"/>
              <w:marBottom w:val="0"/>
              <w:divBdr>
                <w:top w:val="none" w:sz="0" w:space="0" w:color="auto"/>
                <w:left w:val="none" w:sz="0" w:space="0" w:color="auto"/>
                <w:bottom w:val="none" w:sz="0" w:space="0" w:color="auto"/>
                <w:right w:val="none" w:sz="0" w:space="0" w:color="auto"/>
              </w:divBdr>
            </w:div>
          </w:divsChild>
        </w:div>
        <w:div w:id="227958581">
          <w:marLeft w:val="0"/>
          <w:marRight w:val="0"/>
          <w:marTop w:val="0"/>
          <w:marBottom w:val="0"/>
          <w:divBdr>
            <w:top w:val="none" w:sz="0" w:space="0" w:color="auto"/>
            <w:left w:val="none" w:sz="0" w:space="0" w:color="auto"/>
            <w:bottom w:val="none" w:sz="0" w:space="0" w:color="auto"/>
            <w:right w:val="none" w:sz="0" w:space="0" w:color="auto"/>
          </w:divBdr>
          <w:divsChild>
            <w:div w:id="238902642">
              <w:marLeft w:val="0"/>
              <w:marRight w:val="0"/>
              <w:marTop w:val="0"/>
              <w:marBottom w:val="0"/>
              <w:divBdr>
                <w:top w:val="none" w:sz="0" w:space="0" w:color="auto"/>
                <w:left w:val="none" w:sz="0" w:space="0" w:color="auto"/>
                <w:bottom w:val="none" w:sz="0" w:space="0" w:color="auto"/>
                <w:right w:val="none" w:sz="0" w:space="0" w:color="auto"/>
              </w:divBdr>
            </w:div>
          </w:divsChild>
        </w:div>
        <w:div w:id="231433663">
          <w:marLeft w:val="0"/>
          <w:marRight w:val="0"/>
          <w:marTop w:val="0"/>
          <w:marBottom w:val="0"/>
          <w:divBdr>
            <w:top w:val="none" w:sz="0" w:space="0" w:color="auto"/>
            <w:left w:val="none" w:sz="0" w:space="0" w:color="auto"/>
            <w:bottom w:val="none" w:sz="0" w:space="0" w:color="auto"/>
            <w:right w:val="none" w:sz="0" w:space="0" w:color="auto"/>
          </w:divBdr>
          <w:divsChild>
            <w:div w:id="1013803379">
              <w:marLeft w:val="0"/>
              <w:marRight w:val="0"/>
              <w:marTop w:val="0"/>
              <w:marBottom w:val="0"/>
              <w:divBdr>
                <w:top w:val="none" w:sz="0" w:space="0" w:color="auto"/>
                <w:left w:val="none" w:sz="0" w:space="0" w:color="auto"/>
                <w:bottom w:val="none" w:sz="0" w:space="0" w:color="auto"/>
                <w:right w:val="none" w:sz="0" w:space="0" w:color="auto"/>
              </w:divBdr>
            </w:div>
          </w:divsChild>
        </w:div>
        <w:div w:id="233899837">
          <w:marLeft w:val="0"/>
          <w:marRight w:val="0"/>
          <w:marTop w:val="0"/>
          <w:marBottom w:val="0"/>
          <w:divBdr>
            <w:top w:val="none" w:sz="0" w:space="0" w:color="auto"/>
            <w:left w:val="none" w:sz="0" w:space="0" w:color="auto"/>
            <w:bottom w:val="none" w:sz="0" w:space="0" w:color="auto"/>
            <w:right w:val="none" w:sz="0" w:space="0" w:color="auto"/>
          </w:divBdr>
          <w:divsChild>
            <w:div w:id="104347559">
              <w:marLeft w:val="0"/>
              <w:marRight w:val="0"/>
              <w:marTop w:val="0"/>
              <w:marBottom w:val="0"/>
              <w:divBdr>
                <w:top w:val="none" w:sz="0" w:space="0" w:color="auto"/>
                <w:left w:val="none" w:sz="0" w:space="0" w:color="auto"/>
                <w:bottom w:val="none" w:sz="0" w:space="0" w:color="auto"/>
                <w:right w:val="none" w:sz="0" w:space="0" w:color="auto"/>
              </w:divBdr>
            </w:div>
          </w:divsChild>
        </w:div>
        <w:div w:id="235821279">
          <w:marLeft w:val="0"/>
          <w:marRight w:val="0"/>
          <w:marTop w:val="0"/>
          <w:marBottom w:val="0"/>
          <w:divBdr>
            <w:top w:val="none" w:sz="0" w:space="0" w:color="auto"/>
            <w:left w:val="none" w:sz="0" w:space="0" w:color="auto"/>
            <w:bottom w:val="none" w:sz="0" w:space="0" w:color="auto"/>
            <w:right w:val="none" w:sz="0" w:space="0" w:color="auto"/>
          </w:divBdr>
          <w:divsChild>
            <w:div w:id="1058892524">
              <w:marLeft w:val="0"/>
              <w:marRight w:val="0"/>
              <w:marTop w:val="0"/>
              <w:marBottom w:val="0"/>
              <w:divBdr>
                <w:top w:val="none" w:sz="0" w:space="0" w:color="auto"/>
                <w:left w:val="none" w:sz="0" w:space="0" w:color="auto"/>
                <w:bottom w:val="none" w:sz="0" w:space="0" w:color="auto"/>
                <w:right w:val="none" w:sz="0" w:space="0" w:color="auto"/>
              </w:divBdr>
            </w:div>
          </w:divsChild>
        </w:div>
        <w:div w:id="238176460">
          <w:marLeft w:val="0"/>
          <w:marRight w:val="0"/>
          <w:marTop w:val="0"/>
          <w:marBottom w:val="0"/>
          <w:divBdr>
            <w:top w:val="none" w:sz="0" w:space="0" w:color="auto"/>
            <w:left w:val="none" w:sz="0" w:space="0" w:color="auto"/>
            <w:bottom w:val="none" w:sz="0" w:space="0" w:color="auto"/>
            <w:right w:val="none" w:sz="0" w:space="0" w:color="auto"/>
          </w:divBdr>
          <w:divsChild>
            <w:div w:id="1057703231">
              <w:marLeft w:val="0"/>
              <w:marRight w:val="0"/>
              <w:marTop w:val="0"/>
              <w:marBottom w:val="0"/>
              <w:divBdr>
                <w:top w:val="none" w:sz="0" w:space="0" w:color="auto"/>
                <w:left w:val="none" w:sz="0" w:space="0" w:color="auto"/>
                <w:bottom w:val="none" w:sz="0" w:space="0" w:color="auto"/>
                <w:right w:val="none" w:sz="0" w:space="0" w:color="auto"/>
              </w:divBdr>
            </w:div>
          </w:divsChild>
        </w:div>
        <w:div w:id="244799331">
          <w:marLeft w:val="0"/>
          <w:marRight w:val="0"/>
          <w:marTop w:val="0"/>
          <w:marBottom w:val="0"/>
          <w:divBdr>
            <w:top w:val="none" w:sz="0" w:space="0" w:color="auto"/>
            <w:left w:val="none" w:sz="0" w:space="0" w:color="auto"/>
            <w:bottom w:val="none" w:sz="0" w:space="0" w:color="auto"/>
            <w:right w:val="none" w:sz="0" w:space="0" w:color="auto"/>
          </w:divBdr>
          <w:divsChild>
            <w:div w:id="1570653566">
              <w:marLeft w:val="0"/>
              <w:marRight w:val="0"/>
              <w:marTop w:val="0"/>
              <w:marBottom w:val="0"/>
              <w:divBdr>
                <w:top w:val="none" w:sz="0" w:space="0" w:color="auto"/>
                <w:left w:val="none" w:sz="0" w:space="0" w:color="auto"/>
                <w:bottom w:val="none" w:sz="0" w:space="0" w:color="auto"/>
                <w:right w:val="none" w:sz="0" w:space="0" w:color="auto"/>
              </w:divBdr>
            </w:div>
          </w:divsChild>
        </w:div>
        <w:div w:id="252396652">
          <w:marLeft w:val="0"/>
          <w:marRight w:val="0"/>
          <w:marTop w:val="0"/>
          <w:marBottom w:val="0"/>
          <w:divBdr>
            <w:top w:val="none" w:sz="0" w:space="0" w:color="auto"/>
            <w:left w:val="none" w:sz="0" w:space="0" w:color="auto"/>
            <w:bottom w:val="none" w:sz="0" w:space="0" w:color="auto"/>
            <w:right w:val="none" w:sz="0" w:space="0" w:color="auto"/>
          </w:divBdr>
          <w:divsChild>
            <w:div w:id="1952275359">
              <w:marLeft w:val="0"/>
              <w:marRight w:val="0"/>
              <w:marTop w:val="0"/>
              <w:marBottom w:val="0"/>
              <w:divBdr>
                <w:top w:val="none" w:sz="0" w:space="0" w:color="auto"/>
                <w:left w:val="none" w:sz="0" w:space="0" w:color="auto"/>
                <w:bottom w:val="none" w:sz="0" w:space="0" w:color="auto"/>
                <w:right w:val="none" w:sz="0" w:space="0" w:color="auto"/>
              </w:divBdr>
            </w:div>
          </w:divsChild>
        </w:div>
        <w:div w:id="264853418">
          <w:marLeft w:val="0"/>
          <w:marRight w:val="0"/>
          <w:marTop w:val="0"/>
          <w:marBottom w:val="0"/>
          <w:divBdr>
            <w:top w:val="none" w:sz="0" w:space="0" w:color="auto"/>
            <w:left w:val="none" w:sz="0" w:space="0" w:color="auto"/>
            <w:bottom w:val="none" w:sz="0" w:space="0" w:color="auto"/>
            <w:right w:val="none" w:sz="0" w:space="0" w:color="auto"/>
          </w:divBdr>
          <w:divsChild>
            <w:div w:id="1196119977">
              <w:marLeft w:val="0"/>
              <w:marRight w:val="0"/>
              <w:marTop w:val="0"/>
              <w:marBottom w:val="0"/>
              <w:divBdr>
                <w:top w:val="none" w:sz="0" w:space="0" w:color="auto"/>
                <w:left w:val="none" w:sz="0" w:space="0" w:color="auto"/>
                <w:bottom w:val="none" w:sz="0" w:space="0" w:color="auto"/>
                <w:right w:val="none" w:sz="0" w:space="0" w:color="auto"/>
              </w:divBdr>
            </w:div>
          </w:divsChild>
        </w:div>
        <w:div w:id="279605577">
          <w:marLeft w:val="0"/>
          <w:marRight w:val="0"/>
          <w:marTop w:val="0"/>
          <w:marBottom w:val="0"/>
          <w:divBdr>
            <w:top w:val="none" w:sz="0" w:space="0" w:color="auto"/>
            <w:left w:val="none" w:sz="0" w:space="0" w:color="auto"/>
            <w:bottom w:val="none" w:sz="0" w:space="0" w:color="auto"/>
            <w:right w:val="none" w:sz="0" w:space="0" w:color="auto"/>
          </w:divBdr>
          <w:divsChild>
            <w:div w:id="1044136922">
              <w:marLeft w:val="0"/>
              <w:marRight w:val="0"/>
              <w:marTop w:val="0"/>
              <w:marBottom w:val="0"/>
              <w:divBdr>
                <w:top w:val="none" w:sz="0" w:space="0" w:color="auto"/>
                <w:left w:val="none" w:sz="0" w:space="0" w:color="auto"/>
                <w:bottom w:val="none" w:sz="0" w:space="0" w:color="auto"/>
                <w:right w:val="none" w:sz="0" w:space="0" w:color="auto"/>
              </w:divBdr>
            </w:div>
          </w:divsChild>
        </w:div>
        <w:div w:id="293220299">
          <w:marLeft w:val="0"/>
          <w:marRight w:val="0"/>
          <w:marTop w:val="0"/>
          <w:marBottom w:val="0"/>
          <w:divBdr>
            <w:top w:val="none" w:sz="0" w:space="0" w:color="auto"/>
            <w:left w:val="none" w:sz="0" w:space="0" w:color="auto"/>
            <w:bottom w:val="none" w:sz="0" w:space="0" w:color="auto"/>
            <w:right w:val="none" w:sz="0" w:space="0" w:color="auto"/>
          </w:divBdr>
          <w:divsChild>
            <w:div w:id="550655820">
              <w:marLeft w:val="0"/>
              <w:marRight w:val="0"/>
              <w:marTop w:val="0"/>
              <w:marBottom w:val="0"/>
              <w:divBdr>
                <w:top w:val="none" w:sz="0" w:space="0" w:color="auto"/>
                <w:left w:val="none" w:sz="0" w:space="0" w:color="auto"/>
                <w:bottom w:val="none" w:sz="0" w:space="0" w:color="auto"/>
                <w:right w:val="none" w:sz="0" w:space="0" w:color="auto"/>
              </w:divBdr>
            </w:div>
          </w:divsChild>
        </w:div>
        <w:div w:id="377121327">
          <w:marLeft w:val="0"/>
          <w:marRight w:val="0"/>
          <w:marTop w:val="0"/>
          <w:marBottom w:val="0"/>
          <w:divBdr>
            <w:top w:val="none" w:sz="0" w:space="0" w:color="auto"/>
            <w:left w:val="none" w:sz="0" w:space="0" w:color="auto"/>
            <w:bottom w:val="none" w:sz="0" w:space="0" w:color="auto"/>
            <w:right w:val="none" w:sz="0" w:space="0" w:color="auto"/>
          </w:divBdr>
          <w:divsChild>
            <w:div w:id="125857480">
              <w:marLeft w:val="0"/>
              <w:marRight w:val="0"/>
              <w:marTop w:val="0"/>
              <w:marBottom w:val="0"/>
              <w:divBdr>
                <w:top w:val="none" w:sz="0" w:space="0" w:color="auto"/>
                <w:left w:val="none" w:sz="0" w:space="0" w:color="auto"/>
                <w:bottom w:val="none" w:sz="0" w:space="0" w:color="auto"/>
                <w:right w:val="none" w:sz="0" w:space="0" w:color="auto"/>
              </w:divBdr>
            </w:div>
          </w:divsChild>
        </w:div>
        <w:div w:id="382799936">
          <w:marLeft w:val="0"/>
          <w:marRight w:val="0"/>
          <w:marTop w:val="0"/>
          <w:marBottom w:val="0"/>
          <w:divBdr>
            <w:top w:val="none" w:sz="0" w:space="0" w:color="auto"/>
            <w:left w:val="none" w:sz="0" w:space="0" w:color="auto"/>
            <w:bottom w:val="none" w:sz="0" w:space="0" w:color="auto"/>
            <w:right w:val="none" w:sz="0" w:space="0" w:color="auto"/>
          </w:divBdr>
          <w:divsChild>
            <w:div w:id="216551493">
              <w:marLeft w:val="0"/>
              <w:marRight w:val="0"/>
              <w:marTop w:val="0"/>
              <w:marBottom w:val="0"/>
              <w:divBdr>
                <w:top w:val="none" w:sz="0" w:space="0" w:color="auto"/>
                <w:left w:val="none" w:sz="0" w:space="0" w:color="auto"/>
                <w:bottom w:val="none" w:sz="0" w:space="0" w:color="auto"/>
                <w:right w:val="none" w:sz="0" w:space="0" w:color="auto"/>
              </w:divBdr>
            </w:div>
          </w:divsChild>
        </w:div>
        <w:div w:id="415632358">
          <w:marLeft w:val="0"/>
          <w:marRight w:val="0"/>
          <w:marTop w:val="0"/>
          <w:marBottom w:val="0"/>
          <w:divBdr>
            <w:top w:val="none" w:sz="0" w:space="0" w:color="auto"/>
            <w:left w:val="none" w:sz="0" w:space="0" w:color="auto"/>
            <w:bottom w:val="none" w:sz="0" w:space="0" w:color="auto"/>
            <w:right w:val="none" w:sz="0" w:space="0" w:color="auto"/>
          </w:divBdr>
          <w:divsChild>
            <w:div w:id="1259946920">
              <w:marLeft w:val="0"/>
              <w:marRight w:val="0"/>
              <w:marTop w:val="0"/>
              <w:marBottom w:val="0"/>
              <w:divBdr>
                <w:top w:val="none" w:sz="0" w:space="0" w:color="auto"/>
                <w:left w:val="none" w:sz="0" w:space="0" w:color="auto"/>
                <w:bottom w:val="none" w:sz="0" w:space="0" w:color="auto"/>
                <w:right w:val="none" w:sz="0" w:space="0" w:color="auto"/>
              </w:divBdr>
            </w:div>
          </w:divsChild>
        </w:div>
        <w:div w:id="419134768">
          <w:marLeft w:val="0"/>
          <w:marRight w:val="0"/>
          <w:marTop w:val="0"/>
          <w:marBottom w:val="0"/>
          <w:divBdr>
            <w:top w:val="none" w:sz="0" w:space="0" w:color="auto"/>
            <w:left w:val="none" w:sz="0" w:space="0" w:color="auto"/>
            <w:bottom w:val="none" w:sz="0" w:space="0" w:color="auto"/>
            <w:right w:val="none" w:sz="0" w:space="0" w:color="auto"/>
          </w:divBdr>
          <w:divsChild>
            <w:div w:id="1725910582">
              <w:marLeft w:val="0"/>
              <w:marRight w:val="0"/>
              <w:marTop w:val="0"/>
              <w:marBottom w:val="0"/>
              <w:divBdr>
                <w:top w:val="none" w:sz="0" w:space="0" w:color="auto"/>
                <w:left w:val="none" w:sz="0" w:space="0" w:color="auto"/>
                <w:bottom w:val="none" w:sz="0" w:space="0" w:color="auto"/>
                <w:right w:val="none" w:sz="0" w:space="0" w:color="auto"/>
              </w:divBdr>
            </w:div>
          </w:divsChild>
        </w:div>
        <w:div w:id="423457049">
          <w:marLeft w:val="0"/>
          <w:marRight w:val="0"/>
          <w:marTop w:val="0"/>
          <w:marBottom w:val="0"/>
          <w:divBdr>
            <w:top w:val="none" w:sz="0" w:space="0" w:color="auto"/>
            <w:left w:val="none" w:sz="0" w:space="0" w:color="auto"/>
            <w:bottom w:val="none" w:sz="0" w:space="0" w:color="auto"/>
            <w:right w:val="none" w:sz="0" w:space="0" w:color="auto"/>
          </w:divBdr>
          <w:divsChild>
            <w:div w:id="1091662710">
              <w:marLeft w:val="0"/>
              <w:marRight w:val="0"/>
              <w:marTop w:val="0"/>
              <w:marBottom w:val="0"/>
              <w:divBdr>
                <w:top w:val="none" w:sz="0" w:space="0" w:color="auto"/>
                <w:left w:val="none" w:sz="0" w:space="0" w:color="auto"/>
                <w:bottom w:val="none" w:sz="0" w:space="0" w:color="auto"/>
                <w:right w:val="none" w:sz="0" w:space="0" w:color="auto"/>
              </w:divBdr>
            </w:div>
          </w:divsChild>
        </w:div>
        <w:div w:id="436029096">
          <w:marLeft w:val="0"/>
          <w:marRight w:val="0"/>
          <w:marTop w:val="0"/>
          <w:marBottom w:val="0"/>
          <w:divBdr>
            <w:top w:val="none" w:sz="0" w:space="0" w:color="auto"/>
            <w:left w:val="none" w:sz="0" w:space="0" w:color="auto"/>
            <w:bottom w:val="none" w:sz="0" w:space="0" w:color="auto"/>
            <w:right w:val="none" w:sz="0" w:space="0" w:color="auto"/>
          </w:divBdr>
          <w:divsChild>
            <w:div w:id="328673670">
              <w:marLeft w:val="0"/>
              <w:marRight w:val="0"/>
              <w:marTop w:val="0"/>
              <w:marBottom w:val="0"/>
              <w:divBdr>
                <w:top w:val="none" w:sz="0" w:space="0" w:color="auto"/>
                <w:left w:val="none" w:sz="0" w:space="0" w:color="auto"/>
                <w:bottom w:val="none" w:sz="0" w:space="0" w:color="auto"/>
                <w:right w:val="none" w:sz="0" w:space="0" w:color="auto"/>
              </w:divBdr>
            </w:div>
          </w:divsChild>
        </w:div>
        <w:div w:id="438452646">
          <w:marLeft w:val="0"/>
          <w:marRight w:val="0"/>
          <w:marTop w:val="0"/>
          <w:marBottom w:val="0"/>
          <w:divBdr>
            <w:top w:val="none" w:sz="0" w:space="0" w:color="auto"/>
            <w:left w:val="none" w:sz="0" w:space="0" w:color="auto"/>
            <w:bottom w:val="none" w:sz="0" w:space="0" w:color="auto"/>
            <w:right w:val="none" w:sz="0" w:space="0" w:color="auto"/>
          </w:divBdr>
          <w:divsChild>
            <w:div w:id="1659112943">
              <w:marLeft w:val="0"/>
              <w:marRight w:val="0"/>
              <w:marTop w:val="0"/>
              <w:marBottom w:val="0"/>
              <w:divBdr>
                <w:top w:val="none" w:sz="0" w:space="0" w:color="auto"/>
                <w:left w:val="none" w:sz="0" w:space="0" w:color="auto"/>
                <w:bottom w:val="none" w:sz="0" w:space="0" w:color="auto"/>
                <w:right w:val="none" w:sz="0" w:space="0" w:color="auto"/>
              </w:divBdr>
            </w:div>
          </w:divsChild>
        </w:div>
        <w:div w:id="465969529">
          <w:marLeft w:val="0"/>
          <w:marRight w:val="0"/>
          <w:marTop w:val="0"/>
          <w:marBottom w:val="0"/>
          <w:divBdr>
            <w:top w:val="none" w:sz="0" w:space="0" w:color="auto"/>
            <w:left w:val="none" w:sz="0" w:space="0" w:color="auto"/>
            <w:bottom w:val="none" w:sz="0" w:space="0" w:color="auto"/>
            <w:right w:val="none" w:sz="0" w:space="0" w:color="auto"/>
          </w:divBdr>
          <w:divsChild>
            <w:div w:id="1652176053">
              <w:marLeft w:val="0"/>
              <w:marRight w:val="0"/>
              <w:marTop w:val="0"/>
              <w:marBottom w:val="0"/>
              <w:divBdr>
                <w:top w:val="none" w:sz="0" w:space="0" w:color="auto"/>
                <w:left w:val="none" w:sz="0" w:space="0" w:color="auto"/>
                <w:bottom w:val="none" w:sz="0" w:space="0" w:color="auto"/>
                <w:right w:val="none" w:sz="0" w:space="0" w:color="auto"/>
              </w:divBdr>
            </w:div>
          </w:divsChild>
        </w:div>
        <w:div w:id="502160529">
          <w:marLeft w:val="0"/>
          <w:marRight w:val="0"/>
          <w:marTop w:val="0"/>
          <w:marBottom w:val="0"/>
          <w:divBdr>
            <w:top w:val="none" w:sz="0" w:space="0" w:color="auto"/>
            <w:left w:val="none" w:sz="0" w:space="0" w:color="auto"/>
            <w:bottom w:val="none" w:sz="0" w:space="0" w:color="auto"/>
            <w:right w:val="none" w:sz="0" w:space="0" w:color="auto"/>
          </w:divBdr>
          <w:divsChild>
            <w:div w:id="374500343">
              <w:marLeft w:val="0"/>
              <w:marRight w:val="0"/>
              <w:marTop w:val="0"/>
              <w:marBottom w:val="0"/>
              <w:divBdr>
                <w:top w:val="none" w:sz="0" w:space="0" w:color="auto"/>
                <w:left w:val="none" w:sz="0" w:space="0" w:color="auto"/>
                <w:bottom w:val="none" w:sz="0" w:space="0" w:color="auto"/>
                <w:right w:val="none" w:sz="0" w:space="0" w:color="auto"/>
              </w:divBdr>
            </w:div>
          </w:divsChild>
        </w:div>
        <w:div w:id="532153089">
          <w:marLeft w:val="0"/>
          <w:marRight w:val="0"/>
          <w:marTop w:val="0"/>
          <w:marBottom w:val="0"/>
          <w:divBdr>
            <w:top w:val="none" w:sz="0" w:space="0" w:color="auto"/>
            <w:left w:val="none" w:sz="0" w:space="0" w:color="auto"/>
            <w:bottom w:val="none" w:sz="0" w:space="0" w:color="auto"/>
            <w:right w:val="none" w:sz="0" w:space="0" w:color="auto"/>
          </w:divBdr>
          <w:divsChild>
            <w:div w:id="848640815">
              <w:marLeft w:val="0"/>
              <w:marRight w:val="0"/>
              <w:marTop w:val="0"/>
              <w:marBottom w:val="0"/>
              <w:divBdr>
                <w:top w:val="none" w:sz="0" w:space="0" w:color="auto"/>
                <w:left w:val="none" w:sz="0" w:space="0" w:color="auto"/>
                <w:bottom w:val="none" w:sz="0" w:space="0" w:color="auto"/>
                <w:right w:val="none" w:sz="0" w:space="0" w:color="auto"/>
              </w:divBdr>
            </w:div>
          </w:divsChild>
        </w:div>
        <w:div w:id="559366984">
          <w:marLeft w:val="0"/>
          <w:marRight w:val="0"/>
          <w:marTop w:val="0"/>
          <w:marBottom w:val="0"/>
          <w:divBdr>
            <w:top w:val="none" w:sz="0" w:space="0" w:color="auto"/>
            <w:left w:val="none" w:sz="0" w:space="0" w:color="auto"/>
            <w:bottom w:val="none" w:sz="0" w:space="0" w:color="auto"/>
            <w:right w:val="none" w:sz="0" w:space="0" w:color="auto"/>
          </w:divBdr>
          <w:divsChild>
            <w:div w:id="278420337">
              <w:marLeft w:val="0"/>
              <w:marRight w:val="0"/>
              <w:marTop w:val="0"/>
              <w:marBottom w:val="0"/>
              <w:divBdr>
                <w:top w:val="none" w:sz="0" w:space="0" w:color="auto"/>
                <w:left w:val="none" w:sz="0" w:space="0" w:color="auto"/>
                <w:bottom w:val="none" w:sz="0" w:space="0" w:color="auto"/>
                <w:right w:val="none" w:sz="0" w:space="0" w:color="auto"/>
              </w:divBdr>
            </w:div>
          </w:divsChild>
        </w:div>
        <w:div w:id="573512625">
          <w:marLeft w:val="0"/>
          <w:marRight w:val="0"/>
          <w:marTop w:val="0"/>
          <w:marBottom w:val="0"/>
          <w:divBdr>
            <w:top w:val="none" w:sz="0" w:space="0" w:color="auto"/>
            <w:left w:val="none" w:sz="0" w:space="0" w:color="auto"/>
            <w:bottom w:val="none" w:sz="0" w:space="0" w:color="auto"/>
            <w:right w:val="none" w:sz="0" w:space="0" w:color="auto"/>
          </w:divBdr>
          <w:divsChild>
            <w:div w:id="606079024">
              <w:marLeft w:val="0"/>
              <w:marRight w:val="0"/>
              <w:marTop w:val="0"/>
              <w:marBottom w:val="0"/>
              <w:divBdr>
                <w:top w:val="none" w:sz="0" w:space="0" w:color="auto"/>
                <w:left w:val="none" w:sz="0" w:space="0" w:color="auto"/>
                <w:bottom w:val="none" w:sz="0" w:space="0" w:color="auto"/>
                <w:right w:val="none" w:sz="0" w:space="0" w:color="auto"/>
              </w:divBdr>
            </w:div>
          </w:divsChild>
        </w:div>
        <w:div w:id="580263831">
          <w:marLeft w:val="0"/>
          <w:marRight w:val="0"/>
          <w:marTop w:val="0"/>
          <w:marBottom w:val="0"/>
          <w:divBdr>
            <w:top w:val="none" w:sz="0" w:space="0" w:color="auto"/>
            <w:left w:val="none" w:sz="0" w:space="0" w:color="auto"/>
            <w:bottom w:val="none" w:sz="0" w:space="0" w:color="auto"/>
            <w:right w:val="none" w:sz="0" w:space="0" w:color="auto"/>
          </w:divBdr>
          <w:divsChild>
            <w:div w:id="1504781809">
              <w:marLeft w:val="0"/>
              <w:marRight w:val="0"/>
              <w:marTop w:val="0"/>
              <w:marBottom w:val="0"/>
              <w:divBdr>
                <w:top w:val="none" w:sz="0" w:space="0" w:color="auto"/>
                <w:left w:val="none" w:sz="0" w:space="0" w:color="auto"/>
                <w:bottom w:val="none" w:sz="0" w:space="0" w:color="auto"/>
                <w:right w:val="none" w:sz="0" w:space="0" w:color="auto"/>
              </w:divBdr>
            </w:div>
          </w:divsChild>
        </w:div>
        <w:div w:id="606429247">
          <w:marLeft w:val="0"/>
          <w:marRight w:val="0"/>
          <w:marTop w:val="0"/>
          <w:marBottom w:val="0"/>
          <w:divBdr>
            <w:top w:val="none" w:sz="0" w:space="0" w:color="auto"/>
            <w:left w:val="none" w:sz="0" w:space="0" w:color="auto"/>
            <w:bottom w:val="none" w:sz="0" w:space="0" w:color="auto"/>
            <w:right w:val="none" w:sz="0" w:space="0" w:color="auto"/>
          </w:divBdr>
          <w:divsChild>
            <w:div w:id="459538543">
              <w:marLeft w:val="0"/>
              <w:marRight w:val="0"/>
              <w:marTop w:val="0"/>
              <w:marBottom w:val="0"/>
              <w:divBdr>
                <w:top w:val="none" w:sz="0" w:space="0" w:color="auto"/>
                <w:left w:val="none" w:sz="0" w:space="0" w:color="auto"/>
                <w:bottom w:val="none" w:sz="0" w:space="0" w:color="auto"/>
                <w:right w:val="none" w:sz="0" w:space="0" w:color="auto"/>
              </w:divBdr>
            </w:div>
          </w:divsChild>
        </w:div>
        <w:div w:id="639580078">
          <w:marLeft w:val="0"/>
          <w:marRight w:val="0"/>
          <w:marTop w:val="0"/>
          <w:marBottom w:val="0"/>
          <w:divBdr>
            <w:top w:val="none" w:sz="0" w:space="0" w:color="auto"/>
            <w:left w:val="none" w:sz="0" w:space="0" w:color="auto"/>
            <w:bottom w:val="none" w:sz="0" w:space="0" w:color="auto"/>
            <w:right w:val="none" w:sz="0" w:space="0" w:color="auto"/>
          </w:divBdr>
          <w:divsChild>
            <w:div w:id="565141905">
              <w:marLeft w:val="0"/>
              <w:marRight w:val="0"/>
              <w:marTop w:val="0"/>
              <w:marBottom w:val="0"/>
              <w:divBdr>
                <w:top w:val="none" w:sz="0" w:space="0" w:color="auto"/>
                <w:left w:val="none" w:sz="0" w:space="0" w:color="auto"/>
                <w:bottom w:val="none" w:sz="0" w:space="0" w:color="auto"/>
                <w:right w:val="none" w:sz="0" w:space="0" w:color="auto"/>
              </w:divBdr>
            </w:div>
          </w:divsChild>
        </w:div>
        <w:div w:id="665981931">
          <w:marLeft w:val="0"/>
          <w:marRight w:val="0"/>
          <w:marTop w:val="0"/>
          <w:marBottom w:val="0"/>
          <w:divBdr>
            <w:top w:val="none" w:sz="0" w:space="0" w:color="auto"/>
            <w:left w:val="none" w:sz="0" w:space="0" w:color="auto"/>
            <w:bottom w:val="none" w:sz="0" w:space="0" w:color="auto"/>
            <w:right w:val="none" w:sz="0" w:space="0" w:color="auto"/>
          </w:divBdr>
          <w:divsChild>
            <w:div w:id="1666395127">
              <w:marLeft w:val="0"/>
              <w:marRight w:val="0"/>
              <w:marTop w:val="0"/>
              <w:marBottom w:val="0"/>
              <w:divBdr>
                <w:top w:val="none" w:sz="0" w:space="0" w:color="auto"/>
                <w:left w:val="none" w:sz="0" w:space="0" w:color="auto"/>
                <w:bottom w:val="none" w:sz="0" w:space="0" w:color="auto"/>
                <w:right w:val="none" w:sz="0" w:space="0" w:color="auto"/>
              </w:divBdr>
            </w:div>
          </w:divsChild>
        </w:div>
        <w:div w:id="668168376">
          <w:marLeft w:val="0"/>
          <w:marRight w:val="0"/>
          <w:marTop w:val="0"/>
          <w:marBottom w:val="0"/>
          <w:divBdr>
            <w:top w:val="none" w:sz="0" w:space="0" w:color="auto"/>
            <w:left w:val="none" w:sz="0" w:space="0" w:color="auto"/>
            <w:bottom w:val="none" w:sz="0" w:space="0" w:color="auto"/>
            <w:right w:val="none" w:sz="0" w:space="0" w:color="auto"/>
          </w:divBdr>
          <w:divsChild>
            <w:div w:id="1709066469">
              <w:marLeft w:val="0"/>
              <w:marRight w:val="0"/>
              <w:marTop w:val="0"/>
              <w:marBottom w:val="0"/>
              <w:divBdr>
                <w:top w:val="none" w:sz="0" w:space="0" w:color="auto"/>
                <w:left w:val="none" w:sz="0" w:space="0" w:color="auto"/>
                <w:bottom w:val="none" w:sz="0" w:space="0" w:color="auto"/>
                <w:right w:val="none" w:sz="0" w:space="0" w:color="auto"/>
              </w:divBdr>
            </w:div>
          </w:divsChild>
        </w:div>
        <w:div w:id="713694257">
          <w:marLeft w:val="0"/>
          <w:marRight w:val="0"/>
          <w:marTop w:val="0"/>
          <w:marBottom w:val="0"/>
          <w:divBdr>
            <w:top w:val="none" w:sz="0" w:space="0" w:color="auto"/>
            <w:left w:val="none" w:sz="0" w:space="0" w:color="auto"/>
            <w:bottom w:val="none" w:sz="0" w:space="0" w:color="auto"/>
            <w:right w:val="none" w:sz="0" w:space="0" w:color="auto"/>
          </w:divBdr>
          <w:divsChild>
            <w:div w:id="894121645">
              <w:marLeft w:val="0"/>
              <w:marRight w:val="0"/>
              <w:marTop w:val="0"/>
              <w:marBottom w:val="0"/>
              <w:divBdr>
                <w:top w:val="none" w:sz="0" w:space="0" w:color="auto"/>
                <w:left w:val="none" w:sz="0" w:space="0" w:color="auto"/>
                <w:bottom w:val="none" w:sz="0" w:space="0" w:color="auto"/>
                <w:right w:val="none" w:sz="0" w:space="0" w:color="auto"/>
              </w:divBdr>
            </w:div>
          </w:divsChild>
        </w:div>
        <w:div w:id="714159720">
          <w:marLeft w:val="0"/>
          <w:marRight w:val="0"/>
          <w:marTop w:val="0"/>
          <w:marBottom w:val="0"/>
          <w:divBdr>
            <w:top w:val="none" w:sz="0" w:space="0" w:color="auto"/>
            <w:left w:val="none" w:sz="0" w:space="0" w:color="auto"/>
            <w:bottom w:val="none" w:sz="0" w:space="0" w:color="auto"/>
            <w:right w:val="none" w:sz="0" w:space="0" w:color="auto"/>
          </w:divBdr>
          <w:divsChild>
            <w:div w:id="258417587">
              <w:marLeft w:val="0"/>
              <w:marRight w:val="0"/>
              <w:marTop w:val="0"/>
              <w:marBottom w:val="0"/>
              <w:divBdr>
                <w:top w:val="none" w:sz="0" w:space="0" w:color="auto"/>
                <w:left w:val="none" w:sz="0" w:space="0" w:color="auto"/>
                <w:bottom w:val="none" w:sz="0" w:space="0" w:color="auto"/>
                <w:right w:val="none" w:sz="0" w:space="0" w:color="auto"/>
              </w:divBdr>
            </w:div>
          </w:divsChild>
        </w:div>
        <w:div w:id="722483146">
          <w:marLeft w:val="0"/>
          <w:marRight w:val="0"/>
          <w:marTop w:val="0"/>
          <w:marBottom w:val="0"/>
          <w:divBdr>
            <w:top w:val="none" w:sz="0" w:space="0" w:color="auto"/>
            <w:left w:val="none" w:sz="0" w:space="0" w:color="auto"/>
            <w:bottom w:val="none" w:sz="0" w:space="0" w:color="auto"/>
            <w:right w:val="none" w:sz="0" w:space="0" w:color="auto"/>
          </w:divBdr>
          <w:divsChild>
            <w:div w:id="935558798">
              <w:marLeft w:val="0"/>
              <w:marRight w:val="0"/>
              <w:marTop w:val="0"/>
              <w:marBottom w:val="0"/>
              <w:divBdr>
                <w:top w:val="none" w:sz="0" w:space="0" w:color="auto"/>
                <w:left w:val="none" w:sz="0" w:space="0" w:color="auto"/>
                <w:bottom w:val="none" w:sz="0" w:space="0" w:color="auto"/>
                <w:right w:val="none" w:sz="0" w:space="0" w:color="auto"/>
              </w:divBdr>
            </w:div>
          </w:divsChild>
        </w:div>
        <w:div w:id="747389238">
          <w:marLeft w:val="0"/>
          <w:marRight w:val="0"/>
          <w:marTop w:val="0"/>
          <w:marBottom w:val="0"/>
          <w:divBdr>
            <w:top w:val="none" w:sz="0" w:space="0" w:color="auto"/>
            <w:left w:val="none" w:sz="0" w:space="0" w:color="auto"/>
            <w:bottom w:val="none" w:sz="0" w:space="0" w:color="auto"/>
            <w:right w:val="none" w:sz="0" w:space="0" w:color="auto"/>
          </w:divBdr>
          <w:divsChild>
            <w:div w:id="251934595">
              <w:marLeft w:val="0"/>
              <w:marRight w:val="0"/>
              <w:marTop w:val="0"/>
              <w:marBottom w:val="0"/>
              <w:divBdr>
                <w:top w:val="none" w:sz="0" w:space="0" w:color="auto"/>
                <w:left w:val="none" w:sz="0" w:space="0" w:color="auto"/>
                <w:bottom w:val="none" w:sz="0" w:space="0" w:color="auto"/>
                <w:right w:val="none" w:sz="0" w:space="0" w:color="auto"/>
              </w:divBdr>
            </w:div>
          </w:divsChild>
        </w:div>
        <w:div w:id="758909862">
          <w:marLeft w:val="0"/>
          <w:marRight w:val="0"/>
          <w:marTop w:val="0"/>
          <w:marBottom w:val="0"/>
          <w:divBdr>
            <w:top w:val="none" w:sz="0" w:space="0" w:color="auto"/>
            <w:left w:val="none" w:sz="0" w:space="0" w:color="auto"/>
            <w:bottom w:val="none" w:sz="0" w:space="0" w:color="auto"/>
            <w:right w:val="none" w:sz="0" w:space="0" w:color="auto"/>
          </w:divBdr>
          <w:divsChild>
            <w:div w:id="1497257404">
              <w:marLeft w:val="0"/>
              <w:marRight w:val="0"/>
              <w:marTop w:val="0"/>
              <w:marBottom w:val="0"/>
              <w:divBdr>
                <w:top w:val="none" w:sz="0" w:space="0" w:color="auto"/>
                <w:left w:val="none" w:sz="0" w:space="0" w:color="auto"/>
                <w:bottom w:val="none" w:sz="0" w:space="0" w:color="auto"/>
                <w:right w:val="none" w:sz="0" w:space="0" w:color="auto"/>
              </w:divBdr>
            </w:div>
          </w:divsChild>
        </w:div>
        <w:div w:id="809786964">
          <w:marLeft w:val="0"/>
          <w:marRight w:val="0"/>
          <w:marTop w:val="0"/>
          <w:marBottom w:val="0"/>
          <w:divBdr>
            <w:top w:val="none" w:sz="0" w:space="0" w:color="auto"/>
            <w:left w:val="none" w:sz="0" w:space="0" w:color="auto"/>
            <w:bottom w:val="none" w:sz="0" w:space="0" w:color="auto"/>
            <w:right w:val="none" w:sz="0" w:space="0" w:color="auto"/>
          </w:divBdr>
          <w:divsChild>
            <w:div w:id="508449232">
              <w:marLeft w:val="0"/>
              <w:marRight w:val="0"/>
              <w:marTop w:val="0"/>
              <w:marBottom w:val="0"/>
              <w:divBdr>
                <w:top w:val="none" w:sz="0" w:space="0" w:color="auto"/>
                <w:left w:val="none" w:sz="0" w:space="0" w:color="auto"/>
                <w:bottom w:val="none" w:sz="0" w:space="0" w:color="auto"/>
                <w:right w:val="none" w:sz="0" w:space="0" w:color="auto"/>
              </w:divBdr>
            </w:div>
          </w:divsChild>
        </w:div>
        <w:div w:id="830297111">
          <w:marLeft w:val="0"/>
          <w:marRight w:val="0"/>
          <w:marTop w:val="0"/>
          <w:marBottom w:val="0"/>
          <w:divBdr>
            <w:top w:val="none" w:sz="0" w:space="0" w:color="auto"/>
            <w:left w:val="none" w:sz="0" w:space="0" w:color="auto"/>
            <w:bottom w:val="none" w:sz="0" w:space="0" w:color="auto"/>
            <w:right w:val="none" w:sz="0" w:space="0" w:color="auto"/>
          </w:divBdr>
          <w:divsChild>
            <w:div w:id="1015231169">
              <w:marLeft w:val="0"/>
              <w:marRight w:val="0"/>
              <w:marTop w:val="0"/>
              <w:marBottom w:val="0"/>
              <w:divBdr>
                <w:top w:val="none" w:sz="0" w:space="0" w:color="auto"/>
                <w:left w:val="none" w:sz="0" w:space="0" w:color="auto"/>
                <w:bottom w:val="none" w:sz="0" w:space="0" w:color="auto"/>
                <w:right w:val="none" w:sz="0" w:space="0" w:color="auto"/>
              </w:divBdr>
            </w:div>
          </w:divsChild>
        </w:div>
        <w:div w:id="864907291">
          <w:marLeft w:val="0"/>
          <w:marRight w:val="0"/>
          <w:marTop w:val="0"/>
          <w:marBottom w:val="0"/>
          <w:divBdr>
            <w:top w:val="none" w:sz="0" w:space="0" w:color="auto"/>
            <w:left w:val="none" w:sz="0" w:space="0" w:color="auto"/>
            <w:bottom w:val="none" w:sz="0" w:space="0" w:color="auto"/>
            <w:right w:val="none" w:sz="0" w:space="0" w:color="auto"/>
          </w:divBdr>
          <w:divsChild>
            <w:div w:id="1304772831">
              <w:marLeft w:val="0"/>
              <w:marRight w:val="0"/>
              <w:marTop w:val="0"/>
              <w:marBottom w:val="0"/>
              <w:divBdr>
                <w:top w:val="none" w:sz="0" w:space="0" w:color="auto"/>
                <w:left w:val="none" w:sz="0" w:space="0" w:color="auto"/>
                <w:bottom w:val="none" w:sz="0" w:space="0" w:color="auto"/>
                <w:right w:val="none" w:sz="0" w:space="0" w:color="auto"/>
              </w:divBdr>
            </w:div>
          </w:divsChild>
        </w:div>
        <w:div w:id="865484420">
          <w:marLeft w:val="0"/>
          <w:marRight w:val="0"/>
          <w:marTop w:val="0"/>
          <w:marBottom w:val="0"/>
          <w:divBdr>
            <w:top w:val="none" w:sz="0" w:space="0" w:color="auto"/>
            <w:left w:val="none" w:sz="0" w:space="0" w:color="auto"/>
            <w:bottom w:val="none" w:sz="0" w:space="0" w:color="auto"/>
            <w:right w:val="none" w:sz="0" w:space="0" w:color="auto"/>
          </w:divBdr>
          <w:divsChild>
            <w:div w:id="976254258">
              <w:marLeft w:val="0"/>
              <w:marRight w:val="0"/>
              <w:marTop w:val="0"/>
              <w:marBottom w:val="0"/>
              <w:divBdr>
                <w:top w:val="none" w:sz="0" w:space="0" w:color="auto"/>
                <w:left w:val="none" w:sz="0" w:space="0" w:color="auto"/>
                <w:bottom w:val="none" w:sz="0" w:space="0" w:color="auto"/>
                <w:right w:val="none" w:sz="0" w:space="0" w:color="auto"/>
              </w:divBdr>
            </w:div>
          </w:divsChild>
        </w:div>
        <w:div w:id="874192516">
          <w:marLeft w:val="0"/>
          <w:marRight w:val="0"/>
          <w:marTop w:val="0"/>
          <w:marBottom w:val="0"/>
          <w:divBdr>
            <w:top w:val="none" w:sz="0" w:space="0" w:color="auto"/>
            <w:left w:val="none" w:sz="0" w:space="0" w:color="auto"/>
            <w:bottom w:val="none" w:sz="0" w:space="0" w:color="auto"/>
            <w:right w:val="none" w:sz="0" w:space="0" w:color="auto"/>
          </w:divBdr>
          <w:divsChild>
            <w:div w:id="1456560522">
              <w:marLeft w:val="0"/>
              <w:marRight w:val="0"/>
              <w:marTop w:val="0"/>
              <w:marBottom w:val="0"/>
              <w:divBdr>
                <w:top w:val="none" w:sz="0" w:space="0" w:color="auto"/>
                <w:left w:val="none" w:sz="0" w:space="0" w:color="auto"/>
                <w:bottom w:val="none" w:sz="0" w:space="0" w:color="auto"/>
                <w:right w:val="none" w:sz="0" w:space="0" w:color="auto"/>
              </w:divBdr>
            </w:div>
          </w:divsChild>
        </w:div>
        <w:div w:id="922111134">
          <w:marLeft w:val="0"/>
          <w:marRight w:val="0"/>
          <w:marTop w:val="0"/>
          <w:marBottom w:val="0"/>
          <w:divBdr>
            <w:top w:val="none" w:sz="0" w:space="0" w:color="auto"/>
            <w:left w:val="none" w:sz="0" w:space="0" w:color="auto"/>
            <w:bottom w:val="none" w:sz="0" w:space="0" w:color="auto"/>
            <w:right w:val="none" w:sz="0" w:space="0" w:color="auto"/>
          </w:divBdr>
          <w:divsChild>
            <w:div w:id="1107506918">
              <w:marLeft w:val="0"/>
              <w:marRight w:val="0"/>
              <w:marTop w:val="0"/>
              <w:marBottom w:val="0"/>
              <w:divBdr>
                <w:top w:val="none" w:sz="0" w:space="0" w:color="auto"/>
                <w:left w:val="none" w:sz="0" w:space="0" w:color="auto"/>
                <w:bottom w:val="none" w:sz="0" w:space="0" w:color="auto"/>
                <w:right w:val="none" w:sz="0" w:space="0" w:color="auto"/>
              </w:divBdr>
            </w:div>
          </w:divsChild>
        </w:div>
        <w:div w:id="954747679">
          <w:marLeft w:val="0"/>
          <w:marRight w:val="0"/>
          <w:marTop w:val="0"/>
          <w:marBottom w:val="0"/>
          <w:divBdr>
            <w:top w:val="none" w:sz="0" w:space="0" w:color="auto"/>
            <w:left w:val="none" w:sz="0" w:space="0" w:color="auto"/>
            <w:bottom w:val="none" w:sz="0" w:space="0" w:color="auto"/>
            <w:right w:val="none" w:sz="0" w:space="0" w:color="auto"/>
          </w:divBdr>
          <w:divsChild>
            <w:div w:id="1288271621">
              <w:marLeft w:val="0"/>
              <w:marRight w:val="0"/>
              <w:marTop w:val="0"/>
              <w:marBottom w:val="0"/>
              <w:divBdr>
                <w:top w:val="none" w:sz="0" w:space="0" w:color="auto"/>
                <w:left w:val="none" w:sz="0" w:space="0" w:color="auto"/>
                <w:bottom w:val="none" w:sz="0" w:space="0" w:color="auto"/>
                <w:right w:val="none" w:sz="0" w:space="0" w:color="auto"/>
              </w:divBdr>
            </w:div>
          </w:divsChild>
        </w:div>
        <w:div w:id="983314511">
          <w:marLeft w:val="0"/>
          <w:marRight w:val="0"/>
          <w:marTop w:val="0"/>
          <w:marBottom w:val="0"/>
          <w:divBdr>
            <w:top w:val="none" w:sz="0" w:space="0" w:color="auto"/>
            <w:left w:val="none" w:sz="0" w:space="0" w:color="auto"/>
            <w:bottom w:val="none" w:sz="0" w:space="0" w:color="auto"/>
            <w:right w:val="none" w:sz="0" w:space="0" w:color="auto"/>
          </w:divBdr>
          <w:divsChild>
            <w:div w:id="1577936034">
              <w:marLeft w:val="0"/>
              <w:marRight w:val="0"/>
              <w:marTop w:val="0"/>
              <w:marBottom w:val="0"/>
              <w:divBdr>
                <w:top w:val="none" w:sz="0" w:space="0" w:color="auto"/>
                <w:left w:val="none" w:sz="0" w:space="0" w:color="auto"/>
                <w:bottom w:val="none" w:sz="0" w:space="0" w:color="auto"/>
                <w:right w:val="none" w:sz="0" w:space="0" w:color="auto"/>
              </w:divBdr>
            </w:div>
          </w:divsChild>
        </w:div>
        <w:div w:id="1007367328">
          <w:marLeft w:val="0"/>
          <w:marRight w:val="0"/>
          <w:marTop w:val="0"/>
          <w:marBottom w:val="0"/>
          <w:divBdr>
            <w:top w:val="none" w:sz="0" w:space="0" w:color="auto"/>
            <w:left w:val="none" w:sz="0" w:space="0" w:color="auto"/>
            <w:bottom w:val="none" w:sz="0" w:space="0" w:color="auto"/>
            <w:right w:val="none" w:sz="0" w:space="0" w:color="auto"/>
          </w:divBdr>
          <w:divsChild>
            <w:div w:id="406617538">
              <w:marLeft w:val="0"/>
              <w:marRight w:val="0"/>
              <w:marTop w:val="0"/>
              <w:marBottom w:val="0"/>
              <w:divBdr>
                <w:top w:val="none" w:sz="0" w:space="0" w:color="auto"/>
                <w:left w:val="none" w:sz="0" w:space="0" w:color="auto"/>
                <w:bottom w:val="none" w:sz="0" w:space="0" w:color="auto"/>
                <w:right w:val="none" w:sz="0" w:space="0" w:color="auto"/>
              </w:divBdr>
            </w:div>
          </w:divsChild>
        </w:div>
        <w:div w:id="1008679846">
          <w:marLeft w:val="0"/>
          <w:marRight w:val="0"/>
          <w:marTop w:val="0"/>
          <w:marBottom w:val="0"/>
          <w:divBdr>
            <w:top w:val="none" w:sz="0" w:space="0" w:color="auto"/>
            <w:left w:val="none" w:sz="0" w:space="0" w:color="auto"/>
            <w:bottom w:val="none" w:sz="0" w:space="0" w:color="auto"/>
            <w:right w:val="none" w:sz="0" w:space="0" w:color="auto"/>
          </w:divBdr>
          <w:divsChild>
            <w:div w:id="518859006">
              <w:marLeft w:val="0"/>
              <w:marRight w:val="0"/>
              <w:marTop w:val="0"/>
              <w:marBottom w:val="0"/>
              <w:divBdr>
                <w:top w:val="none" w:sz="0" w:space="0" w:color="auto"/>
                <w:left w:val="none" w:sz="0" w:space="0" w:color="auto"/>
                <w:bottom w:val="none" w:sz="0" w:space="0" w:color="auto"/>
                <w:right w:val="none" w:sz="0" w:space="0" w:color="auto"/>
              </w:divBdr>
            </w:div>
          </w:divsChild>
        </w:div>
        <w:div w:id="1017194418">
          <w:marLeft w:val="0"/>
          <w:marRight w:val="0"/>
          <w:marTop w:val="0"/>
          <w:marBottom w:val="0"/>
          <w:divBdr>
            <w:top w:val="none" w:sz="0" w:space="0" w:color="auto"/>
            <w:left w:val="none" w:sz="0" w:space="0" w:color="auto"/>
            <w:bottom w:val="none" w:sz="0" w:space="0" w:color="auto"/>
            <w:right w:val="none" w:sz="0" w:space="0" w:color="auto"/>
          </w:divBdr>
          <w:divsChild>
            <w:div w:id="1268274297">
              <w:marLeft w:val="0"/>
              <w:marRight w:val="0"/>
              <w:marTop w:val="0"/>
              <w:marBottom w:val="0"/>
              <w:divBdr>
                <w:top w:val="none" w:sz="0" w:space="0" w:color="auto"/>
                <w:left w:val="none" w:sz="0" w:space="0" w:color="auto"/>
                <w:bottom w:val="none" w:sz="0" w:space="0" w:color="auto"/>
                <w:right w:val="none" w:sz="0" w:space="0" w:color="auto"/>
              </w:divBdr>
            </w:div>
          </w:divsChild>
        </w:div>
        <w:div w:id="1040670461">
          <w:marLeft w:val="0"/>
          <w:marRight w:val="0"/>
          <w:marTop w:val="0"/>
          <w:marBottom w:val="0"/>
          <w:divBdr>
            <w:top w:val="none" w:sz="0" w:space="0" w:color="auto"/>
            <w:left w:val="none" w:sz="0" w:space="0" w:color="auto"/>
            <w:bottom w:val="none" w:sz="0" w:space="0" w:color="auto"/>
            <w:right w:val="none" w:sz="0" w:space="0" w:color="auto"/>
          </w:divBdr>
          <w:divsChild>
            <w:div w:id="1005790295">
              <w:marLeft w:val="0"/>
              <w:marRight w:val="0"/>
              <w:marTop w:val="0"/>
              <w:marBottom w:val="0"/>
              <w:divBdr>
                <w:top w:val="none" w:sz="0" w:space="0" w:color="auto"/>
                <w:left w:val="none" w:sz="0" w:space="0" w:color="auto"/>
                <w:bottom w:val="none" w:sz="0" w:space="0" w:color="auto"/>
                <w:right w:val="none" w:sz="0" w:space="0" w:color="auto"/>
              </w:divBdr>
            </w:div>
          </w:divsChild>
        </w:div>
        <w:div w:id="1085885499">
          <w:marLeft w:val="0"/>
          <w:marRight w:val="0"/>
          <w:marTop w:val="0"/>
          <w:marBottom w:val="0"/>
          <w:divBdr>
            <w:top w:val="none" w:sz="0" w:space="0" w:color="auto"/>
            <w:left w:val="none" w:sz="0" w:space="0" w:color="auto"/>
            <w:bottom w:val="none" w:sz="0" w:space="0" w:color="auto"/>
            <w:right w:val="none" w:sz="0" w:space="0" w:color="auto"/>
          </w:divBdr>
          <w:divsChild>
            <w:div w:id="1288925644">
              <w:marLeft w:val="0"/>
              <w:marRight w:val="0"/>
              <w:marTop w:val="0"/>
              <w:marBottom w:val="0"/>
              <w:divBdr>
                <w:top w:val="none" w:sz="0" w:space="0" w:color="auto"/>
                <w:left w:val="none" w:sz="0" w:space="0" w:color="auto"/>
                <w:bottom w:val="none" w:sz="0" w:space="0" w:color="auto"/>
                <w:right w:val="none" w:sz="0" w:space="0" w:color="auto"/>
              </w:divBdr>
            </w:div>
          </w:divsChild>
        </w:div>
        <w:div w:id="1095977640">
          <w:marLeft w:val="0"/>
          <w:marRight w:val="0"/>
          <w:marTop w:val="0"/>
          <w:marBottom w:val="0"/>
          <w:divBdr>
            <w:top w:val="none" w:sz="0" w:space="0" w:color="auto"/>
            <w:left w:val="none" w:sz="0" w:space="0" w:color="auto"/>
            <w:bottom w:val="none" w:sz="0" w:space="0" w:color="auto"/>
            <w:right w:val="none" w:sz="0" w:space="0" w:color="auto"/>
          </w:divBdr>
          <w:divsChild>
            <w:div w:id="1540050995">
              <w:marLeft w:val="0"/>
              <w:marRight w:val="0"/>
              <w:marTop w:val="0"/>
              <w:marBottom w:val="0"/>
              <w:divBdr>
                <w:top w:val="none" w:sz="0" w:space="0" w:color="auto"/>
                <w:left w:val="none" w:sz="0" w:space="0" w:color="auto"/>
                <w:bottom w:val="none" w:sz="0" w:space="0" w:color="auto"/>
                <w:right w:val="none" w:sz="0" w:space="0" w:color="auto"/>
              </w:divBdr>
            </w:div>
          </w:divsChild>
        </w:div>
        <w:div w:id="1131093393">
          <w:marLeft w:val="0"/>
          <w:marRight w:val="0"/>
          <w:marTop w:val="0"/>
          <w:marBottom w:val="0"/>
          <w:divBdr>
            <w:top w:val="none" w:sz="0" w:space="0" w:color="auto"/>
            <w:left w:val="none" w:sz="0" w:space="0" w:color="auto"/>
            <w:bottom w:val="none" w:sz="0" w:space="0" w:color="auto"/>
            <w:right w:val="none" w:sz="0" w:space="0" w:color="auto"/>
          </w:divBdr>
          <w:divsChild>
            <w:div w:id="1254321191">
              <w:marLeft w:val="0"/>
              <w:marRight w:val="0"/>
              <w:marTop w:val="0"/>
              <w:marBottom w:val="0"/>
              <w:divBdr>
                <w:top w:val="none" w:sz="0" w:space="0" w:color="auto"/>
                <w:left w:val="none" w:sz="0" w:space="0" w:color="auto"/>
                <w:bottom w:val="none" w:sz="0" w:space="0" w:color="auto"/>
                <w:right w:val="none" w:sz="0" w:space="0" w:color="auto"/>
              </w:divBdr>
            </w:div>
          </w:divsChild>
        </w:div>
        <w:div w:id="1216162948">
          <w:marLeft w:val="0"/>
          <w:marRight w:val="0"/>
          <w:marTop w:val="0"/>
          <w:marBottom w:val="0"/>
          <w:divBdr>
            <w:top w:val="none" w:sz="0" w:space="0" w:color="auto"/>
            <w:left w:val="none" w:sz="0" w:space="0" w:color="auto"/>
            <w:bottom w:val="none" w:sz="0" w:space="0" w:color="auto"/>
            <w:right w:val="none" w:sz="0" w:space="0" w:color="auto"/>
          </w:divBdr>
          <w:divsChild>
            <w:div w:id="1033118874">
              <w:marLeft w:val="0"/>
              <w:marRight w:val="0"/>
              <w:marTop w:val="0"/>
              <w:marBottom w:val="0"/>
              <w:divBdr>
                <w:top w:val="none" w:sz="0" w:space="0" w:color="auto"/>
                <w:left w:val="none" w:sz="0" w:space="0" w:color="auto"/>
                <w:bottom w:val="none" w:sz="0" w:space="0" w:color="auto"/>
                <w:right w:val="none" w:sz="0" w:space="0" w:color="auto"/>
              </w:divBdr>
            </w:div>
          </w:divsChild>
        </w:div>
        <w:div w:id="1220559537">
          <w:marLeft w:val="0"/>
          <w:marRight w:val="0"/>
          <w:marTop w:val="0"/>
          <w:marBottom w:val="0"/>
          <w:divBdr>
            <w:top w:val="none" w:sz="0" w:space="0" w:color="auto"/>
            <w:left w:val="none" w:sz="0" w:space="0" w:color="auto"/>
            <w:bottom w:val="none" w:sz="0" w:space="0" w:color="auto"/>
            <w:right w:val="none" w:sz="0" w:space="0" w:color="auto"/>
          </w:divBdr>
          <w:divsChild>
            <w:div w:id="1252424054">
              <w:marLeft w:val="0"/>
              <w:marRight w:val="0"/>
              <w:marTop w:val="0"/>
              <w:marBottom w:val="0"/>
              <w:divBdr>
                <w:top w:val="none" w:sz="0" w:space="0" w:color="auto"/>
                <w:left w:val="none" w:sz="0" w:space="0" w:color="auto"/>
                <w:bottom w:val="none" w:sz="0" w:space="0" w:color="auto"/>
                <w:right w:val="none" w:sz="0" w:space="0" w:color="auto"/>
              </w:divBdr>
            </w:div>
          </w:divsChild>
        </w:div>
        <w:div w:id="1235045886">
          <w:marLeft w:val="0"/>
          <w:marRight w:val="0"/>
          <w:marTop w:val="0"/>
          <w:marBottom w:val="0"/>
          <w:divBdr>
            <w:top w:val="none" w:sz="0" w:space="0" w:color="auto"/>
            <w:left w:val="none" w:sz="0" w:space="0" w:color="auto"/>
            <w:bottom w:val="none" w:sz="0" w:space="0" w:color="auto"/>
            <w:right w:val="none" w:sz="0" w:space="0" w:color="auto"/>
          </w:divBdr>
          <w:divsChild>
            <w:div w:id="1011759293">
              <w:marLeft w:val="0"/>
              <w:marRight w:val="0"/>
              <w:marTop w:val="0"/>
              <w:marBottom w:val="0"/>
              <w:divBdr>
                <w:top w:val="none" w:sz="0" w:space="0" w:color="auto"/>
                <w:left w:val="none" w:sz="0" w:space="0" w:color="auto"/>
                <w:bottom w:val="none" w:sz="0" w:space="0" w:color="auto"/>
                <w:right w:val="none" w:sz="0" w:space="0" w:color="auto"/>
              </w:divBdr>
            </w:div>
          </w:divsChild>
        </w:div>
        <w:div w:id="1241912701">
          <w:marLeft w:val="0"/>
          <w:marRight w:val="0"/>
          <w:marTop w:val="0"/>
          <w:marBottom w:val="0"/>
          <w:divBdr>
            <w:top w:val="none" w:sz="0" w:space="0" w:color="auto"/>
            <w:left w:val="none" w:sz="0" w:space="0" w:color="auto"/>
            <w:bottom w:val="none" w:sz="0" w:space="0" w:color="auto"/>
            <w:right w:val="none" w:sz="0" w:space="0" w:color="auto"/>
          </w:divBdr>
          <w:divsChild>
            <w:div w:id="1269004525">
              <w:marLeft w:val="0"/>
              <w:marRight w:val="0"/>
              <w:marTop w:val="0"/>
              <w:marBottom w:val="0"/>
              <w:divBdr>
                <w:top w:val="none" w:sz="0" w:space="0" w:color="auto"/>
                <w:left w:val="none" w:sz="0" w:space="0" w:color="auto"/>
                <w:bottom w:val="none" w:sz="0" w:space="0" w:color="auto"/>
                <w:right w:val="none" w:sz="0" w:space="0" w:color="auto"/>
              </w:divBdr>
            </w:div>
          </w:divsChild>
        </w:div>
        <w:div w:id="1274826982">
          <w:marLeft w:val="0"/>
          <w:marRight w:val="0"/>
          <w:marTop w:val="0"/>
          <w:marBottom w:val="0"/>
          <w:divBdr>
            <w:top w:val="none" w:sz="0" w:space="0" w:color="auto"/>
            <w:left w:val="none" w:sz="0" w:space="0" w:color="auto"/>
            <w:bottom w:val="none" w:sz="0" w:space="0" w:color="auto"/>
            <w:right w:val="none" w:sz="0" w:space="0" w:color="auto"/>
          </w:divBdr>
          <w:divsChild>
            <w:div w:id="28654561">
              <w:marLeft w:val="0"/>
              <w:marRight w:val="0"/>
              <w:marTop w:val="0"/>
              <w:marBottom w:val="0"/>
              <w:divBdr>
                <w:top w:val="none" w:sz="0" w:space="0" w:color="auto"/>
                <w:left w:val="none" w:sz="0" w:space="0" w:color="auto"/>
                <w:bottom w:val="none" w:sz="0" w:space="0" w:color="auto"/>
                <w:right w:val="none" w:sz="0" w:space="0" w:color="auto"/>
              </w:divBdr>
            </w:div>
          </w:divsChild>
        </w:div>
        <w:div w:id="1281567562">
          <w:marLeft w:val="0"/>
          <w:marRight w:val="0"/>
          <w:marTop w:val="0"/>
          <w:marBottom w:val="0"/>
          <w:divBdr>
            <w:top w:val="none" w:sz="0" w:space="0" w:color="auto"/>
            <w:left w:val="none" w:sz="0" w:space="0" w:color="auto"/>
            <w:bottom w:val="none" w:sz="0" w:space="0" w:color="auto"/>
            <w:right w:val="none" w:sz="0" w:space="0" w:color="auto"/>
          </w:divBdr>
          <w:divsChild>
            <w:div w:id="803084418">
              <w:marLeft w:val="0"/>
              <w:marRight w:val="0"/>
              <w:marTop w:val="0"/>
              <w:marBottom w:val="0"/>
              <w:divBdr>
                <w:top w:val="none" w:sz="0" w:space="0" w:color="auto"/>
                <w:left w:val="none" w:sz="0" w:space="0" w:color="auto"/>
                <w:bottom w:val="none" w:sz="0" w:space="0" w:color="auto"/>
                <w:right w:val="none" w:sz="0" w:space="0" w:color="auto"/>
              </w:divBdr>
            </w:div>
          </w:divsChild>
        </w:div>
        <w:div w:id="1324318280">
          <w:marLeft w:val="0"/>
          <w:marRight w:val="0"/>
          <w:marTop w:val="0"/>
          <w:marBottom w:val="0"/>
          <w:divBdr>
            <w:top w:val="none" w:sz="0" w:space="0" w:color="auto"/>
            <w:left w:val="none" w:sz="0" w:space="0" w:color="auto"/>
            <w:bottom w:val="none" w:sz="0" w:space="0" w:color="auto"/>
            <w:right w:val="none" w:sz="0" w:space="0" w:color="auto"/>
          </w:divBdr>
          <w:divsChild>
            <w:div w:id="1899432692">
              <w:marLeft w:val="0"/>
              <w:marRight w:val="0"/>
              <w:marTop w:val="0"/>
              <w:marBottom w:val="0"/>
              <w:divBdr>
                <w:top w:val="none" w:sz="0" w:space="0" w:color="auto"/>
                <w:left w:val="none" w:sz="0" w:space="0" w:color="auto"/>
                <w:bottom w:val="none" w:sz="0" w:space="0" w:color="auto"/>
                <w:right w:val="none" w:sz="0" w:space="0" w:color="auto"/>
              </w:divBdr>
            </w:div>
          </w:divsChild>
        </w:div>
        <w:div w:id="1401832206">
          <w:marLeft w:val="0"/>
          <w:marRight w:val="0"/>
          <w:marTop w:val="0"/>
          <w:marBottom w:val="0"/>
          <w:divBdr>
            <w:top w:val="none" w:sz="0" w:space="0" w:color="auto"/>
            <w:left w:val="none" w:sz="0" w:space="0" w:color="auto"/>
            <w:bottom w:val="none" w:sz="0" w:space="0" w:color="auto"/>
            <w:right w:val="none" w:sz="0" w:space="0" w:color="auto"/>
          </w:divBdr>
          <w:divsChild>
            <w:div w:id="743331484">
              <w:marLeft w:val="0"/>
              <w:marRight w:val="0"/>
              <w:marTop w:val="0"/>
              <w:marBottom w:val="0"/>
              <w:divBdr>
                <w:top w:val="none" w:sz="0" w:space="0" w:color="auto"/>
                <w:left w:val="none" w:sz="0" w:space="0" w:color="auto"/>
                <w:bottom w:val="none" w:sz="0" w:space="0" w:color="auto"/>
                <w:right w:val="none" w:sz="0" w:space="0" w:color="auto"/>
              </w:divBdr>
            </w:div>
          </w:divsChild>
        </w:div>
        <w:div w:id="1420638297">
          <w:marLeft w:val="0"/>
          <w:marRight w:val="0"/>
          <w:marTop w:val="0"/>
          <w:marBottom w:val="0"/>
          <w:divBdr>
            <w:top w:val="none" w:sz="0" w:space="0" w:color="auto"/>
            <w:left w:val="none" w:sz="0" w:space="0" w:color="auto"/>
            <w:bottom w:val="none" w:sz="0" w:space="0" w:color="auto"/>
            <w:right w:val="none" w:sz="0" w:space="0" w:color="auto"/>
          </w:divBdr>
          <w:divsChild>
            <w:div w:id="1591893895">
              <w:marLeft w:val="0"/>
              <w:marRight w:val="0"/>
              <w:marTop w:val="0"/>
              <w:marBottom w:val="0"/>
              <w:divBdr>
                <w:top w:val="none" w:sz="0" w:space="0" w:color="auto"/>
                <w:left w:val="none" w:sz="0" w:space="0" w:color="auto"/>
                <w:bottom w:val="none" w:sz="0" w:space="0" w:color="auto"/>
                <w:right w:val="none" w:sz="0" w:space="0" w:color="auto"/>
              </w:divBdr>
            </w:div>
          </w:divsChild>
        </w:div>
        <w:div w:id="1423985448">
          <w:marLeft w:val="0"/>
          <w:marRight w:val="0"/>
          <w:marTop w:val="0"/>
          <w:marBottom w:val="0"/>
          <w:divBdr>
            <w:top w:val="none" w:sz="0" w:space="0" w:color="auto"/>
            <w:left w:val="none" w:sz="0" w:space="0" w:color="auto"/>
            <w:bottom w:val="none" w:sz="0" w:space="0" w:color="auto"/>
            <w:right w:val="none" w:sz="0" w:space="0" w:color="auto"/>
          </w:divBdr>
          <w:divsChild>
            <w:div w:id="452748174">
              <w:marLeft w:val="0"/>
              <w:marRight w:val="0"/>
              <w:marTop w:val="0"/>
              <w:marBottom w:val="0"/>
              <w:divBdr>
                <w:top w:val="none" w:sz="0" w:space="0" w:color="auto"/>
                <w:left w:val="none" w:sz="0" w:space="0" w:color="auto"/>
                <w:bottom w:val="none" w:sz="0" w:space="0" w:color="auto"/>
                <w:right w:val="none" w:sz="0" w:space="0" w:color="auto"/>
              </w:divBdr>
            </w:div>
          </w:divsChild>
        </w:div>
        <w:div w:id="1473137185">
          <w:marLeft w:val="0"/>
          <w:marRight w:val="0"/>
          <w:marTop w:val="0"/>
          <w:marBottom w:val="0"/>
          <w:divBdr>
            <w:top w:val="none" w:sz="0" w:space="0" w:color="auto"/>
            <w:left w:val="none" w:sz="0" w:space="0" w:color="auto"/>
            <w:bottom w:val="none" w:sz="0" w:space="0" w:color="auto"/>
            <w:right w:val="none" w:sz="0" w:space="0" w:color="auto"/>
          </w:divBdr>
          <w:divsChild>
            <w:div w:id="1730692019">
              <w:marLeft w:val="0"/>
              <w:marRight w:val="0"/>
              <w:marTop w:val="0"/>
              <w:marBottom w:val="0"/>
              <w:divBdr>
                <w:top w:val="none" w:sz="0" w:space="0" w:color="auto"/>
                <w:left w:val="none" w:sz="0" w:space="0" w:color="auto"/>
                <w:bottom w:val="none" w:sz="0" w:space="0" w:color="auto"/>
                <w:right w:val="none" w:sz="0" w:space="0" w:color="auto"/>
              </w:divBdr>
            </w:div>
          </w:divsChild>
        </w:div>
        <w:div w:id="1490638700">
          <w:marLeft w:val="0"/>
          <w:marRight w:val="0"/>
          <w:marTop w:val="0"/>
          <w:marBottom w:val="0"/>
          <w:divBdr>
            <w:top w:val="none" w:sz="0" w:space="0" w:color="auto"/>
            <w:left w:val="none" w:sz="0" w:space="0" w:color="auto"/>
            <w:bottom w:val="none" w:sz="0" w:space="0" w:color="auto"/>
            <w:right w:val="none" w:sz="0" w:space="0" w:color="auto"/>
          </w:divBdr>
          <w:divsChild>
            <w:div w:id="1651128506">
              <w:marLeft w:val="0"/>
              <w:marRight w:val="0"/>
              <w:marTop w:val="0"/>
              <w:marBottom w:val="0"/>
              <w:divBdr>
                <w:top w:val="none" w:sz="0" w:space="0" w:color="auto"/>
                <w:left w:val="none" w:sz="0" w:space="0" w:color="auto"/>
                <w:bottom w:val="none" w:sz="0" w:space="0" w:color="auto"/>
                <w:right w:val="none" w:sz="0" w:space="0" w:color="auto"/>
              </w:divBdr>
            </w:div>
          </w:divsChild>
        </w:div>
        <w:div w:id="1523321505">
          <w:marLeft w:val="0"/>
          <w:marRight w:val="0"/>
          <w:marTop w:val="0"/>
          <w:marBottom w:val="0"/>
          <w:divBdr>
            <w:top w:val="none" w:sz="0" w:space="0" w:color="auto"/>
            <w:left w:val="none" w:sz="0" w:space="0" w:color="auto"/>
            <w:bottom w:val="none" w:sz="0" w:space="0" w:color="auto"/>
            <w:right w:val="none" w:sz="0" w:space="0" w:color="auto"/>
          </w:divBdr>
          <w:divsChild>
            <w:div w:id="833689674">
              <w:marLeft w:val="0"/>
              <w:marRight w:val="0"/>
              <w:marTop w:val="0"/>
              <w:marBottom w:val="0"/>
              <w:divBdr>
                <w:top w:val="none" w:sz="0" w:space="0" w:color="auto"/>
                <w:left w:val="none" w:sz="0" w:space="0" w:color="auto"/>
                <w:bottom w:val="none" w:sz="0" w:space="0" w:color="auto"/>
                <w:right w:val="none" w:sz="0" w:space="0" w:color="auto"/>
              </w:divBdr>
            </w:div>
          </w:divsChild>
        </w:div>
        <w:div w:id="1535343085">
          <w:marLeft w:val="0"/>
          <w:marRight w:val="0"/>
          <w:marTop w:val="0"/>
          <w:marBottom w:val="0"/>
          <w:divBdr>
            <w:top w:val="none" w:sz="0" w:space="0" w:color="auto"/>
            <w:left w:val="none" w:sz="0" w:space="0" w:color="auto"/>
            <w:bottom w:val="none" w:sz="0" w:space="0" w:color="auto"/>
            <w:right w:val="none" w:sz="0" w:space="0" w:color="auto"/>
          </w:divBdr>
          <w:divsChild>
            <w:div w:id="896815025">
              <w:marLeft w:val="0"/>
              <w:marRight w:val="0"/>
              <w:marTop w:val="0"/>
              <w:marBottom w:val="0"/>
              <w:divBdr>
                <w:top w:val="none" w:sz="0" w:space="0" w:color="auto"/>
                <w:left w:val="none" w:sz="0" w:space="0" w:color="auto"/>
                <w:bottom w:val="none" w:sz="0" w:space="0" w:color="auto"/>
                <w:right w:val="none" w:sz="0" w:space="0" w:color="auto"/>
              </w:divBdr>
            </w:div>
          </w:divsChild>
        </w:div>
        <w:div w:id="1535927068">
          <w:marLeft w:val="0"/>
          <w:marRight w:val="0"/>
          <w:marTop w:val="0"/>
          <w:marBottom w:val="0"/>
          <w:divBdr>
            <w:top w:val="none" w:sz="0" w:space="0" w:color="auto"/>
            <w:left w:val="none" w:sz="0" w:space="0" w:color="auto"/>
            <w:bottom w:val="none" w:sz="0" w:space="0" w:color="auto"/>
            <w:right w:val="none" w:sz="0" w:space="0" w:color="auto"/>
          </w:divBdr>
          <w:divsChild>
            <w:div w:id="595675310">
              <w:marLeft w:val="0"/>
              <w:marRight w:val="0"/>
              <w:marTop w:val="0"/>
              <w:marBottom w:val="0"/>
              <w:divBdr>
                <w:top w:val="none" w:sz="0" w:space="0" w:color="auto"/>
                <w:left w:val="none" w:sz="0" w:space="0" w:color="auto"/>
                <w:bottom w:val="none" w:sz="0" w:space="0" w:color="auto"/>
                <w:right w:val="none" w:sz="0" w:space="0" w:color="auto"/>
              </w:divBdr>
            </w:div>
          </w:divsChild>
        </w:div>
        <w:div w:id="1548684881">
          <w:marLeft w:val="0"/>
          <w:marRight w:val="0"/>
          <w:marTop w:val="0"/>
          <w:marBottom w:val="0"/>
          <w:divBdr>
            <w:top w:val="none" w:sz="0" w:space="0" w:color="auto"/>
            <w:left w:val="none" w:sz="0" w:space="0" w:color="auto"/>
            <w:bottom w:val="none" w:sz="0" w:space="0" w:color="auto"/>
            <w:right w:val="none" w:sz="0" w:space="0" w:color="auto"/>
          </w:divBdr>
          <w:divsChild>
            <w:div w:id="1523517967">
              <w:marLeft w:val="0"/>
              <w:marRight w:val="0"/>
              <w:marTop w:val="0"/>
              <w:marBottom w:val="0"/>
              <w:divBdr>
                <w:top w:val="none" w:sz="0" w:space="0" w:color="auto"/>
                <w:left w:val="none" w:sz="0" w:space="0" w:color="auto"/>
                <w:bottom w:val="none" w:sz="0" w:space="0" w:color="auto"/>
                <w:right w:val="none" w:sz="0" w:space="0" w:color="auto"/>
              </w:divBdr>
            </w:div>
          </w:divsChild>
        </w:div>
        <w:div w:id="1551727690">
          <w:marLeft w:val="0"/>
          <w:marRight w:val="0"/>
          <w:marTop w:val="0"/>
          <w:marBottom w:val="0"/>
          <w:divBdr>
            <w:top w:val="none" w:sz="0" w:space="0" w:color="auto"/>
            <w:left w:val="none" w:sz="0" w:space="0" w:color="auto"/>
            <w:bottom w:val="none" w:sz="0" w:space="0" w:color="auto"/>
            <w:right w:val="none" w:sz="0" w:space="0" w:color="auto"/>
          </w:divBdr>
          <w:divsChild>
            <w:div w:id="1054964200">
              <w:marLeft w:val="0"/>
              <w:marRight w:val="0"/>
              <w:marTop w:val="0"/>
              <w:marBottom w:val="0"/>
              <w:divBdr>
                <w:top w:val="none" w:sz="0" w:space="0" w:color="auto"/>
                <w:left w:val="none" w:sz="0" w:space="0" w:color="auto"/>
                <w:bottom w:val="none" w:sz="0" w:space="0" w:color="auto"/>
                <w:right w:val="none" w:sz="0" w:space="0" w:color="auto"/>
              </w:divBdr>
            </w:div>
          </w:divsChild>
        </w:div>
        <w:div w:id="1615673818">
          <w:marLeft w:val="0"/>
          <w:marRight w:val="0"/>
          <w:marTop w:val="0"/>
          <w:marBottom w:val="0"/>
          <w:divBdr>
            <w:top w:val="none" w:sz="0" w:space="0" w:color="auto"/>
            <w:left w:val="none" w:sz="0" w:space="0" w:color="auto"/>
            <w:bottom w:val="none" w:sz="0" w:space="0" w:color="auto"/>
            <w:right w:val="none" w:sz="0" w:space="0" w:color="auto"/>
          </w:divBdr>
          <w:divsChild>
            <w:div w:id="6100722">
              <w:marLeft w:val="0"/>
              <w:marRight w:val="0"/>
              <w:marTop w:val="0"/>
              <w:marBottom w:val="0"/>
              <w:divBdr>
                <w:top w:val="none" w:sz="0" w:space="0" w:color="auto"/>
                <w:left w:val="none" w:sz="0" w:space="0" w:color="auto"/>
                <w:bottom w:val="none" w:sz="0" w:space="0" w:color="auto"/>
                <w:right w:val="none" w:sz="0" w:space="0" w:color="auto"/>
              </w:divBdr>
            </w:div>
          </w:divsChild>
        </w:div>
        <w:div w:id="1630014802">
          <w:marLeft w:val="0"/>
          <w:marRight w:val="0"/>
          <w:marTop w:val="0"/>
          <w:marBottom w:val="0"/>
          <w:divBdr>
            <w:top w:val="none" w:sz="0" w:space="0" w:color="auto"/>
            <w:left w:val="none" w:sz="0" w:space="0" w:color="auto"/>
            <w:bottom w:val="none" w:sz="0" w:space="0" w:color="auto"/>
            <w:right w:val="none" w:sz="0" w:space="0" w:color="auto"/>
          </w:divBdr>
          <w:divsChild>
            <w:div w:id="1459643695">
              <w:marLeft w:val="0"/>
              <w:marRight w:val="0"/>
              <w:marTop w:val="0"/>
              <w:marBottom w:val="0"/>
              <w:divBdr>
                <w:top w:val="none" w:sz="0" w:space="0" w:color="auto"/>
                <w:left w:val="none" w:sz="0" w:space="0" w:color="auto"/>
                <w:bottom w:val="none" w:sz="0" w:space="0" w:color="auto"/>
                <w:right w:val="none" w:sz="0" w:space="0" w:color="auto"/>
              </w:divBdr>
            </w:div>
          </w:divsChild>
        </w:div>
        <w:div w:id="1690371211">
          <w:marLeft w:val="0"/>
          <w:marRight w:val="0"/>
          <w:marTop w:val="0"/>
          <w:marBottom w:val="0"/>
          <w:divBdr>
            <w:top w:val="none" w:sz="0" w:space="0" w:color="auto"/>
            <w:left w:val="none" w:sz="0" w:space="0" w:color="auto"/>
            <w:bottom w:val="none" w:sz="0" w:space="0" w:color="auto"/>
            <w:right w:val="none" w:sz="0" w:space="0" w:color="auto"/>
          </w:divBdr>
          <w:divsChild>
            <w:div w:id="1742022534">
              <w:marLeft w:val="0"/>
              <w:marRight w:val="0"/>
              <w:marTop w:val="0"/>
              <w:marBottom w:val="0"/>
              <w:divBdr>
                <w:top w:val="none" w:sz="0" w:space="0" w:color="auto"/>
                <w:left w:val="none" w:sz="0" w:space="0" w:color="auto"/>
                <w:bottom w:val="none" w:sz="0" w:space="0" w:color="auto"/>
                <w:right w:val="none" w:sz="0" w:space="0" w:color="auto"/>
              </w:divBdr>
            </w:div>
          </w:divsChild>
        </w:div>
        <w:div w:id="1691948407">
          <w:marLeft w:val="0"/>
          <w:marRight w:val="0"/>
          <w:marTop w:val="0"/>
          <w:marBottom w:val="0"/>
          <w:divBdr>
            <w:top w:val="none" w:sz="0" w:space="0" w:color="auto"/>
            <w:left w:val="none" w:sz="0" w:space="0" w:color="auto"/>
            <w:bottom w:val="none" w:sz="0" w:space="0" w:color="auto"/>
            <w:right w:val="none" w:sz="0" w:space="0" w:color="auto"/>
          </w:divBdr>
          <w:divsChild>
            <w:div w:id="1433166364">
              <w:marLeft w:val="0"/>
              <w:marRight w:val="0"/>
              <w:marTop w:val="0"/>
              <w:marBottom w:val="0"/>
              <w:divBdr>
                <w:top w:val="none" w:sz="0" w:space="0" w:color="auto"/>
                <w:left w:val="none" w:sz="0" w:space="0" w:color="auto"/>
                <w:bottom w:val="none" w:sz="0" w:space="0" w:color="auto"/>
                <w:right w:val="none" w:sz="0" w:space="0" w:color="auto"/>
              </w:divBdr>
            </w:div>
          </w:divsChild>
        </w:div>
        <w:div w:id="1849058546">
          <w:marLeft w:val="0"/>
          <w:marRight w:val="0"/>
          <w:marTop w:val="0"/>
          <w:marBottom w:val="0"/>
          <w:divBdr>
            <w:top w:val="none" w:sz="0" w:space="0" w:color="auto"/>
            <w:left w:val="none" w:sz="0" w:space="0" w:color="auto"/>
            <w:bottom w:val="none" w:sz="0" w:space="0" w:color="auto"/>
            <w:right w:val="none" w:sz="0" w:space="0" w:color="auto"/>
          </w:divBdr>
          <w:divsChild>
            <w:div w:id="530337063">
              <w:marLeft w:val="0"/>
              <w:marRight w:val="0"/>
              <w:marTop w:val="0"/>
              <w:marBottom w:val="0"/>
              <w:divBdr>
                <w:top w:val="none" w:sz="0" w:space="0" w:color="auto"/>
                <w:left w:val="none" w:sz="0" w:space="0" w:color="auto"/>
                <w:bottom w:val="none" w:sz="0" w:space="0" w:color="auto"/>
                <w:right w:val="none" w:sz="0" w:space="0" w:color="auto"/>
              </w:divBdr>
            </w:div>
          </w:divsChild>
        </w:div>
        <w:div w:id="1850827075">
          <w:marLeft w:val="0"/>
          <w:marRight w:val="0"/>
          <w:marTop w:val="0"/>
          <w:marBottom w:val="0"/>
          <w:divBdr>
            <w:top w:val="none" w:sz="0" w:space="0" w:color="auto"/>
            <w:left w:val="none" w:sz="0" w:space="0" w:color="auto"/>
            <w:bottom w:val="none" w:sz="0" w:space="0" w:color="auto"/>
            <w:right w:val="none" w:sz="0" w:space="0" w:color="auto"/>
          </w:divBdr>
          <w:divsChild>
            <w:div w:id="1436747302">
              <w:marLeft w:val="0"/>
              <w:marRight w:val="0"/>
              <w:marTop w:val="0"/>
              <w:marBottom w:val="0"/>
              <w:divBdr>
                <w:top w:val="none" w:sz="0" w:space="0" w:color="auto"/>
                <w:left w:val="none" w:sz="0" w:space="0" w:color="auto"/>
                <w:bottom w:val="none" w:sz="0" w:space="0" w:color="auto"/>
                <w:right w:val="none" w:sz="0" w:space="0" w:color="auto"/>
              </w:divBdr>
            </w:div>
          </w:divsChild>
        </w:div>
        <w:div w:id="1851681051">
          <w:marLeft w:val="0"/>
          <w:marRight w:val="0"/>
          <w:marTop w:val="0"/>
          <w:marBottom w:val="0"/>
          <w:divBdr>
            <w:top w:val="none" w:sz="0" w:space="0" w:color="auto"/>
            <w:left w:val="none" w:sz="0" w:space="0" w:color="auto"/>
            <w:bottom w:val="none" w:sz="0" w:space="0" w:color="auto"/>
            <w:right w:val="none" w:sz="0" w:space="0" w:color="auto"/>
          </w:divBdr>
          <w:divsChild>
            <w:div w:id="1948004054">
              <w:marLeft w:val="0"/>
              <w:marRight w:val="0"/>
              <w:marTop w:val="0"/>
              <w:marBottom w:val="0"/>
              <w:divBdr>
                <w:top w:val="none" w:sz="0" w:space="0" w:color="auto"/>
                <w:left w:val="none" w:sz="0" w:space="0" w:color="auto"/>
                <w:bottom w:val="none" w:sz="0" w:space="0" w:color="auto"/>
                <w:right w:val="none" w:sz="0" w:space="0" w:color="auto"/>
              </w:divBdr>
            </w:div>
          </w:divsChild>
        </w:div>
        <w:div w:id="1861044215">
          <w:marLeft w:val="0"/>
          <w:marRight w:val="0"/>
          <w:marTop w:val="0"/>
          <w:marBottom w:val="0"/>
          <w:divBdr>
            <w:top w:val="none" w:sz="0" w:space="0" w:color="auto"/>
            <w:left w:val="none" w:sz="0" w:space="0" w:color="auto"/>
            <w:bottom w:val="none" w:sz="0" w:space="0" w:color="auto"/>
            <w:right w:val="none" w:sz="0" w:space="0" w:color="auto"/>
          </w:divBdr>
          <w:divsChild>
            <w:div w:id="1719354652">
              <w:marLeft w:val="0"/>
              <w:marRight w:val="0"/>
              <w:marTop w:val="0"/>
              <w:marBottom w:val="0"/>
              <w:divBdr>
                <w:top w:val="none" w:sz="0" w:space="0" w:color="auto"/>
                <w:left w:val="none" w:sz="0" w:space="0" w:color="auto"/>
                <w:bottom w:val="none" w:sz="0" w:space="0" w:color="auto"/>
                <w:right w:val="none" w:sz="0" w:space="0" w:color="auto"/>
              </w:divBdr>
            </w:div>
          </w:divsChild>
        </w:div>
        <w:div w:id="1861773859">
          <w:marLeft w:val="0"/>
          <w:marRight w:val="0"/>
          <w:marTop w:val="0"/>
          <w:marBottom w:val="0"/>
          <w:divBdr>
            <w:top w:val="none" w:sz="0" w:space="0" w:color="auto"/>
            <w:left w:val="none" w:sz="0" w:space="0" w:color="auto"/>
            <w:bottom w:val="none" w:sz="0" w:space="0" w:color="auto"/>
            <w:right w:val="none" w:sz="0" w:space="0" w:color="auto"/>
          </w:divBdr>
          <w:divsChild>
            <w:div w:id="188691389">
              <w:marLeft w:val="0"/>
              <w:marRight w:val="0"/>
              <w:marTop w:val="0"/>
              <w:marBottom w:val="0"/>
              <w:divBdr>
                <w:top w:val="none" w:sz="0" w:space="0" w:color="auto"/>
                <w:left w:val="none" w:sz="0" w:space="0" w:color="auto"/>
                <w:bottom w:val="none" w:sz="0" w:space="0" w:color="auto"/>
                <w:right w:val="none" w:sz="0" w:space="0" w:color="auto"/>
              </w:divBdr>
            </w:div>
          </w:divsChild>
        </w:div>
        <w:div w:id="1870677045">
          <w:marLeft w:val="0"/>
          <w:marRight w:val="0"/>
          <w:marTop w:val="0"/>
          <w:marBottom w:val="0"/>
          <w:divBdr>
            <w:top w:val="none" w:sz="0" w:space="0" w:color="auto"/>
            <w:left w:val="none" w:sz="0" w:space="0" w:color="auto"/>
            <w:bottom w:val="none" w:sz="0" w:space="0" w:color="auto"/>
            <w:right w:val="none" w:sz="0" w:space="0" w:color="auto"/>
          </w:divBdr>
          <w:divsChild>
            <w:div w:id="1596355118">
              <w:marLeft w:val="0"/>
              <w:marRight w:val="0"/>
              <w:marTop w:val="0"/>
              <w:marBottom w:val="0"/>
              <w:divBdr>
                <w:top w:val="none" w:sz="0" w:space="0" w:color="auto"/>
                <w:left w:val="none" w:sz="0" w:space="0" w:color="auto"/>
                <w:bottom w:val="none" w:sz="0" w:space="0" w:color="auto"/>
                <w:right w:val="none" w:sz="0" w:space="0" w:color="auto"/>
              </w:divBdr>
            </w:div>
          </w:divsChild>
        </w:div>
        <w:div w:id="1936858073">
          <w:marLeft w:val="0"/>
          <w:marRight w:val="0"/>
          <w:marTop w:val="0"/>
          <w:marBottom w:val="0"/>
          <w:divBdr>
            <w:top w:val="none" w:sz="0" w:space="0" w:color="auto"/>
            <w:left w:val="none" w:sz="0" w:space="0" w:color="auto"/>
            <w:bottom w:val="none" w:sz="0" w:space="0" w:color="auto"/>
            <w:right w:val="none" w:sz="0" w:space="0" w:color="auto"/>
          </w:divBdr>
          <w:divsChild>
            <w:div w:id="585767324">
              <w:marLeft w:val="0"/>
              <w:marRight w:val="0"/>
              <w:marTop w:val="0"/>
              <w:marBottom w:val="0"/>
              <w:divBdr>
                <w:top w:val="none" w:sz="0" w:space="0" w:color="auto"/>
                <w:left w:val="none" w:sz="0" w:space="0" w:color="auto"/>
                <w:bottom w:val="none" w:sz="0" w:space="0" w:color="auto"/>
                <w:right w:val="none" w:sz="0" w:space="0" w:color="auto"/>
              </w:divBdr>
            </w:div>
          </w:divsChild>
        </w:div>
        <w:div w:id="1956981644">
          <w:marLeft w:val="0"/>
          <w:marRight w:val="0"/>
          <w:marTop w:val="0"/>
          <w:marBottom w:val="0"/>
          <w:divBdr>
            <w:top w:val="none" w:sz="0" w:space="0" w:color="auto"/>
            <w:left w:val="none" w:sz="0" w:space="0" w:color="auto"/>
            <w:bottom w:val="none" w:sz="0" w:space="0" w:color="auto"/>
            <w:right w:val="none" w:sz="0" w:space="0" w:color="auto"/>
          </w:divBdr>
          <w:divsChild>
            <w:div w:id="299925292">
              <w:marLeft w:val="0"/>
              <w:marRight w:val="0"/>
              <w:marTop w:val="0"/>
              <w:marBottom w:val="0"/>
              <w:divBdr>
                <w:top w:val="none" w:sz="0" w:space="0" w:color="auto"/>
                <w:left w:val="none" w:sz="0" w:space="0" w:color="auto"/>
                <w:bottom w:val="none" w:sz="0" w:space="0" w:color="auto"/>
                <w:right w:val="none" w:sz="0" w:space="0" w:color="auto"/>
              </w:divBdr>
            </w:div>
          </w:divsChild>
        </w:div>
        <w:div w:id="1963924040">
          <w:marLeft w:val="0"/>
          <w:marRight w:val="0"/>
          <w:marTop w:val="0"/>
          <w:marBottom w:val="0"/>
          <w:divBdr>
            <w:top w:val="none" w:sz="0" w:space="0" w:color="auto"/>
            <w:left w:val="none" w:sz="0" w:space="0" w:color="auto"/>
            <w:bottom w:val="none" w:sz="0" w:space="0" w:color="auto"/>
            <w:right w:val="none" w:sz="0" w:space="0" w:color="auto"/>
          </w:divBdr>
          <w:divsChild>
            <w:div w:id="1969239117">
              <w:marLeft w:val="0"/>
              <w:marRight w:val="0"/>
              <w:marTop w:val="0"/>
              <w:marBottom w:val="0"/>
              <w:divBdr>
                <w:top w:val="none" w:sz="0" w:space="0" w:color="auto"/>
                <w:left w:val="none" w:sz="0" w:space="0" w:color="auto"/>
                <w:bottom w:val="none" w:sz="0" w:space="0" w:color="auto"/>
                <w:right w:val="none" w:sz="0" w:space="0" w:color="auto"/>
              </w:divBdr>
            </w:div>
          </w:divsChild>
        </w:div>
        <w:div w:id="1981227531">
          <w:marLeft w:val="0"/>
          <w:marRight w:val="0"/>
          <w:marTop w:val="0"/>
          <w:marBottom w:val="0"/>
          <w:divBdr>
            <w:top w:val="none" w:sz="0" w:space="0" w:color="auto"/>
            <w:left w:val="none" w:sz="0" w:space="0" w:color="auto"/>
            <w:bottom w:val="none" w:sz="0" w:space="0" w:color="auto"/>
            <w:right w:val="none" w:sz="0" w:space="0" w:color="auto"/>
          </w:divBdr>
          <w:divsChild>
            <w:div w:id="53235323">
              <w:marLeft w:val="0"/>
              <w:marRight w:val="0"/>
              <w:marTop w:val="0"/>
              <w:marBottom w:val="0"/>
              <w:divBdr>
                <w:top w:val="none" w:sz="0" w:space="0" w:color="auto"/>
                <w:left w:val="none" w:sz="0" w:space="0" w:color="auto"/>
                <w:bottom w:val="none" w:sz="0" w:space="0" w:color="auto"/>
                <w:right w:val="none" w:sz="0" w:space="0" w:color="auto"/>
              </w:divBdr>
            </w:div>
          </w:divsChild>
        </w:div>
        <w:div w:id="2012829917">
          <w:marLeft w:val="0"/>
          <w:marRight w:val="0"/>
          <w:marTop w:val="0"/>
          <w:marBottom w:val="0"/>
          <w:divBdr>
            <w:top w:val="none" w:sz="0" w:space="0" w:color="auto"/>
            <w:left w:val="none" w:sz="0" w:space="0" w:color="auto"/>
            <w:bottom w:val="none" w:sz="0" w:space="0" w:color="auto"/>
            <w:right w:val="none" w:sz="0" w:space="0" w:color="auto"/>
          </w:divBdr>
          <w:divsChild>
            <w:div w:id="1091778477">
              <w:marLeft w:val="0"/>
              <w:marRight w:val="0"/>
              <w:marTop w:val="0"/>
              <w:marBottom w:val="0"/>
              <w:divBdr>
                <w:top w:val="none" w:sz="0" w:space="0" w:color="auto"/>
                <w:left w:val="none" w:sz="0" w:space="0" w:color="auto"/>
                <w:bottom w:val="none" w:sz="0" w:space="0" w:color="auto"/>
                <w:right w:val="none" w:sz="0" w:space="0" w:color="auto"/>
              </w:divBdr>
            </w:div>
          </w:divsChild>
        </w:div>
        <w:div w:id="2029988159">
          <w:marLeft w:val="0"/>
          <w:marRight w:val="0"/>
          <w:marTop w:val="0"/>
          <w:marBottom w:val="0"/>
          <w:divBdr>
            <w:top w:val="none" w:sz="0" w:space="0" w:color="auto"/>
            <w:left w:val="none" w:sz="0" w:space="0" w:color="auto"/>
            <w:bottom w:val="none" w:sz="0" w:space="0" w:color="auto"/>
            <w:right w:val="none" w:sz="0" w:space="0" w:color="auto"/>
          </w:divBdr>
          <w:divsChild>
            <w:div w:id="1607228933">
              <w:marLeft w:val="0"/>
              <w:marRight w:val="0"/>
              <w:marTop w:val="0"/>
              <w:marBottom w:val="0"/>
              <w:divBdr>
                <w:top w:val="none" w:sz="0" w:space="0" w:color="auto"/>
                <w:left w:val="none" w:sz="0" w:space="0" w:color="auto"/>
                <w:bottom w:val="none" w:sz="0" w:space="0" w:color="auto"/>
                <w:right w:val="none" w:sz="0" w:space="0" w:color="auto"/>
              </w:divBdr>
            </w:div>
          </w:divsChild>
        </w:div>
        <w:div w:id="2086144313">
          <w:marLeft w:val="0"/>
          <w:marRight w:val="0"/>
          <w:marTop w:val="0"/>
          <w:marBottom w:val="0"/>
          <w:divBdr>
            <w:top w:val="none" w:sz="0" w:space="0" w:color="auto"/>
            <w:left w:val="none" w:sz="0" w:space="0" w:color="auto"/>
            <w:bottom w:val="none" w:sz="0" w:space="0" w:color="auto"/>
            <w:right w:val="none" w:sz="0" w:space="0" w:color="auto"/>
          </w:divBdr>
          <w:divsChild>
            <w:div w:id="29771994">
              <w:marLeft w:val="0"/>
              <w:marRight w:val="0"/>
              <w:marTop w:val="0"/>
              <w:marBottom w:val="0"/>
              <w:divBdr>
                <w:top w:val="none" w:sz="0" w:space="0" w:color="auto"/>
                <w:left w:val="none" w:sz="0" w:space="0" w:color="auto"/>
                <w:bottom w:val="none" w:sz="0" w:space="0" w:color="auto"/>
                <w:right w:val="none" w:sz="0" w:space="0" w:color="auto"/>
              </w:divBdr>
            </w:div>
          </w:divsChild>
        </w:div>
        <w:div w:id="2090539885">
          <w:marLeft w:val="0"/>
          <w:marRight w:val="0"/>
          <w:marTop w:val="0"/>
          <w:marBottom w:val="0"/>
          <w:divBdr>
            <w:top w:val="none" w:sz="0" w:space="0" w:color="auto"/>
            <w:left w:val="none" w:sz="0" w:space="0" w:color="auto"/>
            <w:bottom w:val="none" w:sz="0" w:space="0" w:color="auto"/>
            <w:right w:val="none" w:sz="0" w:space="0" w:color="auto"/>
          </w:divBdr>
          <w:divsChild>
            <w:div w:id="196747973">
              <w:marLeft w:val="0"/>
              <w:marRight w:val="0"/>
              <w:marTop w:val="0"/>
              <w:marBottom w:val="0"/>
              <w:divBdr>
                <w:top w:val="none" w:sz="0" w:space="0" w:color="auto"/>
                <w:left w:val="none" w:sz="0" w:space="0" w:color="auto"/>
                <w:bottom w:val="none" w:sz="0" w:space="0" w:color="auto"/>
                <w:right w:val="none" w:sz="0" w:space="0" w:color="auto"/>
              </w:divBdr>
            </w:div>
          </w:divsChild>
        </w:div>
        <w:div w:id="2096048972">
          <w:marLeft w:val="0"/>
          <w:marRight w:val="0"/>
          <w:marTop w:val="0"/>
          <w:marBottom w:val="0"/>
          <w:divBdr>
            <w:top w:val="none" w:sz="0" w:space="0" w:color="auto"/>
            <w:left w:val="none" w:sz="0" w:space="0" w:color="auto"/>
            <w:bottom w:val="none" w:sz="0" w:space="0" w:color="auto"/>
            <w:right w:val="none" w:sz="0" w:space="0" w:color="auto"/>
          </w:divBdr>
          <w:divsChild>
            <w:div w:id="1594894876">
              <w:marLeft w:val="0"/>
              <w:marRight w:val="0"/>
              <w:marTop w:val="0"/>
              <w:marBottom w:val="0"/>
              <w:divBdr>
                <w:top w:val="none" w:sz="0" w:space="0" w:color="auto"/>
                <w:left w:val="none" w:sz="0" w:space="0" w:color="auto"/>
                <w:bottom w:val="none" w:sz="0" w:space="0" w:color="auto"/>
                <w:right w:val="none" w:sz="0" w:space="0" w:color="auto"/>
              </w:divBdr>
            </w:div>
          </w:divsChild>
        </w:div>
        <w:div w:id="2100171324">
          <w:marLeft w:val="0"/>
          <w:marRight w:val="0"/>
          <w:marTop w:val="0"/>
          <w:marBottom w:val="0"/>
          <w:divBdr>
            <w:top w:val="none" w:sz="0" w:space="0" w:color="auto"/>
            <w:left w:val="none" w:sz="0" w:space="0" w:color="auto"/>
            <w:bottom w:val="none" w:sz="0" w:space="0" w:color="auto"/>
            <w:right w:val="none" w:sz="0" w:space="0" w:color="auto"/>
          </w:divBdr>
          <w:divsChild>
            <w:div w:id="1864439773">
              <w:marLeft w:val="0"/>
              <w:marRight w:val="0"/>
              <w:marTop w:val="0"/>
              <w:marBottom w:val="0"/>
              <w:divBdr>
                <w:top w:val="none" w:sz="0" w:space="0" w:color="auto"/>
                <w:left w:val="none" w:sz="0" w:space="0" w:color="auto"/>
                <w:bottom w:val="none" w:sz="0" w:space="0" w:color="auto"/>
                <w:right w:val="none" w:sz="0" w:space="0" w:color="auto"/>
              </w:divBdr>
            </w:div>
          </w:divsChild>
        </w:div>
        <w:div w:id="2119178531">
          <w:marLeft w:val="0"/>
          <w:marRight w:val="0"/>
          <w:marTop w:val="0"/>
          <w:marBottom w:val="0"/>
          <w:divBdr>
            <w:top w:val="none" w:sz="0" w:space="0" w:color="auto"/>
            <w:left w:val="none" w:sz="0" w:space="0" w:color="auto"/>
            <w:bottom w:val="none" w:sz="0" w:space="0" w:color="auto"/>
            <w:right w:val="none" w:sz="0" w:space="0" w:color="auto"/>
          </w:divBdr>
          <w:divsChild>
            <w:div w:id="1675721476">
              <w:marLeft w:val="0"/>
              <w:marRight w:val="0"/>
              <w:marTop w:val="0"/>
              <w:marBottom w:val="0"/>
              <w:divBdr>
                <w:top w:val="none" w:sz="0" w:space="0" w:color="auto"/>
                <w:left w:val="none" w:sz="0" w:space="0" w:color="auto"/>
                <w:bottom w:val="none" w:sz="0" w:space="0" w:color="auto"/>
                <w:right w:val="none" w:sz="0" w:space="0" w:color="auto"/>
              </w:divBdr>
            </w:div>
          </w:divsChild>
        </w:div>
        <w:div w:id="2132356530">
          <w:marLeft w:val="0"/>
          <w:marRight w:val="0"/>
          <w:marTop w:val="0"/>
          <w:marBottom w:val="0"/>
          <w:divBdr>
            <w:top w:val="none" w:sz="0" w:space="0" w:color="auto"/>
            <w:left w:val="none" w:sz="0" w:space="0" w:color="auto"/>
            <w:bottom w:val="none" w:sz="0" w:space="0" w:color="auto"/>
            <w:right w:val="none" w:sz="0" w:space="0" w:color="auto"/>
          </w:divBdr>
          <w:divsChild>
            <w:div w:id="1082727125">
              <w:marLeft w:val="0"/>
              <w:marRight w:val="0"/>
              <w:marTop w:val="0"/>
              <w:marBottom w:val="0"/>
              <w:divBdr>
                <w:top w:val="none" w:sz="0" w:space="0" w:color="auto"/>
                <w:left w:val="none" w:sz="0" w:space="0" w:color="auto"/>
                <w:bottom w:val="none" w:sz="0" w:space="0" w:color="auto"/>
                <w:right w:val="none" w:sz="0" w:space="0" w:color="auto"/>
              </w:divBdr>
            </w:div>
          </w:divsChild>
        </w:div>
        <w:div w:id="2135362896">
          <w:marLeft w:val="0"/>
          <w:marRight w:val="0"/>
          <w:marTop w:val="0"/>
          <w:marBottom w:val="0"/>
          <w:divBdr>
            <w:top w:val="none" w:sz="0" w:space="0" w:color="auto"/>
            <w:left w:val="none" w:sz="0" w:space="0" w:color="auto"/>
            <w:bottom w:val="none" w:sz="0" w:space="0" w:color="auto"/>
            <w:right w:val="none" w:sz="0" w:space="0" w:color="auto"/>
          </w:divBdr>
          <w:divsChild>
            <w:div w:id="120923662">
              <w:marLeft w:val="0"/>
              <w:marRight w:val="0"/>
              <w:marTop w:val="0"/>
              <w:marBottom w:val="0"/>
              <w:divBdr>
                <w:top w:val="none" w:sz="0" w:space="0" w:color="auto"/>
                <w:left w:val="none" w:sz="0" w:space="0" w:color="auto"/>
                <w:bottom w:val="none" w:sz="0" w:space="0" w:color="auto"/>
                <w:right w:val="none" w:sz="0" w:space="0" w:color="auto"/>
              </w:divBdr>
            </w:div>
          </w:divsChild>
        </w:div>
        <w:div w:id="2138794521">
          <w:marLeft w:val="0"/>
          <w:marRight w:val="0"/>
          <w:marTop w:val="0"/>
          <w:marBottom w:val="0"/>
          <w:divBdr>
            <w:top w:val="none" w:sz="0" w:space="0" w:color="auto"/>
            <w:left w:val="none" w:sz="0" w:space="0" w:color="auto"/>
            <w:bottom w:val="none" w:sz="0" w:space="0" w:color="auto"/>
            <w:right w:val="none" w:sz="0" w:space="0" w:color="auto"/>
          </w:divBdr>
          <w:divsChild>
            <w:div w:id="20804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5759">
      <w:bodyDiv w:val="1"/>
      <w:marLeft w:val="0"/>
      <w:marRight w:val="0"/>
      <w:marTop w:val="0"/>
      <w:marBottom w:val="0"/>
      <w:divBdr>
        <w:top w:val="none" w:sz="0" w:space="0" w:color="auto"/>
        <w:left w:val="none" w:sz="0" w:space="0" w:color="auto"/>
        <w:bottom w:val="none" w:sz="0" w:space="0" w:color="auto"/>
        <w:right w:val="none" w:sz="0" w:space="0" w:color="auto"/>
      </w:divBdr>
    </w:div>
    <w:div w:id="1656300885">
      <w:bodyDiv w:val="1"/>
      <w:marLeft w:val="0"/>
      <w:marRight w:val="0"/>
      <w:marTop w:val="0"/>
      <w:marBottom w:val="0"/>
      <w:divBdr>
        <w:top w:val="none" w:sz="0" w:space="0" w:color="auto"/>
        <w:left w:val="none" w:sz="0" w:space="0" w:color="auto"/>
        <w:bottom w:val="none" w:sz="0" w:space="0" w:color="auto"/>
        <w:right w:val="none" w:sz="0" w:space="0" w:color="auto"/>
      </w:divBdr>
    </w:div>
    <w:div w:id="1663968741">
      <w:bodyDiv w:val="1"/>
      <w:marLeft w:val="0"/>
      <w:marRight w:val="0"/>
      <w:marTop w:val="0"/>
      <w:marBottom w:val="0"/>
      <w:divBdr>
        <w:top w:val="none" w:sz="0" w:space="0" w:color="auto"/>
        <w:left w:val="none" w:sz="0" w:space="0" w:color="auto"/>
        <w:bottom w:val="none" w:sz="0" w:space="0" w:color="auto"/>
        <w:right w:val="none" w:sz="0" w:space="0" w:color="auto"/>
      </w:divBdr>
    </w:div>
    <w:div w:id="1667707009">
      <w:bodyDiv w:val="1"/>
      <w:marLeft w:val="0"/>
      <w:marRight w:val="0"/>
      <w:marTop w:val="0"/>
      <w:marBottom w:val="0"/>
      <w:divBdr>
        <w:top w:val="none" w:sz="0" w:space="0" w:color="auto"/>
        <w:left w:val="none" w:sz="0" w:space="0" w:color="auto"/>
        <w:bottom w:val="none" w:sz="0" w:space="0" w:color="auto"/>
        <w:right w:val="none" w:sz="0" w:space="0" w:color="auto"/>
      </w:divBdr>
    </w:div>
    <w:div w:id="1669214155">
      <w:bodyDiv w:val="1"/>
      <w:marLeft w:val="0"/>
      <w:marRight w:val="0"/>
      <w:marTop w:val="0"/>
      <w:marBottom w:val="0"/>
      <w:divBdr>
        <w:top w:val="none" w:sz="0" w:space="0" w:color="auto"/>
        <w:left w:val="none" w:sz="0" w:space="0" w:color="auto"/>
        <w:bottom w:val="none" w:sz="0" w:space="0" w:color="auto"/>
        <w:right w:val="none" w:sz="0" w:space="0" w:color="auto"/>
      </w:divBdr>
    </w:div>
    <w:div w:id="1671642542">
      <w:bodyDiv w:val="1"/>
      <w:marLeft w:val="0"/>
      <w:marRight w:val="0"/>
      <w:marTop w:val="0"/>
      <w:marBottom w:val="0"/>
      <w:divBdr>
        <w:top w:val="none" w:sz="0" w:space="0" w:color="auto"/>
        <w:left w:val="none" w:sz="0" w:space="0" w:color="auto"/>
        <w:bottom w:val="none" w:sz="0" w:space="0" w:color="auto"/>
        <w:right w:val="none" w:sz="0" w:space="0" w:color="auto"/>
      </w:divBdr>
    </w:div>
    <w:div w:id="1677491812">
      <w:bodyDiv w:val="1"/>
      <w:marLeft w:val="0"/>
      <w:marRight w:val="0"/>
      <w:marTop w:val="0"/>
      <w:marBottom w:val="0"/>
      <w:divBdr>
        <w:top w:val="none" w:sz="0" w:space="0" w:color="auto"/>
        <w:left w:val="none" w:sz="0" w:space="0" w:color="auto"/>
        <w:bottom w:val="none" w:sz="0" w:space="0" w:color="auto"/>
        <w:right w:val="none" w:sz="0" w:space="0" w:color="auto"/>
      </w:divBdr>
    </w:div>
    <w:div w:id="1691293240">
      <w:bodyDiv w:val="1"/>
      <w:marLeft w:val="0"/>
      <w:marRight w:val="0"/>
      <w:marTop w:val="0"/>
      <w:marBottom w:val="0"/>
      <w:divBdr>
        <w:top w:val="none" w:sz="0" w:space="0" w:color="auto"/>
        <w:left w:val="none" w:sz="0" w:space="0" w:color="auto"/>
        <w:bottom w:val="none" w:sz="0" w:space="0" w:color="auto"/>
        <w:right w:val="none" w:sz="0" w:space="0" w:color="auto"/>
      </w:divBdr>
    </w:div>
    <w:div w:id="1694526314">
      <w:bodyDiv w:val="1"/>
      <w:marLeft w:val="0"/>
      <w:marRight w:val="0"/>
      <w:marTop w:val="0"/>
      <w:marBottom w:val="0"/>
      <w:divBdr>
        <w:top w:val="none" w:sz="0" w:space="0" w:color="auto"/>
        <w:left w:val="none" w:sz="0" w:space="0" w:color="auto"/>
        <w:bottom w:val="none" w:sz="0" w:space="0" w:color="auto"/>
        <w:right w:val="none" w:sz="0" w:space="0" w:color="auto"/>
      </w:divBdr>
    </w:div>
    <w:div w:id="1703823228">
      <w:bodyDiv w:val="1"/>
      <w:marLeft w:val="0"/>
      <w:marRight w:val="0"/>
      <w:marTop w:val="0"/>
      <w:marBottom w:val="0"/>
      <w:divBdr>
        <w:top w:val="none" w:sz="0" w:space="0" w:color="auto"/>
        <w:left w:val="none" w:sz="0" w:space="0" w:color="auto"/>
        <w:bottom w:val="none" w:sz="0" w:space="0" w:color="auto"/>
        <w:right w:val="none" w:sz="0" w:space="0" w:color="auto"/>
      </w:divBdr>
    </w:div>
    <w:div w:id="1707296609">
      <w:bodyDiv w:val="1"/>
      <w:marLeft w:val="0"/>
      <w:marRight w:val="0"/>
      <w:marTop w:val="0"/>
      <w:marBottom w:val="0"/>
      <w:divBdr>
        <w:top w:val="none" w:sz="0" w:space="0" w:color="auto"/>
        <w:left w:val="none" w:sz="0" w:space="0" w:color="auto"/>
        <w:bottom w:val="none" w:sz="0" w:space="0" w:color="auto"/>
        <w:right w:val="none" w:sz="0" w:space="0" w:color="auto"/>
      </w:divBdr>
    </w:div>
    <w:div w:id="1708528957">
      <w:bodyDiv w:val="1"/>
      <w:marLeft w:val="0"/>
      <w:marRight w:val="0"/>
      <w:marTop w:val="0"/>
      <w:marBottom w:val="0"/>
      <w:divBdr>
        <w:top w:val="none" w:sz="0" w:space="0" w:color="auto"/>
        <w:left w:val="none" w:sz="0" w:space="0" w:color="auto"/>
        <w:bottom w:val="none" w:sz="0" w:space="0" w:color="auto"/>
        <w:right w:val="none" w:sz="0" w:space="0" w:color="auto"/>
      </w:divBdr>
    </w:div>
    <w:div w:id="1717074833">
      <w:bodyDiv w:val="1"/>
      <w:marLeft w:val="0"/>
      <w:marRight w:val="0"/>
      <w:marTop w:val="0"/>
      <w:marBottom w:val="0"/>
      <w:divBdr>
        <w:top w:val="none" w:sz="0" w:space="0" w:color="auto"/>
        <w:left w:val="none" w:sz="0" w:space="0" w:color="auto"/>
        <w:bottom w:val="none" w:sz="0" w:space="0" w:color="auto"/>
        <w:right w:val="none" w:sz="0" w:space="0" w:color="auto"/>
      </w:divBdr>
    </w:div>
    <w:div w:id="1720664173">
      <w:bodyDiv w:val="1"/>
      <w:marLeft w:val="0"/>
      <w:marRight w:val="0"/>
      <w:marTop w:val="0"/>
      <w:marBottom w:val="0"/>
      <w:divBdr>
        <w:top w:val="none" w:sz="0" w:space="0" w:color="auto"/>
        <w:left w:val="none" w:sz="0" w:space="0" w:color="auto"/>
        <w:bottom w:val="none" w:sz="0" w:space="0" w:color="auto"/>
        <w:right w:val="none" w:sz="0" w:space="0" w:color="auto"/>
      </w:divBdr>
    </w:div>
    <w:div w:id="1723097277">
      <w:bodyDiv w:val="1"/>
      <w:marLeft w:val="0"/>
      <w:marRight w:val="0"/>
      <w:marTop w:val="0"/>
      <w:marBottom w:val="0"/>
      <w:divBdr>
        <w:top w:val="none" w:sz="0" w:space="0" w:color="auto"/>
        <w:left w:val="none" w:sz="0" w:space="0" w:color="auto"/>
        <w:bottom w:val="none" w:sz="0" w:space="0" w:color="auto"/>
        <w:right w:val="none" w:sz="0" w:space="0" w:color="auto"/>
      </w:divBdr>
    </w:div>
    <w:div w:id="1730224119">
      <w:bodyDiv w:val="1"/>
      <w:marLeft w:val="0"/>
      <w:marRight w:val="0"/>
      <w:marTop w:val="0"/>
      <w:marBottom w:val="0"/>
      <w:divBdr>
        <w:top w:val="none" w:sz="0" w:space="0" w:color="auto"/>
        <w:left w:val="none" w:sz="0" w:space="0" w:color="auto"/>
        <w:bottom w:val="none" w:sz="0" w:space="0" w:color="auto"/>
        <w:right w:val="none" w:sz="0" w:space="0" w:color="auto"/>
      </w:divBdr>
    </w:div>
    <w:div w:id="1734041880">
      <w:bodyDiv w:val="1"/>
      <w:marLeft w:val="0"/>
      <w:marRight w:val="0"/>
      <w:marTop w:val="0"/>
      <w:marBottom w:val="0"/>
      <w:divBdr>
        <w:top w:val="none" w:sz="0" w:space="0" w:color="auto"/>
        <w:left w:val="none" w:sz="0" w:space="0" w:color="auto"/>
        <w:bottom w:val="none" w:sz="0" w:space="0" w:color="auto"/>
        <w:right w:val="none" w:sz="0" w:space="0" w:color="auto"/>
      </w:divBdr>
    </w:div>
    <w:div w:id="1734618713">
      <w:bodyDiv w:val="1"/>
      <w:marLeft w:val="0"/>
      <w:marRight w:val="0"/>
      <w:marTop w:val="0"/>
      <w:marBottom w:val="0"/>
      <w:divBdr>
        <w:top w:val="none" w:sz="0" w:space="0" w:color="auto"/>
        <w:left w:val="none" w:sz="0" w:space="0" w:color="auto"/>
        <w:bottom w:val="none" w:sz="0" w:space="0" w:color="auto"/>
        <w:right w:val="none" w:sz="0" w:space="0" w:color="auto"/>
      </w:divBdr>
    </w:div>
    <w:div w:id="1746872279">
      <w:bodyDiv w:val="1"/>
      <w:marLeft w:val="0"/>
      <w:marRight w:val="0"/>
      <w:marTop w:val="0"/>
      <w:marBottom w:val="0"/>
      <w:divBdr>
        <w:top w:val="none" w:sz="0" w:space="0" w:color="auto"/>
        <w:left w:val="none" w:sz="0" w:space="0" w:color="auto"/>
        <w:bottom w:val="none" w:sz="0" w:space="0" w:color="auto"/>
        <w:right w:val="none" w:sz="0" w:space="0" w:color="auto"/>
      </w:divBdr>
    </w:div>
    <w:div w:id="1748917545">
      <w:bodyDiv w:val="1"/>
      <w:marLeft w:val="0"/>
      <w:marRight w:val="0"/>
      <w:marTop w:val="0"/>
      <w:marBottom w:val="0"/>
      <w:divBdr>
        <w:top w:val="none" w:sz="0" w:space="0" w:color="auto"/>
        <w:left w:val="none" w:sz="0" w:space="0" w:color="auto"/>
        <w:bottom w:val="none" w:sz="0" w:space="0" w:color="auto"/>
        <w:right w:val="none" w:sz="0" w:space="0" w:color="auto"/>
      </w:divBdr>
    </w:div>
    <w:div w:id="1749304909">
      <w:bodyDiv w:val="1"/>
      <w:marLeft w:val="0"/>
      <w:marRight w:val="0"/>
      <w:marTop w:val="0"/>
      <w:marBottom w:val="0"/>
      <w:divBdr>
        <w:top w:val="none" w:sz="0" w:space="0" w:color="auto"/>
        <w:left w:val="none" w:sz="0" w:space="0" w:color="auto"/>
        <w:bottom w:val="none" w:sz="0" w:space="0" w:color="auto"/>
        <w:right w:val="none" w:sz="0" w:space="0" w:color="auto"/>
      </w:divBdr>
    </w:div>
    <w:div w:id="1751193516">
      <w:bodyDiv w:val="1"/>
      <w:marLeft w:val="0"/>
      <w:marRight w:val="0"/>
      <w:marTop w:val="0"/>
      <w:marBottom w:val="0"/>
      <w:divBdr>
        <w:top w:val="none" w:sz="0" w:space="0" w:color="auto"/>
        <w:left w:val="none" w:sz="0" w:space="0" w:color="auto"/>
        <w:bottom w:val="none" w:sz="0" w:space="0" w:color="auto"/>
        <w:right w:val="none" w:sz="0" w:space="0" w:color="auto"/>
      </w:divBdr>
    </w:div>
    <w:div w:id="1752240549">
      <w:bodyDiv w:val="1"/>
      <w:marLeft w:val="0"/>
      <w:marRight w:val="0"/>
      <w:marTop w:val="0"/>
      <w:marBottom w:val="0"/>
      <w:divBdr>
        <w:top w:val="none" w:sz="0" w:space="0" w:color="auto"/>
        <w:left w:val="none" w:sz="0" w:space="0" w:color="auto"/>
        <w:bottom w:val="none" w:sz="0" w:space="0" w:color="auto"/>
        <w:right w:val="none" w:sz="0" w:space="0" w:color="auto"/>
      </w:divBdr>
    </w:div>
    <w:div w:id="1767843548">
      <w:bodyDiv w:val="1"/>
      <w:marLeft w:val="0"/>
      <w:marRight w:val="0"/>
      <w:marTop w:val="0"/>
      <w:marBottom w:val="0"/>
      <w:divBdr>
        <w:top w:val="none" w:sz="0" w:space="0" w:color="auto"/>
        <w:left w:val="none" w:sz="0" w:space="0" w:color="auto"/>
        <w:bottom w:val="none" w:sz="0" w:space="0" w:color="auto"/>
        <w:right w:val="none" w:sz="0" w:space="0" w:color="auto"/>
      </w:divBdr>
    </w:div>
    <w:div w:id="1786801514">
      <w:bodyDiv w:val="1"/>
      <w:marLeft w:val="0"/>
      <w:marRight w:val="0"/>
      <w:marTop w:val="0"/>
      <w:marBottom w:val="0"/>
      <w:divBdr>
        <w:top w:val="none" w:sz="0" w:space="0" w:color="auto"/>
        <w:left w:val="none" w:sz="0" w:space="0" w:color="auto"/>
        <w:bottom w:val="none" w:sz="0" w:space="0" w:color="auto"/>
        <w:right w:val="none" w:sz="0" w:space="0" w:color="auto"/>
      </w:divBdr>
    </w:div>
    <w:div w:id="1793018108">
      <w:bodyDiv w:val="1"/>
      <w:marLeft w:val="0"/>
      <w:marRight w:val="0"/>
      <w:marTop w:val="0"/>
      <w:marBottom w:val="0"/>
      <w:divBdr>
        <w:top w:val="none" w:sz="0" w:space="0" w:color="auto"/>
        <w:left w:val="none" w:sz="0" w:space="0" w:color="auto"/>
        <w:bottom w:val="none" w:sz="0" w:space="0" w:color="auto"/>
        <w:right w:val="none" w:sz="0" w:space="0" w:color="auto"/>
      </w:divBdr>
    </w:div>
    <w:div w:id="1794863792">
      <w:bodyDiv w:val="1"/>
      <w:marLeft w:val="0"/>
      <w:marRight w:val="0"/>
      <w:marTop w:val="0"/>
      <w:marBottom w:val="0"/>
      <w:divBdr>
        <w:top w:val="none" w:sz="0" w:space="0" w:color="auto"/>
        <w:left w:val="none" w:sz="0" w:space="0" w:color="auto"/>
        <w:bottom w:val="none" w:sz="0" w:space="0" w:color="auto"/>
        <w:right w:val="none" w:sz="0" w:space="0" w:color="auto"/>
      </w:divBdr>
    </w:div>
    <w:div w:id="1806849924">
      <w:bodyDiv w:val="1"/>
      <w:marLeft w:val="0"/>
      <w:marRight w:val="0"/>
      <w:marTop w:val="0"/>
      <w:marBottom w:val="0"/>
      <w:divBdr>
        <w:top w:val="none" w:sz="0" w:space="0" w:color="auto"/>
        <w:left w:val="none" w:sz="0" w:space="0" w:color="auto"/>
        <w:bottom w:val="none" w:sz="0" w:space="0" w:color="auto"/>
        <w:right w:val="none" w:sz="0" w:space="0" w:color="auto"/>
      </w:divBdr>
    </w:div>
    <w:div w:id="1812554649">
      <w:bodyDiv w:val="1"/>
      <w:marLeft w:val="0"/>
      <w:marRight w:val="0"/>
      <w:marTop w:val="0"/>
      <w:marBottom w:val="0"/>
      <w:divBdr>
        <w:top w:val="none" w:sz="0" w:space="0" w:color="auto"/>
        <w:left w:val="none" w:sz="0" w:space="0" w:color="auto"/>
        <w:bottom w:val="none" w:sz="0" w:space="0" w:color="auto"/>
        <w:right w:val="none" w:sz="0" w:space="0" w:color="auto"/>
      </w:divBdr>
    </w:div>
    <w:div w:id="1830905981">
      <w:bodyDiv w:val="1"/>
      <w:marLeft w:val="0"/>
      <w:marRight w:val="0"/>
      <w:marTop w:val="0"/>
      <w:marBottom w:val="0"/>
      <w:divBdr>
        <w:top w:val="none" w:sz="0" w:space="0" w:color="auto"/>
        <w:left w:val="none" w:sz="0" w:space="0" w:color="auto"/>
        <w:bottom w:val="none" w:sz="0" w:space="0" w:color="auto"/>
        <w:right w:val="none" w:sz="0" w:space="0" w:color="auto"/>
      </w:divBdr>
    </w:div>
    <w:div w:id="1840151025">
      <w:bodyDiv w:val="1"/>
      <w:marLeft w:val="0"/>
      <w:marRight w:val="0"/>
      <w:marTop w:val="0"/>
      <w:marBottom w:val="0"/>
      <w:divBdr>
        <w:top w:val="none" w:sz="0" w:space="0" w:color="auto"/>
        <w:left w:val="none" w:sz="0" w:space="0" w:color="auto"/>
        <w:bottom w:val="none" w:sz="0" w:space="0" w:color="auto"/>
        <w:right w:val="none" w:sz="0" w:space="0" w:color="auto"/>
      </w:divBdr>
    </w:div>
    <w:div w:id="1842156638">
      <w:bodyDiv w:val="1"/>
      <w:marLeft w:val="0"/>
      <w:marRight w:val="0"/>
      <w:marTop w:val="0"/>
      <w:marBottom w:val="0"/>
      <w:divBdr>
        <w:top w:val="none" w:sz="0" w:space="0" w:color="auto"/>
        <w:left w:val="none" w:sz="0" w:space="0" w:color="auto"/>
        <w:bottom w:val="none" w:sz="0" w:space="0" w:color="auto"/>
        <w:right w:val="none" w:sz="0" w:space="0" w:color="auto"/>
      </w:divBdr>
    </w:div>
    <w:div w:id="1848253508">
      <w:bodyDiv w:val="1"/>
      <w:marLeft w:val="0"/>
      <w:marRight w:val="0"/>
      <w:marTop w:val="0"/>
      <w:marBottom w:val="0"/>
      <w:divBdr>
        <w:top w:val="none" w:sz="0" w:space="0" w:color="auto"/>
        <w:left w:val="none" w:sz="0" w:space="0" w:color="auto"/>
        <w:bottom w:val="none" w:sz="0" w:space="0" w:color="auto"/>
        <w:right w:val="none" w:sz="0" w:space="0" w:color="auto"/>
      </w:divBdr>
    </w:div>
    <w:div w:id="1852135607">
      <w:bodyDiv w:val="1"/>
      <w:marLeft w:val="0"/>
      <w:marRight w:val="0"/>
      <w:marTop w:val="0"/>
      <w:marBottom w:val="0"/>
      <w:divBdr>
        <w:top w:val="none" w:sz="0" w:space="0" w:color="auto"/>
        <w:left w:val="none" w:sz="0" w:space="0" w:color="auto"/>
        <w:bottom w:val="none" w:sz="0" w:space="0" w:color="auto"/>
        <w:right w:val="none" w:sz="0" w:space="0" w:color="auto"/>
      </w:divBdr>
    </w:div>
    <w:div w:id="1857186769">
      <w:bodyDiv w:val="1"/>
      <w:marLeft w:val="0"/>
      <w:marRight w:val="0"/>
      <w:marTop w:val="0"/>
      <w:marBottom w:val="0"/>
      <w:divBdr>
        <w:top w:val="none" w:sz="0" w:space="0" w:color="auto"/>
        <w:left w:val="none" w:sz="0" w:space="0" w:color="auto"/>
        <w:bottom w:val="none" w:sz="0" w:space="0" w:color="auto"/>
        <w:right w:val="none" w:sz="0" w:space="0" w:color="auto"/>
      </w:divBdr>
    </w:div>
    <w:div w:id="1867209360">
      <w:bodyDiv w:val="1"/>
      <w:marLeft w:val="0"/>
      <w:marRight w:val="0"/>
      <w:marTop w:val="0"/>
      <w:marBottom w:val="0"/>
      <w:divBdr>
        <w:top w:val="none" w:sz="0" w:space="0" w:color="auto"/>
        <w:left w:val="none" w:sz="0" w:space="0" w:color="auto"/>
        <w:bottom w:val="none" w:sz="0" w:space="0" w:color="auto"/>
        <w:right w:val="none" w:sz="0" w:space="0" w:color="auto"/>
      </w:divBdr>
    </w:div>
    <w:div w:id="1868980818">
      <w:bodyDiv w:val="1"/>
      <w:marLeft w:val="0"/>
      <w:marRight w:val="0"/>
      <w:marTop w:val="0"/>
      <w:marBottom w:val="0"/>
      <w:divBdr>
        <w:top w:val="none" w:sz="0" w:space="0" w:color="auto"/>
        <w:left w:val="none" w:sz="0" w:space="0" w:color="auto"/>
        <w:bottom w:val="none" w:sz="0" w:space="0" w:color="auto"/>
        <w:right w:val="none" w:sz="0" w:space="0" w:color="auto"/>
      </w:divBdr>
    </w:div>
    <w:div w:id="1870070682">
      <w:bodyDiv w:val="1"/>
      <w:marLeft w:val="0"/>
      <w:marRight w:val="0"/>
      <w:marTop w:val="0"/>
      <w:marBottom w:val="0"/>
      <w:divBdr>
        <w:top w:val="none" w:sz="0" w:space="0" w:color="auto"/>
        <w:left w:val="none" w:sz="0" w:space="0" w:color="auto"/>
        <w:bottom w:val="none" w:sz="0" w:space="0" w:color="auto"/>
        <w:right w:val="none" w:sz="0" w:space="0" w:color="auto"/>
      </w:divBdr>
    </w:div>
    <w:div w:id="1887836638">
      <w:bodyDiv w:val="1"/>
      <w:marLeft w:val="0"/>
      <w:marRight w:val="0"/>
      <w:marTop w:val="0"/>
      <w:marBottom w:val="0"/>
      <w:divBdr>
        <w:top w:val="none" w:sz="0" w:space="0" w:color="auto"/>
        <w:left w:val="none" w:sz="0" w:space="0" w:color="auto"/>
        <w:bottom w:val="none" w:sz="0" w:space="0" w:color="auto"/>
        <w:right w:val="none" w:sz="0" w:space="0" w:color="auto"/>
      </w:divBdr>
    </w:div>
    <w:div w:id="1893610231">
      <w:bodyDiv w:val="1"/>
      <w:marLeft w:val="0"/>
      <w:marRight w:val="0"/>
      <w:marTop w:val="0"/>
      <w:marBottom w:val="0"/>
      <w:divBdr>
        <w:top w:val="none" w:sz="0" w:space="0" w:color="auto"/>
        <w:left w:val="none" w:sz="0" w:space="0" w:color="auto"/>
        <w:bottom w:val="none" w:sz="0" w:space="0" w:color="auto"/>
        <w:right w:val="none" w:sz="0" w:space="0" w:color="auto"/>
      </w:divBdr>
    </w:div>
    <w:div w:id="1894926654">
      <w:bodyDiv w:val="1"/>
      <w:marLeft w:val="0"/>
      <w:marRight w:val="0"/>
      <w:marTop w:val="0"/>
      <w:marBottom w:val="0"/>
      <w:divBdr>
        <w:top w:val="none" w:sz="0" w:space="0" w:color="auto"/>
        <w:left w:val="none" w:sz="0" w:space="0" w:color="auto"/>
        <w:bottom w:val="none" w:sz="0" w:space="0" w:color="auto"/>
        <w:right w:val="none" w:sz="0" w:space="0" w:color="auto"/>
      </w:divBdr>
    </w:div>
    <w:div w:id="1897279491">
      <w:bodyDiv w:val="1"/>
      <w:marLeft w:val="0"/>
      <w:marRight w:val="0"/>
      <w:marTop w:val="0"/>
      <w:marBottom w:val="0"/>
      <w:divBdr>
        <w:top w:val="none" w:sz="0" w:space="0" w:color="auto"/>
        <w:left w:val="none" w:sz="0" w:space="0" w:color="auto"/>
        <w:bottom w:val="none" w:sz="0" w:space="0" w:color="auto"/>
        <w:right w:val="none" w:sz="0" w:space="0" w:color="auto"/>
      </w:divBdr>
    </w:div>
    <w:div w:id="1904170349">
      <w:bodyDiv w:val="1"/>
      <w:marLeft w:val="0"/>
      <w:marRight w:val="0"/>
      <w:marTop w:val="0"/>
      <w:marBottom w:val="0"/>
      <w:divBdr>
        <w:top w:val="none" w:sz="0" w:space="0" w:color="auto"/>
        <w:left w:val="none" w:sz="0" w:space="0" w:color="auto"/>
        <w:bottom w:val="none" w:sz="0" w:space="0" w:color="auto"/>
        <w:right w:val="none" w:sz="0" w:space="0" w:color="auto"/>
      </w:divBdr>
    </w:div>
    <w:div w:id="1925140106">
      <w:bodyDiv w:val="1"/>
      <w:marLeft w:val="0"/>
      <w:marRight w:val="0"/>
      <w:marTop w:val="0"/>
      <w:marBottom w:val="0"/>
      <w:divBdr>
        <w:top w:val="none" w:sz="0" w:space="0" w:color="auto"/>
        <w:left w:val="none" w:sz="0" w:space="0" w:color="auto"/>
        <w:bottom w:val="none" w:sz="0" w:space="0" w:color="auto"/>
        <w:right w:val="none" w:sz="0" w:space="0" w:color="auto"/>
      </w:divBdr>
    </w:div>
    <w:div w:id="1928802903">
      <w:bodyDiv w:val="1"/>
      <w:marLeft w:val="0"/>
      <w:marRight w:val="0"/>
      <w:marTop w:val="0"/>
      <w:marBottom w:val="0"/>
      <w:divBdr>
        <w:top w:val="none" w:sz="0" w:space="0" w:color="auto"/>
        <w:left w:val="none" w:sz="0" w:space="0" w:color="auto"/>
        <w:bottom w:val="none" w:sz="0" w:space="0" w:color="auto"/>
        <w:right w:val="none" w:sz="0" w:space="0" w:color="auto"/>
      </w:divBdr>
    </w:div>
    <w:div w:id="1945532205">
      <w:bodyDiv w:val="1"/>
      <w:marLeft w:val="0"/>
      <w:marRight w:val="0"/>
      <w:marTop w:val="0"/>
      <w:marBottom w:val="0"/>
      <w:divBdr>
        <w:top w:val="none" w:sz="0" w:space="0" w:color="auto"/>
        <w:left w:val="none" w:sz="0" w:space="0" w:color="auto"/>
        <w:bottom w:val="none" w:sz="0" w:space="0" w:color="auto"/>
        <w:right w:val="none" w:sz="0" w:space="0" w:color="auto"/>
      </w:divBdr>
    </w:div>
    <w:div w:id="1954284550">
      <w:bodyDiv w:val="1"/>
      <w:marLeft w:val="0"/>
      <w:marRight w:val="0"/>
      <w:marTop w:val="0"/>
      <w:marBottom w:val="0"/>
      <w:divBdr>
        <w:top w:val="none" w:sz="0" w:space="0" w:color="auto"/>
        <w:left w:val="none" w:sz="0" w:space="0" w:color="auto"/>
        <w:bottom w:val="none" w:sz="0" w:space="0" w:color="auto"/>
        <w:right w:val="none" w:sz="0" w:space="0" w:color="auto"/>
      </w:divBdr>
    </w:div>
    <w:div w:id="1954744840">
      <w:bodyDiv w:val="1"/>
      <w:marLeft w:val="0"/>
      <w:marRight w:val="0"/>
      <w:marTop w:val="0"/>
      <w:marBottom w:val="0"/>
      <w:divBdr>
        <w:top w:val="none" w:sz="0" w:space="0" w:color="auto"/>
        <w:left w:val="none" w:sz="0" w:space="0" w:color="auto"/>
        <w:bottom w:val="none" w:sz="0" w:space="0" w:color="auto"/>
        <w:right w:val="none" w:sz="0" w:space="0" w:color="auto"/>
      </w:divBdr>
    </w:div>
    <w:div w:id="1961958227">
      <w:bodyDiv w:val="1"/>
      <w:marLeft w:val="0"/>
      <w:marRight w:val="0"/>
      <w:marTop w:val="0"/>
      <w:marBottom w:val="0"/>
      <w:divBdr>
        <w:top w:val="none" w:sz="0" w:space="0" w:color="auto"/>
        <w:left w:val="none" w:sz="0" w:space="0" w:color="auto"/>
        <w:bottom w:val="none" w:sz="0" w:space="0" w:color="auto"/>
        <w:right w:val="none" w:sz="0" w:space="0" w:color="auto"/>
      </w:divBdr>
    </w:div>
    <w:div w:id="1966933837">
      <w:bodyDiv w:val="1"/>
      <w:marLeft w:val="0"/>
      <w:marRight w:val="0"/>
      <w:marTop w:val="0"/>
      <w:marBottom w:val="0"/>
      <w:divBdr>
        <w:top w:val="none" w:sz="0" w:space="0" w:color="auto"/>
        <w:left w:val="none" w:sz="0" w:space="0" w:color="auto"/>
        <w:bottom w:val="none" w:sz="0" w:space="0" w:color="auto"/>
        <w:right w:val="none" w:sz="0" w:space="0" w:color="auto"/>
      </w:divBdr>
    </w:div>
    <w:div w:id="1976832709">
      <w:bodyDiv w:val="1"/>
      <w:marLeft w:val="0"/>
      <w:marRight w:val="0"/>
      <w:marTop w:val="0"/>
      <w:marBottom w:val="0"/>
      <w:divBdr>
        <w:top w:val="none" w:sz="0" w:space="0" w:color="auto"/>
        <w:left w:val="none" w:sz="0" w:space="0" w:color="auto"/>
        <w:bottom w:val="none" w:sz="0" w:space="0" w:color="auto"/>
        <w:right w:val="none" w:sz="0" w:space="0" w:color="auto"/>
      </w:divBdr>
    </w:div>
    <w:div w:id="1987277862">
      <w:bodyDiv w:val="1"/>
      <w:marLeft w:val="0"/>
      <w:marRight w:val="0"/>
      <w:marTop w:val="0"/>
      <w:marBottom w:val="0"/>
      <w:divBdr>
        <w:top w:val="none" w:sz="0" w:space="0" w:color="auto"/>
        <w:left w:val="none" w:sz="0" w:space="0" w:color="auto"/>
        <w:bottom w:val="none" w:sz="0" w:space="0" w:color="auto"/>
        <w:right w:val="none" w:sz="0" w:space="0" w:color="auto"/>
      </w:divBdr>
    </w:div>
    <w:div w:id="1990472326">
      <w:bodyDiv w:val="1"/>
      <w:marLeft w:val="0"/>
      <w:marRight w:val="0"/>
      <w:marTop w:val="0"/>
      <w:marBottom w:val="0"/>
      <w:divBdr>
        <w:top w:val="none" w:sz="0" w:space="0" w:color="auto"/>
        <w:left w:val="none" w:sz="0" w:space="0" w:color="auto"/>
        <w:bottom w:val="none" w:sz="0" w:space="0" w:color="auto"/>
        <w:right w:val="none" w:sz="0" w:space="0" w:color="auto"/>
      </w:divBdr>
    </w:div>
    <w:div w:id="1992831576">
      <w:bodyDiv w:val="1"/>
      <w:marLeft w:val="0"/>
      <w:marRight w:val="0"/>
      <w:marTop w:val="0"/>
      <w:marBottom w:val="0"/>
      <w:divBdr>
        <w:top w:val="none" w:sz="0" w:space="0" w:color="auto"/>
        <w:left w:val="none" w:sz="0" w:space="0" w:color="auto"/>
        <w:bottom w:val="none" w:sz="0" w:space="0" w:color="auto"/>
        <w:right w:val="none" w:sz="0" w:space="0" w:color="auto"/>
      </w:divBdr>
    </w:div>
    <w:div w:id="2000038974">
      <w:bodyDiv w:val="1"/>
      <w:marLeft w:val="0"/>
      <w:marRight w:val="0"/>
      <w:marTop w:val="0"/>
      <w:marBottom w:val="0"/>
      <w:divBdr>
        <w:top w:val="none" w:sz="0" w:space="0" w:color="auto"/>
        <w:left w:val="none" w:sz="0" w:space="0" w:color="auto"/>
        <w:bottom w:val="none" w:sz="0" w:space="0" w:color="auto"/>
        <w:right w:val="none" w:sz="0" w:space="0" w:color="auto"/>
      </w:divBdr>
    </w:div>
    <w:div w:id="2002267270">
      <w:bodyDiv w:val="1"/>
      <w:marLeft w:val="0"/>
      <w:marRight w:val="0"/>
      <w:marTop w:val="0"/>
      <w:marBottom w:val="0"/>
      <w:divBdr>
        <w:top w:val="none" w:sz="0" w:space="0" w:color="auto"/>
        <w:left w:val="none" w:sz="0" w:space="0" w:color="auto"/>
        <w:bottom w:val="none" w:sz="0" w:space="0" w:color="auto"/>
        <w:right w:val="none" w:sz="0" w:space="0" w:color="auto"/>
      </w:divBdr>
    </w:div>
    <w:div w:id="2010978438">
      <w:bodyDiv w:val="1"/>
      <w:marLeft w:val="0"/>
      <w:marRight w:val="0"/>
      <w:marTop w:val="0"/>
      <w:marBottom w:val="0"/>
      <w:divBdr>
        <w:top w:val="none" w:sz="0" w:space="0" w:color="auto"/>
        <w:left w:val="none" w:sz="0" w:space="0" w:color="auto"/>
        <w:bottom w:val="none" w:sz="0" w:space="0" w:color="auto"/>
        <w:right w:val="none" w:sz="0" w:space="0" w:color="auto"/>
      </w:divBdr>
    </w:div>
    <w:div w:id="2022273358">
      <w:bodyDiv w:val="1"/>
      <w:marLeft w:val="0"/>
      <w:marRight w:val="0"/>
      <w:marTop w:val="0"/>
      <w:marBottom w:val="0"/>
      <w:divBdr>
        <w:top w:val="none" w:sz="0" w:space="0" w:color="auto"/>
        <w:left w:val="none" w:sz="0" w:space="0" w:color="auto"/>
        <w:bottom w:val="none" w:sz="0" w:space="0" w:color="auto"/>
        <w:right w:val="none" w:sz="0" w:space="0" w:color="auto"/>
      </w:divBdr>
    </w:div>
    <w:div w:id="2024822795">
      <w:bodyDiv w:val="1"/>
      <w:marLeft w:val="0"/>
      <w:marRight w:val="0"/>
      <w:marTop w:val="0"/>
      <w:marBottom w:val="0"/>
      <w:divBdr>
        <w:top w:val="none" w:sz="0" w:space="0" w:color="auto"/>
        <w:left w:val="none" w:sz="0" w:space="0" w:color="auto"/>
        <w:bottom w:val="none" w:sz="0" w:space="0" w:color="auto"/>
        <w:right w:val="none" w:sz="0" w:space="0" w:color="auto"/>
      </w:divBdr>
    </w:div>
    <w:div w:id="2027444841">
      <w:bodyDiv w:val="1"/>
      <w:marLeft w:val="0"/>
      <w:marRight w:val="0"/>
      <w:marTop w:val="0"/>
      <w:marBottom w:val="0"/>
      <w:divBdr>
        <w:top w:val="none" w:sz="0" w:space="0" w:color="auto"/>
        <w:left w:val="none" w:sz="0" w:space="0" w:color="auto"/>
        <w:bottom w:val="none" w:sz="0" w:space="0" w:color="auto"/>
        <w:right w:val="none" w:sz="0" w:space="0" w:color="auto"/>
      </w:divBdr>
    </w:div>
    <w:div w:id="2073119249">
      <w:bodyDiv w:val="1"/>
      <w:marLeft w:val="0"/>
      <w:marRight w:val="0"/>
      <w:marTop w:val="0"/>
      <w:marBottom w:val="0"/>
      <w:divBdr>
        <w:top w:val="none" w:sz="0" w:space="0" w:color="auto"/>
        <w:left w:val="none" w:sz="0" w:space="0" w:color="auto"/>
        <w:bottom w:val="none" w:sz="0" w:space="0" w:color="auto"/>
        <w:right w:val="none" w:sz="0" w:space="0" w:color="auto"/>
      </w:divBdr>
    </w:div>
    <w:div w:id="2109308359">
      <w:bodyDiv w:val="1"/>
      <w:marLeft w:val="0"/>
      <w:marRight w:val="0"/>
      <w:marTop w:val="0"/>
      <w:marBottom w:val="0"/>
      <w:divBdr>
        <w:top w:val="none" w:sz="0" w:space="0" w:color="auto"/>
        <w:left w:val="none" w:sz="0" w:space="0" w:color="auto"/>
        <w:bottom w:val="none" w:sz="0" w:space="0" w:color="auto"/>
        <w:right w:val="none" w:sz="0" w:space="0" w:color="auto"/>
      </w:divBdr>
    </w:div>
    <w:div w:id="2121685153">
      <w:bodyDiv w:val="1"/>
      <w:marLeft w:val="0"/>
      <w:marRight w:val="0"/>
      <w:marTop w:val="0"/>
      <w:marBottom w:val="0"/>
      <w:divBdr>
        <w:top w:val="none" w:sz="0" w:space="0" w:color="auto"/>
        <w:left w:val="none" w:sz="0" w:space="0" w:color="auto"/>
        <w:bottom w:val="none" w:sz="0" w:space="0" w:color="auto"/>
        <w:right w:val="none" w:sz="0" w:space="0" w:color="auto"/>
      </w:divBdr>
    </w:div>
    <w:div w:id="2122528596">
      <w:bodyDiv w:val="1"/>
      <w:marLeft w:val="0"/>
      <w:marRight w:val="0"/>
      <w:marTop w:val="0"/>
      <w:marBottom w:val="0"/>
      <w:divBdr>
        <w:top w:val="none" w:sz="0" w:space="0" w:color="auto"/>
        <w:left w:val="none" w:sz="0" w:space="0" w:color="auto"/>
        <w:bottom w:val="none" w:sz="0" w:space="0" w:color="auto"/>
        <w:right w:val="none" w:sz="0" w:space="0" w:color="auto"/>
      </w:divBdr>
    </w:div>
    <w:div w:id="2130659011">
      <w:bodyDiv w:val="1"/>
      <w:marLeft w:val="0"/>
      <w:marRight w:val="0"/>
      <w:marTop w:val="0"/>
      <w:marBottom w:val="0"/>
      <w:divBdr>
        <w:top w:val="none" w:sz="0" w:space="0" w:color="auto"/>
        <w:left w:val="none" w:sz="0" w:space="0" w:color="auto"/>
        <w:bottom w:val="none" w:sz="0" w:space="0" w:color="auto"/>
        <w:right w:val="none" w:sz="0" w:space="0" w:color="auto"/>
      </w:divBdr>
      <w:divsChild>
        <w:div w:id="44454999">
          <w:marLeft w:val="0"/>
          <w:marRight w:val="0"/>
          <w:marTop w:val="0"/>
          <w:marBottom w:val="0"/>
          <w:divBdr>
            <w:top w:val="none" w:sz="0" w:space="0" w:color="auto"/>
            <w:left w:val="none" w:sz="0" w:space="0" w:color="auto"/>
            <w:bottom w:val="none" w:sz="0" w:space="0" w:color="auto"/>
            <w:right w:val="none" w:sz="0" w:space="0" w:color="auto"/>
          </w:divBdr>
          <w:divsChild>
            <w:div w:id="751121251">
              <w:marLeft w:val="0"/>
              <w:marRight w:val="0"/>
              <w:marTop w:val="0"/>
              <w:marBottom w:val="0"/>
              <w:divBdr>
                <w:top w:val="none" w:sz="0" w:space="0" w:color="auto"/>
                <w:left w:val="none" w:sz="0" w:space="0" w:color="auto"/>
                <w:bottom w:val="none" w:sz="0" w:space="0" w:color="auto"/>
                <w:right w:val="none" w:sz="0" w:space="0" w:color="auto"/>
              </w:divBdr>
            </w:div>
          </w:divsChild>
        </w:div>
        <w:div w:id="63649491">
          <w:marLeft w:val="0"/>
          <w:marRight w:val="0"/>
          <w:marTop w:val="0"/>
          <w:marBottom w:val="0"/>
          <w:divBdr>
            <w:top w:val="none" w:sz="0" w:space="0" w:color="auto"/>
            <w:left w:val="none" w:sz="0" w:space="0" w:color="auto"/>
            <w:bottom w:val="none" w:sz="0" w:space="0" w:color="auto"/>
            <w:right w:val="none" w:sz="0" w:space="0" w:color="auto"/>
          </w:divBdr>
          <w:divsChild>
            <w:div w:id="201326829">
              <w:marLeft w:val="0"/>
              <w:marRight w:val="0"/>
              <w:marTop w:val="0"/>
              <w:marBottom w:val="0"/>
              <w:divBdr>
                <w:top w:val="none" w:sz="0" w:space="0" w:color="auto"/>
                <w:left w:val="none" w:sz="0" w:space="0" w:color="auto"/>
                <w:bottom w:val="none" w:sz="0" w:space="0" w:color="auto"/>
                <w:right w:val="none" w:sz="0" w:space="0" w:color="auto"/>
              </w:divBdr>
            </w:div>
          </w:divsChild>
        </w:div>
        <w:div w:id="68119949">
          <w:marLeft w:val="0"/>
          <w:marRight w:val="0"/>
          <w:marTop w:val="0"/>
          <w:marBottom w:val="0"/>
          <w:divBdr>
            <w:top w:val="none" w:sz="0" w:space="0" w:color="auto"/>
            <w:left w:val="none" w:sz="0" w:space="0" w:color="auto"/>
            <w:bottom w:val="none" w:sz="0" w:space="0" w:color="auto"/>
            <w:right w:val="none" w:sz="0" w:space="0" w:color="auto"/>
          </w:divBdr>
          <w:divsChild>
            <w:div w:id="184250035">
              <w:marLeft w:val="0"/>
              <w:marRight w:val="0"/>
              <w:marTop w:val="0"/>
              <w:marBottom w:val="0"/>
              <w:divBdr>
                <w:top w:val="none" w:sz="0" w:space="0" w:color="auto"/>
                <w:left w:val="none" w:sz="0" w:space="0" w:color="auto"/>
                <w:bottom w:val="none" w:sz="0" w:space="0" w:color="auto"/>
                <w:right w:val="none" w:sz="0" w:space="0" w:color="auto"/>
              </w:divBdr>
            </w:div>
          </w:divsChild>
        </w:div>
        <w:div w:id="109130042">
          <w:marLeft w:val="0"/>
          <w:marRight w:val="0"/>
          <w:marTop w:val="0"/>
          <w:marBottom w:val="0"/>
          <w:divBdr>
            <w:top w:val="none" w:sz="0" w:space="0" w:color="auto"/>
            <w:left w:val="none" w:sz="0" w:space="0" w:color="auto"/>
            <w:bottom w:val="none" w:sz="0" w:space="0" w:color="auto"/>
            <w:right w:val="none" w:sz="0" w:space="0" w:color="auto"/>
          </w:divBdr>
          <w:divsChild>
            <w:div w:id="2035112609">
              <w:marLeft w:val="0"/>
              <w:marRight w:val="0"/>
              <w:marTop w:val="0"/>
              <w:marBottom w:val="0"/>
              <w:divBdr>
                <w:top w:val="none" w:sz="0" w:space="0" w:color="auto"/>
                <w:left w:val="none" w:sz="0" w:space="0" w:color="auto"/>
                <w:bottom w:val="none" w:sz="0" w:space="0" w:color="auto"/>
                <w:right w:val="none" w:sz="0" w:space="0" w:color="auto"/>
              </w:divBdr>
            </w:div>
          </w:divsChild>
        </w:div>
        <w:div w:id="109861436">
          <w:marLeft w:val="0"/>
          <w:marRight w:val="0"/>
          <w:marTop w:val="0"/>
          <w:marBottom w:val="0"/>
          <w:divBdr>
            <w:top w:val="none" w:sz="0" w:space="0" w:color="auto"/>
            <w:left w:val="none" w:sz="0" w:space="0" w:color="auto"/>
            <w:bottom w:val="none" w:sz="0" w:space="0" w:color="auto"/>
            <w:right w:val="none" w:sz="0" w:space="0" w:color="auto"/>
          </w:divBdr>
          <w:divsChild>
            <w:div w:id="1395470763">
              <w:marLeft w:val="0"/>
              <w:marRight w:val="0"/>
              <w:marTop w:val="0"/>
              <w:marBottom w:val="0"/>
              <w:divBdr>
                <w:top w:val="none" w:sz="0" w:space="0" w:color="auto"/>
                <w:left w:val="none" w:sz="0" w:space="0" w:color="auto"/>
                <w:bottom w:val="none" w:sz="0" w:space="0" w:color="auto"/>
                <w:right w:val="none" w:sz="0" w:space="0" w:color="auto"/>
              </w:divBdr>
            </w:div>
          </w:divsChild>
        </w:div>
        <w:div w:id="138768032">
          <w:marLeft w:val="0"/>
          <w:marRight w:val="0"/>
          <w:marTop w:val="0"/>
          <w:marBottom w:val="0"/>
          <w:divBdr>
            <w:top w:val="none" w:sz="0" w:space="0" w:color="auto"/>
            <w:left w:val="none" w:sz="0" w:space="0" w:color="auto"/>
            <w:bottom w:val="none" w:sz="0" w:space="0" w:color="auto"/>
            <w:right w:val="none" w:sz="0" w:space="0" w:color="auto"/>
          </w:divBdr>
          <w:divsChild>
            <w:div w:id="804202355">
              <w:marLeft w:val="0"/>
              <w:marRight w:val="0"/>
              <w:marTop w:val="0"/>
              <w:marBottom w:val="0"/>
              <w:divBdr>
                <w:top w:val="none" w:sz="0" w:space="0" w:color="auto"/>
                <w:left w:val="none" w:sz="0" w:space="0" w:color="auto"/>
                <w:bottom w:val="none" w:sz="0" w:space="0" w:color="auto"/>
                <w:right w:val="none" w:sz="0" w:space="0" w:color="auto"/>
              </w:divBdr>
            </w:div>
          </w:divsChild>
        </w:div>
        <w:div w:id="146097443">
          <w:marLeft w:val="0"/>
          <w:marRight w:val="0"/>
          <w:marTop w:val="0"/>
          <w:marBottom w:val="0"/>
          <w:divBdr>
            <w:top w:val="none" w:sz="0" w:space="0" w:color="auto"/>
            <w:left w:val="none" w:sz="0" w:space="0" w:color="auto"/>
            <w:bottom w:val="none" w:sz="0" w:space="0" w:color="auto"/>
            <w:right w:val="none" w:sz="0" w:space="0" w:color="auto"/>
          </w:divBdr>
          <w:divsChild>
            <w:div w:id="563101540">
              <w:marLeft w:val="0"/>
              <w:marRight w:val="0"/>
              <w:marTop w:val="0"/>
              <w:marBottom w:val="0"/>
              <w:divBdr>
                <w:top w:val="none" w:sz="0" w:space="0" w:color="auto"/>
                <w:left w:val="none" w:sz="0" w:space="0" w:color="auto"/>
                <w:bottom w:val="none" w:sz="0" w:space="0" w:color="auto"/>
                <w:right w:val="none" w:sz="0" w:space="0" w:color="auto"/>
              </w:divBdr>
            </w:div>
          </w:divsChild>
        </w:div>
        <w:div w:id="154151667">
          <w:marLeft w:val="0"/>
          <w:marRight w:val="0"/>
          <w:marTop w:val="0"/>
          <w:marBottom w:val="0"/>
          <w:divBdr>
            <w:top w:val="none" w:sz="0" w:space="0" w:color="auto"/>
            <w:left w:val="none" w:sz="0" w:space="0" w:color="auto"/>
            <w:bottom w:val="none" w:sz="0" w:space="0" w:color="auto"/>
            <w:right w:val="none" w:sz="0" w:space="0" w:color="auto"/>
          </w:divBdr>
          <w:divsChild>
            <w:div w:id="731539847">
              <w:marLeft w:val="0"/>
              <w:marRight w:val="0"/>
              <w:marTop w:val="0"/>
              <w:marBottom w:val="0"/>
              <w:divBdr>
                <w:top w:val="none" w:sz="0" w:space="0" w:color="auto"/>
                <w:left w:val="none" w:sz="0" w:space="0" w:color="auto"/>
                <w:bottom w:val="none" w:sz="0" w:space="0" w:color="auto"/>
                <w:right w:val="none" w:sz="0" w:space="0" w:color="auto"/>
              </w:divBdr>
            </w:div>
          </w:divsChild>
        </w:div>
        <w:div w:id="195965433">
          <w:marLeft w:val="0"/>
          <w:marRight w:val="0"/>
          <w:marTop w:val="0"/>
          <w:marBottom w:val="0"/>
          <w:divBdr>
            <w:top w:val="none" w:sz="0" w:space="0" w:color="auto"/>
            <w:left w:val="none" w:sz="0" w:space="0" w:color="auto"/>
            <w:bottom w:val="none" w:sz="0" w:space="0" w:color="auto"/>
            <w:right w:val="none" w:sz="0" w:space="0" w:color="auto"/>
          </w:divBdr>
          <w:divsChild>
            <w:div w:id="1445809978">
              <w:marLeft w:val="0"/>
              <w:marRight w:val="0"/>
              <w:marTop w:val="0"/>
              <w:marBottom w:val="0"/>
              <w:divBdr>
                <w:top w:val="none" w:sz="0" w:space="0" w:color="auto"/>
                <w:left w:val="none" w:sz="0" w:space="0" w:color="auto"/>
                <w:bottom w:val="none" w:sz="0" w:space="0" w:color="auto"/>
                <w:right w:val="none" w:sz="0" w:space="0" w:color="auto"/>
              </w:divBdr>
            </w:div>
          </w:divsChild>
        </w:div>
        <w:div w:id="201096302">
          <w:marLeft w:val="0"/>
          <w:marRight w:val="0"/>
          <w:marTop w:val="0"/>
          <w:marBottom w:val="0"/>
          <w:divBdr>
            <w:top w:val="none" w:sz="0" w:space="0" w:color="auto"/>
            <w:left w:val="none" w:sz="0" w:space="0" w:color="auto"/>
            <w:bottom w:val="none" w:sz="0" w:space="0" w:color="auto"/>
            <w:right w:val="none" w:sz="0" w:space="0" w:color="auto"/>
          </w:divBdr>
          <w:divsChild>
            <w:div w:id="554586345">
              <w:marLeft w:val="0"/>
              <w:marRight w:val="0"/>
              <w:marTop w:val="0"/>
              <w:marBottom w:val="0"/>
              <w:divBdr>
                <w:top w:val="none" w:sz="0" w:space="0" w:color="auto"/>
                <w:left w:val="none" w:sz="0" w:space="0" w:color="auto"/>
                <w:bottom w:val="none" w:sz="0" w:space="0" w:color="auto"/>
                <w:right w:val="none" w:sz="0" w:space="0" w:color="auto"/>
              </w:divBdr>
            </w:div>
          </w:divsChild>
        </w:div>
        <w:div w:id="226572111">
          <w:marLeft w:val="0"/>
          <w:marRight w:val="0"/>
          <w:marTop w:val="0"/>
          <w:marBottom w:val="0"/>
          <w:divBdr>
            <w:top w:val="none" w:sz="0" w:space="0" w:color="auto"/>
            <w:left w:val="none" w:sz="0" w:space="0" w:color="auto"/>
            <w:bottom w:val="none" w:sz="0" w:space="0" w:color="auto"/>
            <w:right w:val="none" w:sz="0" w:space="0" w:color="auto"/>
          </w:divBdr>
          <w:divsChild>
            <w:div w:id="685520113">
              <w:marLeft w:val="0"/>
              <w:marRight w:val="0"/>
              <w:marTop w:val="0"/>
              <w:marBottom w:val="0"/>
              <w:divBdr>
                <w:top w:val="none" w:sz="0" w:space="0" w:color="auto"/>
                <w:left w:val="none" w:sz="0" w:space="0" w:color="auto"/>
                <w:bottom w:val="none" w:sz="0" w:space="0" w:color="auto"/>
                <w:right w:val="none" w:sz="0" w:space="0" w:color="auto"/>
              </w:divBdr>
            </w:div>
          </w:divsChild>
        </w:div>
        <w:div w:id="226839454">
          <w:marLeft w:val="0"/>
          <w:marRight w:val="0"/>
          <w:marTop w:val="0"/>
          <w:marBottom w:val="0"/>
          <w:divBdr>
            <w:top w:val="none" w:sz="0" w:space="0" w:color="auto"/>
            <w:left w:val="none" w:sz="0" w:space="0" w:color="auto"/>
            <w:bottom w:val="none" w:sz="0" w:space="0" w:color="auto"/>
            <w:right w:val="none" w:sz="0" w:space="0" w:color="auto"/>
          </w:divBdr>
          <w:divsChild>
            <w:div w:id="1944654599">
              <w:marLeft w:val="0"/>
              <w:marRight w:val="0"/>
              <w:marTop w:val="0"/>
              <w:marBottom w:val="0"/>
              <w:divBdr>
                <w:top w:val="none" w:sz="0" w:space="0" w:color="auto"/>
                <w:left w:val="none" w:sz="0" w:space="0" w:color="auto"/>
                <w:bottom w:val="none" w:sz="0" w:space="0" w:color="auto"/>
                <w:right w:val="none" w:sz="0" w:space="0" w:color="auto"/>
              </w:divBdr>
            </w:div>
          </w:divsChild>
        </w:div>
        <w:div w:id="248973904">
          <w:marLeft w:val="0"/>
          <w:marRight w:val="0"/>
          <w:marTop w:val="0"/>
          <w:marBottom w:val="0"/>
          <w:divBdr>
            <w:top w:val="none" w:sz="0" w:space="0" w:color="auto"/>
            <w:left w:val="none" w:sz="0" w:space="0" w:color="auto"/>
            <w:bottom w:val="none" w:sz="0" w:space="0" w:color="auto"/>
            <w:right w:val="none" w:sz="0" w:space="0" w:color="auto"/>
          </w:divBdr>
          <w:divsChild>
            <w:div w:id="279265758">
              <w:marLeft w:val="0"/>
              <w:marRight w:val="0"/>
              <w:marTop w:val="0"/>
              <w:marBottom w:val="0"/>
              <w:divBdr>
                <w:top w:val="none" w:sz="0" w:space="0" w:color="auto"/>
                <w:left w:val="none" w:sz="0" w:space="0" w:color="auto"/>
                <w:bottom w:val="none" w:sz="0" w:space="0" w:color="auto"/>
                <w:right w:val="none" w:sz="0" w:space="0" w:color="auto"/>
              </w:divBdr>
            </w:div>
          </w:divsChild>
        </w:div>
        <w:div w:id="259022078">
          <w:marLeft w:val="0"/>
          <w:marRight w:val="0"/>
          <w:marTop w:val="0"/>
          <w:marBottom w:val="0"/>
          <w:divBdr>
            <w:top w:val="none" w:sz="0" w:space="0" w:color="auto"/>
            <w:left w:val="none" w:sz="0" w:space="0" w:color="auto"/>
            <w:bottom w:val="none" w:sz="0" w:space="0" w:color="auto"/>
            <w:right w:val="none" w:sz="0" w:space="0" w:color="auto"/>
          </w:divBdr>
          <w:divsChild>
            <w:div w:id="339309390">
              <w:marLeft w:val="0"/>
              <w:marRight w:val="0"/>
              <w:marTop w:val="0"/>
              <w:marBottom w:val="0"/>
              <w:divBdr>
                <w:top w:val="none" w:sz="0" w:space="0" w:color="auto"/>
                <w:left w:val="none" w:sz="0" w:space="0" w:color="auto"/>
                <w:bottom w:val="none" w:sz="0" w:space="0" w:color="auto"/>
                <w:right w:val="none" w:sz="0" w:space="0" w:color="auto"/>
              </w:divBdr>
            </w:div>
          </w:divsChild>
        </w:div>
        <w:div w:id="292298881">
          <w:marLeft w:val="0"/>
          <w:marRight w:val="0"/>
          <w:marTop w:val="0"/>
          <w:marBottom w:val="0"/>
          <w:divBdr>
            <w:top w:val="none" w:sz="0" w:space="0" w:color="auto"/>
            <w:left w:val="none" w:sz="0" w:space="0" w:color="auto"/>
            <w:bottom w:val="none" w:sz="0" w:space="0" w:color="auto"/>
            <w:right w:val="none" w:sz="0" w:space="0" w:color="auto"/>
          </w:divBdr>
          <w:divsChild>
            <w:div w:id="1159924343">
              <w:marLeft w:val="0"/>
              <w:marRight w:val="0"/>
              <w:marTop w:val="0"/>
              <w:marBottom w:val="0"/>
              <w:divBdr>
                <w:top w:val="none" w:sz="0" w:space="0" w:color="auto"/>
                <w:left w:val="none" w:sz="0" w:space="0" w:color="auto"/>
                <w:bottom w:val="none" w:sz="0" w:space="0" w:color="auto"/>
                <w:right w:val="none" w:sz="0" w:space="0" w:color="auto"/>
              </w:divBdr>
            </w:div>
          </w:divsChild>
        </w:div>
        <w:div w:id="381175530">
          <w:marLeft w:val="0"/>
          <w:marRight w:val="0"/>
          <w:marTop w:val="0"/>
          <w:marBottom w:val="0"/>
          <w:divBdr>
            <w:top w:val="none" w:sz="0" w:space="0" w:color="auto"/>
            <w:left w:val="none" w:sz="0" w:space="0" w:color="auto"/>
            <w:bottom w:val="none" w:sz="0" w:space="0" w:color="auto"/>
            <w:right w:val="none" w:sz="0" w:space="0" w:color="auto"/>
          </w:divBdr>
          <w:divsChild>
            <w:div w:id="1799833679">
              <w:marLeft w:val="0"/>
              <w:marRight w:val="0"/>
              <w:marTop w:val="0"/>
              <w:marBottom w:val="0"/>
              <w:divBdr>
                <w:top w:val="none" w:sz="0" w:space="0" w:color="auto"/>
                <w:left w:val="none" w:sz="0" w:space="0" w:color="auto"/>
                <w:bottom w:val="none" w:sz="0" w:space="0" w:color="auto"/>
                <w:right w:val="none" w:sz="0" w:space="0" w:color="auto"/>
              </w:divBdr>
            </w:div>
          </w:divsChild>
        </w:div>
        <w:div w:id="416176260">
          <w:marLeft w:val="0"/>
          <w:marRight w:val="0"/>
          <w:marTop w:val="0"/>
          <w:marBottom w:val="0"/>
          <w:divBdr>
            <w:top w:val="none" w:sz="0" w:space="0" w:color="auto"/>
            <w:left w:val="none" w:sz="0" w:space="0" w:color="auto"/>
            <w:bottom w:val="none" w:sz="0" w:space="0" w:color="auto"/>
            <w:right w:val="none" w:sz="0" w:space="0" w:color="auto"/>
          </w:divBdr>
          <w:divsChild>
            <w:div w:id="1657302755">
              <w:marLeft w:val="0"/>
              <w:marRight w:val="0"/>
              <w:marTop w:val="0"/>
              <w:marBottom w:val="0"/>
              <w:divBdr>
                <w:top w:val="none" w:sz="0" w:space="0" w:color="auto"/>
                <w:left w:val="none" w:sz="0" w:space="0" w:color="auto"/>
                <w:bottom w:val="none" w:sz="0" w:space="0" w:color="auto"/>
                <w:right w:val="none" w:sz="0" w:space="0" w:color="auto"/>
              </w:divBdr>
            </w:div>
          </w:divsChild>
        </w:div>
        <w:div w:id="416905772">
          <w:marLeft w:val="0"/>
          <w:marRight w:val="0"/>
          <w:marTop w:val="0"/>
          <w:marBottom w:val="0"/>
          <w:divBdr>
            <w:top w:val="none" w:sz="0" w:space="0" w:color="auto"/>
            <w:left w:val="none" w:sz="0" w:space="0" w:color="auto"/>
            <w:bottom w:val="none" w:sz="0" w:space="0" w:color="auto"/>
            <w:right w:val="none" w:sz="0" w:space="0" w:color="auto"/>
          </w:divBdr>
          <w:divsChild>
            <w:div w:id="969944862">
              <w:marLeft w:val="0"/>
              <w:marRight w:val="0"/>
              <w:marTop w:val="0"/>
              <w:marBottom w:val="0"/>
              <w:divBdr>
                <w:top w:val="none" w:sz="0" w:space="0" w:color="auto"/>
                <w:left w:val="none" w:sz="0" w:space="0" w:color="auto"/>
                <w:bottom w:val="none" w:sz="0" w:space="0" w:color="auto"/>
                <w:right w:val="none" w:sz="0" w:space="0" w:color="auto"/>
              </w:divBdr>
            </w:div>
          </w:divsChild>
        </w:div>
        <w:div w:id="463617851">
          <w:marLeft w:val="0"/>
          <w:marRight w:val="0"/>
          <w:marTop w:val="0"/>
          <w:marBottom w:val="0"/>
          <w:divBdr>
            <w:top w:val="none" w:sz="0" w:space="0" w:color="auto"/>
            <w:left w:val="none" w:sz="0" w:space="0" w:color="auto"/>
            <w:bottom w:val="none" w:sz="0" w:space="0" w:color="auto"/>
            <w:right w:val="none" w:sz="0" w:space="0" w:color="auto"/>
          </w:divBdr>
          <w:divsChild>
            <w:div w:id="1021782053">
              <w:marLeft w:val="0"/>
              <w:marRight w:val="0"/>
              <w:marTop w:val="0"/>
              <w:marBottom w:val="0"/>
              <w:divBdr>
                <w:top w:val="none" w:sz="0" w:space="0" w:color="auto"/>
                <w:left w:val="none" w:sz="0" w:space="0" w:color="auto"/>
                <w:bottom w:val="none" w:sz="0" w:space="0" w:color="auto"/>
                <w:right w:val="none" w:sz="0" w:space="0" w:color="auto"/>
              </w:divBdr>
            </w:div>
          </w:divsChild>
        </w:div>
        <w:div w:id="481000863">
          <w:marLeft w:val="0"/>
          <w:marRight w:val="0"/>
          <w:marTop w:val="0"/>
          <w:marBottom w:val="0"/>
          <w:divBdr>
            <w:top w:val="none" w:sz="0" w:space="0" w:color="auto"/>
            <w:left w:val="none" w:sz="0" w:space="0" w:color="auto"/>
            <w:bottom w:val="none" w:sz="0" w:space="0" w:color="auto"/>
            <w:right w:val="none" w:sz="0" w:space="0" w:color="auto"/>
          </w:divBdr>
          <w:divsChild>
            <w:div w:id="33043143">
              <w:marLeft w:val="0"/>
              <w:marRight w:val="0"/>
              <w:marTop w:val="0"/>
              <w:marBottom w:val="0"/>
              <w:divBdr>
                <w:top w:val="none" w:sz="0" w:space="0" w:color="auto"/>
                <w:left w:val="none" w:sz="0" w:space="0" w:color="auto"/>
                <w:bottom w:val="none" w:sz="0" w:space="0" w:color="auto"/>
                <w:right w:val="none" w:sz="0" w:space="0" w:color="auto"/>
              </w:divBdr>
            </w:div>
          </w:divsChild>
        </w:div>
        <w:div w:id="492916174">
          <w:marLeft w:val="0"/>
          <w:marRight w:val="0"/>
          <w:marTop w:val="0"/>
          <w:marBottom w:val="0"/>
          <w:divBdr>
            <w:top w:val="none" w:sz="0" w:space="0" w:color="auto"/>
            <w:left w:val="none" w:sz="0" w:space="0" w:color="auto"/>
            <w:bottom w:val="none" w:sz="0" w:space="0" w:color="auto"/>
            <w:right w:val="none" w:sz="0" w:space="0" w:color="auto"/>
          </w:divBdr>
          <w:divsChild>
            <w:div w:id="1963294466">
              <w:marLeft w:val="0"/>
              <w:marRight w:val="0"/>
              <w:marTop w:val="0"/>
              <w:marBottom w:val="0"/>
              <w:divBdr>
                <w:top w:val="none" w:sz="0" w:space="0" w:color="auto"/>
                <w:left w:val="none" w:sz="0" w:space="0" w:color="auto"/>
                <w:bottom w:val="none" w:sz="0" w:space="0" w:color="auto"/>
                <w:right w:val="none" w:sz="0" w:space="0" w:color="auto"/>
              </w:divBdr>
            </w:div>
          </w:divsChild>
        </w:div>
        <w:div w:id="500126572">
          <w:marLeft w:val="0"/>
          <w:marRight w:val="0"/>
          <w:marTop w:val="0"/>
          <w:marBottom w:val="0"/>
          <w:divBdr>
            <w:top w:val="none" w:sz="0" w:space="0" w:color="auto"/>
            <w:left w:val="none" w:sz="0" w:space="0" w:color="auto"/>
            <w:bottom w:val="none" w:sz="0" w:space="0" w:color="auto"/>
            <w:right w:val="none" w:sz="0" w:space="0" w:color="auto"/>
          </w:divBdr>
          <w:divsChild>
            <w:div w:id="1341733619">
              <w:marLeft w:val="0"/>
              <w:marRight w:val="0"/>
              <w:marTop w:val="0"/>
              <w:marBottom w:val="0"/>
              <w:divBdr>
                <w:top w:val="none" w:sz="0" w:space="0" w:color="auto"/>
                <w:left w:val="none" w:sz="0" w:space="0" w:color="auto"/>
                <w:bottom w:val="none" w:sz="0" w:space="0" w:color="auto"/>
                <w:right w:val="none" w:sz="0" w:space="0" w:color="auto"/>
              </w:divBdr>
            </w:div>
          </w:divsChild>
        </w:div>
        <w:div w:id="511603947">
          <w:marLeft w:val="0"/>
          <w:marRight w:val="0"/>
          <w:marTop w:val="0"/>
          <w:marBottom w:val="0"/>
          <w:divBdr>
            <w:top w:val="none" w:sz="0" w:space="0" w:color="auto"/>
            <w:left w:val="none" w:sz="0" w:space="0" w:color="auto"/>
            <w:bottom w:val="none" w:sz="0" w:space="0" w:color="auto"/>
            <w:right w:val="none" w:sz="0" w:space="0" w:color="auto"/>
          </w:divBdr>
          <w:divsChild>
            <w:div w:id="1941178219">
              <w:marLeft w:val="0"/>
              <w:marRight w:val="0"/>
              <w:marTop w:val="0"/>
              <w:marBottom w:val="0"/>
              <w:divBdr>
                <w:top w:val="none" w:sz="0" w:space="0" w:color="auto"/>
                <w:left w:val="none" w:sz="0" w:space="0" w:color="auto"/>
                <w:bottom w:val="none" w:sz="0" w:space="0" w:color="auto"/>
                <w:right w:val="none" w:sz="0" w:space="0" w:color="auto"/>
              </w:divBdr>
            </w:div>
          </w:divsChild>
        </w:div>
        <w:div w:id="641345677">
          <w:marLeft w:val="0"/>
          <w:marRight w:val="0"/>
          <w:marTop w:val="0"/>
          <w:marBottom w:val="0"/>
          <w:divBdr>
            <w:top w:val="none" w:sz="0" w:space="0" w:color="auto"/>
            <w:left w:val="none" w:sz="0" w:space="0" w:color="auto"/>
            <w:bottom w:val="none" w:sz="0" w:space="0" w:color="auto"/>
            <w:right w:val="none" w:sz="0" w:space="0" w:color="auto"/>
          </w:divBdr>
          <w:divsChild>
            <w:div w:id="555972577">
              <w:marLeft w:val="0"/>
              <w:marRight w:val="0"/>
              <w:marTop w:val="0"/>
              <w:marBottom w:val="0"/>
              <w:divBdr>
                <w:top w:val="none" w:sz="0" w:space="0" w:color="auto"/>
                <w:left w:val="none" w:sz="0" w:space="0" w:color="auto"/>
                <w:bottom w:val="none" w:sz="0" w:space="0" w:color="auto"/>
                <w:right w:val="none" w:sz="0" w:space="0" w:color="auto"/>
              </w:divBdr>
            </w:div>
          </w:divsChild>
        </w:div>
        <w:div w:id="686443065">
          <w:marLeft w:val="0"/>
          <w:marRight w:val="0"/>
          <w:marTop w:val="0"/>
          <w:marBottom w:val="0"/>
          <w:divBdr>
            <w:top w:val="none" w:sz="0" w:space="0" w:color="auto"/>
            <w:left w:val="none" w:sz="0" w:space="0" w:color="auto"/>
            <w:bottom w:val="none" w:sz="0" w:space="0" w:color="auto"/>
            <w:right w:val="none" w:sz="0" w:space="0" w:color="auto"/>
          </w:divBdr>
          <w:divsChild>
            <w:div w:id="1449854157">
              <w:marLeft w:val="0"/>
              <w:marRight w:val="0"/>
              <w:marTop w:val="0"/>
              <w:marBottom w:val="0"/>
              <w:divBdr>
                <w:top w:val="none" w:sz="0" w:space="0" w:color="auto"/>
                <w:left w:val="none" w:sz="0" w:space="0" w:color="auto"/>
                <w:bottom w:val="none" w:sz="0" w:space="0" w:color="auto"/>
                <w:right w:val="none" w:sz="0" w:space="0" w:color="auto"/>
              </w:divBdr>
            </w:div>
          </w:divsChild>
        </w:div>
        <w:div w:id="688993286">
          <w:marLeft w:val="0"/>
          <w:marRight w:val="0"/>
          <w:marTop w:val="0"/>
          <w:marBottom w:val="0"/>
          <w:divBdr>
            <w:top w:val="none" w:sz="0" w:space="0" w:color="auto"/>
            <w:left w:val="none" w:sz="0" w:space="0" w:color="auto"/>
            <w:bottom w:val="none" w:sz="0" w:space="0" w:color="auto"/>
            <w:right w:val="none" w:sz="0" w:space="0" w:color="auto"/>
          </w:divBdr>
          <w:divsChild>
            <w:div w:id="1365788388">
              <w:marLeft w:val="0"/>
              <w:marRight w:val="0"/>
              <w:marTop w:val="0"/>
              <w:marBottom w:val="0"/>
              <w:divBdr>
                <w:top w:val="none" w:sz="0" w:space="0" w:color="auto"/>
                <w:left w:val="none" w:sz="0" w:space="0" w:color="auto"/>
                <w:bottom w:val="none" w:sz="0" w:space="0" w:color="auto"/>
                <w:right w:val="none" w:sz="0" w:space="0" w:color="auto"/>
              </w:divBdr>
            </w:div>
          </w:divsChild>
        </w:div>
        <w:div w:id="721173244">
          <w:marLeft w:val="0"/>
          <w:marRight w:val="0"/>
          <w:marTop w:val="0"/>
          <w:marBottom w:val="0"/>
          <w:divBdr>
            <w:top w:val="none" w:sz="0" w:space="0" w:color="auto"/>
            <w:left w:val="none" w:sz="0" w:space="0" w:color="auto"/>
            <w:bottom w:val="none" w:sz="0" w:space="0" w:color="auto"/>
            <w:right w:val="none" w:sz="0" w:space="0" w:color="auto"/>
          </w:divBdr>
          <w:divsChild>
            <w:div w:id="1684546897">
              <w:marLeft w:val="0"/>
              <w:marRight w:val="0"/>
              <w:marTop w:val="0"/>
              <w:marBottom w:val="0"/>
              <w:divBdr>
                <w:top w:val="none" w:sz="0" w:space="0" w:color="auto"/>
                <w:left w:val="none" w:sz="0" w:space="0" w:color="auto"/>
                <w:bottom w:val="none" w:sz="0" w:space="0" w:color="auto"/>
                <w:right w:val="none" w:sz="0" w:space="0" w:color="auto"/>
              </w:divBdr>
            </w:div>
          </w:divsChild>
        </w:div>
        <w:div w:id="722632221">
          <w:marLeft w:val="0"/>
          <w:marRight w:val="0"/>
          <w:marTop w:val="0"/>
          <w:marBottom w:val="0"/>
          <w:divBdr>
            <w:top w:val="none" w:sz="0" w:space="0" w:color="auto"/>
            <w:left w:val="none" w:sz="0" w:space="0" w:color="auto"/>
            <w:bottom w:val="none" w:sz="0" w:space="0" w:color="auto"/>
            <w:right w:val="none" w:sz="0" w:space="0" w:color="auto"/>
          </w:divBdr>
          <w:divsChild>
            <w:div w:id="916477335">
              <w:marLeft w:val="0"/>
              <w:marRight w:val="0"/>
              <w:marTop w:val="0"/>
              <w:marBottom w:val="0"/>
              <w:divBdr>
                <w:top w:val="none" w:sz="0" w:space="0" w:color="auto"/>
                <w:left w:val="none" w:sz="0" w:space="0" w:color="auto"/>
                <w:bottom w:val="none" w:sz="0" w:space="0" w:color="auto"/>
                <w:right w:val="none" w:sz="0" w:space="0" w:color="auto"/>
              </w:divBdr>
            </w:div>
          </w:divsChild>
        </w:div>
        <w:div w:id="750855667">
          <w:marLeft w:val="0"/>
          <w:marRight w:val="0"/>
          <w:marTop w:val="0"/>
          <w:marBottom w:val="0"/>
          <w:divBdr>
            <w:top w:val="none" w:sz="0" w:space="0" w:color="auto"/>
            <w:left w:val="none" w:sz="0" w:space="0" w:color="auto"/>
            <w:bottom w:val="none" w:sz="0" w:space="0" w:color="auto"/>
            <w:right w:val="none" w:sz="0" w:space="0" w:color="auto"/>
          </w:divBdr>
          <w:divsChild>
            <w:div w:id="786044637">
              <w:marLeft w:val="0"/>
              <w:marRight w:val="0"/>
              <w:marTop w:val="0"/>
              <w:marBottom w:val="0"/>
              <w:divBdr>
                <w:top w:val="none" w:sz="0" w:space="0" w:color="auto"/>
                <w:left w:val="none" w:sz="0" w:space="0" w:color="auto"/>
                <w:bottom w:val="none" w:sz="0" w:space="0" w:color="auto"/>
                <w:right w:val="none" w:sz="0" w:space="0" w:color="auto"/>
              </w:divBdr>
            </w:div>
          </w:divsChild>
        </w:div>
        <w:div w:id="772945323">
          <w:marLeft w:val="0"/>
          <w:marRight w:val="0"/>
          <w:marTop w:val="0"/>
          <w:marBottom w:val="0"/>
          <w:divBdr>
            <w:top w:val="none" w:sz="0" w:space="0" w:color="auto"/>
            <w:left w:val="none" w:sz="0" w:space="0" w:color="auto"/>
            <w:bottom w:val="none" w:sz="0" w:space="0" w:color="auto"/>
            <w:right w:val="none" w:sz="0" w:space="0" w:color="auto"/>
          </w:divBdr>
          <w:divsChild>
            <w:div w:id="1281689558">
              <w:marLeft w:val="0"/>
              <w:marRight w:val="0"/>
              <w:marTop w:val="0"/>
              <w:marBottom w:val="0"/>
              <w:divBdr>
                <w:top w:val="none" w:sz="0" w:space="0" w:color="auto"/>
                <w:left w:val="none" w:sz="0" w:space="0" w:color="auto"/>
                <w:bottom w:val="none" w:sz="0" w:space="0" w:color="auto"/>
                <w:right w:val="none" w:sz="0" w:space="0" w:color="auto"/>
              </w:divBdr>
            </w:div>
          </w:divsChild>
        </w:div>
        <w:div w:id="785542609">
          <w:marLeft w:val="0"/>
          <w:marRight w:val="0"/>
          <w:marTop w:val="0"/>
          <w:marBottom w:val="0"/>
          <w:divBdr>
            <w:top w:val="none" w:sz="0" w:space="0" w:color="auto"/>
            <w:left w:val="none" w:sz="0" w:space="0" w:color="auto"/>
            <w:bottom w:val="none" w:sz="0" w:space="0" w:color="auto"/>
            <w:right w:val="none" w:sz="0" w:space="0" w:color="auto"/>
          </w:divBdr>
          <w:divsChild>
            <w:div w:id="2116050985">
              <w:marLeft w:val="0"/>
              <w:marRight w:val="0"/>
              <w:marTop w:val="0"/>
              <w:marBottom w:val="0"/>
              <w:divBdr>
                <w:top w:val="none" w:sz="0" w:space="0" w:color="auto"/>
                <w:left w:val="none" w:sz="0" w:space="0" w:color="auto"/>
                <w:bottom w:val="none" w:sz="0" w:space="0" w:color="auto"/>
                <w:right w:val="none" w:sz="0" w:space="0" w:color="auto"/>
              </w:divBdr>
            </w:div>
          </w:divsChild>
        </w:div>
        <w:div w:id="804466522">
          <w:marLeft w:val="0"/>
          <w:marRight w:val="0"/>
          <w:marTop w:val="0"/>
          <w:marBottom w:val="0"/>
          <w:divBdr>
            <w:top w:val="none" w:sz="0" w:space="0" w:color="auto"/>
            <w:left w:val="none" w:sz="0" w:space="0" w:color="auto"/>
            <w:bottom w:val="none" w:sz="0" w:space="0" w:color="auto"/>
            <w:right w:val="none" w:sz="0" w:space="0" w:color="auto"/>
          </w:divBdr>
          <w:divsChild>
            <w:div w:id="1908414904">
              <w:marLeft w:val="0"/>
              <w:marRight w:val="0"/>
              <w:marTop w:val="0"/>
              <w:marBottom w:val="0"/>
              <w:divBdr>
                <w:top w:val="none" w:sz="0" w:space="0" w:color="auto"/>
                <w:left w:val="none" w:sz="0" w:space="0" w:color="auto"/>
                <w:bottom w:val="none" w:sz="0" w:space="0" w:color="auto"/>
                <w:right w:val="none" w:sz="0" w:space="0" w:color="auto"/>
              </w:divBdr>
            </w:div>
          </w:divsChild>
        </w:div>
        <w:div w:id="822281820">
          <w:marLeft w:val="0"/>
          <w:marRight w:val="0"/>
          <w:marTop w:val="0"/>
          <w:marBottom w:val="0"/>
          <w:divBdr>
            <w:top w:val="none" w:sz="0" w:space="0" w:color="auto"/>
            <w:left w:val="none" w:sz="0" w:space="0" w:color="auto"/>
            <w:bottom w:val="none" w:sz="0" w:space="0" w:color="auto"/>
            <w:right w:val="none" w:sz="0" w:space="0" w:color="auto"/>
          </w:divBdr>
          <w:divsChild>
            <w:div w:id="566259284">
              <w:marLeft w:val="0"/>
              <w:marRight w:val="0"/>
              <w:marTop w:val="0"/>
              <w:marBottom w:val="0"/>
              <w:divBdr>
                <w:top w:val="none" w:sz="0" w:space="0" w:color="auto"/>
                <w:left w:val="none" w:sz="0" w:space="0" w:color="auto"/>
                <w:bottom w:val="none" w:sz="0" w:space="0" w:color="auto"/>
                <w:right w:val="none" w:sz="0" w:space="0" w:color="auto"/>
              </w:divBdr>
            </w:div>
          </w:divsChild>
        </w:div>
        <w:div w:id="857543813">
          <w:marLeft w:val="0"/>
          <w:marRight w:val="0"/>
          <w:marTop w:val="0"/>
          <w:marBottom w:val="0"/>
          <w:divBdr>
            <w:top w:val="none" w:sz="0" w:space="0" w:color="auto"/>
            <w:left w:val="none" w:sz="0" w:space="0" w:color="auto"/>
            <w:bottom w:val="none" w:sz="0" w:space="0" w:color="auto"/>
            <w:right w:val="none" w:sz="0" w:space="0" w:color="auto"/>
          </w:divBdr>
          <w:divsChild>
            <w:div w:id="2077900085">
              <w:marLeft w:val="0"/>
              <w:marRight w:val="0"/>
              <w:marTop w:val="0"/>
              <w:marBottom w:val="0"/>
              <w:divBdr>
                <w:top w:val="none" w:sz="0" w:space="0" w:color="auto"/>
                <w:left w:val="none" w:sz="0" w:space="0" w:color="auto"/>
                <w:bottom w:val="none" w:sz="0" w:space="0" w:color="auto"/>
                <w:right w:val="none" w:sz="0" w:space="0" w:color="auto"/>
              </w:divBdr>
            </w:div>
          </w:divsChild>
        </w:div>
        <w:div w:id="866715425">
          <w:marLeft w:val="0"/>
          <w:marRight w:val="0"/>
          <w:marTop w:val="0"/>
          <w:marBottom w:val="0"/>
          <w:divBdr>
            <w:top w:val="none" w:sz="0" w:space="0" w:color="auto"/>
            <w:left w:val="none" w:sz="0" w:space="0" w:color="auto"/>
            <w:bottom w:val="none" w:sz="0" w:space="0" w:color="auto"/>
            <w:right w:val="none" w:sz="0" w:space="0" w:color="auto"/>
          </w:divBdr>
          <w:divsChild>
            <w:div w:id="2051687550">
              <w:marLeft w:val="0"/>
              <w:marRight w:val="0"/>
              <w:marTop w:val="0"/>
              <w:marBottom w:val="0"/>
              <w:divBdr>
                <w:top w:val="none" w:sz="0" w:space="0" w:color="auto"/>
                <w:left w:val="none" w:sz="0" w:space="0" w:color="auto"/>
                <w:bottom w:val="none" w:sz="0" w:space="0" w:color="auto"/>
                <w:right w:val="none" w:sz="0" w:space="0" w:color="auto"/>
              </w:divBdr>
            </w:div>
          </w:divsChild>
        </w:div>
        <w:div w:id="893782501">
          <w:marLeft w:val="0"/>
          <w:marRight w:val="0"/>
          <w:marTop w:val="0"/>
          <w:marBottom w:val="0"/>
          <w:divBdr>
            <w:top w:val="none" w:sz="0" w:space="0" w:color="auto"/>
            <w:left w:val="none" w:sz="0" w:space="0" w:color="auto"/>
            <w:bottom w:val="none" w:sz="0" w:space="0" w:color="auto"/>
            <w:right w:val="none" w:sz="0" w:space="0" w:color="auto"/>
          </w:divBdr>
          <w:divsChild>
            <w:div w:id="1096830189">
              <w:marLeft w:val="0"/>
              <w:marRight w:val="0"/>
              <w:marTop w:val="0"/>
              <w:marBottom w:val="0"/>
              <w:divBdr>
                <w:top w:val="none" w:sz="0" w:space="0" w:color="auto"/>
                <w:left w:val="none" w:sz="0" w:space="0" w:color="auto"/>
                <w:bottom w:val="none" w:sz="0" w:space="0" w:color="auto"/>
                <w:right w:val="none" w:sz="0" w:space="0" w:color="auto"/>
              </w:divBdr>
            </w:div>
          </w:divsChild>
        </w:div>
        <w:div w:id="899900326">
          <w:marLeft w:val="0"/>
          <w:marRight w:val="0"/>
          <w:marTop w:val="0"/>
          <w:marBottom w:val="0"/>
          <w:divBdr>
            <w:top w:val="none" w:sz="0" w:space="0" w:color="auto"/>
            <w:left w:val="none" w:sz="0" w:space="0" w:color="auto"/>
            <w:bottom w:val="none" w:sz="0" w:space="0" w:color="auto"/>
            <w:right w:val="none" w:sz="0" w:space="0" w:color="auto"/>
          </w:divBdr>
          <w:divsChild>
            <w:div w:id="283780503">
              <w:marLeft w:val="0"/>
              <w:marRight w:val="0"/>
              <w:marTop w:val="0"/>
              <w:marBottom w:val="0"/>
              <w:divBdr>
                <w:top w:val="none" w:sz="0" w:space="0" w:color="auto"/>
                <w:left w:val="none" w:sz="0" w:space="0" w:color="auto"/>
                <w:bottom w:val="none" w:sz="0" w:space="0" w:color="auto"/>
                <w:right w:val="none" w:sz="0" w:space="0" w:color="auto"/>
              </w:divBdr>
            </w:div>
          </w:divsChild>
        </w:div>
        <w:div w:id="909576148">
          <w:marLeft w:val="0"/>
          <w:marRight w:val="0"/>
          <w:marTop w:val="0"/>
          <w:marBottom w:val="0"/>
          <w:divBdr>
            <w:top w:val="none" w:sz="0" w:space="0" w:color="auto"/>
            <w:left w:val="none" w:sz="0" w:space="0" w:color="auto"/>
            <w:bottom w:val="none" w:sz="0" w:space="0" w:color="auto"/>
            <w:right w:val="none" w:sz="0" w:space="0" w:color="auto"/>
          </w:divBdr>
          <w:divsChild>
            <w:div w:id="795563793">
              <w:marLeft w:val="0"/>
              <w:marRight w:val="0"/>
              <w:marTop w:val="0"/>
              <w:marBottom w:val="0"/>
              <w:divBdr>
                <w:top w:val="none" w:sz="0" w:space="0" w:color="auto"/>
                <w:left w:val="none" w:sz="0" w:space="0" w:color="auto"/>
                <w:bottom w:val="none" w:sz="0" w:space="0" w:color="auto"/>
                <w:right w:val="none" w:sz="0" w:space="0" w:color="auto"/>
              </w:divBdr>
            </w:div>
          </w:divsChild>
        </w:div>
        <w:div w:id="927815216">
          <w:marLeft w:val="0"/>
          <w:marRight w:val="0"/>
          <w:marTop w:val="0"/>
          <w:marBottom w:val="0"/>
          <w:divBdr>
            <w:top w:val="none" w:sz="0" w:space="0" w:color="auto"/>
            <w:left w:val="none" w:sz="0" w:space="0" w:color="auto"/>
            <w:bottom w:val="none" w:sz="0" w:space="0" w:color="auto"/>
            <w:right w:val="none" w:sz="0" w:space="0" w:color="auto"/>
          </w:divBdr>
          <w:divsChild>
            <w:div w:id="1902054085">
              <w:marLeft w:val="0"/>
              <w:marRight w:val="0"/>
              <w:marTop w:val="0"/>
              <w:marBottom w:val="0"/>
              <w:divBdr>
                <w:top w:val="none" w:sz="0" w:space="0" w:color="auto"/>
                <w:left w:val="none" w:sz="0" w:space="0" w:color="auto"/>
                <w:bottom w:val="none" w:sz="0" w:space="0" w:color="auto"/>
                <w:right w:val="none" w:sz="0" w:space="0" w:color="auto"/>
              </w:divBdr>
            </w:div>
          </w:divsChild>
        </w:div>
        <w:div w:id="929121165">
          <w:marLeft w:val="0"/>
          <w:marRight w:val="0"/>
          <w:marTop w:val="0"/>
          <w:marBottom w:val="0"/>
          <w:divBdr>
            <w:top w:val="none" w:sz="0" w:space="0" w:color="auto"/>
            <w:left w:val="none" w:sz="0" w:space="0" w:color="auto"/>
            <w:bottom w:val="none" w:sz="0" w:space="0" w:color="auto"/>
            <w:right w:val="none" w:sz="0" w:space="0" w:color="auto"/>
          </w:divBdr>
          <w:divsChild>
            <w:div w:id="1402483230">
              <w:marLeft w:val="0"/>
              <w:marRight w:val="0"/>
              <w:marTop w:val="0"/>
              <w:marBottom w:val="0"/>
              <w:divBdr>
                <w:top w:val="none" w:sz="0" w:space="0" w:color="auto"/>
                <w:left w:val="none" w:sz="0" w:space="0" w:color="auto"/>
                <w:bottom w:val="none" w:sz="0" w:space="0" w:color="auto"/>
                <w:right w:val="none" w:sz="0" w:space="0" w:color="auto"/>
              </w:divBdr>
            </w:div>
          </w:divsChild>
        </w:div>
        <w:div w:id="949317756">
          <w:marLeft w:val="0"/>
          <w:marRight w:val="0"/>
          <w:marTop w:val="0"/>
          <w:marBottom w:val="0"/>
          <w:divBdr>
            <w:top w:val="none" w:sz="0" w:space="0" w:color="auto"/>
            <w:left w:val="none" w:sz="0" w:space="0" w:color="auto"/>
            <w:bottom w:val="none" w:sz="0" w:space="0" w:color="auto"/>
            <w:right w:val="none" w:sz="0" w:space="0" w:color="auto"/>
          </w:divBdr>
          <w:divsChild>
            <w:div w:id="963002264">
              <w:marLeft w:val="0"/>
              <w:marRight w:val="0"/>
              <w:marTop w:val="0"/>
              <w:marBottom w:val="0"/>
              <w:divBdr>
                <w:top w:val="none" w:sz="0" w:space="0" w:color="auto"/>
                <w:left w:val="none" w:sz="0" w:space="0" w:color="auto"/>
                <w:bottom w:val="none" w:sz="0" w:space="0" w:color="auto"/>
                <w:right w:val="none" w:sz="0" w:space="0" w:color="auto"/>
              </w:divBdr>
            </w:div>
          </w:divsChild>
        </w:div>
        <w:div w:id="983007051">
          <w:marLeft w:val="0"/>
          <w:marRight w:val="0"/>
          <w:marTop w:val="0"/>
          <w:marBottom w:val="0"/>
          <w:divBdr>
            <w:top w:val="none" w:sz="0" w:space="0" w:color="auto"/>
            <w:left w:val="none" w:sz="0" w:space="0" w:color="auto"/>
            <w:bottom w:val="none" w:sz="0" w:space="0" w:color="auto"/>
            <w:right w:val="none" w:sz="0" w:space="0" w:color="auto"/>
          </w:divBdr>
          <w:divsChild>
            <w:div w:id="1103459741">
              <w:marLeft w:val="0"/>
              <w:marRight w:val="0"/>
              <w:marTop w:val="0"/>
              <w:marBottom w:val="0"/>
              <w:divBdr>
                <w:top w:val="none" w:sz="0" w:space="0" w:color="auto"/>
                <w:left w:val="none" w:sz="0" w:space="0" w:color="auto"/>
                <w:bottom w:val="none" w:sz="0" w:space="0" w:color="auto"/>
                <w:right w:val="none" w:sz="0" w:space="0" w:color="auto"/>
              </w:divBdr>
            </w:div>
          </w:divsChild>
        </w:div>
        <w:div w:id="1002273592">
          <w:marLeft w:val="0"/>
          <w:marRight w:val="0"/>
          <w:marTop w:val="0"/>
          <w:marBottom w:val="0"/>
          <w:divBdr>
            <w:top w:val="none" w:sz="0" w:space="0" w:color="auto"/>
            <w:left w:val="none" w:sz="0" w:space="0" w:color="auto"/>
            <w:bottom w:val="none" w:sz="0" w:space="0" w:color="auto"/>
            <w:right w:val="none" w:sz="0" w:space="0" w:color="auto"/>
          </w:divBdr>
          <w:divsChild>
            <w:div w:id="2118326839">
              <w:marLeft w:val="0"/>
              <w:marRight w:val="0"/>
              <w:marTop w:val="0"/>
              <w:marBottom w:val="0"/>
              <w:divBdr>
                <w:top w:val="none" w:sz="0" w:space="0" w:color="auto"/>
                <w:left w:val="none" w:sz="0" w:space="0" w:color="auto"/>
                <w:bottom w:val="none" w:sz="0" w:space="0" w:color="auto"/>
                <w:right w:val="none" w:sz="0" w:space="0" w:color="auto"/>
              </w:divBdr>
            </w:div>
          </w:divsChild>
        </w:div>
        <w:div w:id="1018770382">
          <w:marLeft w:val="0"/>
          <w:marRight w:val="0"/>
          <w:marTop w:val="0"/>
          <w:marBottom w:val="0"/>
          <w:divBdr>
            <w:top w:val="none" w:sz="0" w:space="0" w:color="auto"/>
            <w:left w:val="none" w:sz="0" w:space="0" w:color="auto"/>
            <w:bottom w:val="none" w:sz="0" w:space="0" w:color="auto"/>
            <w:right w:val="none" w:sz="0" w:space="0" w:color="auto"/>
          </w:divBdr>
          <w:divsChild>
            <w:div w:id="656954752">
              <w:marLeft w:val="0"/>
              <w:marRight w:val="0"/>
              <w:marTop w:val="0"/>
              <w:marBottom w:val="0"/>
              <w:divBdr>
                <w:top w:val="none" w:sz="0" w:space="0" w:color="auto"/>
                <w:left w:val="none" w:sz="0" w:space="0" w:color="auto"/>
                <w:bottom w:val="none" w:sz="0" w:space="0" w:color="auto"/>
                <w:right w:val="none" w:sz="0" w:space="0" w:color="auto"/>
              </w:divBdr>
            </w:div>
          </w:divsChild>
        </w:div>
        <w:div w:id="1023825941">
          <w:marLeft w:val="0"/>
          <w:marRight w:val="0"/>
          <w:marTop w:val="0"/>
          <w:marBottom w:val="0"/>
          <w:divBdr>
            <w:top w:val="none" w:sz="0" w:space="0" w:color="auto"/>
            <w:left w:val="none" w:sz="0" w:space="0" w:color="auto"/>
            <w:bottom w:val="none" w:sz="0" w:space="0" w:color="auto"/>
            <w:right w:val="none" w:sz="0" w:space="0" w:color="auto"/>
          </w:divBdr>
          <w:divsChild>
            <w:div w:id="143746043">
              <w:marLeft w:val="0"/>
              <w:marRight w:val="0"/>
              <w:marTop w:val="0"/>
              <w:marBottom w:val="0"/>
              <w:divBdr>
                <w:top w:val="none" w:sz="0" w:space="0" w:color="auto"/>
                <w:left w:val="none" w:sz="0" w:space="0" w:color="auto"/>
                <w:bottom w:val="none" w:sz="0" w:space="0" w:color="auto"/>
                <w:right w:val="none" w:sz="0" w:space="0" w:color="auto"/>
              </w:divBdr>
            </w:div>
          </w:divsChild>
        </w:div>
        <w:div w:id="1040671693">
          <w:marLeft w:val="0"/>
          <w:marRight w:val="0"/>
          <w:marTop w:val="0"/>
          <w:marBottom w:val="0"/>
          <w:divBdr>
            <w:top w:val="none" w:sz="0" w:space="0" w:color="auto"/>
            <w:left w:val="none" w:sz="0" w:space="0" w:color="auto"/>
            <w:bottom w:val="none" w:sz="0" w:space="0" w:color="auto"/>
            <w:right w:val="none" w:sz="0" w:space="0" w:color="auto"/>
          </w:divBdr>
          <w:divsChild>
            <w:div w:id="869101998">
              <w:marLeft w:val="0"/>
              <w:marRight w:val="0"/>
              <w:marTop w:val="0"/>
              <w:marBottom w:val="0"/>
              <w:divBdr>
                <w:top w:val="none" w:sz="0" w:space="0" w:color="auto"/>
                <w:left w:val="none" w:sz="0" w:space="0" w:color="auto"/>
                <w:bottom w:val="none" w:sz="0" w:space="0" w:color="auto"/>
                <w:right w:val="none" w:sz="0" w:space="0" w:color="auto"/>
              </w:divBdr>
            </w:div>
          </w:divsChild>
        </w:div>
        <w:div w:id="1087114826">
          <w:marLeft w:val="0"/>
          <w:marRight w:val="0"/>
          <w:marTop w:val="0"/>
          <w:marBottom w:val="0"/>
          <w:divBdr>
            <w:top w:val="none" w:sz="0" w:space="0" w:color="auto"/>
            <w:left w:val="none" w:sz="0" w:space="0" w:color="auto"/>
            <w:bottom w:val="none" w:sz="0" w:space="0" w:color="auto"/>
            <w:right w:val="none" w:sz="0" w:space="0" w:color="auto"/>
          </w:divBdr>
          <w:divsChild>
            <w:div w:id="2014719031">
              <w:marLeft w:val="0"/>
              <w:marRight w:val="0"/>
              <w:marTop w:val="0"/>
              <w:marBottom w:val="0"/>
              <w:divBdr>
                <w:top w:val="none" w:sz="0" w:space="0" w:color="auto"/>
                <w:left w:val="none" w:sz="0" w:space="0" w:color="auto"/>
                <w:bottom w:val="none" w:sz="0" w:space="0" w:color="auto"/>
                <w:right w:val="none" w:sz="0" w:space="0" w:color="auto"/>
              </w:divBdr>
            </w:div>
          </w:divsChild>
        </w:div>
        <w:div w:id="1104837402">
          <w:marLeft w:val="0"/>
          <w:marRight w:val="0"/>
          <w:marTop w:val="0"/>
          <w:marBottom w:val="0"/>
          <w:divBdr>
            <w:top w:val="none" w:sz="0" w:space="0" w:color="auto"/>
            <w:left w:val="none" w:sz="0" w:space="0" w:color="auto"/>
            <w:bottom w:val="none" w:sz="0" w:space="0" w:color="auto"/>
            <w:right w:val="none" w:sz="0" w:space="0" w:color="auto"/>
          </w:divBdr>
          <w:divsChild>
            <w:div w:id="262425604">
              <w:marLeft w:val="0"/>
              <w:marRight w:val="0"/>
              <w:marTop w:val="0"/>
              <w:marBottom w:val="0"/>
              <w:divBdr>
                <w:top w:val="none" w:sz="0" w:space="0" w:color="auto"/>
                <w:left w:val="none" w:sz="0" w:space="0" w:color="auto"/>
                <w:bottom w:val="none" w:sz="0" w:space="0" w:color="auto"/>
                <w:right w:val="none" w:sz="0" w:space="0" w:color="auto"/>
              </w:divBdr>
            </w:div>
          </w:divsChild>
        </w:div>
        <w:div w:id="1136725289">
          <w:marLeft w:val="0"/>
          <w:marRight w:val="0"/>
          <w:marTop w:val="0"/>
          <w:marBottom w:val="0"/>
          <w:divBdr>
            <w:top w:val="none" w:sz="0" w:space="0" w:color="auto"/>
            <w:left w:val="none" w:sz="0" w:space="0" w:color="auto"/>
            <w:bottom w:val="none" w:sz="0" w:space="0" w:color="auto"/>
            <w:right w:val="none" w:sz="0" w:space="0" w:color="auto"/>
          </w:divBdr>
          <w:divsChild>
            <w:div w:id="1975867210">
              <w:marLeft w:val="0"/>
              <w:marRight w:val="0"/>
              <w:marTop w:val="0"/>
              <w:marBottom w:val="0"/>
              <w:divBdr>
                <w:top w:val="none" w:sz="0" w:space="0" w:color="auto"/>
                <w:left w:val="none" w:sz="0" w:space="0" w:color="auto"/>
                <w:bottom w:val="none" w:sz="0" w:space="0" w:color="auto"/>
                <w:right w:val="none" w:sz="0" w:space="0" w:color="auto"/>
              </w:divBdr>
            </w:div>
          </w:divsChild>
        </w:div>
        <w:div w:id="1149176387">
          <w:marLeft w:val="0"/>
          <w:marRight w:val="0"/>
          <w:marTop w:val="0"/>
          <w:marBottom w:val="0"/>
          <w:divBdr>
            <w:top w:val="none" w:sz="0" w:space="0" w:color="auto"/>
            <w:left w:val="none" w:sz="0" w:space="0" w:color="auto"/>
            <w:bottom w:val="none" w:sz="0" w:space="0" w:color="auto"/>
            <w:right w:val="none" w:sz="0" w:space="0" w:color="auto"/>
          </w:divBdr>
          <w:divsChild>
            <w:div w:id="855272070">
              <w:marLeft w:val="0"/>
              <w:marRight w:val="0"/>
              <w:marTop w:val="0"/>
              <w:marBottom w:val="0"/>
              <w:divBdr>
                <w:top w:val="none" w:sz="0" w:space="0" w:color="auto"/>
                <w:left w:val="none" w:sz="0" w:space="0" w:color="auto"/>
                <w:bottom w:val="none" w:sz="0" w:space="0" w:color="auto"/>
                <w:right w:val="none" w:sz="0" w:space="0" w:color="auto"/>
              </w:divBdr>
            </w:div>
          </w:divsChild>
        </w:div>
        <w:div w:id="1175455219">
          <w:marLeft w:val="0"/>
          <w:marRight w:val="0"/>
          <w:marTop w:val="0"/>
          <w:marBottom w:val="0"/>
          <w:divBdr>
            <w:top w:val="none" w:sz="0" w:space="0" w:color="auto"/>
            <w:left w:val="none" w:sz="0" w:space="0" w:color="auto"/>
            <w:bottom w:val="none" w:sz="0" w:space="0" w:color="auto"/>
            <w:right w:val="none" w:sz="0" w:space="0" w:color="auto"/>
          </w:divBdr>
          <w:divsChild>
            <w:div w:id="984164120">
              <w:marLeft w:val="0"/>
              <w:marRight w:val="0"/>
              <w:marTop w:val="0"/>
              <w:marBottom w:val="0"/>
              <w:divBdr>
                <w:top w:val="none" w:sz="0" w:space="0" w:color="auto"/>
                <w:left w:val="none" w:sz="0" w:space="0" w:color="auto"/>
                <w:bottom w:val="none" w:sz="0" w:space="0" w:color="auto"/>
                <w:right w:val="none" w:sz="0" w:space="0" w:color="auto"/>
              </w:divBdr>
            </w:div>
          </w:divsChild>
        </w:div>
        <w:div w:id="1187792328">
          <w:marLeft w:val="0"/>
          <w:marRight w:val="0"/>
          <w:marTop w:val="0"/>
          <w:marBottom w:val="0"/>
          <w:divBdr>
            <w:top w:val="none" w:sz="0" w:space="0" w:color="auto"/>
            <w:left w:val="none" w:sz="0" w:space="0" w:color="auto"/>
            <w:bottom w:val="none" w:sz="0" w:space="0" w:color="auto"/>
            <w:right w:val="none" w:sz="0" w:space="0" w:color="auto"/>
          </w:divBdr>
          <w:divsChild>
            <w:div w:id="1103182820">
              <w:marLeft w:val="0"/>
              <w:marRight w:val="0"/>
              <w:marTop w:val="0"/>
              <w:marBottom w:val="0"/>
              <w:divBdr>
                <w:top w:val="none" w:sz="0" w:space="0" w:color="auto"/>
                <w:left w:val="none" w:sz="0" w:space="0" w:color="auto"/>
                <w:bottom w:val="none" w:sz="0" w:space="0" w:color="auto"/>
                <w:right w:val="none" w:sz="0" w:space="0" w:color="auto"/>
              </w:divBdr>
            </w:div>
          </w:divsChild>
        </w:div>
        <w:div w:id="1199244101">
          <w:marLeft w:val="0"/>
          <w:marRight w:val="0"/>
          <w:marTop w:val="0"/>
          <w:marBottom w:val="0"/>
          <w:divBdr>
            <w:top w:val="none" w:sz="0" w:space="0" w:color="auto"/>
            <w:left w:val="none" w:sz="0" w:space="0" w:color="auto"/>
            <w:bottom w:val="none" w:sz="0" w:space="0" w:color="auto"/>
            <w:right w:val="none" w:sz="0" w:space="0" w:color="auto"/>
          </w:divBdr>
          <w:divsChild>
            <w:div w:id="1336297299">
              <w:marLeft w:val="0"/>
              <w:marRight w:val="0"/>
              <w:marTop w:val="0"/>
              <w:marBottom w:val="0"/>
              <w:divBdr>
                <w:top w:val="none" w:sz="0" w:space="0" w:color="auto"/>
                <w:left w:val="none" w:sz="0" w:space="0" w:color="auto"/>
                <w:bottom w:val="none" w:sz="0" w:space="0" w:color="auto"/>
                <w:right w:val="none" w:sz="0" w:space="0" w:color="auto"/>
              </w:divBdr>
            </w:div>
          </w:divsChild>
        </w:div>
        <w:div w:id="1216359397">
          <w:marLeft w:val="0"/>
          <w:marRight w:val="0"/>
          <w:marTop w:val="0"/>
          <w:marBottom w:val="0"/>
          <w:divBdr>
            <w:top w:val="none" w:sz="0" w:space="0" w:color="auto"/>
            <w:left w:val="none" w:sz="0" w:space="0" w:color="auto"/>
            <w:bottom w:val="none" w:sz="0" w:space="0" w:color="auto"/>
            <w:right w:val="none" w:sz="0" w:space="0" w:color="auto"/>
          </w:divBdr>
          <w:divsChild>
            <w:div w:id="1224875422">
              <w:marLeft w:val="0"/>
              <w:marRight w:val="0"/>
              <w:marTop w:val="0"/>
              <w:marBottom w:val="0"/>
              <w:divBdr>
                <w:top w:val="none" w:sz="0" w:space="0" w:color="auto"/>
                <w:left w:val="none" w:sz="0" w:space="0" w:color="auto"/>
                <w:bottom w:val="none" w:sz="0" w:space="0" w:color="auto"/>
                <w:right w:val="none" w:sz="0" w:space="0" w:color="auto"/>
              </w:divBdr>
            </w:div>
          </w:divsChild>
        </w:div>
        <w:div w:id="1242522346">
          <w:marLeft w:val="0"/>
          <w:marRight w:val="0"/>
          <w:marTop w:val="0"/>
          <w:marBottom w:val="0"/>
          <w:divBdr>
            <w:top w:val="none" w:sz="0" w:space="0" w:color="auto"/>
            <w:left w:val="none" w:sz="0" w:space="0" w:color="auto"/>
            <w:bottom w:val="none" w:sz="0" w:space="0" w:color="auto"/>
            <w:right w:val="none" w:sz="0" w:space="0" w:color="auto"/>
          </w:divBdr>
          <w:divsChild>
            <w:div w:id="220217160">
              <w:marLeft w:val="0"/>
              <w:marRight w:val="0"/>
              <w:marTop w:val="0"/>
              <w:marBottom w:val="0"/>
              <w:divBdr>
                <w:top w:val="none" w:sz="0" w:space="0" w:color="auto"/>
                <w:left w:val="none" w:sz="0" w:space="0" w:color="auto"/>
                <w:bottom w:val="none" w:sz="0" w:space="0" w:color="auto"/>
                <w:right w:val="none" w:sz="0" w:space="0" w:color="auto"/>
              </w:divBdr>
            </w:div>
          </w:divsChild>
        </w:div>
        <w:div w:id="1260676234">
          <w:marLeft w:val="0"/>
          <w:marRight w:val="0"/>
          <w:marTop w:val="0"/>
          <w:marBottom w:val="0"/>
          <w:divBdr>
            <w:top w:val="none" w:sz="0" w:space="0" w:color="auto"/>
            <w:left w:val="none" w:sz="0" w:space="0" w:color="auto"/>
            <w:bottom w:val="none" w:sz="0" w:space="0" w:color="auto"/>
            <w:right w:val="none" w:sz="0" w:space="0" w:color="auto"/>
          </w:divBdr>
          <w:divsChild>
            <w:div w:id="1421099792">
              <w:marLeft w:val="0"/>
              <w:marRight w:val="0"/>
              <w:marTop w:val="0"/>
              <w:marBottom w:val="0"/>
              <w:divBdr>
                <w:top w:val="none" w:sz="0" w:space="0" w:color="auto"/>
                <w:left w:val="none" w:sz="0" w:space="0" w:color="auto"/>
                <w:bottom w:val="none" w:sz="0" w:space="0" w:color="auto"/>
                <w:right w:val="none" w:sz="0" w:space="0" w:color="auto"/>
              </w:divBdr>
            </w:div>
          </w:divsChild>
        </w:div>
        <w:div w:id="1261521105">
          <w:marLeft w:val="0"/>
          <w:marRight w:val="0"/>
          <w:marTop w:val="0"/>
          <w:marBottom w:val="0"/>
          <w:divBdr>
            <w:top w:val="none" w:sz="0" w:space="0" w:color="auto"/>
            <w:left w:val="none" w:sz="0" w:space="0" w:color="auto"/>
            <w:bottom w:val="none" w:sz="0" w:space="0" w:color="auto"/>
            <w:right w:val="none" w:sz="0" w:space="0" w:color="auto"/>
          </w:divBdr>
          <w:divsChild>
            <w:div w:id="1870145450">
              <w:marLeft w:val="0"/>
              <w:marRight w:val="0"/>
              <w:marTop w:val="0"/>
              <w:marBottom w:val="0"/>
              <w:divBdr>
                <w:top w:val="none" w:sz="0" w:space="0" w:color="auto"/>
                <w:left w:val="none" w:sz="0" w:space="0" w:color="auto"/>
                <w:bottom w:val="none" w:sz="0" w:space="0" w:color="auto"/>
                <w:right w:val="none" w:sz="0" w:space="0" w:color="auto"/>
              </w:divBdr>
            </w:div>
          </w:divsChild>
        </w:div>
        <w:div w:id="1272739855">
          <w:marLeft w:val="0"/>
          <w:marRight w:val="0"/>
          <w:marTop w:val="0"/>
          <w:marBottom w:val="0"/>
          <w:divBdr>
            <w:top w:val="none" w:sz="0" w:space="0" w:color="auto"/>
            <w:left w:val="none" w:sz="0" w:space="0" w:color="auto"/>
            <w:bottom w:val="none" w:sz="0" w:space="0" w:color="auto"/>
            <w:right w:val="none" w:sz="0" w:space="0" w:color="auto"/>
          </w:divBdr>
          <w:divsChild>
            <w:div w:id="1482964978">
              <w:marLeft w:val="0"/>
              <w:marRight w:val="0"/>
              <w:marTop w:val="0"/>
              <w:marBottom w:val="0"/>
              <w:divBdr>
                <w:top w:val="none" w:sz="0" w:space="0" w:color="auto"/>
                <w:left w:val="none" w:sz="0" w:space="0" w:color="auto"/>
                <w:bottom w:val="none" w:sz="0" w:space="0" w:color="auto"/>
                <w:right w:val="none" w:sz="0" w:space="0" w:color="auto"/>
              </w:divBdr>
            </w:div>
          </w:divsChild>
        </w:div>
        <w:div w:id="1274169340">
          <w:marLeft w:val="0"/>
          <w:marRight w:val="0"/>
          <w:marTop w:val="0"/>
          <w:marBottom w:val="0"/>
          <w:divBdr>
            <w:top w:val="none" w:sz="0" w:space="0" w:color="auto"/>
            <w:left w:val="none" w:sz="0" w:space="0" w:color="auto"/>
            <w:bottom w:val="none" w:sz="0" w:space="0" w:color="auto"/>
            <w:right w:val="none" w:sz="0" w:space="0" w:color="auto"/>
          </w:divBdr>
          <w:divsChild>
            <w:div w:id="319623538">
              <w:marLeft w:val="0"/>
              <w:marRight w:val="0"/>
              <w:marTop w:val="0"/>
              <w:marBottom w:val="0"/>
              <w:divBdr>
                <w:top w:val="none" w:sz="0" w:space="0" w:color="auto"/>
                <w:left w:val="none" w:sz="0" w:space="0" w:color="auto"/>
                <w:bottom w:val="none" w:sz="0" w:space="0" w:color="auto"/>
                <w:right w:val="none" w:sz="0" w:space="0" w:color="auto"/>
              </w:divBdr>
            </w:div>
          </w:divsChild>
        </w:div>
        <w:div w:id="1283925553">
          <w:marLeft w:val="0"/>
          <w:marRight w:val="0"/>
          <w:marTop w:val="0"/>
          <w:marBottom w:val="0"/>
          <w:divBdr>
            <w:top w:val="none" w:sz="0" w:space="0" w:color="auto"/>
            <w:left w:val="none" w:sz="0" w:space="0" w:color="auto"/>
            <w:bottom w:val="none" w:sz="0" w:space="0" w:color="auto"/>
            <w:right w:val="none" w:sz="0" w:space="0" w:color="auto"/>
          </w:divBdr>
          <w:divsChild>
            <w:div w:id="1060716594">
              <w:marLeft w:val="0"/>
              <w:marRight w:val="0"/>
              <w:marTop w:val="0"/>
              <w:marBottom w:val="0"/>
              <w:divBdr>
                <w:top w:val="none" w:sz="0" w:space="0" w:color="auto"/>
                <w:left w:val="none" w:sz="0" w:space="0" w:color="auto"/>
                <w:bottom w:val="none" w:sz="0" w:space="0" w:color="auto"/>
                <w:right w:val="none" w:sz="0" w:space="0" w:color="auto"/>
              </w:divBdr>
            </w:div>
          </w:divsChild>
        </w:div>
        <w:div w:id="1306741941">
          <w:marLeft w:val="0"/>
          <w:marRight w:val="0"/>
          <w:marTop w:val="0"/>
          <w:marBottom w:val="0"/>
          <w:divBdr>
            <w:top w:val="none" w:sz="0" w:space="0" w:color="auto"/>
            <w:left w:val="none" w:sz="0" w:space="0" w:color="auto"/>
            <w:bottom w:val="none" w:sz="0" w:space="0" w:color="auto"/>
            <w:right w:val="none" w:sz="0" w:space="0" w:color="auto"/>
          </w:divBdr>
          <w:divsChild>
            <w:div w:id="1186871695">
              <w:marLeft w:val="0"/>
              <w:marRight w:val="0"/>
              <w:marTop w:val="0"/>
              <w:marBottom w:val="0"/>
              <w:divBdr>
                <w:top w:val="none" w:sz="0" w:space="0" w:color="auto"/>
                <w:left w:val="none" w:sz="0" w:space="0" w:color="auto"/>
                <w:bottom w:val="none" w:sz="0" w:space="0" w:color="auto"/>
                <w:right w:val="none" w:sz="0" w:space="0" w:color="auto"/>
              </w:divBdr>
            </w:div>
          </w:divsChild>
        </w:div>
        <w:div w:id="1338312079">
          <w:marLeft w:val="0"/>
          <w:marRight w:val="0"/>
          <w:marTop w:val="0"/>
          <w:marBottom w:val="0"/>
          <w:divBdr>
            <w:top w:val="none" w:sz="0" w:space="0" w:color="auto"/>
            <w:left w:val="none" w:sz="0" w:space="0" w:color="auto"/>
            <w:bottom w:val="none" w:sz="0" w:space="0" w:color="auto"/>
            <w:right w:val="none" w:sz="0" w:space="0" w:color="auto"/>
          </w:divBdr>
          <w:divsChild>
            <w:div w:id="238953903">
              <w:marLeft w:val="0"/>
              <w:marRight w:val="0"/>
              <w:marTop w:val="0"/>
              <w:marBottom w:val="0"/>
              <w:divBdr>
                <w:top w:val="none" w:sz="0" w:space="0" w:color="auto"/>
                <w:left w:val="none" w:sz="0" w:space="0" w:color="auto"/>
                <w:bottom w:val="none" w:sz="0" w:space="0" w:color="auto"/>
                <w:right w:val="none" w:sz="0" w:space="0" w:color="auto"/>
              </w:divBdr>
            </w:div>
          </w:divsChild>
        </w:div>
        <w:div w:id="1338458386">
          <w:marLeft w:val="0"/>
          <w:marRight w:val="0"/>
          <w:marTop w:val="0"/>
          <w:marBottom w:val="0"/>
          <w:divBdr>
            <w:top w:val="none" w:sz="0" w:space="0" w:color="auto"/>
            <w:left w:val="none" w:sz="0" w:space="0" w:color="auto"/>
            <w:bottom w:val="none" w:sz="0" w:space="0" w:color="auto"/>
            <w:right w:val="none" w:sz="0" w:space="0" w:color="auto"/>
          </w:divBdr>
          <w:divsChild>
            <w:div w:id="2085369418">
              <w:marLeft w:val="0"/>
              <w:marRight w:val="0"/>
              <w:marTop w:val="0"/>
              <w:marBottom w:val="0"/>
              <w:divBdr>
                <w:top w:val="none" w:sz="0" w:space="0" w:color="auto"/>
                <w:left w:val="none" w:sz="0" w:space="0" w:color="auto"/>
                <w:bottom w:val="none" w:sz="0" w:space="0" w:color="auto"/>
                <w:right w:val="none" w:sz="0" w:space="0" w:color="auto"/>
              </w:divBdr>
            </w:div>
          </w:divsChild>
        </w:div>
        <w:div w:id="1361011837">
          <w:marLeft w:val="0"/>
          <w:marRight w:val="0"/>
          <w:marTop w:val="0"/>
          <w:marBottom w:val="0"/>
          <w:divBdr>
            <w:top w:val="none" w:sz="0" w:space="0" w:color="auto"/>
            <w:left w:val="none" w:sz="0" w:space="0" w:color="auto"/>
            <w:bottom w:val="none" w:sz="0" w:space="0" w:color="auto"/>
            <w:right w:val="none" w:sz="0" w:space="0" w:color="auto"/>
          </w:divBdr>
          <w:divsChild>
            <w:div w:id="556867278">
              <w:marLeft w:val="0"/>
              <w:marRight w:val="0"/>
              <w:marTop w:val="0"/>
              <w:marBottom w:val="0"/>
              <w:divBdr>
                <w:top w:val="none" w:sz="0" w:space="0" w:color="auto"/>
                <w:left w:val="none" w:sz="0" w:space="0" w:color="auto"/>
                <w:bottom w:val="none" w:sz="0" w:space="0" w:color="auto"/>
                <w:right w:val="none" w:sz="0" w:space="0" w:color="auto"/>
              </w:divBdr>
            </w:div>
          </w:divsChild>
        </w:div>
        <w:div w:id="1364747012">
          <w:marLeft w:val="0"/>
          <w:marRight w:val="0"/>
          <w:marTop w:val="0"/>
          <w:marBottom w:val="0"/>
          <w:divBdr>
            <w:top w:val="none" w:sz="0" w:space="0" w:color="auto"/>
            <w:left w:val="none" w:sz="0" w:space="0" w:color="auto"/>
            <w:bottom w:val="none" w:sz="0" w:space="0" w:color="auto"/>
            <w:right w:val="none" w:sz="0" w:space="0" w:color="auto"/>
          </w:divBdr>
          <w:divsChild>
            <w:div w:id="1198547733">
              <w:marLeft w:val="0"/>
              <w:marRight w:val="0"/>
              <w:marTop w:val="0"/>
              <w:marBottom w:val="0"/>
              <w:divBdr>
                <w:top w:val="none" w:sz="0" w:space="0" w:color="auto"/>
                <w:left w:val="none" w:sz="0" w:space="0" w:color="auto"/>
                <w:bottom w:val="none" w:sz="0" w:space="0" w:color="auto"/>
                <w:right w:val="none" w:sz="0" w:space="0" w:color="auto"/>
              </w:divBdr>
            </w:div>
          </w:divsChild>
        </w:div>
        <w:div w:id="1385720258">
          <w:marLeft w:val="0"/>
          <w:marRight w:val="0"/>
          <w:marTop w:val="0"/>
          <w:marBottom w:val="0"/>
          <w:divBdr>
            <w:top w:val="none" w:sz="0" w:space="0" w:color="auto"/>
            <w:left w:val="none" w:sz="0" w:space="0" w:color="auto"/>
            <w:bottom w:val="none" w:sz="0" w:space="0" w:color="auto"/>
            <w:right w:val="none" w:sz="0" w:space="0" w:color="auto"/>
          </w:divBdr>
          <w:divsChild>
            <w:div w:id="1786339260">
              <w:marLeft w:val="0"/>
              <w:marRight w:val="0"/>
              <w:marTop w:val="0"/>
              <w:marBottom w:val="0"/>
              <w:divBdr>
                <w:top w:val="none" w:sz="0" w:space="0" w:color="auto"/>
                <w:left w:val="none" w:sz="0" w:space="0" w:color="auto"/>
                <w:bottom w:val="none" w:sz="0" w:space="0" w:color="auto"/>
                <w:right w:val="none" w:sz="0" w:space="0" w:color="auto"/>
              </w:divBdr>
            </w:div>
          </w:divsChild>
        </w:div>
        <w:div w:id="1425757953">
          <w:marLeft w:val="0"/>
          <w:marRight w:val="0"/>
          <w:marTop w:val="0"/>
          <w:marBottom w:val="0"/>
          <w:divBdr>
            <w:top w:val="none" w:sz="0" w:space="0" w:color="auto"/>
            <w:left w:val="none" w:sz="0" w:space="0" w:color="auto"/>
            <w:bottom w:val="none" w:sz="0" w:space="0" w:color="auto"/>
            <w:right w:val="none" w:sz="0" w:space="0" w:color="auto"/>
          </w:divBdr>
          <w:divsChild>
            <w:div w:id="771583129">
              <w:marLeft w:val="0"/>
              <w:marRight w:val="0"/>
              <w:marTop w:val="0"/>
              <w:marBottom w:val="0"/>
              <w:divBdr>
                <w:top w:val="none" w:sz="0" w:space="0" w:color="auto"/>
                <w:left w:val="none" w:sz="0" w:space="0" w:color="auto"/>
                <w:bottom w:val="none" w:sz="0" w:space="0" w:color="auto"/>
                <w:right w:val="none" w:sz="0" w:space="0" w:color="auto"/>
              </w:divBdr>
            </w:div>
          </w:divsChild>
        </w:div>
        <w:div w:id="1426464464">
          <w:marLeft w:val="0"/>
          <w:marRight w:val="0"/>
          <w:marTop w:val="0"/>
          <w:marBottom w:val="0"/>
          <w:divBdr>
            <w:top w:val="none" w:sz="0" w:space="0" w:color="auto"/>
            <w:left w:val="none" w:sz="0" w:space="0" w:color="auto"/>
            <w:bottom w:val="none" w:sz="0" w:space="0" w:color="auto"/>
            <w:right w:val="none" w:sz="0" w:space="0" w:color="auto"/>
          </w:divBdr>
          <w:divsChild>
            <w:div w:id="1583442390">
              <w:marLeft w:val="0"/>
              <w:marRight w:val="0"/>
              <w:marTop w:val="0"/>
              <w:marBottom w:val="0"/>
              <w:divBdr>
                <w:top w:val="none" w:sz="0" w:space="0" w:color="auto"/>
                <w:left w:val="none" w:sz="0" w:space="0" w:color="auto"/>
                <w:bottom w:val="none" w:sz="0" w:space="0" w:color="auto"/>
                <w:right w:val="none" w:sz="0" w:space="0" w:color="auto"/>
              </w:divBdr>
            </w:div>
          </w:divsChild>
        </w:div>
        <w:div w:id="1435444807">
          <w:marLeft w:val="0"/>
          <w:marRight w:val="0"/>
          <w:marTop w:val="0"/>
          <w:marBottom w:val="0"/>
          <w:divBdr>
            <w:top w:val="none" w:sz="0" w:space="0" w:color="auto"/>
            <w:left w:val="none" w:sz="0" w:space="0" w:color="auto"/>
            <w:bottom w:val="none" w:sz="0" w:space="0" w:color="auto"/>
            <w:right w:val="none" w:sz="0" w:space="0" w:color="auto"/>
          </w:divBdr>
          <w:divsChild>
            <w:div w:id="1656297592">
              <w:marLeft w:val="0"/>
              <w:marRight w:val="0"/>
              <w:marTop w:val="0"/>
              <w:marBottom w:val="0"/>
              <w:divBdr>
                <w:top w:val="none" w:sz="0" w:space="0" w:color="auto"/>
                <w:left w:val="none" w:sz="0" w:space="0" w:color="auto"/>
                <w:bottom w:val="none" w:sz="0" w:space="0" w:color="auto"/>
                <w:right w:val="none" w:sz="0" w:space="0" w:color="auto"/>
              </w:divBdr>
            </w:div>
          </w:divsChild>
        </w:div>
        <w:div w:id="1473671295">
          <w:marLeft w:val="0"/>
          <w:marRight w:val="0"/>
          <w:marTop w:val="0"/>
          <w:marBottom w:val="0"/>
          <w:divBdr>
            <w:top w:val="none" w:sz="0" w:space="0" w:color="auto"/>
            <w:left w:val="none" w:sz="0" w:space="0" w:color="auto"/>
            <w:bottom w:val="none" w:sz="0" w:space="0" w:color="auto"/>
            <w:right w:val="none" w:sz="0" w:space="0" w:color="auto"/>
          </w:divBdr>
          <w:divsChild>
            <w:div w:id="1421561527">
              <w:marLeft w:val="0"/>
              <w:marRight w:val="0"/>
              <w:marTop w:val="0"/>
              <w:marBottom w:val="0"/>
              <w:divBdr>
                <w:top w:val="none" w:sz="0" w:space="0" w:color="auto"/>
                <w:left w:val="none" w:sz="0" w:space="0" w:color="auto"/>
                <w:bottom w:val="none" w:sz="0" w:space="0" w:color="auto"/>
                <w:right w:val="none" w:sz="0" w:space="0" w:color="auto"/>
              </w:divBdr>
            </w:div>
          </w:divsChild>
        </w:div>
        <w:div w:id="1492714915">
          <w:marLeft w:val="0"/>
          <w:marRight w:val="0"/>
          <w:marTop w:val="0"/>
          <w:marBottom w:val="0"/>
          <w:divBdr>
            <w:top w:val="none" w:sz="0" w:space="0" w:color="auto"/>
            <w:left w:val="none" w:sz="0" w:space="0" w:color="auto"/>
            <w:bottom w:val="none" w:sz="0" w:space="0" w:color="auto"/>
            <w:right w:val="none" w:sz="0" w:space="0" w:color="auto"/>
          </w:divBdr>
          <w:divsChild>
            <w:div w:id="2083135502">
              <w:marLeft w:val="0"/>
              <w:marRight w:val="0"/>
              <w:marTop w:val="0"/>
              <w:marBottom w:val="0"/>
              <w:divBdr>
                <w:top w:val="none" w:sz="0" w:space="0" w:color="auto"/>
                <w:left w:val="none" w:sz="0" w:space="0" w:color="auto"/>
                <w:bottom w:val="none" w:sz="0" w:space="0" w:color="auto"/>
                <w:right w:val="none" w:sz="0" w:space="0" w:color="auto"/>
              </w:divBdr>
            </w:div>
          </w:divsChild>
        </w:div>
        <w:div w:id="1534609098">
          <w:marLeft w:val="0"/>
          <w:marRight w:val="0"/>
          <w:marTop w:val="0"/>
          <w:marBottom w:val="0"/>
          <w:divBdr>
            <w:top w:val="none" w:sz="0" w:space="0" w:color="auto"/>
            <w:left w:val="none" w:sz="0" w:space="0" w:color="auto"/>
            <w:bottom w:val="none" w:sz="0" w:space="0" w:color="auto"/>
            <w:right w:val="none" w:sz="0" w:space="0" w:color="auto"/>
          </w:divBdr>
          <w:divsChild>
            <w:div w:id="285504846">
              <w:marLeft w:val="0"/>
              <w:marRight w:val="0"/>
              <w:marTop w:val="0"/>
              <w:marBottom w:val="0"/>
              <w:divBdr>
                <w:top w:val="none" w:sz="0" w:space="0" w:color="auto"/>
                <w:left w:val="none" w:sz="0" w:space="0" w:color="auto"/>
                <w:bottom w:val="none" w:sz="0" w:space="0" w:color="auto"/>
                <w:right w:val="none" w:sz="0" w:space="0" w:color="auto"/>
              </w:divBdr>
            </w:div>
          </w:divsChild>
        </w:div>
        <w:div w:id="1585451091">
          <w:marLeft w:val="0"/>
          <w:marRight w:val="0"/>
          <w:marTop w:val="0"/>
          <w:marBottom w:val="0"/>
          <w:divBdr>
            <w:top w:val="none" w:sz="0" w:space="0" w:color="auto"/>
            <w:left w:val="none" w:sz="0" w:space="0" w:color="auto"/>
            <w:bottom w:val="none" w:sz="0" w:space="0" w:color="auto"/>
            <w:right w:val="none" w:sz="0" w:space="0" w:color="auto"/>
          </w:divBdr>
          <w:divsChild>
            <w:div w:id="101843954">
              <w:marLeft w:val="0"/>
              <w:marRight w:val="0"/>
              <w:marTop w:val="0"/>
              <w:marBottom w:val="0"/>
              <w:divBdr>
                <w:top w:val="none" w:sz="0" w:space="0" w:color="auto"/>
                <w:left w:val="none" w:sz="0" w:space="0" w:color="auto"/>
                <w:bottom w:val="none" w:sz="0" w:space="0" w:color="auto"/>
                <w:right w:val="none" w:sz="0" w:space="0" w:color="auto"/>
              </w:divBdr>
            </w:div>
          </w:divsChild>
        </w:div>
        <w:div w:id="1618676795">
          <w:marLeft w:val="0"/>
          <w:marRight w:val="0"/>
          <w:marTop w:val="0"/>
          <w:marBottom w:val="0"/>
          <w:divBdr>
            <w:top w:val="none" w:sz="0" w:space="0" w:color="auto"/>
            <w:left w:val="none" w:sz="0" w:space="0" w:color="auto"/>
            <w:bottom w:val="none" w:sz="0" w:space="0" w:color="auto"/>
            <w:right w:val="none" w:sz="0" w:space="0" w:color="auto"/>
          </w:divBdr>
          <w:divsChild>
            <w:div w:id="1326132416">
              <w:marLeft w:val="0"/>
              <w:marRight w:val="0"/>
              <w:marTop w:val="0"/>
              <w:marBottom w:val="0"/>
              <w:divBdr>
                <w:top w:val="none" w:sz="0" w:space="0" w:color="auto"/>
                <w:left w:val="none" w:sz="0" w:space="0" w:color="auto"/>
                <w:bottom w:val="none" w:sz="0" w:space="0" w:color="auto"/>
                <w:right w:val="none" w:sz="0" w:space="0" w:color="auto"/>
              </w:divBdr>
            </w:div>
          </w:divsChild>
        </w:div>
        <w:div w:id="1676957514">
          <w:marLeft w:val="0"/>
          <w:marRight w:val="0"/>
          <w:marTop w:val="0"/>
          <w:marBottom w:val="0"/>
          <w:divBdr>
            <w:top w:val="none" w:sz="0" w:space="0" w:color="auto"/>
            <w:left w:val="none" w:sz="0" w:space="0" w:color="auto"/>
            <w:bottom w:val="none" w:sz="0" w:space="0" w:color="auto"/>
            <w:right w:val="none" w:sz="0" w:space="0" w:color="auto"/>
          </w:divBdr>
          <w:divsChild>
            <w:div w:id="1636184020">
              <w:marLeft w:val="0"/>
              <w:marRight w:val="0"/>
              <w:marTop w:val="0"/>
              <w:marBottom w:val="0"/>
              <w:divBdr>
                <w:top w:val="none" w:sz="0" w:space="0" w:color="auto"/>
                <w:left w:val="none" w:sz="0" w:space="0" w:color="auto"/>
                <w:bottom w:val="none" w:sz="0" w:space="0" w:color="auto"/>
                <w:right w:val="none" w:sz="0" w:space="0" w:color="auto"/>
              </w:divBdr>
            </w:div>
          </w:divsChild>
        </w:div>
        <w:div w:id="1689141728">
          <w:marLeft w:val="0"/>
          <w:marRight w:val="0"/>
          <w:marTop w:val="0"/>
          <w:marBottom w:val="0"/>
          <w:divBdr>
            <w:top w:val="none" w:sz="0" w:space="0" w:color="auto"/>
            <w:left w:val="none" w:sz="0" w:space="0" w:color="auto"/>
            <w:bottom w:val="none" w:sz="0" w:space="0" w:color="auto"/>
            <w:right w:val="none" w:sz="0" w:space="0" w:color="auto"/>
          </w:divBdr>
          <w:divsChild>
            <w:div w:id="1787429891">
              <w:marLeft w:val="0"/>
              <w:marRight w:val="0"/>
              <w:marTop w:val="0"/>
              <w:marBottom w:val="0"/>
              <w:divBdr>
                <w:top w:val="none" w:sz="0" w:space="0" w:color="auto"/>
                <w:left w:val="none" w:sz="0" w:space="0" w:color="auto"/>
                <w:bottom w:val="none" w:sz="0" w:space="0" w:color="auto"/>
                <w:right w:val="none" w:sz="0" w:space="0" w:color="auto"/>
              </w:divBdr>
            </w:div>
          </w:divsChild>
        </w:div>
        <w:div w:id="1693604438">
          <w:marLeft w:val="0"/>
          <w:marRight w:val="0"/>
          <w:marTop w:val="0"/>
          <w:marBottom w:val="0"/>
          <w:divBdr>
            <w:top w:val="none" w:sz="0" w:space="0" w:color="auto"/>
            <w:left w:val="none" w:sz="0" w:space="0" w:color="auto"/>
            <w:bottom w:val="none" w:sz="0" w:space="0" w:color="auto"/>
            <w:right w:val="none" w:sz="0" w:space="0" w:color="auto"/>
          </w:divBdr>
          <w:divsChild>
            <w:div w:id="222378287">
              <w:marLeft w:val="0"/>
              <w:marRight w:val="0"/>
              <w:marTop w:val="0"/>
              <w:marBottom w:val="0"/>
              <w:divBdr>
                <w:top w:val="none" w:sz="0" w:space="0" w:color="auto"/>
                <w:left w:val="none" w:sz="0" w:space="0" w:color="auto"/>
                <w:bottom w:val="none" w:sz="0" w:space="0" w:color="auto"/>
                <w:right w:val="none" w:sz="0" w:space="0" w:color="auto"/>
              </w:divBdr>
            </w:div>
          </w:divsChild>
        </w:div>
        <w:div w:id="1721901246">
          <w:marLeft w:val="0"/>
          <w:marRight w:val="0"/>
          <w:marTop w:val="0"/>
          <w:marBottom w:val="0"/>
          <w:divBdr>
            <w:top w:val="none" w:sz="0" w:space="0" w:color="auto"/>
            <w:left w:val="none" w:sz="0" w:space="0" w:color="auto"/>
            <w:bottom w:val="none" w:sz="0" w:space="0" w:color="auto"/>
            <w:right w:val="none" w:sz="0" w:space="0" w:color="auto"/>
          </w:divBdr>
          <w:divsChild>
            <w:div w:id="370737365">
              <w:marLeft w:val="0"/>
              <w:marRight w:val="0"/>
              <w:marTop w:val="0"/>
              <w:marBottom w:val="0"/>
              <w:divBdr>
                <w:top w:val="none" w:sz="0" w:space="0" w:color="auto"/>
                <w:left w:val="none" w:sz="0" w:space="0" w:color="auto"/>
                <w:bottom w:val="none" w:sz="0" w:space="0" w:color="auto"/>
                <w:right w:val="none" w:sz="0" w:space="0" w:color="auto"/>
              </w:divBdr>
            </w:div>
          </w:divsChild>
        </w:div>
        <w:div w:id="1723403772">
          <w:marLeft w:val="0"/>
          <w:marRight w:val="0"/>
          <w:marTop w:val="0"/>
          <w:marBottom w:val="0"/>
          <w:divBdr>
            <w:top w:val="none" w:sz="0" w:space="0" w:color="auto"/>
            <w:left w:val="none" w:sz="0" w:space="0" w:color="auto"/>
            <w:bottom w:val="none" w:sz="0" w:space="0" w:color="auto"/>
            <w:right w:val="none" w:sz="0" w:space="0" w:color="auto"/>
          </w:divBdr>
          <w:divsChild>
            <w:div w:id="35203127">
              <w:marLeft w:val="0"/>
              <w:marRight w:val="0"/>
              <w:marTop w:val="0"/>
              <w:marBottom w:val="0"/>
              <w:divBdr>
                <w:top w:val="none" w:sz="0" w:space="0" w:color="auto"/>
                <w:left w:val="none" w:sz="0" w:space="0" w:color="auto"/>
                <w:bottom w:val="none" w:sz="0" w:space="0" w:color="auto"/>
                <w:right w:val="none" w:sz="0" w:space="0" w:color="auto"/>
              </w:divBdr>
            </w:div>
          </w:divsChild>
        </w:div>
        <w:div w:id="1771855106">
          <w:marLeft w:val="0"/>
          <w:marRight w:val="0"/>
          <w:marTop w:val="0"/>
          <w:marBottom w:val="0"/>
          <w:divBdr>
            <w:top w:val="none" w:sz="0" w:space="0" w:color="auto"/>
            <w:left w:val="none" w:sz="0" w:space="0" w:color="auto"/>
            <w:bottom w:val="none" w:sz="0" w:space="0" w:color="auto"/>
            <w:right w:val="none" w:sz="0" w:space="0" w:color="auto"/>
          </w:divBdr>
          <w:divsChild>
            <w:div w:id="2078089081">
              <w:marLeft w:val="0"/>
              <w:marRight w:val="0"/>
              <w:marTop w:val="0"/>
              <w:marBottom w:val="0"/>
              <w:divBdr>
                <w:top w:val="none" w:sz="0" w:space="0" w:color="auto"/>
                <w:left w:val="none" w:sz="0" w:space="0" w:color="auto"/>
                <w:bottom w:val="none" w:sz="0" w:space="0" w:color="auto"/>
                <w:right w:val="none" w:sz="0" w:space="0" w:color="auto"/>
              </w:divBdr>
            </w:div>
          </w:divsChild>
        </w:div>
        <w:div w:id="1783454308">
          <w:marLeft w:val="0"/>
          <w:marRight w:val="0"/>
          <w:marTop w:val="0"/>
          <w:marBottom w:val="0"/>
          <w:divBdr>
            <w:top w:val="none" w:sz="0" w:space="0" w:color="auto"/>
            <w:left w:val="none" w:sz="0" w:space="0" w:color="auto"/>
            <w:bottom w:val="none" w:sz="0" w:space="0" w:color="auto"/>
            <w:right w:val="none" w:sz="0" w:space="0" w:color="auto"/>
          </w:divBdr>
          <w:divsChild>
            <w:div w:id="1306203457">
              <w:marLeft w:val="0"/>
              <w:marRight w:val="0"/>
              <w:marTop w:val="0"/>
              <w:marBottom w:val="0"/>
              <w:divBdr>
                <w:top w:val="none" w:sz="0" w:space="0" w:color="auto"/>
                <w:left w:val="none" w:sz="0" w:space="0" w:color="auto"/>
                <w:bottom w:val="none" w:sz="0" w:space="0" w:color="auto"/>
                <w:right w:val="none" w:sz="0" w:space="0" w:color="auto"/>
              </w:divBdr>
            </w:div>
          </w:divsChild>
        </w:div>
        <w:div w:id="1796484277">
          <w:marLeft w:val="0"/>
          <w:marRight w:val="0"/>
          <w:marTop w:val="0"/>
          <w:marBottom w:val="0"/>
          <w:divBdr>
            <w:top w:val="none" w:sz="0" w:space="0" w:color="auto"/>
            <w:left w:val="none" w:sz="0" w:space="0" w:color="auto"/>
            <w:bottom w:val="none" w:sz="0" w:space="0" w:color="auto"/>
            <w:right w:val="none" w:sz="0" w:space="0" w:color="auto"/>
          </w:divBdr>
          <w:divsChild>
            <w:div w:id="1969890129">
              <w:marLeft w:val="0"/>
              <w:marRight w:val="0"/>
              <w:marTop w:val="0"/>
              <w:marBottom w:val="0"/>
              <w:divBdr>
                <w:top w:val="none" w:sz="0" w:space="0" w:color="auto"/>
                <w:left w:val="none" w:sz="0" w:space="0" w:color="auto"/>
                <w:bottom w:val="none" w:sz="0" w:space="0" w:color="auto"/>
                <w:right w:val="none" w:sz="0" w:space="0" w:color="auto"/>
              </w:divBdr>
            </w:div>
          </w:divsChild>
        </w:div>
        <w:div w:id="1801723422">
          <w:marLeft w:val="0"/>
          <w:marRight w:val="0"/>
          <w:marTop w:val="0"/>
          <w:marBottom w:val="0"/>
          <w:divBdr>
            <w:top w:val="none" w:sz="0" w:space="0" w:color="auto"/>
            <w:left w:val="none" w:sz="0" w:space="0" w:color="auto"/>
            <w:bottom w:val="none" w:sz="0" w:space="0" w:color="auto"/>
            <w:right w:val="none" w:sz="0" w:space="0" w:color="auto"/>
          </w:divBdr>
          <w:divsChild>
            <w:div w:id="24064336">
              <w:marLeft w:val="0"/>
              <w:marRight w:val="0"/>
              <w:marTop w:val="0"/>
              <w:marBottom w:val="0"/>
              <w:divBdr>
                <w:top w:val="none" w:sz="0" w:space="0" w:color="auto"/>
                <w:left w:val="none" w:sz="0" w:space="0" w:color="auto"/>
                <w:bottom w:val="none" w:sz="0" w:space="0" w:color="auto"/>
                <w:right w:val="none" w:sz="0" w:space="0" w:color="auto"/>
              </w:divBdr>
            </w:div>
          </w:divsChild>
        </w:div>
        <w:div w:id="1815292480">
          <w:marLeft w:val="0"/>
          <w:marRight w:val="0"/>
          <w:marTop w:val="0"/>
          <w:marBottom w:val="0"/>
          <w:divBdr>
            <w:top w:val="none" w:sz="0" w:space="0" w:color="auto"/>
            <w:left w:val="none" w:sz="0" w:space="0" w:color="auto"/>
            <w:bottom w:val="none" w:sz="0" w:space="0" w:color="auto"/>
            <w:right w:val="none" w:sz="0" w:space="0" w:color="auto"/>
          </w:divBdr>
          <w:divsChild>
            <w:div w:id="1123042542">
              <w:marLeft w:val="0"/>
              <w:marRight w:val="0"/>
              <w:marTop w:val="0"/>
              <w:marBottom w:val="0"/>
              <w:divBdr>
                <w:top w:val="none" w:sz="0" w:space="0" w:color="auto"/>
                <w:left w:val="none" w:sz="0" w:space="0" w:color="auto"/>
                <w:bottom w:val="none" w:sz="0" w:space="0" w:color="auto"/>
                <w:right w:val="none" w:sz="0" w:space="0" w:color="auto"/>
              </w:divBdr>
            </w:div>
          </w:divsChild>
        </w:div>
        <w:div w:id="1816944623">
          <w:marLeft w:val="0"/>
          <w:marRight w:val="0"/>
          <w:marTop w:val="0"/>
          <w:marBottom w:val="0"/>
          <w:divBdr>
            <w:top w:val="none" w:sz="0" w:space="0" w:color="auto"/>
            <w:left w:val="none" w:sz="0" w:space="0" w:color="auto"/>
            <w:bottom w:val="none" w:sz="0" w:space="0" w:color="auto"/>
            <w:right w:val="none" w:sz="0" w:space="0" w:color="auto"/>
          </w:divBdr>
          <w:divsChild>
            <w:div w:id="719062279">
              <w:marLeft w:val="0"/>
              <w:marRight w:val="0"/>
              <w:marTop w:val="0"/>
              <w:marBottom w:val="0"/>
              <w:divBdr>
                <w:top w:val="none" w:sz="0" w:space="0" w:color="auto"/>
                <w:left w:val="none" w:sz="0" w:space="0" w:color="auto"/>
                <w:bottom w:val="none" w:sz="0" w:space="0" w:color="auto"/>
                <w:right w:val="none" w:sz="0" w:space="0" w:color="auto"/>
              </w:divBdr>
            </w:div>
          </w:divsChild>
        </w:div>
        <w:div w:id="1837767295">
          <w:marLeft w:val="0"/>
          <w:marRight w:val="0"/>
          <w:marTop w:val="0"/>
          <w:marBottom w:val="0"/>
          <w:divBdr>
            <w:top w:val="none" w:sz="0" w:space="0" w:color="auto"/>
            <w:left w:val="none" w:sz="0" w:space="0" w:color="auto"/>
            <w:bottom w:val="none" w:sz="0" w:space="0" w:color="auto"/>
            <w:right w:val="none" w:sz="0" w:space="0" w:color="auto"/>
          </w:divBdr>
          <w:divsChild>
            <w:div w:id="851604017">
              <w:marLeft w:val="0"/>
              <w:marRight w:val="0"/>
              <w:marTop w:val="0"/>
              <w:marBottom w:val="0"/>
              <w:divBdr>
                <w:top w:val="none" w:sz="0" w:space="0" w:color="auto"/>
                <w:left w:val="none" w:sz="0" w:space="0" w:color="auto"/>
                <w:bottom w:val="none" w:sz="0" w:space="0" w:color="auto"/>
                <w:right w:val="none" w:sz="0" w:space="0" w:color="auto"/>
              </w:divBdr>
            </w:div>
          </w:divsChild>
        </w:div>
        <w:div w:id="1840269646">
          <w:marLeft w:val="0"/>
          <w:marRight w:val="0"/>
          <w:marTop w:val="0"/>
          <w:marBottom w:val="0"/>
          <w:divBdr>
            <w:top w:val="none" w:sz="0" w:space="0" w:color="auto"/>
            <w:left w:val="none" w:sz="0" w:space="0" w:color="auto"/>
            <w:bottom w:val="none" w:sz="0" w:space="0" w:color="auto"/>
            <w:right w:val="none" w:sz="0" w:space="0" w:color="auto"/>
          </w:divBdr>
          <w:divsChild>
            <w:div w:id="813524982">
              <w:marLeft w:val="0"/>
              <w:marRight w:val="0"/>
              <w:marTop w:val="0"/>
              <w:marBottom w:val="0"/>
              <w:divBdr>
                <w:top w:val="none" w:sz="0" w:space="0" w:color="auto"/>
                <w:left w:val="none" w:sz="0" w:space="0" w:color="auto"/>
                <w:bottom w:val="none" w:sz="0" w:space="0" w:color="auto"/>
                <w:right w:val="none" w:sz="0" w:space="0" w:color="auto"/>
              </w:divBdr>
            </w:div>
          </w:divsChild>
        </w:div>
        <w:div w:id="1904025116">
          <w:marLeft w:val="0"/>
          <w:marRight w:val="0"/>
          <w:marTop w:val="0"/>
          <w:marBottom w:val="0"/>
          <w:divBdr>
            <w:top w:val="none" w:sz="0" w:space="0" w:color="auto"/>
            <w:left w:val="none" w:sz="0" w:space="0" w:color="auto"/>
            <w:bottom w:val="none" w:sz="0" w:space="0" w:color="auto"/>
            <w:right w:val="none" w:sz="0" w:space="0" w:color="auto"/>
          </w:divBdr>
          <w:divsChild>
            <w:div w:id="1864439849">
              <w:marLeft w:val="0"/>
              <w:marRight w:val="0"/>
              <w:marTop w:val="0"/>
              <w:marBottom w:val="0"/>
              <w:divBdr>
                <w:top w:val="none" w:sz="0" w:space="0" w:color="auto"/>
                <w:left w:val="none" w:sz="0" w:space="0" w:color="auto"/>
                <w:bottom w:val="none" w:sz="0" w:space="0" w:color="auto"/>
                <w:right w:val="none" w:sz="0" w:space="0" w:color="auto"/>
              </w:divBdr>
            </w:div>
          </w:divsChild>
        </w:div>
        <w:div w:id="1986667149">
          <w:marLeft w:val="0"/>
          <w:marRight w:val="0"/>
          <w:marTop w:val="0"/>
          <w:marBottom w:val="0"/>
          <w:divBdr>
            <w:top w:val="none" w:sz="0" w:space="0" w:color="auto"/>
            <w:left w:val="none" w:sz="0" w:space="0" w:color="auto"/>
            <w:bottom w:val="none" w:sz="0" w:space="0" w:color="auto"/>
            <w:right w:val="none" w:sz="0" w:space="0" w:color="auto"/>
          </w:divBdr>
          <w:divsChild>
            <w:div w:id="494688379">
              <w:marLeft w:val="0"/>
              <w:marRight w:val="0"/>
              <w:marTop w:val="0"/>
              <w:marBottom w:val="0"/>
              <w:divBdr>
                <w:top w:val="none" w:sz="0" w:space="0" w:color="auto"/>
                <w:left w:val="none" w:sz="0" w:space="0" w:color="auto"/>
                <w:bottom w:val="none" w:sz="0" w:space="0" w:color="auto"/>
                <w:right w:val="none" w:sz="0" w:space="0" w:color="auto"/>
              </w:divBdr>
            </w:div>
          </w:divsChild>
        </w:div>
        <w:div w:id="2001883632">
          <w:marLeft w:val="0"/>
          <w:marRight w:val="0"/>
          <w:marTop w:val="0"/>
          <w:marBottom w:val="0"/>
          <w:divBdr>
            <w:top w:val="none" w:sz="0" w:space="0" w:color="auto"/>
            <w:left w:val="none" w:sz="0" w:space="0" w:color="auto"/>
            <w:bottom w:val="none" w:sz="0" w:space="0" w:color="auto"/>
            <w:right w:val="none" w:sz="0" w:space="0" w:color="auto"/>
          </w:divBdr>
          <w:divsChild>
            <w:div w:id="800882373">
              <w:marLeft w:val="0"/>
              <w:marRight w:val="0"/>
              <w:marTop w:val="0"/>
              <w:marBottom w:val="0"/>
              <w:divBdr>
                <w:top w:val="none" w:sz="0" w:space="0" w:color="auto"/>
                <w:left w:val="none" w:sz="0" w:space="0" w:color="auto"/>
                <w:bottom w:val="none" w:sz="0" w:space="0" w:color="auto"/>
                <w:right w:val="none" w:sz="0" w:space="0" w:color="auto"/>
              </w:divBdr>
            </w:div>
          </w:divsChild>
        </w:div>
        <w:div w:id="2038121665">
          <w:marLeft w:val="0"/>
          <w:marRight w:val="0"/>
          <w:marTop w:val="0"/>
          <w:marBottom w:val="0"/>
          <w:divBdr>
            <w:top w:val="none" w:sz="0" w:space="0" w:color="auto"/>
            <w:left w:val="none" w:sz="0" w:space="0" w:color="auto"/>
            <w:bottom w:val="none" w:sz="0" w:space="0" w:color="auto"/>
            <w:right w:val="none" w:sz="0" w:space="0" w:color="auto"/>
          </w:divBdr>
          <w:divsChild>
            <w:div w:id="1904218510">
              <w:marLeft w:val="0"/>
              <w:marRight w:val="0"/>
              <w:marTop w:val="0"/>
              <w:marBottom w:val="0"/>
              <w:divBdr>
                <w:top w:val="none" w:sz="0" w:space="0" w:color="auto"/>
                <w:left w:val="none" w:sz="0" w:space="0" w:color="auto"/>
                <w:bottom w:val="none" w:sz="0" w:space="0" w:color="auto"/>
                <w:right w:val="none" w:sz="0" w:space="0" w:color="auto"/>
              </w:divBdr>
            </w:div>
          </w:divsChild>
        </w:div>
        <w:div w:id="2045981873">
          <w:marLeft w:val="0"/>
          <w:marRight w:val="0"/>
          <w:marTop w:val="0"/>
          <w:marBottom w:val="0"/>
          <w:divBdr>
            <w:top w:val="none" w:sz="0" w:space="0" w:color="auto"/>
            <w:left w:val="none" w:sz="0" w:space="0" w:color="auto"/>
            <w:bottom w:val="none" w:sz="0" w:space="0" w:color="auto"/>
            <w:right w:val="none" w:sz="0" w:space="0" w:color="auto"/>
          </w:divBdr>
          <w:divsChild>
            <w:div w:id="376704474">
              <w:marLeft w:val="0"/>
              <w:marRight w:val="0"/>
              <w:marTop w:val="0"/>
              <w:marBottom w:val="0"/>
              <w:divBdr>
                <w:top w:val="none" w:sz="0" w:space="0" w:color="auto"/>
                <w:left w:val="none" w:sz="0" w:space="0" w:color="auto"/>
                <w:bottom w:val="none" w:sz="0" w:space="0" w:color="auto"/>
                <w:right w:val="none" w:sz="0" w:space="0" w:color="auto"/>
              </w:divBdr>
            </w:div>
          </w:divsChild>
        </w:div>
        <w:div w:id="2049648462">
          <w:marLeft w:val="0"/>
          <w:marRight w:val="0"/>
          <w:marTop w:val="0"/>
          <w:marBottom w:val="0"/>
          <w:divBdr>
            <w:top w:val="none" w:sz="0" w:space="0" w:color="auto"/>
            <w:left w:val="none" w:sz="0" w:space="0" w:color="auto"/>
            <w:bottom w:val="none" w:sz="0" w:space="0" w:color="auto"/>
            <w:right w:val="none" w:sz="0" w:space="0" w:color="auto"/>
          </w:divBdr>
          <w:divsChild>
            <w:div w:id="1561943894">
              <w:marLeft w:val="0"/>
              <w:marRight w:val="0"/>
              <w:marTop w:val="0"/>
              <w:marBottom w:val="0"/>
              <w:divBdr>
                <w:top w:val="none" w:sz="0" w:space="0" w:color="auto"/>
                <w:left w:val="none" w:sz="0" w:space="0" w:color="auto"/>
                <w:bottom w:val="none" w:sz="0" w:space="0" w:color="auto"/>
                <w:right w:val="none" w:sz="0" w:space="0" w:color="auto"/>
              </w:divBdr>
            </w:div>
          </w:divsChild>
        </w:div>
        <w:div w:id="2058628352">
          <w:marLeft w:val="0"/>
          <w:marRight w:val="0"/>
          <w:marTop w:val="0"/>
          <w:marBottom w:val="0"/>
          <w:divBdr>
            <w:top w:val="none" w:sz="0" w:space="0" w:color="auto"/>
            <w:left w:val="none" w:sz="0" w:space="0" w:color="auto"/>
            <w:bottom w:val="none" w:sz="0" w:space="0" w:color="auto"/>
            <w:right w:val="none" w:sz="0" w:space="0" w:color="auto"/>
          </w:divBdr>
          <w:divsChild>
            <w:div w:id="1109541956">
              <w:marLeft w:val="0"/>
              <w:marRight w:val="0"/>
              <w:marTop w:val="0"/>
              <w:marBottom w:val="0"/>
              <w:divBdr>
                <w:top w:val="none" w:sz="0" w:space="0" w:color="auto"/>
                <w:left w:val="none" w:sz="0" w:space="0" w:color="auto"/>
                <w:bottom w:val="none" w:sz="0" w:space="0" w:color="auto"/>
                <w:right w:val="none" w:sz="0" w:space="0" w:color="auto"/>
              </w:divBdr>
            </w:div>
          </w:divsChild>
        </w:div>
        <w:div w:id="2064206434">
          <w:marLeft w:val="0"/>
          <w:marRight w:val="0"/>
          <w:marTop w:val="0"/>
          <w:marBottom w:val="0"/>
          <w:divBdr>
            <w:top w:val="none" w:sz="0" w:space="0" w:color="auto"/>
            <w:left w:val="none" w:sz="0" w:space="0" w:color="auto"/>
            <w:bottom w:val="none" w:sz="0" w:space="0" w:color="auto"/>
            <w:right w:val="none" w:sz="0" w:space="0" w:color="auto"/>
          </w:divBdr>
          <w:divsChild>
            <w:div w:id="25523124">
              <w:marLeft w:val="0"/>
              <w:marRight w:val="0"/>
              <w:marTop w:val="0"/>
              <w:marBottom w:val="0"/>
              <w:divBdr>
                <w:top w:val="none" w:sz="0" w:space="0" w:color="auto"/>
                <w:left w:val="none" w:sz="0" w:space="0" w:color="auto"/>
                <w:bottom w:val="none" w:sz="0" w:space="0" w:color="auto"/>
                <w:right w:val="none" w:sz="0" w:space="0" w:color="auto"/>
              </w:divBdr>
            </w:div>
          </w:divsChild>
        </w:div>
        <w:div w:id="2113167093">
          <w:marLeft w:val="0"/>
          <w:marRight w:val="0"/>
          <w:marTop w:val="0"/>
          <w:marBottom w:val="0"/>
          <w:divBdr>
            <w:top w:val="none" w:sz="0" w:space="0" w:color="auto"/>
            <w:left w:val="none" w:sz="0" w:space="0" w:color="auto"/>
            <w:bottom w:val="none" w:sz="0" w:space="0" w:color="auto"/>
            <w:right w:val="none" w:sz="0" w:space="0" w:color="auto"/>
          </w:divBdr>
          <w:divsChild>
            <w:div w:id="594171022">
              <w:marLeft w:val="0"/>
              <w:marRight w:val="0"/>
              <w:marTop w:val="0"/>
              <w:marBottom w:val="0"/>
              <w:divBdr>
                <w:top w:val="none" w:sz="0" w:space="0" w:color="auto"/>
                <w:left w:val="none" w:sz="0" w:space="0" w:color="auto"/>
                <w:bottom w:val="none" w:sz="0" w:space="0" w:color="auto"/>
                <w:right w:val="none" w:sz="0" w:space="0" w:color="auto"/>
              </w:divBdr>
            </w:div>
          </w:divsChild>
        </w:div>
        <w:div w:id="2113626485">
          <w:marLeft w:val="0"/>
          <w:marRight w:val="0"/>
          <w:marTop w:val="0"/>
          <w:marBottom w:val="0"/>
          <w:divBdr>
            <w:top w:val="none" w:sz="0" w:space="0" w:color="auto"/>
            <w:left w:val="none" w:sz="0" w:space="0" w:color="auto"/>
            <w:bottom w:val="none" w:sz="0" w:space="0" w:color="auto"/>
            <w:right w:val="none" w:sz="0" w:space="0" w:color="auto"/>
          </w:divBdr>
          <w:divsChild>
            <w:div w:id="1395204255">
              <w:marLeft w:val="0"/>
              <w:marRight w:val="0"/>
              <w:marTop w:val="0"/>
              <w:marBottom w:val="0"/>
              <w:divBdr>
                <w:top w:val="none" w:sz="0" w:space="0" w:color="auto"/>
                <w:left w:val="none" w:sz="0" w:space="0" w:color="auto"/>
                <w:bottom w:val="none" w:sz="0" w:space="0" w:color="auto"/>
                <w:right w:val="none" w:sz="0" w:space="0" w:color="auto"/>
              </w:divBdr>
            </w:div>
          </w:divsChild>
        </w:div>
        <w:div w:id="2113739420">
          <w:marLeft w:val="0"/>
          <w:marRight w:val="0"/>
          <w:marTop w:val="0"/>
          <w:marBottom w:val="0"/>
          <w:divBdr>
            <w:top w:val="none" w:sz="0" w:space="0" w:color="auto"/>
            <w:left w:val="none" w:sz="0" w:space="0" w:color="auto"/>
            <w:bottom w:val="none" w:sz="0" w:space="0" w:color="auto"/>
            <w:right w:val="none" w:sz="0" w:space="0" w:color="auto"/>
          </w:divBdr>
          <w:divsChild>
            <w:div w:id="2074960399">
              <w:marLeft w:val="0"/>
              <w:marRight w:val="0"/>
              <w:marTop w:val="0"/>
              <w:marBottom w:val="0"/>
              <w:divBdr>
                <w:top w:val="none" w:sz="0" w:space="0" w:color="auto"/>
                <w:left w:val="none" w:sz="0" w:space="0" w:color="auto"/>
                <w:bottom w:val="none" w:sz="0" w:space="0" w:color="auto"/>
                <w:right w:val="none" w:sz="0" w:space="0" w:color="auto"/>
              </w:divBdr>
            </w:div>
          </w:divsChild>
        </w:div>
        <w:div w:id="2125880245">
          <w:marLeft w:val="0"/>
          <w:marRight w:val="0"/>
          <w:marTop w:val="0"/>
          <w:marBottom w:val="0"/>
          <w:divBdr>
            <w:top w:val="none" w:sz="0" w:space="0" w:color="auto"/>
            <w:left w:val="none" w:sz="0" w:space="0" w:color="auto"/>
            <w:bottom w:val="none" w:sz="0" w:space="0" w:color="auto"/>
            <w:right w:val="none" w:sz="0" w:space="0" w:color="auto"/>
          </w:divBdr>
          <w:divsChild>
            <w:div w:id="1856378081">
              <w:marLeft w:val="0"/>
              <w:marRight w:val="0"/>
              <w:marTop w:val="0"/>
              <w:marBottom w:val="0"/>
              <w:divBdr>
                <w:top w:val="none" w:sz="0" w:space="0" w:color="auto"/>
                <w:left w:val="none" w:sz="0" w:space="0" w:color="auto"/>
                <w:bottom w:val="none" w:sz="0" w:space="0" w:color="auto"/>
                <w:right w:val="none" w:sz="0" w:space="0" w:color="auto"/>
              </w:divBdr>
            </w:div>
          </w:divsChild>
        </w:div>
        <w:div w:id="2129005824">
          <w:marLeft w:val="0"/>
          <w:marRight w:val="0"/>
          <w:marTop w:val="0"/>
          <w:marBottom w:val="0"/>
          <w:divBdr>
            <w:top w:val="none" w:sz="0" w:space="0" w:color="auto"/>
            <w:left w:val="none" w:sz="0" w:space="0" w:color="auto"/>
            <w:bottom w:val="none" w:sz="0" w:space="0" w:color="auto"/>
            <w:right w:val="none" w:sz="0" w:space="0" w:color="auto"/>
          </w:divBdr>
          <w:divsChild>
            <w:div w:id="21054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footer" Target="footer2.xml"/><Relationship Id="rId42" Type="http://schemas.openxmlformats.org/officeDocument/2006/relationships/footer" Target="footer8.xml"/><Relationship Id="rId47" Type="http://schemas.openxmlformats.org/officeDocument/2006/relationships/image" Target="media/image21.png"/><Relationship Id="rId63" Type="http://schemas.openxmlformats.org/officeDocument/2006/relationships/footer" Target="footer12.xml"/><Relationship Id="rId68"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yperlink" Target="https://www.pmc.gov.au/government/commonwealth-coat-arms/" TargetMode="Externa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oter" Target="footer9.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www.cgc.gov.au/" TargetMode="External"/><Relationship Id="rId5" Type="http://schemas.openxmlformats.org/officeDocument/2006/relationships/numbering" Target="numbering.xml"/><Relationship Id="rId61" Type="http://schemas.openxmlformats.org/officeDocument/2006/relationships/hyperlink" Target="https://www.cgc.gov.au" TargetMode="External"/><Relationship Id="rId19" Type="http://schemas.openxmlformats.org/officeDocument/2006/relationships/footer" Target="footer1.xml"/><Relationship Id="rId14" Type="http://schemas.openxmlformats.org/officeDocument/2006/relationships/hyperlink" Target="https://creativecommons.org/licenses/by/4.0/legalcode"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footer" Target="footer3.xml"/><Relationship Id="rId35" Type="http://schemas.openxmlformats.org/officeDocument/2006/relationships/hyperlink" Target="https://www.cgc.gov.au/"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www.cgc.gov.au/" TargetMode="External"/><Relationship Id="rId69"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ecretary@cgc.gov.au" TargetMode="External"/><Relationship Id="rId25" Type="http://schemas.openxmlformats.org/officeDocument/2006/relationships/image" Target="media/image8.emf"/><Relationship Id="rId33" Type="http://schemas.openxmlformats.org/officeDocument/2006/relationships/footer" Target="footer5.xml"/><Relationship Id="rId38" Type="http://schemas.openxmlformats.org/officeDocument/2006/relationships/image" Target="media/image16.emf"/><Relationship Id="rId46" Type="http://schemas.openxmlformats.org/officeDocument/2006/relationships/footer" Target="footer10.xml"/><Relationship Id="rId59" Type="http://schemas.openxmlformats.org/officeDocument/2006/relationships/image" Target="media/image33.png"/><Relationship Id="rId67" Type="http://schemas.openxmlformats.org/officeDocument/2006/relationships/hyperlink" Target="https://www.cgc.gov.au/" TargetMode="External"/><Relationship Id="rId20" Type="http://schemas.openxmlformats.org/officeDocument/2006/relationships/image" Target="media/image4.emf"/><Relationship Id="rId41" Type="http://schemas.openxmlformats.org/officeDocument/2006/relationships/footer" Target="footer7.xml"/><Relationship Id="rId54" Type="http://schemas.openxmlformats.org/officeDocument/2006/relationships/image" Target="media/image28.png"/><Relationship Id="rId62" Type="http://schemas.openxmlformats.org/officeDocument/2006/relationships/footer" Target="footer11.xml"/><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www.cgc.gov.au/"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yperlink" Target="http://www.cgc.gov.au" TargetMode="External"/><Relationship Id="rId39" Type="http://schemas.openxmlformats.org/officeDocument/2006/relationships/image" Target="media/image17.png"/><Relationship Id="rId34" Type="http://schemas.openxmlformats.org/officeDocument/2006/relationships/footer" Target="footer6.xml"/><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oter" Target="footer15.xml"/></Relationships>
</file>

<file path=word/_rels/footnotes.xml.rels><?xml version="1.0" encoding="UTF-8" standalone="yes"?>
<Relationships xmlns="http://schemas.openxmlformats.org/package/2006/relationships"><Relationship Id="rId1" Type="http://schemas.openxmlformats.org/officeDocument/2006/relationships/hyperlink" Target="https://www.cg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2" ma:contentTypeDescription="Create a new document." ma:contentTypeScope="" ma:versionID="26f4eaebbbf5eea6eea98917bd7a920a">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2ec95277f14174cd63dc65a16bd5d7a"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85354-C726-434B-A503-192F99B539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9AE0E8-97B4-4E98-91CB-5B2C24AFF2A5}">
  <ds:schemaRefs>
    <ds:schemaRef ds:uri="http://schemas.microsoft.com/sharepoint/v3/contenttype/forms"/>
  </ds:schemaRefs>
</ds:datastoreItem>
</file>

<file path=customXml/itemProps3.xml><?xml version="1.0" encoding="utf-8"?>
<ds:datastoreItem xmlns:ds="http://schemas.openxmlformats.org/officeDocument/2006/customXml" ds:itemID="{C0F37D4E-8AB4-4A38-AF63-0EEFA34DA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DFB84A-ACE7-4CA9-A5DC-A63744793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65</Pages>
  <Words>14790</Words>
  <Characters>84304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98897</CharactersWithSpaces>
  <SharedDoc>false</SharedDoc>
  <HLinks>
    <vt:vector size="354" baseType="variant">
      <vt:variant>
        <vt:i4>3473456</vt:i4>
      </vt:variant>
      <vt:variant>
        <vt:i4>588</vt:i4>
      </vt:variant>
      <vt:variant>
        <vt:i4>0</vt:i4>
      </vt:variant>
      <vt:variant>
        <vt:i4>5</vt:i4>
      </vt:variant>
      <vt:variant>
        <vt:lpwstr>https://www.cgc.gov.au/</vt:lpwstr>
      </vt:variant>
      <vt:variant>
        <vt:lpwstr/>
      </vt:variant>
      <vt:variant>
        <vt:i4>7602221</vt:i4>
      </vt:variant>
      <vt:variant>
        <vt:i4>585</vt:i4>
      </vt:variant>
      <vt:variant>
        <vt:i4>0</vt:i4>
      </vt:variant>
      <vt:variant>
        <vt:i4>5</vt:i4>
      </vt:variant>
      <vt:variant>
        <vt:lpwstr>http://www.cgc.gov.au/</vt:lpwstr>
      </vt:variant>
      <vt:variant>
        <vt:lpwstr/>
      </vt:variant>
      <vt:variant>
        <vt:i4>7602221</vt:i4>
      </vt:variant>
      <vt:variant>
        <vt:i4>579</vt:i4>
      </vt:variant>
      <vt:variant>
        <vt:i4>0</vt:i4>
      </vt:variant>
      <vt:variant>
        <vt:i4>5</vt:i4>
      </vt:variant>
      <vt:variant>
        <vt:lpwstr>http://www.cgc.gov.au/</vt:lpwstr>
      </vt:variant>
      <vt:variant>
        <vt:lpwstr/>
      </vt:variant>
      <vt:variant>
        <vt:i4>7602221</vt:i4>
      </vt:variant>
      <vt:variant>
        <vt:i4>576</vt:i4>
      </vt:variant>
      <vt:variant>
        <vt:i4>0</vt:i4>
      </vt:variant>
      <vt:variant>
        <vt:i4>5</vt:i4>
      </vt:variant>
      <vt:variant>
        <vt:lpwstr>http://www.cgc.gov.au/</vt:lpwstr>
      </vt:variant>
      <vt:variant>
        <vt:lpwstr/>
      </vt:variant>
      <vt:variant>
        <vt:i4>3473456</vt:i4>
      </vt:variant>
      <vt:variant>
        <vt:i4>573</vt:i4>
      </vt:variant>
      <vt:variant>
        <vt:i4>0</vt:i4>
      </vt:variant>
      <vt:variant>
        <vt:i4>5</vt:i4>
      </vt:variant>
      <vt:variant>
        <vt:lpwstr>https://www.cgc.gov.au/</vt:lpwstr>
      </vt:variant>
      <vt:variant>
        <vt:lpwstr/>
      </vt:variant>
      <vt:variant>
        <vt:i4>3473456</vt:i4>
      </vt:variant>
      <vt:variant>
        <vt:i4>327</vt:i4>
      </vt:variant>
      <vt:variant>
        <vt:i4>0</vt:i4>
      </vt:variant>
      <vt:variant>
        <vt:i4>5</vt:i4>
      </vt:variant>
      <vt:variant>
        <vt:lpwstr>https://www.cgc.gov.au/</vt:lpwstr>
      </vt:variant>
      <vt:variant>
        <vt:lpwstr/>
      </vt:variant>
      <vt:variant>
        <vt:i4>1114173</vt:i4>
      </vt:variant>
      <vt:variant>
        <vt:i4>293</vt:i4>
      </vt:variant>
      <vt:variant>
        <vt:i4>0</vt:i4>
      </vt:variant>
      <vt:variant>
        <vt:i4>5</vt:i4>
      </vt:variant>
      <vt:variant>
        <vt:lpwstr/>
      </vt:variant>
      <vt:variant>
        <vt:lpwstr>_Toc33600580</vt:lpwstr>
      </vt:variant>
      <vt:variant>
        <vt:i4>1572914</vt:i4>
      </vt:variant>
      <vt:variant>
        <vt:i4>287</vt:i4>
      </vt:variant>
      <vt:variant>
        <vt:i4>0</vt:i4>
      </vt:variant>
      <vt:variant>
        <vt:i4>5</vt:i4>
      </vt:variant>
      <vt:variant>
        <vt:lpwstr/>
      </vt:variant>
      <vt:variant>
        <vt:lpwstr>_Toc33600579</vt:lpwstr>
      </vt:variant>
      <vt:variant>
        <vt:i4>1638450</vt:i4>
      </vt:variant>
      <vt:variant>
        <vt:i4>281</vt:i4>
      </vt:variant>
      <vt:variant>
        <vt:i4>0</vt:i4>
      </vt:variant>
      <vt:variant>
        <vt:i4>5</vt:i4>
      </vt:variant>
      <vt:variant>
        <vt:lpwstr/>
      </vt:variant>
      <vt:variant>
        <vt:lpwstr>_Toc33600578</vt:lpwstr>
      </vt:variant>
      <vt:variant>
        <vt:i4>1441842</vt:i4>
      </vt:variant>
      <vt:variant>
        <vt:i4>275</vt:i4>
      </vt:variant>
      <vt:variant>
        <vt:i4>0</vt:i4>
      </vt:variant>
      <vt:variant>
        <vt:i4>5</vt:i4>
      </vt:variant>
      <vt:variant>
        <vt:lpwstr/>
      </vt:variant>
      <vt:variant>
        <vt:lpwstr>_Toc33600577</vt:lpwstr>
      </vt:variant>
      <vt:variant>
        <vt:i4>1507378</vt:i4>
      </vt:variant>
      <vt:variant>
        <vt:i4>269</vt:i4>
      </vt:variant>
      <vt:variant>
        <vt:i4>0</vt:i4>
      </vt:variant>
      <vt:variant>
        <vt:i4>5</vt:i4>
      </vt:variant>
      <vt:variant>
        <vt:lpwstr/>
      </vt:variant>
      <vt:variant>
        <vt:lpwstr>_Toc33600576</vt:lpwstr>
      </vt:variant>
      <vt:variant>
        <vt:i4>1310770</vt:i4>
      </vt:variant>
      <vt:variant>
        <vt:i4>263</vt:i4>
      </vt:variant>
      <vt:variant>
        <vt:i4>0</vt:i4>
      </vt:variant>
      <vt:variant>
        <vt:i4>5</vt:i4>
      </vt:variant>
      <vt:variant>
        <vt:lpwstr/>
      </vt:variant>
      <vt:variant>
        <vt:lpwstr>_Toc33600575</vt:lpwstr>
      </vt:variant>
      <vt:variant>
        <vt:i4>1376306</vt:i4>
      </vt:variant>
      <vt:variant>
        <vt:i4>257</vt:i4>
      </vt:variant>
      <vt:variant>
        <vt:i4>0</vt:i4>
      </vt:variant>
      <vt:variant>
        <vt:i4>5</vt:i4>
      </vt:variant>
      <vt:variant>
        <vt:lpwstr/>
      </vt:variant>
      <vt:variant>
        <vt:lpwstr>_Toc33600574</vt:lpwstr>
      </vt:variant>
      <vt:variant>
        <vt:i4>1179698</vt:i4>
      </vt:variant>
      <vt:variant>
        <vt:i4>251</vt:i4>
      </vt:variant>
      <vt:variant>
        <vt:i4>0</vt:i4>
      </vt:variant>
      <vt:variant>
        <vt:i4>5</vt:i4>
      </vt:variant>
      <vt:variant>
        <vt:lpwstr/>
      </vt:variant>
      <vt:variant>
        <vt:lpwstr>_Toc33600573</vt:lpwstr>
      </vt:variant>
      <vt:variant>
        <vt:i4>1245234</vt:i4>
      </vt:variant>
      <vt:variant>
        <vt:i4>245</vt:i4>
      </vt:variant>
      <vt:variant>
        <vt:i4>0</vt:i4>
      </vt:variant>
      <vt:variant>
        <vt:i4>5</vt:i4>
      </vt:variant>
      <vt:variant>
        <vt:lpwstr/>
      </vt:variant>
      <vt:variant>
        <vt:lpwstr>_Toc33600572</vt:lpwstr>
      </vt:variant>
      <vt:variant>
        <vt:i4>1048626</vt:i4>
      </vt:variant>
      <vt:variant>
        <vt:i4>239</vt:i4>
      </vt:variant>
      <vt:variant>
        <vt:i4>0</vt:i4>
      </vt:variant>
      <vt:variant>
        <vt:i4>5</vt:i4>
      </vt:variant>
      <vt:variant>
        <vt:lpwstr/>
      </vt:variant>
      <vt:variant>
        <vt:lpwstr>_Toc33600571</vt:lpwstr>
      </vt:variant>
      <vt:variant>
        <vt:i4>1114162</vt:i4>
      </vt:variant>
      <vt:variant>
        <vt:i4>233</vt:i4>
      </vt:variant>
      <vt:variant>
        <vt:i4>0</vt:i4>
      </vt:variant>
      <vt:variant>
        <vt:i4>5</vt:i4>
      </vt:variant>
      <vt:variant>
        <vt:lpwstr/>
      </vt:variant>
      <vt:variant>
        <vt:lpwstr>_Toc33600570</vt:lpwstr>
      </vt:variant>
      <vt:variant>
        <vt:i4>1572915</vt:i4>
      </vt:variant>
      <vt:variant>
        <vt:i4>227</vt:i4>
      </vt:variant>
      <vt:variant>
        <vt:i4>0</vt:i4>
      </vt:variant>
      <vt:variant>
        <vt:i4>5</vt:i4>
      </vt:variant>
      <vt:variant>
        <vt:lpwstr/>
      </vt:variant>
      <vt:variant>
        <vt:lpwstr>_Toc33600569</vt:lpwstr>
      </vt:variant>
      <vt:variant>
        <vt:i4>1638451</vt:i4>
      </vt:variant>
      <vt:variant>
        <vt:i4>221</vt:i4>
      </vt:variant>
      <vt:variant>
        <vt:i4>0</vt:i4>
      </vt:variant>
      <vt:variant>
        <vt:i4>5</vt:i4>
      </vt:variant>
      <vt:variant>
        <vt:lpwstr/>
      </vt:variant>
      <vt:variant>
        <vt:lpwstr>_Toc33600568</vt:lpwstr>
      </vt:variant>
      <vt:variant>
        <vt:i4>1441843</vt:i4>
      </vt:variant>
      <vt:variant>
        <vt:i4>215</vt:i4>
      </vt:variant>
      <vt:variant>
        <vt:i4>0</vt:i4>
      </vt:variant>
      <vt:variant>
        <vt:i4>5</vt:i4>
      </vt:variant>
      <vt:variant>
        <vt:lpwstr/>
      </vt:variant>
      <vt:variant>
        <vt:lpwstr>_Toc33600567</vt:lpwstr>
      </vt:variant>
      <vt:variant>
        <vt:i4>1507379</vt:i4>
      </vt:variant>
      <vt:variant>
        <vt:i4>209</vt:i4>
      </vt:variant>
      <vt:variant>
        <vt:i4>0</vt:i4>
      </vt:variant>
      <vt:variant>
        <vt:i4>5</vt:i4>
      </vt:variant>
      <vt:variant>
        <vt:lpwstr/>
      </vt:variant>
      <vt:variant>
        <vt:lpwstr>_Toc33600566</vt:lpwstr>
      </vt:variant>
      <vt:variant>
        <vt:i4>1310771</vt:i4>
      </vt:variant>
      <vt:variant>
        <vt:i4>203</vt:i4>
      </vt:variant>
      <vt:variant>
        <vt:i4>0</vt:i4>
      </vt:variant>
      <vt:variant>
        <vt:i4>5</vt:i4>
      </vt:variant>
      <vt:variant>
        <vt:lpwstr/>
      </vt:variant>
      <vt:variant>
        <vt:lpwstr>_Toc33600565</vt:lpwstr>
      </vt:variant>
      <vt:variant>
        <vt:i4>1376307</vt:i4>
      </vt:variant>
      <vt:variant>
        <vt:i4>197</vt:i4>
      </vt:variant>
      <vt:variant>
        <vt:i4>0</vt:i4>
      </vt:variant>
      <vt:variant>
        <vt:i4>5</vt:i4>
      </vt:variant>
      <vt:variant>
        <vt:lpwstr/>
      </vt:variant>
      <vt:variant>
        <vt:lpwstr>_Toc33600564</vt:lpwstr>
      </vt:variant>
      <vt:variant>
        <vt:i4>1179699</vt:i4>
      </vt:variant>
      <vt:variant>
        <vt:i4>191</vt:i4>
      </vt:variant>
      <vt:variant>
        <vt:i4>0</vt:i4>
      </vt:variant>
      <vt:variant>
        <vt:i4>5</vt:i4>
      </vt:variant>
      <vt:variant>
        <vt:lpwstr/>
      </vt:variant>
      <vt:variant>
        <vt:lpwstr>_Toc33600563</vt:lpwstr>
      </vt:variant>
      <vt:variant>
        <vt:i4>1245235</vt:i4>
      </vt:variant>
      <vt:variant>
        <vt:i4>185</vt:i4>
      </vt:variant>
      <vt:variant>
        <vt:i4>0</vt:i4>
      </vt:variant>
      <vt:variant>
        <vt:i4>5</vt:i4>
      </vt:variant>
      <vt:variant>
        <vt:lpwstr/>
      </vt:variant>
      <vt:variant>
        <vt:lpwstr>_Toc33600562</vt:lpwstr>
      </vt:variant>
      <vt:variant>
        <vt:i4>1048627</vt:i4>
      </vt:variant>
      <vt:variant>
        <vt:i4>179</vt:i4>
      </vt:variant>
      <vt:variant>
        <vt:i4>0</vt:i4>
      </vt:variant>
      <vt:variant>
        <vt:i4>5</vt:i4>
      </vt:variant>
      <vt:variant>
        <vt:lpwstr/>
      </vt:variant>
      <vt:variant>
        <vt:lpwstr>_Toc33600561</vt:lpwstr>
      </vt:variant>
      <vt:variant>
        <vt:i4>1114163</vt:i4>
      </vt:variant>
      <vt:variant>
        <vt:i4>173</vt:i4>
      </vt:variant>
      <vt:variant>
        <vt:i4>0</vt:i4>
      </vt:variant>
      <vt:variant>
        <vt:i4>5</vt:i4>
      </vt:variant>
      <vt:variant>
        <vt:lpwstr/>
      </vt:variant>
      <vt:variant>
        <vt:lpwstr>_Toc33600560</vt:lpwstr>
      </vt:variant>
      <vt:variant>
        <vt:i4>1572912</vt:i4>
      </vt:variant>
      <vt:variant>
        <vt:i4>167</vt:i4>
      </vt:variant>
      <vt:variant>
        <vt:i4>0</vt:i4>
      </vt:variant>
      <vt:variant>
        <vt:i4>5</vt:i4>
      </vt:variant>
      <vt:variant>
        <vt:lpwstr/>
      </vt:variant>
      <vt:variant>
        <vt:lpwstr>_Toc33600559</vt:lpwstr>
      </vt:variant>
      <vt:variant>
        <vt:i4>1638448</vt:i4>
      </vt:variant>
      <vt:variant>
        <vt:i4>161</vt:i4>
      </vt:variant>
      <vt:variant>
        <vt:i4>0</vt:i4>
      </vt:variant>
      <vt:variant>
        <vt:i4>5</vt:i4>
      </vt:variant>
      <vt:variant>
        <vt:lpwstr/>
      </vt:variant>
      <vt:variant>
        <vt:lpwstr>_Toc33600558</vt:lpwstr>
      </vt:variant>
      <vt:variant>
        <vt:i4>1441840</vt:i4>
      </vt:variant>
      <vt:variant>
        <vt:i4>155</vt:i4>
      </vt:variant>
      <vt:variant>
        <vt:i4>0</vt:i4>
      </vt:variant>
      <vt:variant>
        <vt:i4>5</vt:i4>
      </vt:variant>
      <vt:variant>
        <vt:lpwstr/>
      </vt:variant>
      <vt:variant>
        <vt:lpwstr>_Toc33600557</vt:lpwstr>
      </vt:variant>
      <vt:variant>
        <vt:i4>1507376</vt:i4>
      </vt:variant>
      <vt:variant>
        <vt:i4>149</vt:i4>
      </vt:variant>
      <vt:variant>
        <vt:i4>0</vt:i4>
      </vt:variant>
      <vt:variant>
        <vt:i4>5</vt:i4>
      </vt:variant>
      <vt:variant>
        <vt:lpwstr/>
      </vt:variant>
      <vt:variant>
        <vt:lpwstr>_Toc33600556</vt:lpwstr>
      </vt:variant>
      <vt:variant>
        <vt:i4>1310768</vt:i4>
      </vt:variant>
      <vt:variant>
        <vt:i4>143</vt:i4>
      </vt:variant>
      <vt:variant>
        <vt:i4>0</vt:i4>
      </vt:variant>
      <vt:variant>
        <vt:i4>5</vt:i4>
      </vt:variant>
      <vt:variant>
        <vt:lpwstr/>
      </vt:variant>
      <vt:variant>
        <vt:lpwstr>_Toc33600555</vt:lpwstr>
      </vt:variant>
      <vt:variant>
        <vt:i4>1376304</vt:i4>
      </vt:variant>
      <vt:variant>
        <vt:i4>137</vt:i4>
      </vt:variant>
      <vt:variant>
        <vt:i4>0</vt:i4>
      </vt:variant>
      <vt:variant>
        <vt:i4>5</vt:i4>
      </vt:variant>
      <vt:variant>
        <vt:lpwstr/>
      </vt:variant>
      <vt:variant>
        <vt:lpwstr>_Toc33600554</vt:lpwstr>
      </vt:variant>
      <vt:variant>
        <vt:i4>1179696</vt:i4>
      </vt:variant>
      <vt:variant>
        <vt:i4>131</vt:i4>
      </vt:variant>
      <vt:variant>
        <vt:i4>0</vt:i4>
      </vt:variant>
      <vt:variant>
        <vt:i4>5</vt:i4>
      </vt:variant>
      <vt:variant>
        <vt:lpwstr/>
      </vt:variant>
      <vt:variant>
        <vt:lpwstr>_Toc33600553</vt:lpwstr>
      </vt:variant>
      <vt:variant>
        <vt:i4>1245232</vt:i4>
      </vt:variant>
      <vt:variant>
        <vt:i4>125</vt:i4>
      </vt:variant>
      <vt:variant>
        <vt:i4>0</vt:i4>
      </vt:variant>
      <vt:variant>
        <vt:i4>5</vt:i4>
      </vt:variant>
      <vt:variant>
        <vt:lpwstr/>
      </vt:variant>
      <vt:variant>
        <vt:lpwstr>_Toc33600552</vt:lpwstr>
      </vt:variant>
      <vt:variant>
        <vt:i4>1048624</vt:i4>
      </vt:variant>
      <vt:variant>
        <vt:i4>119</vt:i4>
      </vt:variant>
      <vt:variant>
        <vt:i4>0</vt:i4>
      </vt:variant>
      <vt:variant>
        <vt:i4>5</vt:i4>
      </vt:variant>
      <vt:variant>
        <vt:lpwstr/>
      </vt:variant>
      <vt:variant>
        <vt:lpwstr>_Toc33600551</vt:lpwstr>
      </vt:variant>
      <vt:variant>
        <vt:i4>1114160</vt:i4>
      </vt:variant>
      <vt:variant>
        <vt:i4>113</vt:i4>
      </vt:variant>
      <vt:variant>
        <vt:i4>0</vt:i4>
      </vt:variant>
      <vt:variant>
        <vt:i4>5</vt:i4>
      </vt:variant>
      <vt:variant>
        <vt:lpwstr/>
      </vt:variant>
      <vt:variant>
        <vt:lpwstr>_Toc33600550</vt:lpwstr>
      </vt:variant>
      <vt:variant>
        <vt:i4>1572913</vt:i4>
      </vt:variant>
      <vt:variant>
        <vt:i4>107</vt:i4>
      </vt:variant>
      <vt:variant>
        <vt:i4>0</vt:i4>
      </vt:variant>
      <vt:variant>
        <vt:i4>5</vt:i4>
      </vt:variant>
      <vt:variant>
        <vt:lpwstr/>
      </vt:variant>
      <vt:variant>
        <vt:lpwstr>_Toc33600549</vt:lpwstr>
      </vt:variant>
      <vt:variant>
        <vt:i4>1638449</vt:i4>
      </vt:variant>
      <vt:variant>
        <vt:i4>101</vt:i4>
      </vt:variant>
      <vt:variant>
        <vt:i4>0</vt:i4>
      </vt:variant>
      <vt:variant>
        <vt:i4>5</vt:i4>
      </vt:variant>
      <vt:variant>
        <vt:lpwstr/>
      </vt:variant>
      <vt:variant>
        <vt:lpwstr>_Toc33600548</vt:lpwstr>
      </vt:variant>
      <vt:variant>
        <vt:i4>1441841</vt:i4>
      </vt:variant>
      <vt:variant>
        <vt:i4>95</vt:i4>
      </vt:variant>
      <vt:variant>
        <vt:i4>0</vt:i4>
      </vt:variant>
      <vt:variant>
        <vt:i4>5</vt:i4>
      </vt:variant>
      <vt:variant>
        <vt:lpwstr/>
      </vt:variant>
      <vt:variant>
        <vt:lpwstr>_Toc33600547</vt:lpwstr>
      </vt:variant>
      <vt:variant>
        <vt:i4>1507377</vt:i4>
      </vt:variant>
      <vt:variant>
        <vt:i4>89</vt:i4>
      </vt:variant>
      <vt:variant>
        <vt:i4>0</vt:i4>
      </vt:variant>
      <vt:variant>
        <vt:i4>5</vt:i4>
      </vt:variant>
      <vt:variant>
        <vt:lpwstr/>
      </vt:variant>
      <vt:variant>
        <vt:lpwstr>_Toc33600546</vt:lpwstr>
      </vt:variant>
      <vt:variant>
        <vt:i4>1310769</vt:i4>
      </vt:variant>
      <vt:variant>
        <vt:i4>83</vt:i4>
      </vt:variant>
      <vt:variant>
        <vt:i4>0</vt:i4>
      </vt:variant>
      <vt:variant>
        <vt:i4>5</vt:i4>
      </vt:variant>
      <vt:variant>
        <vt:lpwstr/>
      </vt:variant>
      <vt:variant>
        <vt:lpwstr>_Toc33600545</vt:lpwstr>
      </vt:variant>
      <vt:variant>
        <vt:i4>1376305</vt:i4>
      </vt:variant>
      <vt:variant>
        <vt:i4>77</vt:i4>
      </vt:variant>
      <vt:variant>
        <vt:i4>0</vt:i4>
      </vt:variant>
      <vt:variant>
        <vt:i4>5</vt:i4>
      </vt:variant>
      <vt:variant>
        <vt:lpwstr/>
      </vt:variant>
      <vt:variant>
        <vt:lpwstr>_Toc33600544</vt:lpwstr>
      </vt:variant>
      <vt:variant>
        <vt:i4>1179697</vt:i4>
      </vt:variant>
      <vt:variant>
        <vt:i4>71</vt:i4>
      </vt:variant>
      <vt:variant>
        <vt:i4>0</vt:i4>
      </vt:variant>
      <vt:variant>
        <vt:i4>5</vt:i4>
      </vt:variant>
      <vt:variant>
        <vt:lpwstr/>
      </vt:variant>
      <vt:variant>
        <vt:lpwstr>_Toc33600543</vt:lpwstr>
      </vt:variant>
      <vt:variant>
        <vt:i4>1245233</vt:i4>
      </vt:variant>
      <vt:variant>
        <vt:i4>65</vt:i4>
      </vt:variant>
      <vt:variant>
        <vt:i4>0</vt:i4>
      </vt:variant>
      <vt:variant>
        <vt:i4>5</vt:i4>
      </vt:variant>
      <vt:variant>
        <vt:lpwstr/>
      </vt:variant>
      <vt:variant>
        <vt:lpwstr>_Toc33600542</vt:lpwstr>
      </vt:variant>
      <vt:variant>
        <vt:i4>1048625</vt:i4>
      </vt:variant>
      <vt:variant>
        <vt:i4>59</vt:i4>
      </vt:variant>
      <vt:variant>
        <vt:i4>0</vt:i4>
      </vt:variant>
      <vt:variant>
        <vt:i4>5</vt:i4>
      </vt:variant>
      <vt:variant>
        <vt:lpwstr/>
      </vt:variant>
      <vt:variant>
        <vt:lpwstr>_Toc33600541</vt:lpwstr>
      </vt:variant>
      <vt:variant>
        <vt:i4>1114161</vt:i4>
      </vt:variant>
      <vt:variant>
        <vt:i4>53</vt:i4>
      </vt:variant>
      <vt:variant>
        <vt:i4>0</vt:i4>
      </vt:variant>
      <vt:variant>
        <vt:i4>5</vt:i4>
      </vt:variant>
      <vt:variant>
        <vt:lpwstr/>
      </vt:variant>
      <vt:variant>
        <vt:lpwstr>_Toc33600540</vt:lpwstr>
      </vt:variant>
      <vt:variant>
        <vt:i4>1572918</vt:i4>
      </vt:variant>
      <vt:variant>
        <vt:i4>47</vt:i4>
      </vt:variant>
      <vt:variant>
        <vt:i4>0</vt:i4>
      </vt:variant>
      <vt:variant>
        <vt:i4>5</vt:i4>
      </vt:variant>
      <vt:variant>
        <vt:lpwstr/>
      </vt:variant>
      <vt:variant>
        <vt:lpwstr>_Toc33600539</vt:lpwstr>
      </vt:variant>
      <vt:variant>
        <vt:i4>1638454</vt:i4>
      </vt:variant>
      <vt:variant>
        <vt:i4>41</vt:i4>
      </vt:variant>
      <vt:variant>
        <vt:i4>0</vt:i4>
      </vt:variant>
      <vt:variant>
        <vt:i4>5</vt:i4>
      </vt:variant>
      <vt:variant>
        <vt:lpwstr/>
      </vt:variant>
      <vt:variant>
        <vt:lpwstr>_Toc33600538</vt:lpwstr>
      </vt:variant>
      <vt:variant>
        <vt:i4>1441846</vt:i4>
      </vt:variant>
      <vt:variant>
        <vt:i4>35</vt:i4>
      </vt:variant>
      <vt:variant>
        <vt:i4>0</vt:i4>
      </vt:variant>
      <vt:variant>
        <vt:i4>5</vt:i4>
      </vt:variant>
      <vt:variant>
        <vt:lpwstr/>
      </vt:variant>
      <vt:variant>
        <vt:lpwstr>_Toc33600537</vt:lpwstr>
      </vt:variant>
      <vt:variant>
        <vt:i4>1507382</vt:i4>
      </vt:variant>
      <vt:variant>
        <vt:i4>29</vt:i4>
      </vt:variant>
      <vt:variant>
        <vt:i4>0</vt:i4>
      </vt:variant>
      <vt:variant>
        <vt:i4>5</vt:i4>
      </vt:variant>
      <vt:variant>
        <vt:lpwstr/>
      </vt:variant>
      <vt:variant>
        <vt:lpwstr>_Toc33600536</vt:lpwstr>
      </vt:variant>
      <vt:variant>
        <vt:i4>1310774</vt:i4>
      </vt:variant>
      <vt:variant>
        <vt:i4>23</vt:i4>
      </vt:variant>
      <vt:variant>
        <vt:i4>0</vt:i4>
      </vt:variant>
      <vt:variant>
        <vt:i4>5</vt:i4>
      </vt:variant>
      <vt:variant>
        <vt:lpwstr/>
      </vt:variant>
      <vt:variant>
        <vt:lpwstr>_Toc33600535</vt:lpwstr>
      </vt:variant>
      <vt:variant>
        <vt:i4>1376310</vt:i4>
      </vt:variant>
      <vt:variant>
        <vt:i4>17</vt:i4>
      </vt:variant>
      <vt:variant>
        <vt:i4>0</vt:i4>
      </vt:variant>
      <vt:variant>
        <vt:i4>5</vt:i4>
      </vt:variant>
      <vt:variant>
        <vt:lpwstr/>
      </vt:variant>
      <vt:variant>
        <vt:lpwstr>_Toc33600534</vt:lpwstr>
      </vt:variant>
      <vt:variant>
        <vt:i4>7602221</vt:i4>
      </vt:variant>
      <vt:variant>
        <vt:i4>12</vt:i4>
      </vt:variant>
      <vt:variant>
        <vt:i4>0</vt:i4>
      </vt:variant>
      <vt:variant>
        <vt:i4>5</vt:i4>
      </vt:variant>
      <vt:variant>
        <vt:lpwstr>http://www.cgc.gov.au/</vt:lpwstr>
      </vt:variant>
      <vt:variant>
        <vt:lpwstr/>
      </vt:variant>
      <vt:variant>
        <vt:i4>8323091</vt:i4>
      </vt:variant>
      <vt:variant>
        <vt:i4>9</vt:i4>
      </vt:variant>
      <vt:variant>
        <vt:i4>0</vt:i4>
      </vt:variant>
      <vt:variant>
        <vt:i4>5</vt:i4>
      </vt:variant>
      <vt:variant>
        <vt:lpwstr>mailto:secretary@cgc.gov.au</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3473456</vt:i4>
      </vt:variant>
      <vt:variant>
        <vt:i4>0</vt:i4>
      </vt:variant>
      <vt:variant>
        <vt:i4>0</vt:i4>
      </vt:variant>
      <vt:variant>
        <vt:i4>5</vt:i4>
      </vt:variant>
      <vt:variant>
        <vt:lpwstr>https://www.cgc.gov.au/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Fleming</dc:creator>
  <cp:keywords/>
  <dc:description/>
  <cp:lastModifiedBy>Deborah Fleming</cp:lastModifiedBy>
  <cp:revision>4292</cp:revision>
  <cp:lastPrinted>2020-02-26T01:18:00Z</cp:lastPrinted>
  <dcterms:created xsi:type="dcterms:W3CDTF">2019-12-27T03:23:00Z</dcterms:created>
  <dcterms:modified xsi:type="dcterms:W3CDTF">2020-02-26T01:18:00Z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ies>
</file>