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B1772" w14:textId="474A0496" w:rsidR="00E87D7D" w:rsidRPr="00984B47" w:rsidRDefault="00C12FBA" w:rsidP="004772E3">
      <w:pPr>
        <w:pStyle w:val="Heading3"/>
        <w:jc w:val="center"/>
        <w:rPr>
          <w:rFonts w:eastAsia="MS Gothic"/>
          <w:sz w:val="40"/>
          <w:szCs w:val="28"/>
          <w:lang w:val="en-US"/>
        </w:rPr>
      </w:pPr>
      <w:r>
        <w:rPr>
          <w:rFonts w:eastAsia="MS Gothic"/>
          <w:sz w:val="40"/>
          <w:szCs w:val="28"/>
          <w:lang w:val="en-US"/>
        </w:rPr>
        <w:t>South Australia</w:t>
      </w:r>
    </w:p>
    <w:p w14:paraId="084D324F" w14:textId="239AA422" w:rsidR="00EF23C8" w:rsidRDefault="004761A6" w:rsidP="00E87D7D">
      <w:pPr>
        <w:rPr>
          <w:rFonts w:eastAsia="Calibri" w:cs="Arial"/>
          <w:lang w:val="en-US"/>
        </w:rPr>
      </w:pPr>
      <w:r>
        <w:rPr>
          <w:rFonts w:eastAsia="Calibri" w:cs="Arial"/>
          <w:lang w:val="en-US"/>
        </w:rPr>
        <w:t xml:space="preserve">This fact sheet </w:t>
      </w:r>
      <w:r w:rsidR="00E50471">
        <w:rPr>
          <w:rFonts w:eastAsia="Calibri" w:cs="Arial"/>
          <w:lang w:val="en-US"/>
        </w:rPr>
        <w:t xml:space="preserve">provides a summary of </w:t>
      </w:r>
      <w:r w:rsidR="00EF23C8" w:rsidRPr="00EF23C8">
        <w:rPr>
          <w:rFonts w:eastAsia="Calibri" w:cs="Arial"/>
          <w:lang w:val="en-US"/>
        </w:rPr>
        <w:t xml:space="preserve">the major causes of change </w:t>
      </w:r>
      <w:r w:rsidR="005D7746">
        <w:rPr>
          <w:rFonts w:eastAsia="Calibri" w:cs="Arial"/>
          <w:lang w:val="en-US"/>
        </w:rPr>
        <w:t>in</w:t>
      </w:r>
      <w:r w:rsidR="00E50471">
        <w:rPr>
          <w:rFonts w:eastAsia="Calibri" w:cs="Arial"/>
          <w:lang w:val="en-US"/>
        </w:rPr>
        <w:t xml:space="preserve"> </w:t>
      </w:r>
      <w:r w:rsidR="00EF23C8" w:rsidRPr="00EF23C8">
        <w:rPr>
          <w:rFonts w:eastAsia="Calibri" w:cs="Arial"/>
          <w:lang w:val="en-US"/>
        </w:rPr>
        <w:t>relative fiscal capacity since the 2019 Update</w:t>
      </w:r>
      <w:r w:rsidR="00A31297">
        <w:rPr>
          <w:rFonts w:eastAsia="Calibri" w:cs="Arial"/>
          <w:lang w:val="en-US"/>
        </w:rPr>
        <w:t>, as well as an overview of</w:t>
      </w:r>
      <w:r w:rsidR="00CC472B">
        <w:rPr>
          <w:rFonts w:eastAsia="Calibri" w:cs="Arial"/>
          <w:lang w:val="en-US"/>
        </w:rPr>
        <w:t xml:space="preserve"> </w:t>
      </w:r>
      <w:r w:rsidR="003C36F3">
        <w:rPr>
          <w:rFonts w:eastAsia="Calibri" w:cs="Arial"/>
          <w:lang w:val="en-US"/>
        </w:rPr>
        <w:t xml:space="preserve">circumstances </w:t>
      </w:r>
      <w:r w:rsidR="00FD171C">
        <w:rPr>
          <w:rFonts w:eastAsia="Calibri" w:cs="Arial"/>
          <w:lang w:val="en-US"/>
        </w:rPr>
        <w:t xml:space="preserve">that </w:t>
      </w:r>
      <w:r w:rsidR="000347E9">
        <w:rPr>
          <w:rFonts w:eastAsia="Calibri" w:cs="Arial"/>
          <w:lang w:val="en-US"/>
        </w:rPr>
        <w:t xml:space="preserve">have </w:t>
      </w:r>
      <w:r w:rsidR="00FD171C">
        <w:rPr>
          <w:rFonts w:eastAsia="Calibri" w:cs="Arial"/>
          <w:lang w:val="en-US"/>
        </w:rPr>
        <w:t>affect</w:t>
      </w:r>
      <w:r w:rsidR="000347E9">
        <w:rPr>
          <w:rFonts w:eastAsia="Calibri" w:cs="Arial"/>
          <w:lang w:val="en-US"/>
        </w:rPr>
        <w:t>ed</w:t>
      </w:r>
      <w:r w:rsidR="00FD171C">
        <w:rPr>
          <w:rFonts w:eastAsia="Calibri" w:cs="Arial"/>
          <w:lang w:val="en-US"/>
        </w:rPr>
        <w:t xml:space="preserve"> </w:t>
      </w:r>
      <w:r w:rsidR="00FD171C" w:rsidRPr="00FD171C">
        <w:rPr>
          <w:rFonts w:eastAsia="Calibri" w:cs="Arial"/>
          <w:lang w:val="en-US"/>
        </w:rPr>
        <w:t>expenditure and revenue</w:t>
      </w:r>
      <w:r w:rsidR="00FD171C">
        <w:rPr>
          <w:rFonts w:eastAsia="Calibri" w:cs="Arial"/>
          <w:lang w:val="en-US"/>
        </w:rPr>
        <w:t>.</w:t>
      </w:r>
      <w:r w:rsidR="00EF23C8" w:rsidRPr="00EF23C8">
        <w:rPr>
          <w:rFonts w:eastAsia="Calibri" w:cs="Arial"/>
          <w:lang w:val="en-US"/>
        </w:rPr>
        <w:t xml:space="preserve"> </w:t>
      </w:r>
    </w:p>
    <w:p w14:paraId="4B90FFC6" w14:textId="77777777" w:rsidR="00FC09B6" w:rsidRPr="00E87D7D" w:rsidRDefault="00FC09B6" w:rsidP="00FC09B6">
      <w:pPr>
        <w:pStyle w:val="Heading4"/>
        <w:rPr>
          <w:rFonts w:eastAsia="MS Gothic"/>
          <w:lang w:val="en-US"/>
        </w:rPr>
      </w:pPr>
      <w:bookmarkStart w:id="0" w:name="_Hlk34140057"/>
      <w:r>
        <w:rPr>
          <w:rFonts w:eastAsia="MS Gothic"/>
          <w:lang w:val="en-US"/>
        </w:rPr>
        <w:t xml:space="preserve">Fiscal circumstances </w:t>
      </w:r>
    </w:p>
    <w:bookmarkEnd w:id="0"/>
    <w:p w14:paraId="06C37F14" w14:textId="77777777" w:rsidR="00041C1B" w:rsidRDefault="00041C1B" w:rsidP="00041C1B">
      <w:r w:rsidRPr="004C3D19">
        <w:t xml:space="preserve">South Australia’s fiscal capacity is the third weakest. It has below average capacity to </w:t>
      </w:r>
      <w:r w:rsidRPr="00E22AA8">
        <w:t xml:space="preserve">raise revenue from mining production, property sales, taxable payrolls and taxable land values. </w:t>
      </w:r>
    </w:p>
    <w:p w14:paraId="1EE781AE" w14:textId="0240B099" w:rsidR="00041C1B" w:rsidRPr="009C163F" w:rsidRDefault="00041C1B" w:rsidP="00041C1B">
      <w:r w:rsidRPr="00E22AA8">
        <w:t>It al</w:t>
      </w:r>
      <w:r w:rsidRPr="00C86BF3">
        <w:t>so has above average expense requirement</w:t>
      </w:r>
      <w:r w:rsidRPr="002F6A74">
        <w:t>s, reflect</w:t>
      </w:r>
      <w:r w:rsidRPr="0001758E">
        <w:t>ing</w:t>
      </w:r>
      <w:r w:rsidRPr="0051239D">
        <w:t xml:space="preserve"> its above average </w:t>
      </w:r>
      <w:r w:rsidRPr="00276E62">
        <w:t>level of non</w:t>
      </w:r>
      <w:r>
        <w:noBreakHyphen/>
      </w:r>
      <w:r w:rsidRPr="00276E62">
        <w:t>Indigenous disadvantage</w:t>
      </w:r>
      <w:r w:rsidRPr="000904C8">
        <w:t xml:space="preserve"> and </w:t>
      </w:r>
      <w:r w:rsidRPr="000E4AD4">
        <w:t>diseconomies of scale in administration.</w:t>
      </w:r>
    </w:p>
    <w:p w14:paraId="3266B898" w14:textId="77777777" w:rsidR="00041C1B" w:rsidRDefault="00041C1B" w:rsidP="00041C1B">
      <w:r>
        <w:t>Those effects on its fiscal capacity are partially offset by an above average share of Commonwealth payments and its below average investment requirement due to below average growth in service user populations.</w:t>
      </w:r>
    </w:p>
    <w:p w14:paraId="6C6D141D" w14:textId="4882F7F1" w:rsidR="00FC09B6" w:rsidRPr="008018B9" w:rsidRDefault="00FC09B6" w:rsidP="00FC09B6">
      <w:pPr>
        <w:pStyle w:val="Caption"/>
        <w:rPr>
          <w:lang w:val="en-US"/>
        </w:rPr>
      </w:pPr>
      <w:r w:rsidRPr="008018B9">
        <w:rPr>
          <w:lang w:val="en-US"/>
        </w:rPr>
        <w:t xml:space="preserve">Illustrative GST, </w:t>
      </w:r>
      <w:r w:rsidR="00C12FBA">
        <w:rPr>
          <w:lang w:val="en-US"/>
        </w:rPr>
        <w:t>South Australia</w:t>
      </w:r>
      <w:r w:rsidRPr="008018B9">
        <w:rPr>
          <w:lang w:val="en-US"/>
        </w:rPr>
        <w:t>, 2020</w:t>
      </w:r>
      <w:r w:rsidRPr="008018B9">
        <w:rPr>
          <w:lang w:val="en-US"/>
        </w:rPr>
        <w:noBreakHyphen/>
        <w:t>21</w:t>
      </w:r>
    </w:p>
    <w:tbl>
      <w:tblPr>
        <w:tblW w:w="9015" w:type="dxa"/>
        <w:tblCellMar>
          <w:left w:w="0" w:type="dxa"/>
          <w:right w:w="28" w:type="dxa"/>
        </w:tblCellMar>
        <w:tblLook w:val="04A0" w:firstRow="1" w:lastRow="0" w:firstColumn="1" w:lastColumn="0" w:noHBand="0" w:noVBand="1"/>
      </w:tblPr>
      <w:tblGrid>
        <w:gridCol w:w="4041"/>
        <w:gridCol w:w="2536"/>
        <w:gridCol w:w="2438"/>
      </w:tblGrid>
      <w:tr w:rsidR="00945B34" w:rsidRPr="00945B34" w14:paraId="1971BB81" w14:textId="77777777" w:rsidTr="00945B34">
        <w:trPr>
          <w:trHeight w:val="258"/>
        </w:trPr>
        <w:tc>
          <w:tcPr>
            <w:tcW w:w="4100" w:type="dxa"/>
            <w:tcBorders>
              <w:top w:val="single" w:sz="4" w:space="0" w:color="ADD6EA"/>
              <w:left w:val="nil"/>
              <w:bottom w:val="single" w:sz="4" w:space="0" w:color="ADD6EA"/>
              <w:right w:val="nil"/>
            </w:tcBorders>
            <w:shd w:val="clear" w:color="000000" w:fill="006991"/>
            <w:vAlign w:val="center"/>
            <w:hideMark/>
          </w:tcPr>
          <w:p w14:paraId="6C60B29C" w14:textId="77777777" w:rsidR="00945B34" w:rsidRPr="00945B34" w:rsidRDefault="00945B34" w:rsidP="00945B3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5B34">
              <w:rPr>
                <w:rFonts w:ascii="Open Sans SemiBold" w:eastAsia="Times New Roman" w:hAnsi="Open Sans SemiBold" w:cs="Open Sans SemiBold"/>
                <w:color w:val="FFFFFF"/>
                <w:sz w:val="16"/>
                <w:szCs w:val="16"/>
                <w:lang w:eastAsia="en-AU"/>
              </w:rPr>
              <w:t> </w:t>
            </w:r>
          </w:p>
        </w:tc>
        <w:tc>
          <w:tcPr>
            <w:tcW w:w="2580" w:type="dxa"/>
            <w:tcBorders>
              <w:top w:val="single" w:sz="4" w:space="0" w:color="ADD6EA"/>
              <w:left w:val="nil"/>
              <w:bottom w:val="single" w:sz="4" w:space="0" w:color="ADD6EA"/>
              <w:right w:val="nil"/>
            </w:tcBorders>
            <w:shd w:val="clear" w:color="000000" w:fill="006991"/>
            <w:vAlign w:val="center"/>
            <w:hideMark/>
          </w:tcPr>
          <w:p w14:paraId="54B0ED94" w14:textId="77777777" w:rsidR="00945B34" w:rsidRPr="00945B34" w:rsidRDefault="00945B34" w:rsidP="00945B3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5B34">
              <w:rPr>
                <w:rFonts w:ascii="Open Sans SemiBold" w:eastAsia="Times New Roman" w:hAnsi="Open Sans SemiBold" w:cs="Open Sans SemiBold"/>
                <w:color w:val="FFFFFF"/>
                <w:sz w:val="16"/>
                <w:szCs w:val="16"/>
                <w:lang w:eastAsia="en-AU"/>
              </w:rPr>
              <w:t>$m</w:t>
            </w:r>
          </w:p>
        </w:tc>
        <w:tc>
          <w:tcPr>
            <w:tcW w:w="2480" w:type="dxa"/>
            <w:tcBorders>
              <w:top w:val="single" w:sz="4" w:space="0" w:color="ADD6EA"/>
              <w:left w:val="nil"/>
              <w:bottom w:val="single" w:sz="4" w:space="0" w:color="ADD6EA"/>
              <w:right w:val="nil"/>
            </w:tcBorders>
            <w:shd w:val="clear" w:color="000000" w:fill="006991"/>
            <w:vAlign w:val="center"/>
            <w:hideMark/>
          </w:tcPr>
          <w:p w14:paraId="2297179E" w14:textId="77777777" w:rsidR="00945B34" w:rsidRPr="00945B34" w:rsidRDefault="00945B34" w:rsidP="00945B34">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45B34">
              <w:rPr>
                <w:rFonts w:ascii="Open Sans SemiBold" w:eastAsia="Times New Roman" w:hAnsi="Open Sans SemiBold" w:cs="Open Sans SemiBold"/>
                <w:color w:val="FFFFFF"/>
                <w:sz w:val="16"/>
                <w:szCs w:val="16"/>
                <w:lang w:eastAsia="en-AU"/>
              </w:rPr>
              <w:t>$pc</w:t>
            </w:r>
          </w:p>
        </w:tc>
      </w:tr>
      <w:tr w:rsidR="00945B34" w:rsidRPr="00945B34" w14:paraId="73A19BBA" w14:textId="77777777" w:rsidTr="00945B34">
        <w:trPr>
          <w:trHeight w:val="315"/>
        </w:trPr>
        <w:tc>
          <w:tcPr>
            <w:tcW w:w="4100" w:type="dxa"/>
            <w:tcBorders>
              <w:top w:val="nil"/>
              <w:left w:val="nil"/>
              <w:bottom w:val="single" w:sz="4" w:space="0" w:color="ADD6EA"/>
              <w:right w:val="nil"/>
            </w:tcBorders>
            <w:shd w:val="clear" w:color="000000" w:fill="FFFFFF"/>
            <w:vAlign w:val="bottom"/>
            <w:hideMark/>
          </w:tcPr>
          <w:p w14:paraId="3B32F2B2" w14:textId="77777777" w:rsidR="00945B34" w:rsidRPr="00945B34" w:rsidRDefault="00945B34" w:rsidP="00945B34">
            <w:pPr>
              <w:tabs>
                <w:tab w:val="clear" w:pos="567"/>
              </w:tabs>
              <w:spacing w:before="0" w:line="240" w:lineRule="auto"/>
              <w:rPr>
                <w:rFonts w:eastAsia="Times New Roman" w:cs="Open Sans Light"/>
                <w:color w:val="000000"/>
                <w:sz w:val="16"/>
                <w:szCs w:val="16"/>
                <w:lang w:eastAsia="en-AU"/>
              </w:rPr>
            </w:pPr>
            <w:r w:rsidRPr="00945B34">
              <w:rPr>
                <w:rFonts w:eastAsia="Times New Roman" w:cs="Open Sans Light"/>
                <w:color w:val="000000"/>
                <w:sz w:val="16"/>
                <w:szCs w:val="16"/>
                <w:lang w:eastAsia="en-AU"/>
              </w:rPr>
              <w:t>Equal per capita share</w:t>
            </w:r>
          </w:p>
        </w:tc>
        <w:tc>
          <w:tcPr>
            <w:tcW w:w="2580" w:type="dxa"/>
            <w:tcBorders>
              <w:top w:val="nil"/>
              <w:left w:val="nil"/>
              <w:bottom w:val="single" w:sz="4" w:space="0" w:color="ADD6EA"/>
              <w:right w:val="nil"/>
            </w:tcBorders>
            <w:shd w:val="clear" w:color="000000" w:fill="FFFFFF"/>
            <w:vAlign w:val="bottom"/>
            <w:hideMark/>
          </w:tcPr>
          <w:p w14:paraId="2C955E4C"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4,603</w:t>
            </w:r>
          </w:p>
        </w:tc>
        <w:tc>
          <w:tcPr>
            <w:tcW w:w="2480" w:type="dxa"/>
            <w:tcBorders>
              <w:top w:val="nil"/>
              <w:left w:val="nil"/>
              <w:bottom w:val="single" w:sz="4" w:space="0" w:color="ADD6EA"/>
              <w:right w:val="nil"/>
            </w:tcBorders>
            <w:shd w:val="clear" w:color="000000" w:fill="FFFFFF"/>
            <w:vAlign w:val="bottom"/>
            <w:hideMark/>
          </w:tcPr>
          <w:p w14:paraId="794F55F5"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2,598</w:t>
            </w:r>
          </w:p>
        </w:tc>
      </w:tr>
      <w:tr w:rsidR="00945B34" w:rsidRPr="00945B34" w14:paraId="5105799B" w14:textId="77777777" w:rsidTr="00945B34">
        <w:trPr>
          <w:trHeight w:val="315"/>
        </w:trPr>
        <w:tc>
          <w:tcPr>
            <w:tcW w:w="4100" w:type="dxa"/>
            <w:tcBorders>
              <w:top w:val="nil"/>
              <w:left w:val="nil"/>
              <w:bottom w:val="single" w:sz="4" w:space="0" w:color="ADD6EA"/>
              <w:right w:val="nil"/>
            </w:tcBorders>
            <w:shd w:val="clear" w:color="000000" w:fill="FFFFFF"/>
            <w:vAlign w:val="bottom"/>
            <w:hideMark/>
          </w:tcPr>
          <w:p w14:paraId="19E01500" w14:textId="77777777" w:rsidR="00945B34" w:rsidRPr="00945B34" w:rsidRDefault="00945B34" w:rsidP="00945B34">
            <w:pPr>
              <w:tabs>
                <w:tab w:val="clear" w:pos="567"/>
              </w:tabs>
              <w:spacing w:before="0" w:line="240" w:lineRule="auto"/>
              <w:rPr>
                <w:rFonts w:ascii="Open Sans SemiBold" w:eastAsia="Times New Roman" w:hAnsi="Open Sans SemiBold" w:cs="Open Sans SemiBold"/>
                <w:sz w:val="16"/>
                <w:szCs w:val="16"/>
                <w:lang w:eastAsia="en-AU"/>
              </w:rPr>
            </w:pPr>
            <w:r w:rsidRPr="00945B34">
              <w:rPr>
                <w:rFonts w:ascii="Open Sans SemiBold" w:eastAsia="Times New Roman" w:hAnsi="Open Sans SemiBold" w:cs="Open Sans SemiBold"/>
                <w:sz w:val="16"/>
                <w:szCs w:val="16"/>
                <w:lang w:eastAsia="en-AU"/>
              </w:rPr>
              <w:t>Effect of assessed:</w:t>
            </w:r>
          </w:p>
        </w:tc>
        <w:tc>
          <w:tcPr>
            <w:tcW w:w="2580" w:type="dxa"/>
            <w:tcBorders>
              <w:top w:val="nil"/>
              <w:left w:val="nil"/>
              <w:bottom w:val="single" w:sz="4" w:space="0" w:color="ADD6EA"/>
              <w:right w:val="nil"/>
            </w:tcBorders>
            <w:shd w:val="clear" w:color="000000" w:fill="FFFFFF"/>
            <w:vAlign w:val="bottom"/>
            <w:hideMark/>
          </w:tcPr>
          <w:p w14:paraId="4492602A"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 </w:t>
            </w:r>
          </w:p>
        </w:tc>
        <w:tc>
          <w:tcPr>
            <w:tcW w:w="2480" w:type="dxa"/>
            <w:tcBorders>
              <w:top w:val="nil"/>
              <w:left w:val="nil"/>
              <w:bottom w:val="single" w:sz="4" w:space="0" w:color="ADD6EA"/>
              <w:right w:val="nil"/>
            </w:tcBorders>
            <w:shd w:val="clear" w:color="000000" w:fill="FFFFFF"/>
            <w:vAlign w:val="bottom"/>
            <w:hideMark/>
          </w:tcPr>
          <w:p w14:paraId="3E8009D1"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 </w:t>
            </w:r>
          </w:p>
        </w:tc>
      </w:tr>
      <w:tr w:rsidR="00945B34" w:rsidRPr="00945B34" w14:paraId="5EC78041" w14:textId="77777777" w:rsidTr="00945B34">
        <w:trPr>
          <w:trHeight w:val="315"/>
        </w:trPr>
        <w:tc>
          <w:tcPr>
            <w:tcW w:w="4100" w:type="dxa"/>
            <w:tcBorders>
              <w:top w:val="nil"/>
              <w:left w:val="nil"/>
              <w:bottom w:val="single" w:sz="4" w:space="0" w:color="ADD6EA"/>
              <w:right w:val="nil"/>
            </w:tcBorders>
            <w:shd w:val="clear" w:color="000000" w:fill="FFFFFF"/>
            <w:vAlign w:val="bottom"/>
            <w:hideMark/>
          </w:tcPr>
          <w:p w14:paraId="5A17119D" w14:textId="77777777" w:rsidR="00945B34" w:rsidRPr="00945B34" w:rsidRDefault="00945B34" w:rsidP="00945B34">
            <w:pPr>
              <w:tabs>
                <w:tab w:val="clear" w:pos="567"/>
              </w:tabs>
              <w:spacing w:before="0" w:line="240" w:lineRule="auto"/>
              <w:rPr>
                <w:rFonts w:eastAsia="Times New Roman" w:cs="Open Sans Light"/>
                <w:color w:val="000000"/>
                <w:sz w:val="16"/>
                <w:szCs w:val="16"/>
                <w:lang w:eastAsia="en-AU"/>
              </w:rPr>
            </w:pPr>
            <w:r w:rsidRPr="00945B34">
              <w:rPr>
                <w:rFonts w:eastAsia="Times New Roman" w:cs="Open Sans Light"/>
                <w:color w:val="000000"/>
                <w:sz w:val="16"/>
                <w:szCs w:val="16"/>
                <w:lang w:eastAsia="en-AU"/>
              </w:rPr>
              <w:t>Expenses</w:t>
            </w:r>
          </w:p>
        </w:tc>
        <w:tc>
          <w:tcPr>
            <w:tcW w:w="2580" w:type="dxa"/>
            <w:tcBorders>
              <w:top w:val="nil"/>
              <w:left w:val="nil"/>
              <w:bottom w:val="single" w:sz="4" w:space="0" w:color="ADD6EA"/>
              <w:right w:val="nil"/>
            </w:tcBorders>
            <w:shd w:val="clear" w:color="000000" w:fill="FFFFFF"/>
            <w:vAlign w:val="bottom"/>
            <w:hideMark/>
          </w:tcPr>
          <w:p w14:paraId="420B99DD"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181</w:t>
            </w:r>
          </w:p>
        </w:tc>
        <w:tc>
          <w:tcPr>
            <w:tcW w:w="2480" w:type="dxa"/>
            <w:tcBorders>
              <w:top w:val="nil"/>
              <w:left w:val="nil"/>
              <w:bottom w:val="single" w:sz="4" w:space="0" w:color="ADD6EA"/>
              <w:right w:val="nil"/>
            </w:tcBorders>
            <w:shd w:val="clear" w:color="000000" w:fill="FFFFFF"/>
            <w:vAlign w:val="bottom"/>
            <w:hideMark/>
          </w:tcPr>
          <w:p w14:paraId="521A875B"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102</w:t>
            </w:r>
          </w:p>
        </w:tc>
      </w:tr>
      <w:tr w:rsidR="00945B34" w:rsidRPr="00945B34" w14:paraId="2491FBD7" w14:textId="77777777" w:rsidTr="00945B34">
        <w:trPr>
          <w:trHeight w:val="315"/>
        </w:trPr>
        <w:tc>
          <w:tcPr>
            <w:tcW w:w="4100" w:type="dxa"/>
            <w:tcBorders>
              <w:top w:val="nil"/>
              <w:left w:val="nil"/>
              <w:bottom w:val="single" w:sz="4" w:space="0" w:color="ADD6EA"/>
              <w:right w:val="nil"/>
            </w:tcBorders>
            <w:shd w:val="clear" w:color="000000" w:fill="FFFFFF"/>
            <w:vAlign w:val="bottom"/>
            <w:hideMark/>
          </w:tcPr>
          <w:p w14:paraId="2690216B" w14:textId="77777777" w:rsidR="00945B34" w:rsidRPr="00945B34" w:rsidRDefault="00945B34" w:rsidP="00945B34">
            <w:pPr>
              <w:tabs>
                <w:tab w:val="clear" w:pos="567"/>
              </w:tabs>
              <w:spacing w:before="0" w:line="240" w:lineRule="auto"/>
              <w:rPr>
                <w:rFonts w:eastAsia="Times New Roman" w:cs="Open Sans Light"/>
                <w:color w:val="000000"/>
                <w:sz w:val="16"/>
                <w:szCs w:val="16"/>
                <w:lang w:eastAsia="en-AU"/>
              </w:rPr>
            </w:pPr>
            <w:r w:rsidRPr="00945B34">
              <w:rPr>
                <w:rFonts w:eastAsia="Times New Roman" w:cs="Open Sans Light"/>
                <w:color w:val="000000"/>
                <w:sz w:val="16"/>
                <w:szCs w:val="16"/>
                <w:lang w:eastAsia="en-AU"/>
              </w:rPr>
              <w:t>Investment</w:t>
            </w:r>
          </w:p>
        </w:tc>
        <w:tc>
          <w:tcPr>
            <w:tcW w:w="2580" w:type="dxa"/>
            <w:tcBorders>
              <w:top w:val="nil"/>
              <w:left w:val="nil"/>
              <w:bottom w:val="single" w:sz="4" w:space="0" w:color="ADD6EA"/>
              <w:right w:val="nil"/>
            </w:tcBorders>
            <w:shd w:val="clear" w:color="000000" w:fill="FFFFFF"/>
            <w:vAlign w:val="bottom"/>
            <w:hideMark/>
          </w:tcPr>
          <w:p w14:paraId="025EDD9E"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-405</w:t>
            </w:r>
          </w:p>
        </w:tc>
        <w:tc>
          <w:tcPr>
            <w:tcW w:w="2480" w:type="dxa"/>
            <w:tcBorders>
              <w:top w:val="nil"/>
              <w:left w:val="nil"/>
              <w:bottom w:val="single" w:sz="4" w:space="0" w:color="ADD6EA"/>
              <w:right w:val="nil"/>
            </w:tcBorders>
            <w:shd w:val="clear" w:color="000000" w:fill="FFFFFF"/>
            <w:vAlign w:val="bottom"/>
            <w:hideMark/>
          </w:tcPr>
          <w:p w14:paraId="0C689E6A"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-229</w:t>
            </w:r>
          </w:p>
        </w:tc>
      </w:tr>
      <w:tr w:rsidR="00945B34" w:rsidRPr="00945B34" w14:paraId="7A072E1D" w14:textId="77777777" w:rsidTr="00945B34">
        <w:trPr>
          <w:trHeight w:val="315"/>
        </w:trPr>
        <w:tc>
          <w:tcPr>
            <w:tcW w:w="4100" w:type="dxa"/>
            <w:tcBorders>
              <w:top w:val="nil"/>
              <w:left w:val="nil"/>
              <w:bottom w:val="single" w:sz="4" w:space="0" w:color="ADD6EA"/>
              <w:right w:val="nil"/>
            </w:tcBorders>
            <w:shd w:val="clear" w:color="000000" w:fill="FFFFFF"/>
            <w:vAlign w:val="bottom"/>
            <w:hideMark/>
          </w:tcPr>
          <w:p w14:paraId="0F771B79" w14:textId="77777777" w:rsidR="00945B34" w:rsidRPr="00945B34" w:rsidRDefault="00945B34" w:rsidP="00945B34">
            <w:pPr>
              <w:tabs>
                <w:tab w:val="clear" w:pos="567"/>
              </w:tabs>
              <w:spacing w:before="0" w:line="240" w:lineRule="auto"/>
              <w:rPr>
                <w:rFonts w:eastAsia="Times New Roman" w:cs="Open Sans Light"/>
                <w:color w:val="000000"/>
                <w:sz w:val="16"/>
                <w:szCs w:val="16"/>
                <w:lang w:eastAsia="en-AU"/>
              </w:rPr>
            </w:pPr>
            <w:r w:rsidRPr="00945B34">
              <w:rPr>
                <w:rFonts w:eastAsia="Times New Roman" w:cs="Open Sans Light"/>
                <w:color w:val="000000"/>
                <w:sz w:val="16"/>
                <w:szCs w:val="16"/>
                <w:lang w:eastAsia="en-AU"/>
              </w:rPr>
              <w:t>Net borrowing</w:t>
            </w:r>
          </w:p>
        </w:tc>
        <w:tc>
          <w:tcPr>
            <w:tcW w:w="2580" w:type="dxa"/>
            <w:tcBorders>
              <w:top w:val="nil"/>
              <w:left w:val="nil"/>
              <w:bottom w:val="single" w:sz="4" w:space="0" w:color="ADD6EA"/>
              <w:right w:val="nil"/>
            </w:tcBorders>
            <w:shd w:val="clear" w:color="000000" w:fill="FFFFFF"/>
            <w:vAlign w:val="bottom"/>
            <w:hideMark/>
          </w:tcPr>
          <w:p w14:paraId="6765BA46"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60</w:t>
            </w:r>
          </w:p>
        </w:tc>
        <w:tc>
          <w:tcPr>
            <w:tcW w:w="2480" w:type="dxa"/>
            <w:tcBorders>
              <w:top w:val="nil"/>
              <w:left w:val="nil"/>
              <w:bottom w:val="single" w:sz="4" w:space="0" w:color="ADD6EA"/>
              <w:right w:val="nil"/>
            </w:tcBorders>
            <w:shd w:val="clear" w:color="000000" w:fill="FFFFFF"/>
            <w:vAlign w:val="bottom"/>
            <w:hideMark/>
          </w:tcPr>
          <w:p w14:paraId="44A7F24C"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34</w:t>
            </w:r>
          </w:p>
        </w:tc>
      </w:tr>
      <w:tr w:rsidR="00945B34" w:rsidRPr="00945B34" w14:paraId="4D1C1DDB" w14:textId="77777777" w:rsidTr="00945B34">
        <w:trPr>
          <w:trHeight w:val="315"/>
        </w:trPr>
        <w:tc>
          <w:tcPr>
            <w:tcW w:w="4100" w:type="dxa"/>
            <w:tcBorders>
              <w:top w:val="nil"/>
              <w:left w:val="nil"/>
              <w:bottom w:val="single" w:sz="4" w:space="0" w:color="ADD6EA"/>
              <w:right w:val="nil"/>
            </w:tcBorders>
            <w:shd w:val="clear" w:color="auto" w:fill="auto"/>
            <w:vAlign w:val="bottom"/>
            <w:hideMark/>
          </w:tcPr>
          <w:p w14:paraId="00810CF2" w14:textId="77777777" w:rsidR="00945B34" w:rsidRPr="00945B34" w:rsidRDefault="00945B34" w:rsidP="00945B34">
            <w:pPr>
              <w:tabs>
                <w:tab w:val="clear" w:pos="567"/>
              </w:tabs>
              <w:spacing w:before="0" w:line="240" w:lineRule="auto"/>
              <w:rPr>
                <w:rFonts w:eastAsia="Times New Roman" w:cs="Open Sans Light"/>
                <w:sz w:val="16"/>
                <w:szCs w:val="16"/>
                <w:lang w:eastAsia="en-AU"/>
              </w:rPr>
            </w:pPr>
            <w:r w:rsidRPr="00945B34">
              <w:rPr>
                <w:rFonts w:eastAsia="Times New Roman" w:cs="Open Sans Light"/>
                <w:sz w:val="16"/>
                <w:szCs w:val="16"/>
                <w:lang w:eastAsia="en-AU"/>
              </w:rPr>
              <w:t>Revenue</w:t>
            </w:r>
          </w:p>
        </w:tc>
        <w:tc>
          <w:tcPr>
            <w:tcW w:w="2580" w:type="dxa"/>
            <w:tcBorders>
              <w:top w:val="nil"/>
              <w:left w:val="nil"/>
              <w:bottom w:val="single" w:sz="4" w:space="0" w:color="ADD6EA"/>
              <w:right w:val="nil"/>
            </w:tcBorders>
            <w:shd w:val="clear" w:color="000000" w:fill="FFFFFF"/>
            <w:vAlign w:val="bottom"/>
            <w:hideMark/>
          </w:tcPr>
          <w:p w14:paraId="71DA3D82"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2,057</w:t>
            </w:r>
          </w:p>
        </w:tc>
        <w:tc>
          <w:tcPr>
            <w:tcW w:w="2480" w:type="dxa"/>
            <w:tcBorders>
              <w:top w:val="nil"/>
              <w:left w:val="nil"/>
              <w:bottom w:val="single" w:sz="4" w:space="0" w:color="ADD6EA"/>
              <w:right w:val="nil"/>
            </w:tcBorders>
            <w:shd w:val="clear" w:color="000000" w:fill="FFFFFF"/>
            <w:vAlign w:val="bottom"/>
            <w:hideMark/>
          </w:tcPr>
          <w:p w14:paraId="5C769AC3"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1,161</w:t>
            </w:r>
          </w:p>
        </w:tc>
      </w:tr>
      <w:tr w:rsidR="00945B34" w:rsidRPr="00945B34" w14:paraId="49F0CEBC" w14:textId="77777777" w:rsidTr="00945B34">
        <w:trPr>
          <w:trHeight w:val="315"/>
        </w:trPr>
        <w:tc>
          <w:tcPr>
            <w:tcW w:w="4100" w:type="dxa"/>
            <w:tcBorders>
              <w:top w:val="nil"/>
              <w:left w:val="nil"/>
              <w:bottom w:val="single" w:sz="4" w:space="0" w:color="ADD6EA"/>
              <w:right w:val="nil"/>
            </w:tcBorders>
            <w:shd w:val="clear" w:color="000000" w:fill="FFFFFF"/>
            <w:vAlign w:val="bottom"/>
            <w:hideMark/>
          </w:tcPr>
          <w:p w14:paraId="4AB22D6E" w14:textId="77777777" w:rsidR="00945B34" w:rsidRPr="00945B34" w:rsidRDefault="00945B34" w:rsidP="00945B34">
            <w:pPr>
              <w:tabs>
                <w:tab w:val="clear" w:pos="567"/>
              </w:tabs>
              <w:spacing w:before="0" w:line="240" w:lineRule="auto"/>
              <w:rPr>
                <w:rFonts w:eastAsia="Times New Roman" w:cs="Open Sans Light"/>
                <w:color w:val="000000"/>
                <w:sz w:val="16"/>
                <w:szCs w:val="16"/>
                <w:lang w:eastAsia="en-AU"/>
              </w:rPr>
            </w:pPr>
            <w:r w:rsidRPr="00945B34">
              <w:rPr>
                <w:rFonts w:eastAsia="Times New Roman" w:cs="Open Sans Light"/>
                <w:color w:val="000000"/>
                <w:sz w:val="16"/>
                <w:szCs w:val="16"/>
                <w:lang w:eastAsia="en-AU"/>
              </w:rPr>
              <w:t>Commonwealth payments</w:t>
            </w:r>
          </w:p>
        </w:tc>
        <w:tc>
          <w:tcPr>
            <w:tcW w:w="2580" w:type="dxa"/>
            <w:tcBorders>
              <w:top w:val="nil"/>
              <w:left w:val="nil"/>
              <w:bottom w:val="single" w:sz="4" w:space="0" w:color="ADD6EA"/>
              <w:right w:val="nil"/>
            </w:tcBorders>
            <w:shd w:val="clear" w:color="000000" w:fill="FFFFFF"/>
            <w:vAlign w:val="bottom"/>
            <w:hideMark/>
          </w:tcPr>
          <w:p w14:paraId="3085AAC1"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-236</w:t>
            </w:r>
          </w:p>
        </w:tc>
        <w:tc>
          <w:tcPr>
            <w:tcW w:w="2480" w:type="dxa"/>
            <w:tcBorders>
              <w:top w:val="nil"/>
              <w:left w:val="nil"/>
              <w:bottom w:val="single" w:sz="4" w:space="0" w:color="ADD6EA"/>
              <w:right w:val="nil"/>
            </w:tcBorders>
            <w:shd w:val="clear" w:color="000000" w:fill="FFFFFF"/>
            <w:vAlign w:val="bottom"/>
            <w:hideMark/>
          </w:tcPr>
          <w:p w14:paraId="12F48722" w14:textId="77777777" w:rsidR="00945B34" w:rsidRPr="00945B34" w:rsidRDefault="00945B34" w:rsidP="00945B34">
            <w:pPr>
              <w:tabs>
                <w:tab w:val="clear" w:pos="567"/>
              </w:tabs>
              <w:spacing w:before="0" w:line="240" w:lineRule="auto"/>
              <w:jc w:val="right"/>
              <w:rPr>
                <w:rFonts w:eastAsia="Times New Roman" w:cs="Open Sans Light"/>
                <w:color w:val="000000"/>
                <w:sz w:val="16"/>
                <w:szCs w:val="16"/>
                <w:lang w:eastAsia="en-AU"/>
              </w:rPr>
            </w:pPr>
            <w:r w:rsidRPr="00945B34">
              <w:rPr>
                <w:rFonts w:eastAsia="Times New Roman" w:cs="Open Sans Light"/>
                <w:color w:val="000000"/>
                <w:sz w:val="16"/>
                <w:szCs w:val="16"/>
                <w:lang w:eastAsia="en-AU"/>
              </w:rPr>
              <w:t>-133</w:t>
            </w:r>
          </w:p>
        </w:tc>
      </w:tr>
      <w:tr w:rsidR="00945B34" w:rsidRPr="00945B34" w14:paraId="3D0821ED" w14:textId="77777777" w:rsidTr="00945B34">
        <w:trPr>
          <w:trHeight w:val="315"/>
        </w:trPr>
        <w:tc>
          <w:tcPr>
            <w:tcW w:w="4100" w:type="dxa"/>
            <w:tcBorders>
              <w:top w:val="nil"/>
              <w:left w:val="nil"/>
              <w:bottom w:val="single" w:sz="4" w:space="0" w:color="ADD6EA"/>
              <w:right w:val="nil"/>
            </w:tcBorders>
            <w:shd w:val="clear" w:color="000000" w:fill="B6D5E4"/>
            <w:vAlign w:val="bottom"/>
            <w:hideMark/>
          </w:tcPr>
          <w:p w14:paraId="3637E2A8" w14:textId="77777777" w:rsidR="00945B34" w:rsidRPr="00945B34" w:rsidRDefault="00945B34" w:rsidP="00945B34">
            <w:pPr>
              <w:tabs>
                <w:tab w:val="clear" w:pos="567"/>
              </w:tabs>
              <w:spacing w:before="0" w:line="240" w:lineRule="auto"/>
              <w:rPr>
                <w:rFonts w:ascii="Open Sans SemiBold" w:eastAsia="Times New Roman" w:hAnsi="Open Sans SemiBold" w:cs="Open Sans SemiBold"/>
                <w:color w:val="000000"/>
                <w:sz w:val="16"/>
                <w:szCs w:val="16"/>
                <w:lang w:eastAsia="en-AU"/>
              </w:rPr>
            </w:pPr>
            <w:r w:rsidRPr="00945B34">
              <w:rPr>
                <w:rFonts w:ascii="Open Sans SemiBold" w:eastAsia="Times New Roman" w:hAnsi="Open Sans SemiBold" w:cs="Open Sans SemiBold"/>
                <w:color w:val="000000"/>
                <w:sz w:val="16"/>
                <w:szCs w:val="16"/>
                <w:lang w:eastAsia="en-AU"/>
              </w:rPr>
              <w:t>Illustrative GST</w:t>
            </w:r>
          </w:p>
        </w:tc>
        <w:tc>
          <w:tcPr>
            <w:tcW w:w="2580" w:type="dxa"/>
            <w:tcBorders>
              <w:top w:val="nil"/>
              <w:left w:val="nil"/>
              <w:bottom w:val="single" w:sz="4" w:space="0" w:color="ADD6EA"/>
              <w:right w:val="nil"/>
            </w:tcBorders>
            <w:shd w:val="clear" w:color="000000" w:fill="B6D5E4"/>
            <w:vAlign w:val="bottom"/>
            <w:hideMark/>
          </w:tcPr>
          <w:p w14:paraId="18FF1123" w14:textId="77777777" w:rsidR="00945B34" w:rsidRPr="00945B34" w:rsidRDefault="00945B34" w:rsidP="00945B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45B34">
              <w:rPr>
                <w:rFonts w:ascii="Open Sans SemiBold" w:eastAsia="Times New Roman" w:hAnsi="Open Sans SemiBold" w:cs="Open Sans SemiBold"/>
                <w:color w:val="000000"/>
                <w:sz w:val="16"/>
                <w:szCs w:val="16"/>
                <w:lang w:eastAsia="en-AU"/>
              </w:rPr>
              <w:t>6,259</w:t>
            </w:r>
          </w:p>
        </w:tc>
        <w:tc>
          <w:tcPr>
            <w:tcW w:w="2480" w:type="dxa"/>
            <w:tcBorders>
              <w:top w:val="nil"/>
              <w:left w:val="nil"/>
              <w:bottom w:val="single" w:sz="4" w:space="0" w:color="ADD6EA"/>
              <w:right w:val="nil"/>
            </w:tcBorders>
            <w:shd w:val="clear" w:color="000000" w:fill="B6D5E4"/>
            <w:vAlign w:val="bottom"/>
            <w:hideMark/>
          </w:tcPr>
          <w:p w14:paraId="0C4137D8" w14:textId="77777777" w:rsidR="00945B34" w:rsidRPr="00945B34" w:rsidRDefault="00945B34" w:rsidP="00945B34">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45B34">
              <w:rPr>
                <w:rFonts w:ascii="Open Sans SemiBold" w:eastAsia="Times New Roman" w:hAnsi="Open Sans SemiBold" w:cs="Open Sans SemiBold"/>
                <w:color w:val="000000"/>
                <w:sz w:val="16"/>
                <w:szCs w:val="16"/>
                <w:lang w:eastAsia="en-AU"/>
              </w:rPr>
              <w:t>3,533</w:t>
            </w:r>
          </w:p>
        </w:tc>
      </w:tr>
    </w:tbl>
    <w:p w14:paraId="1EB8A1FE" w14:textId="578577C7" w:rsidR="00FC09B6" w:rsidRPr="00A46084" w:rsidRDefault="00FC09B6" w:rsidP="00A46084">
      <w:pPr>
        <w:pStyle w:val="CGCTablenote"/>
      </w:pPr>
      <w:r w:rsidRPr="00A46084">
        <w:t>Note:</w:t>
      </w:r>
      <w:r w:rsidRPr="00A46084">
        <w:tab/>
      </w:r>
      <w:r w:rsidR="00A46084" w:rsidRPr="00A46084">
        <w:t>Table may not add due to rounding. For expenses and investment, a negative sign indicates below average costs, which reduces a State’s GST requirement. For net borrowing, revenue and Commonwealth payments, a negative sign indicates above average revenue raising capacity, which also reduces a State’s GST requirement.</w:t>
      </w:r>
    </w:p>
    <w:p w14:paraId="74B1808D" w14:textId="1020EC02" w:rsidR="000512CF" w:rsidRDefault="000512CF" w:rsidP="000512CF">
      <w:pPr>
        <w:tabs>
          <w:tab w:val="clear" w:pos="567"/>
          <w:tab w:val="left" w:pos="680"/>
        </w:tabs>
        <w:spacing w:before="40" w:line="240" w:lineRule="auto"/>
        <w:ind w:left="680" w:hanging="567"/>
        <w:rPr>
          <w:rFonts w:eastAsia="Calibri" w:cs="Arial"/>
          <w:sz w:val="14"/>
          <w:lang w:val="en-US"/>
        </w:rPr>
      </w:pPr>
    </w:p>
    <w:p w14:paraId="5A0AD42E" w14:textId="77777777" w:rsidR="00FF5358" w:rsidRPr="000512CF" w:rsidRDefault="00FF5358" w:rsidP="000512CF">
      <w:pPr>
        <w:tabs>
          <w:tab w:val="clear" w:pos="567"/>
          <w:tab w:val="left" w:pos="680"/>
        </w:tabs>
        <w:spacing w:before="40" w:line="240" w:lineRule="auto"/>
        <w:ind w:left="680" w:hanging="567"/>
        <w:rPr>
          <w:rFonts w:eastAsia="Calibri" w:cs="Arial"/>
          <w:sz w:val="14"/>
          <w:lang w:val="en-US"/>
        </w:rPr>
      </w:pPr>
    </w:p>
    <w:tbl>
      <w:tblPr>
        <w:tblStyle w:val="TableGrid"/>
        <w:tblW w:w="9072"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CellMar>
          <w:left w:w="57" w:type="dxa"/>
          <w:right w:w="57" w:type="dxa"/>
        </w:tblCellMar>
        <w:tblLook w:val="04A0" w:firstRow="1" w:lastRow="0" w:firstColumn="1" w:lastColumn="0" w:noHBand="0" w:noVBand="1"/>
      </w:tblPr>
      <w:tblGrid>
        <w:gridCol w:w="9072"/>
      </w:tblGrid>
      <w:tr w:rsidR="00B57239" w14:paraId="0AFC9E92" w14:textId="77777777" w:rsidTr="00403C31">
        <w:tc>
          <w:tcPr>
            <w:tcW w:w="9072" w:type="dxa"/>
            <w:shd w:val="clear" w:color="auto" w:fill="EBF3F5"/>
          </w:tcPr>
          <w:p w14:paraId="54A7A37C" w14:textId="7C034C1E" w:rsidR="00B57239" w:rsidRPr="00346EE2" w:rsidRDefault="00B57239" w:rsidP="00B57239">
            <w:pPr>
              <w:rPr>
                <w:rFonts w:ascii="Montserrat Ultra Light" w:hAnsi="Montserrat Ultra Light"/>
                <w:b/>
                <w:bCs/>
                <w:color w:val="004563"/>
                <w:lang w:val="en-US"/>
              </w:rPr>
            </w:pPr>
            <w:r w:rsidRPr="00346EE2">
              <w:rPr>
                <w:rFonts w:ascii="Montserrat Ultra Light" w:hAnsi="Montserrat Ultra Light"/>
                <w:b/>
                <w:bCs/>
                <w:color w:val="004563"/>
                <w:lang w:val="en-US"/>
              </w:rPr>
              <w:t xml:space="preserve">Key reasons why fiscal capacities differ between </w:t>
            </w:r>
            <w:r w:rsidR="004A6E06">
              <w:rPr>
                <w:rFonts w:ascii="Montserrat Ultra Light" w:hAnsi="Montserrat Ultra Light"/>
                <w:b/>
                <w:bCs/>
                <w:color w:val="004563"/>
                <w:lang w:val="en-US"/>
              </w:rPr>
              <w:t>S</w:t>
            </w:r>
            <w:r w:rsidRPr="00346EE2">
              <w:rPr>
                <w:rFonts w:ascii="Montserrat Ultra Light" w:hAnsi="Montserrat Ultra Light"/>
                <w:b/>
                <w:bCs/>
                <w:color w:val="004563"/>
                <w:lang w:val="en-US"/>
              </w:rPr>
              <w:t>tates</w:t>
            </w:r>
          </w:p>
          <w:p w14:paraId="3A3C8E96" w14:textId="14FB7C7C" w:rsidR="00B57239" w:rsidRPr="00B57239" w:rsidRDefault="00B57239" w:rsidP="00346EE2">
            <w:pPr>
              <w:pStyle w:val="CGCBullet1"/>
              <w:ind w:left="357"/>
              <w:rPr>
                <w:lang w:val="en-US"/>
              </w:rPr>
            </w:pPr>
            <w:r w:rsidRPr="00B57239">
              <w:rPr>
                <w:lang w:val="en-US"/>
              </w:rPr>
              <w:t>The uneven distribution of mining activity and production</w:t>
            </w:r>
            <w:r w:rsidR="001A2D44">
              <w:rPr>
                <w:lang w:val="en-US"/>
              </w:rPr>
              <w:t xml:space="preserve"> due to </w:t>
            </w:r>
            <w:r w:rsidRPr="00B57239">
              <w:rPr>
                <w:lang w:val="en-US"/>
              </w:rPr>
              <w:t xml:space="preserve">underlying differences in distribution of mineral reserves across Australia. </w:t>
            </w:r>
          </w:p>
          <w:p w14:paraId="6C0551B3" w14:textId="77777777" w:rsidR="00920833" w:rsidRDefault="00920833" w:rsidP="00920833">
            <w:pPr>
              <w:pStyle w:val="CGCBullet1"/>
              <w:numPr>
                <w:ilvl w:val="0"/>
                <w:numId w:val="7"/>
              </w:numPr>
              <w:ind w:left="357" w:hanging="357"/>
              <w:rPr>
                <w:lang w:val="en-US"/>
              </w:rPr>
            </w:pPr>
            <w:r w:rsidRPr="00B57239">
              <w:rPr>
                <w:lang w:val="en-US"/>
              </w:rPr>
              <w:t xml:space="preserve">Differences </w:t>
            </w:r>
            <w:r>
              <w:rPr>
                <w:lang w:val="en-US"/>
              </w:rPr>
              <w:t xml:space="preserve">in </w:t>
            </w:r>
            <w:r w:rsidRPr="00B57239">
              <w:rPr>
                <w:lang w:val="en-US"/>
              </w:rPr>
              <w:t xml:space="preserve">the spatial distribution (or dispersion) of their populations. </w:t>
            </w:r>
          </w:p>
          <w:p w14:paraId="231C24E2" w14:textId="77777777" w:rsidR="00920833" w:rsidRDefault="00920833" w:rsidP="00920833">
            <w:pPr>
              <w:pStyle w:val="CGCBullet2"/>
              <w:numPr>
                <w:ilvl w:val="0"/>
                <w:numId w:val="8"/>
              </w:numPr>
              <w:ind w:left="924" w:hanging="357"/>
              <w:rPr>
                <w:lang w:val="en-US"/>
              </w:rPr>
            </w:pPr>
            <w:r w:rsidRPr="00B57239">
              <w:rPr>
                <w:lang w:val="en-US"/>
              </w:rPr>
              <w:t>States with a greater than average share of population in less accessible regions face higher than average service delivery and infrastructure costs.</w:t>
            </w:r>
            <w:r>
              <w:rPr>
                <w:lang w:val="en-US"/>
              </w:rPr>
              <w:t xml:space="preserve"> </w:t>
            </w:r>
          </w:p>
          <w:p w14:paraId="09BFB876" w14:textId="77777777" w:rsidR="00920833" w:rsidRPr="00B57239" w:rsidRDefault="00920833" w:rsidP="00920833">
            <w:pPr>
              <w:pStyle w:val="CGCBullet2"/>
              <w:numPr>
                <w:ilvl w:val="0"/>
                <w:numId w:val="8"/>
              </w:numPr>
              <w:ind w:left="924" w:hanging="357"/>
              <w:rPr>
                <w:lang w:val="en-US"/>
              </w:rPr>
            </w:pPr>
            <w:r>
              <w:rPr>
                <w:lang w:val="en-US"/>
              </w:rPr>
              <w:t>States with large, densely populated cities face higher than average urban public transport costs.</w:t>
            </w:r>
          </w:p>
          <w:p w14:paraId="36D78DF9" w14:textId="77777777" w:rsidR="00B57239" w:rsidRDefault="00B57239" w:rsidP="00346EE2">
            <w:pPr>
              <w:pStyle w:val="CGCBullet1"/>
              <w:ind w:left="357"/>
              <w:rPr>
                <w:lang w:val="en-US"/>
              </w:rPr>
            </w:pPr>
            <w:bookmarkStart w:id="1" w:name="_GoBack"/>
            <w:bookmarkEnd w:id="1"/>
            <w:r w:rsidRPr="00B57239">
              <w:rPr>
                <w:lang w:val="en-US"/>
              </w:rPr>
              <w:t xml:space="preserve">Variation in the value of property sales. States with higher property values and volume of turnover have a greater capacity to raise revenue from taxes imposed on the transfer of property. </w:t>
            </w:r>
          </w:p>
          <w:p w14:paraId="0C5A9B18" w14:textId="548581A3" w:rsidR="00B57239" w:rsidRPr="00B57239" w:rsidRDefault="003C2257" w:rsidP="00346EE2">
            <w:pPr>
              <w:pStyle w:val="CGCBullet1"/>
              <w:spacing w:after="120"/>
              <w:ind w:left="357"/>
              <w:rPr>
                <w:lang w:val="en-US"/>
              </w:rPr>
            </w:pPr>
            <w:r>
              <w:rPr>
                <w:lang w:val="en-US"/>
              </w:rPr>
              <w:t xml:space="preserve">Differences </w:t>
            </w:r>
            <w:r w:rsidR="004A6E06">
              <w:rPr>
                <w:lang w:val="en-US"/>
              </w:rPr>
              <w:t>in the</w:t>
            </w:r>
            <w:r w:rsidR="00B57239" w:rsidRPr="00B57239">
              <w:rPr>
                <w:lang w:val="en-US"/>
              </w:rPr>
              <w:t xml:space="preserve"> number of Indigenous people in their population</w:t>
            </w:r>
            <w:r w:rsidR="0083557A">
              <w:rPr>
                <w:lang w:val="en-US"/>
              </w:rPr>
              <w:t>s</w:t>
            </w:r>
            <w:r w:rsidR="00B57239" w:rsidRPr="00B57239">
              <w:rPr>
                <w:lang w:val="en-US"/>
              </w:rPr>
              <w:t>. States with a greater than average share of Indigenous people in the population face higher than average service delivery costs.</w:t>
            </w:r>
          </w:p>
        </w:tc>
      </w:tr>
    </w:tbl>
    <w:p w14:paraId="098E1757" w14:textId="77777777" w:rsidR="00F27B59" w:rsidRDefault="00F27B59" w:rsidP="003A2E4F">
      <w:pPr>
        <w:rPr>
          <w:lang w:val="en-US"/>
        </w:rPr>
      </w:pPr>
    </w:p>
    <w:p w14:paraId="2B220CD8" w14:textId="77777777" w:rsidR="00F27B59" w:rsidRPr="003E74B4" w:rsidRDefault="00F27B59" w:rsidP="00F27B59">
      <w:pPr>
        <w:pStyle w:val="Heading4"/>
        <w:rPr>
          <w:rFonts w:eastAsia="MS Gothic"/>
          <w:lang w:val="en-US"/>
        </w:rPr>
      </w:pPr>
      <w:r>
        <w:rPr>
          <w:rFonts w:eastAsia="MS Gothic"/>
          <w:lang w:val="en-US"/>
        </w:rPr>
        <w:lastRenderedPageBreak/>
        <w:t>Change in fiscal capacity</w:t>
      </w:r>
    </w:p>
    <w:p w14:paraId="5E76B1EB" w14:textId="77777777" w:rsidR="0041705A" w:rsidRDefault="0041705A" w:rsidP="0041705A">
      <w:pPr>
        <w:rPr>
          <w:rFonts w:eastAsia="Calibri" w:cs="Arial"/>
          <w:lang w:val="en-US"/>
        </w:rPr>
      </w:pPr>
      <w:r w:rsidRPr="0041705A">
        <w:rPr>
          <w:rFonts w:eastAsia="Calibri" w:cs="Arial"/>
          <w:lang w:val="en-US"/>
        </w:rPr>
        <w:t xml:space="preserve">South Australia’s fiscal capacity has strengthened due to an increase in its share of Commonwealth payments, lower assessed costs of providing urban public transport and school services, a lower investment requirement, revisions to State natural disaster relief expenses and above average growth in property sales. These changes were partially offset by a reduced capacity to raise mining revenue relative to other States. </w:t>
      </w:r>
    </w:p>
    <w:p w14:paraId="2111463A" w14:textId="1098DCBA" w:rsidR="0041705A" w:rsidRPr="0041705A" w:rsidRDefault="0041705A" w:rsidP="0041705A">
      <w:pPr>
        <w:rPr>
          <w:rFonts w:eastAsia="Calibri" w:cs="Arial"/>
          <w:lang w:val="en-US"/>
        </w:rPr>
      </w:pPr>
      <w:r w:rsidRPr="0041705A">
        <w:rPr>
          <w:rFonts w:eastAsia="Calibri" w:cs="Arial"/>
          <w:lang w:val="en-US"/>
        </w:rPr>
        <w:t>Compared with 2019</w:t>
      </w:r>
      <w:r w:rsidRPr="0041705A">
        <w:rPr>
          <w:rFonts w:eastAsia="Calibri" w:cs="Arial"/>
          <w:lang w:val="en-US"/>
        </w:rPr>
        <w:noBreakHyphen/>
        <w:t xml:space="preserve">20, the </w:t>
      </w:r>
      <w:r>
        <w:rPr>
          <w:rFonts w:eastAsia="Calibri" w:cs="Arial"/>
          <w:lang w:val="en-US"/>
        </w:rPr>
        <w:t>South Australia</w:t>
      </w:r>
      <w:r w:rsidRPr="0041705A">
        <w:rPr>
          <w:rFonts w:eastAsia="Calibri" w:cs="Arial"/>
          <w:lang w:val="en-US"/>
        </w:rPr>
        <w:t>’s share of GST will decrease from 10.1% to 9.3%. Growth in the GST pool does not offset the impact of South Australia’s improved fiscal capacity, and its GST entitlement will fall by $332 million, or 5.0%.</w:t>
      </w:r>
    </w:p>
    <w:p w14:paraId="37401D99" w14:textId="78DDDB00" w:rsidR="00F27B59" w:rsidRPr="009F2017" w:rsidRDefault="00F27B59" w:rsidP="00F27B59">
      <w:pPr>
        <w:pStyle w:val="Caption"/>
        <w:rPr>
          <w:lang w:val="en-US"/>
        </w:rPr>
      </w:pPr>
      <w:r w:rsidRPr="009F2017">
        <w:rPr>
          <w:lang w:val="en-US"/>
        </w:rPr>
        <w:t xml:space="preserve">Change in illustrative GST distribution since the 2019 Update, </w:t>
      </w:r>
      <w:r w:rsidR="00C12FBA">
        <w:rPr>
          <w:lang w:val="en-US"/>
        </w:rPr>
        <w:t>South Australia</w:t>
      </w:r>
    </w:p>
    <w:tbl>
      <w:tblPr>
        <w:tblW w:w="9015" w:type="dxa"/>
        <w:tblCellMar>
          <w:left w:w="0" w:type="dxa"/>
          <w:right w:w="28" w:type="dxa"/>
        </w:tblCellMar>
        <w:tblLook w:val="04A0" w:firstRow="1" w:lastRow="0" w:firstColumn="1" w:lastColumn="0" w:noHBand="0" w:noVBand="1"/>
      </w:tblPr>
      <w:tblGrid>
        <w:gridCol w:w="4099"/>
        <w:gridCol w:w="2545"/>
        <w:gridCol w:w="2447"/>
      </w:tblGrid>
      <w:tr w:rsidR="00AC3B65" w:rsidRPr="00AC3B65" w14:paraId="2956C534" w14:textId="77777777" w:rsidTr="00AC3B65">
        <w:trPr>
          <w:trHeight w:val="258"/>
        </w:trPr>
        <w:tc>
          <w:tcPr>
            <w:tcW w:w="4160" w:type="dxa"/>
            <w:tcBorders>
              <w:top w:val="single" w:sz="4" w:space="0" w:color="ADD6EA"/>
              <w:left w:val="nil"/>
              <w:bottom w:val="single" w:sz="4" w:space="0" w:color="ADD6EA"/>
              <w:right w:val="nil"/>
            </w:tcBorders>
            <w:shd w:val="clear" w:color="000000" w:fill="006991"/>
            <w:noWrap/>
            <w:vAlign w:val="center"/>
            <w:hideMark/>
          </w:tcPr>
          <w:p w14:paraId="1F39FE83" w14:textId="77777777" w:rsidR="00AC3B65" w:rsidRPr="00AC3B65" w:rsidRDefault="00AC3B65" w:rsidP="00AC3B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C3B65">
              <w:rPr>
                <w:rFonts w:ascii="Open Sans SemiBold" w:eastAsia="Times New Roman" w:hAnsi="Open Sans SemiBold" w:cs="Open Sans SemiBold"/>
                <w:color w:val="FFFFFF"/>
                <w:sz w:val="16"/>
                <w:szCs w:val="16"/>
                <w:lang w:eastAsia="en-AU"/>
              </w:rPr>
              <w:t> </w:t>
            </w:r>
          </w:p>
        </w:tc>
        <w:tc>
          <w:tcPr>
            <w:tcW w:w="2580" w:type="dxa"/>
            <w:tcBorders>
              <w:top w:val="single" w:sz="4" w:space="0" w:color="ADD6EA"/>
              <w:left w:val="nil"/>
              <w:bottom w:val="single" w:sz="4" w:space="0" w:color="ADD6EA"/>
              <w:right w:val="nil"/>
            </w:tcBorders>
            <w:shd w:val="clear" w:color="000000" w:fill="006991"/>
            <w:noWrap/>
            <w:vAlign w:val="center"/>
            <w:hideMark/>
          </w:tcPr>
          <w:p w14:paraId="0EE5B1B2" w14:textId="77777777" w:rsidR="00AC3B65" w:rsidRPr="00AC3B65" w:rsidRDefault="00AC3B65" w:rsidP="00AC3B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C3B65">
              <w:rPr>
                <w:rFonts w:ascii="Open Sans SemiBold" w:eastAsia="Times New Roman" w:hAnsi="Open Sans SemiBold" w:cs="Open Sans SemiBold"/>
                <w:color w:val="FFFFFF"/>
                <w:sz w:val="16"/>
                <w:szCs w:val="16"/>
                <w:lang w:eastAsia="en-AU"/>
              </w:rPr>
              <w:t>$m</w:t>
            </w:r>
          </w:p>
        </w:tc>
        <w:tc>
          <w:tcPr>
            <w:tcW w:w="2480" w:type="dxa"/>
            <w:tcBorders>
              <w:top w:val="single" w:sz="4" w:space="0" w:color="ADD6EA"/>
              <w:left w:val="nil"/>
              <w:bottom w:val="single" w:sz="4" w:space="0" w:color="ADD6EA"/>
              <w:right w:val="nil"/>
            </w:tcBorders>
            <w:shd w:val="clear" w:color="000000" w:fill="006991"/>
            <w:noWrap/>
            <w:vAlign w:val="center"/>
            <w:hideMark/>
          </w:tcPr>
          <w:p w14:paraId="1CDEC5CB" w14:textId="77777777" w:rsidR="00AC3B65" w:rsidRPr="00AC3B65" w:rsidRDefault="00AC3B65" w:rsidP="00AC3B65">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AC3B65">
              <w:rPr>
                <w:rFonts w:ascii="Open Sans SemiBold" w:eastAsia="Times New Roman" w:hAnsi="Open Sans SemiBold" w:cs="Open Sans SemiBold"/>
                <w:color w:val="FFFFFF"/>
                <w:sz w:val="16"/>
                <w:szCs w:val="16"/>
                <w:lang w:eastAsia="en-AU"/>
              </w:rPr>
              <w:t>$pc</w:t>
            </w:r>
          </w:p>
        </w:tc>
      </w:tr>
      <w:tr w:rsidR="00AC3B65" w:rsidRPr="00AC3B65" w14:paraId="7C8CB716" w14:textId="77777777" w:rsidTr="00AC3B65">
        <w:trPr>
          <w:trHeight w:val="315"/>
        </w:trPr>
        <w:tc>
          <w:tcPr>
            <w:tcW w:w="4160" w:type="dxa"/>
            <w:tcBorders>
              <w:top w:val="nil"/>
              <w:left w:val="nil"/>
              <w:bottom w:val="single" w:sz="4" w:space="0" w:color="ADD6EA"/>
              <w:right w:val="nil"/>
            </w:tcBorders>
            <w:shd w:val="clear" w:color="auto" w:fill="auto"/>
            <w:noWrap/>
            <w:vAlign w:val="bottom"/>
            <w:hideMark/>
          </w:tcPr>
          <w:p w14:paraId="00D8282C" w14:textId="77777777" w:rsidR="00AC3B65" w:rsidRPr="00AC3B65" w:rsidRDefault="00AC3B65" w:rsidP="00AC3B65">
            <w:pPr>
              <w:tabs>
                <w:tab w:val="clear" w:pos="567"/>
              </w:tabs>
              <w:spacing w:before="0" w:line="240" w:lineRule="auto"/>
              <w:rPr>
                <w:rFonts w:eastAsia="Times New Roman" w:cs="Open Sans Light"/>
                <w:sz w:val="16"/>
                <w:szCs w:val="16"/>
                <w:lang w:eastAsia="en-AU"/>
              </w:rPr>
            </w:pPr>
            <w:r w:rsidRPr="00AC3B65">
              <w:rPr>
                <w:rFonts w:eastAsia="Times New Roman" w:cs="Open Sans Light"/>
                <w:sz w:val="16"/>
                <w:szCs w:val="16"/>
                <w:lang w:eastAsia="en-AU"/>
              </w:rPr>
              <w:t>New population</w:t>
            </w:r>
          </w:p>
        </w:tc>
        <w:tc>
          <w:tcPr>
            <w:tcW w:w="2580" w:type="dxa"/>
            <w:tcBorders>
              <w:top w:val="nil"/>
              <w:left w:val="nil"/>
              <w:bottom w:val="single" w:sz="4" w:space="0" w:color="ADD6EA"/>
              <w:right w:val="nil"/>
            </w:tcBorders>
            <w:shd w:val="clear" w:color="auto" w:fill="auto"/>
            <w:noWrap/>
            <w:vAlign w:val="bottom"/>
            <w:hideMark/>
          </w:tcPr>
          <w:p w14:paraId="7F89D003"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-53</w:t>
            </w:r>
          </w:p>
        </w:tc>
        <w:tc>
          <w:tcPr>
            <w:tcW w:w="2480" w:type="dxa"/>
            <w:tcBorders>
              <w:top w:val="nil"/>
              <w:left w:val="nil"/>
              <w:bottom w:val="single" w:sz="4" w:space="0" w:color="ADD6EA"/>
              <w:right w:val="nil"/>
            </w:tcBorders>
            <w:shd w:val="clear" w:color="auto" w:fill="auto"/>
            <w:noWrap/>
            <w:vAlign w:val="bottom"/>
            <w:hideMark/>
          </w:tcPr>
          <w:p w14:paraId="64FDED7D"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-30</w:t>
            </w:r>
          </w:p>
        </w:tc>
      </w:tr>
      <w:tr w:rsidR="00AC3B65" w:rsidRPr="00AC3B65" w14:paraId="5F6D967D" w14:textId="77777777" w:rsidTr="00AC3B65">
        <w:trPr>
          <w:trHeight w:val="315"/>
        </w:trPr>
        <w:tc>
          <w:tcPr>
            <w:tcW w:w="4160" w:type="dxa"/>
            <w:tcBorders>
              <w:top w:val="nil"/>
              <w:left w:val="nil"/>
              <w:bottom w:val="single" w:sz="4" w:space="0" w:color="ADD6EA"/>
              <w:right w:val="nil"/>
            </w:tcBorders>
            <w:shd w:val="clear" w:color="auto" w:fill="auto"/>
            <w:noWrap/>
            <w:vAlign w:val="bottom"/>
            <w:hideMark/>
          </w:tcPr>
          <w:p w14:paraId="3D58CFA9" w14:textId="77777777" w:rsidR="00AC3B65" w:rsidRPr="00AC3B65" w:rsidRDefault="00AC3B65" w:rsidP="00AC3B65">
            <w:pPr>
              <w:tabs>
                <w:tab w:val="clear" w:pos="567"/>
              </w:tabs>
              <w:spacing w:before="0" w:line="240" w:lineRule="auto"/>
              <w:rPr>
                <w:rFonts w:eastAsia="Times New Roman" w:cs="Open Sans Light"/>
                <w:sz w:val="16"/>
                <w:szCs w:val="16"/>
                <w:lang w:eastAsia="en-AU"/>
              </w:rPr>
            </w:pPr>
            <w:r w:rsidRPr="00AC3B65">
              <w:rPr>
                <w:rFonts w:eastAsia="Times New Roman" w:cs="Open Sans Light"/>
                <w:sz w:val="16"/>
                <w:szCs w:val="16"/>
                <w:lang w:eastAsia="en-AU"/>
              </w:rPr>
              <w:t>Growth in GST available</w:t>
            </w:r>
          </w:p>
        </w:tc>
        <w:tc>
          <w:tcPr>
            <w:tcW w:w="2580" w:type="dxa"/>
            <w:tcBorders>
              <w:top w:val="nil"/>
              <w:left w:val="nil"/>
              <w:bottom w:val="single" w:sz="4" w:space="0" w:color="ADD6EA"/>
              <w:right w:val="nil"/>
            </w:tcBorders>
            <w:shd w:val="clear" w:color="auto" w:fill="auto"/>
            <w:noWrap/>
            <w:vAlign w:val="bottom"/>
            <w:hideMark/>
          </w:tcPr>
          <w:p w14:paraId="13236C3A"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220</w:t>
            </w:r>
          </w:p>
        </w:tc>
        <w:tc>
          <w:tcPr>
            <w:tcW w:w="2480" w:type="dxa"/>
            <w:tcBorders>
              <w:top w:val="nil"/>
              <w:left w:val="nil"/>
              <w:bottom w:val="single" w:sz="4" w:space="0" w:color="ADD6EA"/>
              <w:right w:val="nil"/>
            </w:tcBorders>
            <w:shd w:val="clear" w:color="auto" w:fill="auto"/>
            <w:noWrap/>
            <w:vAlign w:val="bottom"/>
            <w:hideMark/>
          </w:tcPr>
          <w:p w14:paraId="50FB9AC7"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124</w:t>
            </w:r>
          </w:p>
        </w:tc>
      </w:tr>
      <w:tr w:rsidR="00AC3B65" w:rsidRPr="00AC3B65" w14:paraId="049C46D2" w14:textId="77777777" w:rsidTr="00AC3B65">
        <w:trPr>
          <w:trHeight w:val="315"/>
        </w:trPr>
        <w:tc>
          <w:tcPr>
            <w:tcW w:w="4160" w:type="dxa"/>
            <w:tcBorders>
              <w:top w:val="nil"/>
              <w:left w:val="nil"/>
              <w:bottom w:val="single" w:sz="4" w:space="0" w:color="ADD6EA"/>
              <w:right w:val="nil"/>
            </w:tcBorders>
            <w:shd w:val="clear" w:color="auto" w:fill="auto"/>
            <w:vAlign w:val="bottom"/>
            <w:hideMark/>
          </w:tcPr>
          <w:p w14:paraId="0A331D38" w14:textId="77777777" w:rsidR="00AC3B65" w:rsidRPr="00AC3B65" w:rsidRDefault="00AC3B65" w:rsidP="00AC3B65">
            <w:pPr>
              <w:tabs>
                <w:tab w:val="clear" w:pos="567"/>
              </w:tabs>
              <w:spacing w:before="0" w:line="240" w:lineRule="auto"/>
              <w:rPr>
                <w:rFonts w:eastAsia="Times New Roman" w:cs="Open Sans Light"/>
                <w:sz w:val="16"/>
                <w:szCs w:val="16"/>
                <w:lang w:eastAsia="en-AU"/>
              </w:rPr>
            </w:pPr>
            <w:r w:rsidRPr="00AC3B65">
              <w:rPr>
                <w:rFonts w:eastAsia="Times New Roman" w:cs="Open Sans Light"/>
                <w:sz w:val="16"/>
                <w:szCs w:val="16"/>
                <w:lang w:eastAsia="en-AU"/>
              </w:rPr>
              <w:t>Changes in relative fiscal capacity</w:t>
            </w:r>
          </w:p>
        </w:tc>
        <w:tc>
          <w:tcPr>
            <w:tcW w:w="2580" w:type="dxa"/>
            <w:tcBorders>
              <w:top w:val="nil"/>
              <w:left w:val="nil"/>
              <w:bottom w:val="single" w:sz="4" w:space="0" w:color="ADD6EA"/>
              <w:right w:val="nil"/>
            </w:tcBorders>
            <w:shd w:val="clear" w:color="auto" w:fill="auto"/>
            <w:noWrap/>
            <w:vAlign w:val="bottom"/>
            <w:hideMark/>
          </w:tcPr>
          <w:p w14:paraId="65F49EB8"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-499</w:t>
            </w:r>
          </w:p>
        </w:tc>
        <w:tc>
          <w:tcPr>
            <w:tcW w:w="2480" w:type="dxa"/>
            <w:tcBorders>
              <w:top w:val="nil"/>
              <w:left w:val="nil"/>
              <w:bottom w:val="single" w:sz="4" w:space="0" w:color="ADD6EA"/>
              <w:right w:val="nil"/>
            </w:tcBorders>
            <w:shd w:val="clear" w:color="auto" w:fill="auto"/>
            <w:noWrap/>
            <w:vAlign w:val="bottom"/>
            <w:hideMark/>
          </w:tcPr>
          <w:p w14:paraId="7479ED94"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-282</w:t>
            </w:r>
          </w:p>
        </w:tc>
      </w:tr>
      <w:tr w:rsidR="00AC3B65" w:rsidRPr="00AC3B65" w14:paraId="5582A8A1" w14:textId="77777777" w:rsidTr="00AC3B65">
        <w:trPr>
          <w:trHeight w:val="315"/>
        </w:trPr>
        <w:tc>
          <w:tcPr>
            <w:tcW w:w="4160" w:type="dxa"/>
            <w:tcBorders>
              <w:top w:val="nil"/>
              <w:left w:val="nil"/>
              <w:bottom w:val="single" w:sz="4" w:space="0" w:color="ADD6EA"/>
              <w:right w:val="nil"/>
            </w:tcBorders>
            <w:shd w:val="clear" w:color="auto" w:fill="auto"/>
            <w:vAlign w:val="bottom"/>
            <w:hideMark/>
          </w:tcPr>
          <w:p w14:paraId="7A55AA19" w14:textId="77777777" w:rsidR="00AC3B65" w:rsidRPr="00AC3B65" w:rsidRDefault="00AC3B65" w:rsidP="00AC3B65">
            <w:pPr>
              <w:tabs>
                <w:tab w:val="clear" w:pos="567"/>
              </w:tabs>
              <w:spacing w:before="0" w:line="240" w:lineRule="auto"/>
              <w:ind w:firstLineChars="100" w:firstLine="160"/>
              <w:rPr>
                <w:rFonts w:eastAsia="Times New Roman" w:cs="Open Sans Light"/>
                <w:sz w:val="16"/>
                <w:szCs w:val="16"/>
                <w:lang w:eastAsia="en-AU"/>
              </w:rPr>
            </w:pPr>
            <w:r w:rsidRPr="00AC3B65">
              <w:rPr>
                <w:rFonts w:eastAsia="Times New Roman" w:cs="Open Sans Light"/>
                <w:sz w:val="16"/>
                <w:szCs w:val="16"/>
                <w:lang w:eastAsia="en-AU"/>
              </w:rPr>
              <w:t>Method changes</w:t>
            </w:r>
          </w:p>
        </w:tc>
        <w:tc>
          <w:tcPr>
            <w:tcW w:w="2580" w:type="dxa"/>
            <w:tcBorders>
              <w:top w:val="nil"/>
              <w:left w:val="nil"/>
              <w:bottom w:val="single" w:sz="4" w:space="0" w:color="ADD6EA"/>
              <w:right w:val="nil"/>
            </w:tcBorders>
            <w:shd w:val="clear" w:color="auto" w:fill="auto"/>
            <w:noWrap/>
            <w:vAlign w:val="bottom"/>
            <w:hideMark/>
          </w:tcPr>
          <w:p w14:paraId="436B69AF"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-274</w:t>
            </w:r>
          </w:p>
        </w:tc>
        <w:tc>
          <w:tcPr>
            <w:tcW w:w="2480" w:type="dxa"/>
            <w:tcBorders>
              <w:top w:val="nil"/>
              <w:left w:val="nil"/>
              <w:bottom w:val="single" w:sz="4" w:space="0" w:color="ADD6EA"/>
              <w:right w:val="nil"/>
            </w:tcBorders>
            <w:shd w:val="clear" w:color="auto" w:fill="auto"/>
            <w:noWrap/>
            <w:vAlign w:val="bottom"/>
            <w:hideMark/>
          </w:tcPr>
          <w:p w14:paraId="0AC227EF"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-154</w:t>
            </w:r>
          </w:p>
        </w:tc>
      </w:tr>
      <w:tr w:rsidR="00AC3B65" w:rsidRPr="00AC3B65" w14:paraId="7EC287B8" w14:textId="77777777" w:rsidTr="00AC3B65">
        <w:trPr>
          <w:trHeight w:val="315"/>
        </w:trPr>
        <w:tc>
          <w:tcPr>
            <w:tcW w:w="4160" w:type="dxa"/>
            <w:tcBorders>
              <w:top w:val="nil"/>
              <w:left w:val="nil"/>
              <w:bottom w:val="single" w:sz="4" w:space="0" w:color="ADD6EA"/>
              <w:right w:val="nil"/>
            </w:tcBorders>
            <w:shd w:val="clear" w:color="auto" w:fill="auto"/>
            <w:vAlign w:val="bottom"/>
            <w:hideMark/>
          </w:tcPr>
          <w:p w14:paraId="108C1A28" w14:textId="77777777" w:rsidR="00AC3B65" w:rsidRPr="00AC3B65" w:rsidRDefault="00AC3B65" w:rsidP="00AC3B65">
            <w:pPr>
              <w:tabs>
                <w:tab w:val="clear" w:pos="567"/>
              </w:tabs>
              <w:spacing w:before="0" w:line="240" w:lineRule="auto"/>
              <w:ind w:firstLineChars="100" w:firstLine="160"/>
              <w:rPr>
                <w:rFonts w:eastAsia="Times New Roman" w:cs="Open Sans Light"/>
                <w:sz w:val="16"/>
                <w:szCs w:val="16"/>
                <w:lang w:eastAsia="en-AU"/>
              </w:rPr>
            </w:pPr>
            <w:r w:rsidRPr="00AC3B65">
              <w:rPr>
                <w:rFonts w:eastAsia="Times New Roman" w:cs="Open Sans Light"/>
                <w:sz w:val="16"/>
                <w:szCs w:val="16"/>
                <w:lang w:eastAsia="en-AU"/>
              </w:rPr>
              <w:t>Data revisions</w:t>
            </w:r>
          </w:p>
        </w:tc>
        <w:tc>
          <w:tcPr>
            <w:tcW w:w="2580" w:type="dxa"/>
            <w:tcBorders>
              <w:top w:val="nil"/>
              <w:left w:val="nil"/>
              <w:bottom w:val="single" w:sz="4" w:space="0" w:color="ADD6EA"/>
              <w:right w:val="nil"/>
            </w:tcBorders>
            <w:shd w:val="clear" w:color="auto" w:fill="auto"/>
            <w:noWrap/>
            <w:vAlign w:val="bottom"/>
            <w:hideMark/>
          </w:tcPr>
          <w:p w14:paraId="69D4390F"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-53</w:t>
            </w:r>
          </w:p>
        </w:tc>
        <w:tc>
          <w:tcPr>
            <w:tcW w:w="2480" w:type="dxa"/>
            <w:tcBorders>
              <w:top w:val="nil"/>
              <w:left w:val="nil"/>
              <w:bottom w:val="single" w:sz="4" w:space="0" w:color="ADD6EA"/>
              <w:right w:val="nil"/>
            </w:tcBorders>
            <w:shd w:val="clear" w:color="auto" w:fill="auto"/>
            <w:noWrap/>
            <w:vAlign w:val="bottom"/>
            <w:hideMark/>
          </w:tcPr>
          <w:p w14:paraId="0D9DEE10"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-30</w:t>
            </w:r>
          </w:p>
        </w:tc>
      </w:tr>
      <w:tr w:rsidR="00AC3B65" w:rsidRPr="00AC3B65" w14:paraId="33E381BC" w14:textId="77777777" w:rsidTr="00AC3B65">
        <w:trPr>
          <w:trHeight w:val="315"/>
        </w:trPr>
        <w:tc>
          <w:tcPr>
            <w:tcW w:w="4160" w:type="dxa"/>
            <w:tcBorders>
              <w:top w:val="nil"/>
              <w:left w:val="nil"/>
              <w:bottom w:val="single" w:sz="4" w:space="0" w:color="ADD6EA"/>
              <w:right w:val="nil"/>
            </w:tcBorders>
            <w:shd w:val="clear" w:color="auto" w:fill="auto"/>
            <w:vAlign w:val="bottom"/>
            <w:hideMark/>
          </w:tcPr>
          <w:p w14:paraId="07DD889F" w14:textId="77777777" w:rsidR="00AC3B65" w:rsidRPr="00AC3B65" w:rsidRDefault="00AC3B65" w:rsidP="00AC3B65">
            <w:pPr>
              <w:tabs>
                <w:tab w:val="clear" w:pos="567"/>
              </w:tabs>
              <w:spacing w:before="0" w:line="240" w:lineRule="auto"/>
              <w:ind w:firstLineChars="100" w:firstLine="160"/>
              <w:rPr>
                <w:rFonts w:eastAsia="Times New Roman" w:cs="Open Sans Light"/>
                <w:sz w:val="16"/>
                <w:szCs w:val="16"/>
                <w:lang w:eastAsia="en-AU"/>
              </w:rPr>
            </w:pPr>
            <w:r w:rsidRPr="00AC3B65">
              <w:rPr>
                <w:rFonts w:eastAsia="Times New Roman" w:cs="Open Sans Light"/>
                <w:sz w:val="16"/>
                <w:szCs w:val="16"/>
                <w:lang w:eastAsia="en-AU"/>
              </w:rPr>
              <w:t>State circumstances</w:t>
            </w:r>
          </w:p>
        </w:tc>
        <w:tc>
          <w:tcPr>
            <w:tcW w:w="2580" w:type="dxa"/>
            <w:tcBorders>
              <w:top w:val="nil"/>
              <w:left w:val="nil"/>
              <w:bottom w:val="single" w:sz="4" w:space="0" w:color="ADD6EA"/>
              <w:right w:val="nil"/>
            </w:tcBorders>
            <w:shd w:val="clear" w:color="auto" w:fill="auto"/>
            <w:noWrap/>
            <w:vAlign w:val="bottom"/>
            <w:hideMark/>
          </w:tcPr>
          <w:p w14:paraId="58CEE918"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-172</w:t>
            </w:r>
          </w:p>
        </w:tc>
        <w:tc>
          <w:tcPr>
            <w:tcW w:w="2480" w:type="dxa"/>
            <w:tcBorders>
              <w:top w:val="nil"/>
              <w:left w:val="nil"/>
              <w:bottom w:val="single" w:sz="4" w:space="0" w:color="ADD6EA"/>
              <w:right w:val="nil"/>
            </w:tcBorders>
            <w:shd w:val="clear" w:color="auto" w:fill="auto"/>
            <w:noWrap/>
            <w:vAlign w:val="bottom"/>
            <w:hideMark/>
          </w:tcPr>
          <w:p w14:paraId="14D11371" w14:textId="77777777" w:rsidR="00AC3B65" w:rsidRPr="00AC3B65" w:rsidRDefault="00AC3B65" w:rsidP="00AC3B65">
            <w:pPr>
              <w:tabs>
                <w:tab w:val="clear" w:pos="567"/>
              </w:tabs>
              <w:spacing w:before="0" w:line="240" w:lineRule="auto"/>
              <w:jc w:val="right"/>
              <w:rPr>
                <w:rFonts w:eastAsia="Times New Roman" w:cs="Open Sans Light"/>
                <w:sz w:val="16"/>
                <w:szCs w:val="16"/>
                <w:lang w:eastAsia="en-AU"/>
              </w:rPr>
            </w:pPr>
            <w:r w:rsidRPr="00AC3B65">
              <w:rPr>
                <w:rFonts w:eastAsia="Times New Roman" w:cs="Open Sans Light"/>
                <w:sz w:val="16"/>
                <w:szCs w:val="16"/>
                <w:lang w:eastAsia="en-AU"/>
              </w:rPr>
              <w:t>-97</w:t>
            </w:r>
          </w:p>
        </w:tc>
      </w:tr>
      <w:tr w:rsidR="00AC3B65" w:rsidRPr="00AC3B65" w14:paraId="74756889" w14:textId="77777777" w:rsidTr="00AC3B65">
        <w:trPr>
          <w:trHeight w:val="315"/>
        </w:trPr>
        <w:tc>
          <w:tcPr>
            <w:tcW w:w="4160" w:type="dxa"/>
            <w:tcBorders>
              <w:top w:val="nil"/>
              <w:left w:val="nil"/>
              <w:bottom w:val="single" w:sz="4" w:space="0" w:color="ADD6EA"/>
              <w:right w:val="nil"/>
            </w:tcBorders>
            <w:shd w:val="clear" w:color="000000" w:fill="D6E7F0"/>
            <w:noWrap/>
            <w:vAlign w:val="bottom"/>
            <w:hideMark/>
          </w:tcPr>
          <w:p w14:paraId="39F4DF2A" w14:textId="77777777" w:rsidR="00AC3B65" w:rsidRPr="00AC3B65" w:rsidRDefault="00AC3B65" w:rsidP="00AC3B65">
            <w:pPr>
              <w:tabs>
                <w:tab w:val="clear" w:pos="567"/>
              </w:tabs>
              <w:spacing w:before="0" w:line="240" w:lineRule="auto"/>
              <w:rPr>
                <w:rFonts w:ascii="Open Sans SemiBold" w:eastAsia="Times New Roman" w:hAnsi="Open Sans SemiBold" w:cs="Open Sans SemiBold"/>
                <w:color w:val="000000"/>
                <w:sz w:val="16"/>
                <w:szCs w:val="16"/>
                <w:lang w:eastAsia="en-AU"/>
              </w:rPr>
            </w:pPr>
            <w:r w:rsidRPr="00AC3B65">
              <w:rPr>
                <w:rFonts w:ascii="Open Sans SemiBold" w:eastAsia="Times New Roman" w:hAnsi="Open Sans SemiBold" w:cs="Open Sans SemiBold"/>
                <w:color w:val="000000"/>
                <w:sz w:val="16"/>
                <w:szCs w:val="16"/>
                <w:lang w:eastAsia="en-AU"/>
              </w:rPr>
              <w:t>Total change</w:t>
            </w:r>
          </w:p>
        </w:tc>
        <w:tc>
          <w:tcPr>
            <w:tcW w:w="2580" w:type="dxa"/>
            <w:tcBorders>
              <w:top w:val="nil"/>
              <w:left w:val="nil"/>
              <w:bottom w:val="single" w:sz="4" w:space="0" w:color="ADD6EA"/>
              <w:right w:val="nil"/>
            </w:tcBorders>
            <w:shd w:val="clear" w:color="000000" w:fill="D6E7F0"/>
            <w:noWrap/>
            <w:vAlign w:val="bottom"/>
            <w:hideMark/>
          </w:tcPr>
          <w:p w14:paraId="02222E3F" w14:textId="77777777" w:rsidR="00AC3B65" w:rsidRPr="00AC3B65" w:rsidRDefault="00AC3B65" w:rsidP="00AC3B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C3B65">
              <w:rPr>
                <w:rFonts w:ascii="Open Sans SemiBold" w:eastAsia="Times New Roman" w:hAnsi="Open Sans SemiBold" w:cs="Open Sans SemiBold"/>
                <w:color w:val="000000"/>
                <w:sz w:val="16"/>
                <w:szCs w:val="16"/>
                <w:lang w:eastAsia="en-AU"/>
              </w:rPr>
              <w:t>-332</w:t>
            </w:r>
          </w:p>
        </w:tc>
        <w:tc>
          <w:tcPr>
            <w:tcW w:w="2480" w:type="dxa"/>
            <w:tcBorders>
              <w:top w:val="nil"/>
              <w:left w:val="nil"/>
              <w:bottom w:val="single" w:sz="4" w:space="0" w:color="ADD6EA"/>
              <w:right w:val="nil"/>
            </w:tcBorders>
            <w:shd w:val="clear" w:color="000000" w:fill="D6E7F0"/>
            <w:noWrap/>
            <w:vAlign w:val="bottom"/>
            <w:hideMark/>
          </w:tcPr>
          <w:p w14:paraId="7454CE25" w14:textId="77777777" w:rsidR="00AC3B65" w:rsidRPr="00AC3B65" w:rsidRDefault="00AC3B65" w:rsidP="00AC3B65">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AC3B65">
              <w:rPr>
                <w:rFonts w:ascii="Open Sans SemiBold" w:eastAsia="Times New Roman" w:hAnsi="Open Sans SemiBold" w:cs="Open Sans SemiBold"/>
                <w:color w:val="000000"/>
                <w:sz w:val="16"/>
                <w:szCs w:val="16"/>
                <w:lang w:eastAsia="en-AU"/>
              </w:rPr>
              <w:t>-188</w:t>
            </w:r>
          </w:p>
        </w:tc>
      </w:tr>
    </w:tbl>
    <w:p w14:paraId="4DB6FFC0" w14:textId="77777777" w:rsidR="00F27B59" w:rsidRPr="00E87D7D" w:rsidRDefault="00F27B59" w:rsidP="00F27B59">
      <w:pPr>
        <w:pStyle w:val="CGCTablenote"/>
        <w:rPr>
          <w:lang w:val="en-US"/>
        </w:rPr>
      </w:pPr>
      <w:r w:rsidRPr="00E87D7D">
        <w:rPr>
          <w:lang w:val="en-US"/>
        </w:rPr>
        <w:t>Note:</w:t>
      </w:r>
      <w:r w:rsidRPr="00E87D7D">
        <w:rPr>
          <w:lang w:val="en-US"/>
        </w:rPr>
        <w:tab/>
        <w:t>Table may not add due to rounding.</w:t>
      </w:r>
    </w:p>
    <w:p w14:paraId="268220E8" w14:textId="4061F8AF" w:rsidR="003A2E4F" w:rsidRPr="003A2E4F" w:rsidRDefault="001F45CA" w:rsidP="003A2E4F">
      <w:pPr>
        <w:rPr>
          <w:lang w:val="en-US"/>
        </w:rPr>
      </w:pPr>
      <w:r>
        <w:rPr>
          <w:lang w:val="en-US"/>
        </w:rPr>
        <w:t>Since the 2019 Update, there have been</w:t>
      </w:r>
      <w:r w:rsidR="003A2E4F" w:rsidRPr="003A2E4F">
        <w:rPr>
          <w:lang w:val="en-US"/>
        </w:rPr>
        <w:t xml:space="preserve"> changes in some of the assessment methods used by the Commission, revisions to some of the data used in the assessments, and changes in economic and demographic circumstances.</w:t>
      </w:r>
    </w:p>
    <w:p w14:paraId="3D18848C" w14:textId="73098B7F" w:rsidR="00E87D7D" w:rsidRPr="008B3E99" w:rsidRDefault="00E87D7D" w:rsidP="008B3E99">
      <w:pPr>
        <w:pStyle w:val="Caption"/>
      </w:pPr>
      <w:r w:rsidRPr="008B3E99">
        <w:t xml:space="preserve">Main changes for </w:t>
      </w:r>
      <w:r w:rsidR="00C12FBA">
        <w:t>South Australia</w:t>
      </w:r>
      <w:r w:rsidRPr="008B3E99">
        <w:t>, 2020 Review</w:t>
      </w:r>
    </w:p>
    <w:p w14:paraId="70A1B2D1" w14:textId="34FD1EFF" w:rsidR="00E87D7D" w:rsidRPr="00E87D7D" w:rsidRDefault="000B4810" w:rsidP="00E87D7D">
      <w:pPr>
        <w:rPr>
          <w:rFonts w:eastAsia="Calibri" w:cs="Arial"/>
          <w:lang w:val="en-US"/>
        </w:rPr>
      </w:pPr>
      <w:r w:rsidRPr="000B4810">
        <w:rPr>
          <w:rFonts w:eastAsia="Calibri" w:cs="Arial"/>
          <w:noProof/>
          <w:lang w:val="en-US"/>
        </w:rPr>
        <w:drawing>
          <wp:inline distT="0" distB="0" distL="0" distR="0" wp14:anchorId="6D9AE6F7" wp14:editId="71509D31">
            <wp:extent cx="5752465" cy="3825850"/>
            <wp:effectExtent l="0" t="0" r="635" b="3810"/>
            <wp:docPr id="14" name="Picture 14" descr="-$103m Transport. -$81m School education. -$70m Investment. -$68m Natural disaster relief. -$174m Commonwealth payments. $117m Mining production. -$84m Property s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8028" cy="3829550"/>
                    </a:xfrm>
                    <a:prstGeom prst="rect">
                      <a:avLst/>
                    </a:prstGeom>
                    <a:noFill/>
                  </pic:spPr>
                </pic:pic>
              </a:graphicData>
            </a:graphic>
          </wp:inline>
        </w:drawing>
      </w:r>
    </w:p>
    <w:p w14:paraId="06B20AB1" w14:textId="67C68C8C" w:rsidR="00BB472B" w:rsidRPr="00D97B7C" w:rsidRDefault="00BB472B" w:rsidP="00911E0E">
      <w:pPr>
        <w:tabs>
          <w:tab w:val="clear" w:pos="567"/>
          <w:tab w:val="left" w:pos="1947"/>
        </w:tabs>
        <w:jc w:val="center"/>
        <w:rPr>
          <w:rFonts w:ascii="Montserrat Ultra Light" w:hAnsi="Montserrat Ultra Light"/>
          <w:b/>
          <w:bCs/>
          <w:color w:val="004563"/>
        </w:rPr>
      </w:pPr>
      <w:r w:rsidRPr="00D97B7C">
        <w:rPr>
          <w:rFonts w:ascii="Montserrat Ultra Light" w:hAnsi="Montserrat Ultra Light"/>
          <w:b/>
          <w:bCs/>
          <w:color w:val="004563"/>
        </w:rPr>
        <w:t>For more information about these changes, see Volume 1 of the 2020 Review final report.</w:t>
      </w:r>
    </w:p>
    <w:sectPr w:rsidR="00BB472B" w:rsidRPr="00D97B7C" w:rsidSect="00B47A36">
      <w:headerReference w:type="default" r:id="rId12"/>
      <w:footerReference w:type="default" r:id="rId13"/>
      <w:headerReference w:type="first" r:id="rId14"/>
      <w:footerReference w:type="first" r:id="rId15"/>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88DE2" w14:textId="77777777" w:rsidR="002F3B2C" w:rsidRDefault="002F3B2C">
      <w:r>
        <w:separator/>
      </w:r>
    </w:p>
  </w:endnote>
  <w:endnote w:type="continuationSeparator" w:id="0">
    <w:p w14:paraId="25D8BDDC" w14:textId="77777777" w:rsidR="002F3B2C" w:rsidRDefault="002F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7" w:usb1="00000000"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F8C7" w14:textId="1CF73819" w:rsidR="00AB1A13" w:rsidRPr="00061222" w:rsidRDefault="00690104" w:rsidP="00061222">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w:t>
    </w:r>
    <w:r w:rsidR="00C12FBA">
      <w:rPr>
        <w:rFonts w:ascii="Montserrat Semi Bold" w:hAnsi="Montserrat Semi Bold"/>
        <w:b w:val="0"/>
        <w:bCs/>
        <w:sz w:val="22"/>
        <w:szCs w:val="24"/>
        <w:lang w:val="en-US"/>
      </w:rPr>
      <w:t>South Australia</w:t>
    </w:r>
    <w:r>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6D2522">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B55BF" w14:textId="77777777" w:rsidR="002F3B2C" w:rsidRPr="00201B3A" w:rsidRDefault="002F3B2C">
      <w:pPr>
        <w:rPr>
          <w:color w:val="ADD6EA"/>
        </w:rPr>
      </w:pPr>
      <w:r w:rsidRPr="00201B3A">
        <w:rPr>
          <w:color w:val="ADD6EA"/>
        </w:rPr>
        <w:separator/>
      </w:r>
    </w:p>
  </w:footnote>
  <w:footnote w:type="continuationSeparator" w:id="0">
    <w:p w14:paraId="2A2189B2" w14:textId="77777777" w:rsidR="002F3B2C" w:rsidRDefault="002F3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B47A36">
    <w:pPr>
      <w:pStyle w:val="Header"/>
      <w:pBdr>
        <w:bottom w:val="single" w:sz="24" w:space="1" w:color="004563"/>
      </w:pBdr>
      <w:spacing w:before="200"/>
      <w:jc w:val="center"/>
    </w:pPr>
    <w:r>
      <w:rPr>
        <w:noProof/>
      </w:rPr>
      <w:drawing>
        <wp:anchor distT="0" distB="0" distL="114300" distR="114300" simplePos="0" relativeHeight="251660288"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0"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1F32"/>
    <w:rsid w:val="00015B3F"/>
    <w:rsid w:val="00016FE0"/>
    <w:rsid w:val="00022EA9"/>
    <w:rsid w:val="00024745"/>
    <w:rsid w:val="0003139B"/>
    <w:rsid w:val="00032F41"/>
    <w:rsid w:val="000347E9"/>
    <w:rsid w:val="000349FF"/>
    <w:rsid w:val="0004123E"/>
    <w:rsid w:val="00041748"/>
    <w:rsid w:val="00041C1B"/>
    <w:rsid w:val="00041E84"/>
    <w:rsid w:val="000424EA"/>
    <w:rsid w:val="00042BC8"/>
    <w:rsid w:val="000512CF"/>
    <w:rsid w:val="00056373"/>
    <w:rsid w:val="00061111"/>
    <w:rsid w:val="00061222"/>
    <w:rsid w:val="000624BB"/>
    <w:rsid w:val="000648E8"/>
    <w:rsid w:val="00071800"/>
    <w:rsid w:val="00077E84"/>
    <w:rsid w:val="00080896"/>
    <w:rsid w:val="00090AEF"/>
    <w:rsid w:val="00090CF6"/>
    <w:rsid w:val="00093796"/>
    <w:rsid w:val="000A3898"/>
    <w:rsid w:val="000A52A1"/>
    <w:rsid w:val="000B2942"/>
    <w:rsid w:val="000B3557"/>
    <w:rsid w:val="000B4810"/>
    <w:rsid w:val="000B64E3"/>
    <w:rsid w:val="000B67BC"/>
    <w:rsid w:val="000B7BE2"/>
    <w:rsid w:val="000C1B3B"/>
    <w:rsid w:val="000C6238"/>
    <w:rsid w:val="000D1354"/>
    <w:rsid w:val="000D7085"/>
    <w:rsid w:val="000D7C54"/>
    <w:rsid w:val="000E0210"/>
    <w:rsid w:val="000E4EE3"/>
    <w:rsid w:val="000E53E0"/>
    <w:rsid w:val="000E6AA5"/>
    <w:rsid w:val="000E7F56"/>
    <w:rsid w:val="000F11E8"/>
    <w:rsid w:val="000F1CDA"/>
    <w:rsid w:val="000F36F9"/>
    <w:rsid w:val="001039C2"/>
    <w:rsid w:val="001040AD"/>
    <w:rsid w:val="0011178C"/>
    <w:rsid w:val="001128CA"/>
    <w:rsid w:val="00112CF0"/>
    <w:rsid w:val="00113110"/>
    <w:rsid w:val="00120B57"/>
    <w:rsid w:val="001211AB"/>
    <w:rsid w:val="001218B8"/>
    <w:rsid w:val="00124C6E"/>
    <w:rsid w:val="00124ED1"/>
    <w:rsid w:val="00136497"/>
    <w:rsid w:val="00141BD1"/>
    <w:rsid w:val="00147115"/>
    <w:rsid w:val="001477CE"/>
    <w:rsid w:val="00161EFB"/>
    <w:rsid w:val="0016723A"/>
    <w:rsid w:val="00171A05"/>
    <w:rsid w:val="00172F3A"/>
    <w:rsid w:val="001730FD"/>
    <w:rsid w:val="00173798"/>
    <w:rsid w:val="00173BE6"/>
    <w:rsid w:val="00173E72"/>
    <w:rsid w:val="001765AF"/>
    <w:rsid w:val="001807C0"/>
    <w:rsid w:val="001811DE"/>
    <w:rsid w:val="00183170"/>
    <w:rsid w:val="00186733"/>
    <w:rsid w:val="00187145"/>
    <w:rsid w:val="001A2D44"/>
    <w:rsid w:val="001A3F59"/>
    <w:rsid w:val="001B0110"/>
    <w:rsid w:val="001B3048"/>
    <w:rsid w:val="001B6448"/>
    <w:rsid w:val="001B696E"/>
    <w:rsid w:val="001B6A56"/>
    <w:rsid w:val="001C469B"/>
    <w:rsid w:val="001C6A71"/>
    <w:rsid w:val="001C7D06"/>
    <w:rsid w:val="001D638B"/>
    <w:rsid w:val="001D6DFA"/>
    <w:rsid w:val="001E492F"/>
    <w:rsid w:val="001E4FEB"/>
    <w:rsid w:val="001E6180"/>
    <w:rsid w:val="001E674B"/>
    <w:rsid w:val="001E68FC"/>
    <w:rsid w:val="001F1CD6"/>
    <w:rsid w:val="001F45CA"/>
    <w:rsid w:val="00201B3A"/>
    <w:rsid w:val="00204026"/>
    <w:rsid w:val="0020557F"/>
    <w:rsid w:val="00212948"/>
    <w:rsid w:val="00215461"/>
    <w:rsid w:val="00217839"/>
    <w:rsid w:val="00225A3B"/>
    <w:rsid w:val="00226EE9"/>
    <w:rsid w:val="0023081D"/>
    <w:rsid w:val="0023329C"/>
    <w:rsid w:val="00236DC0"/>
    <w:rsid w:val="002373A2"/>
    <w:rsid w:val="00242517"/>
    <w:rsid w:val="0024260B"/>
    <w:rsid w:val="0024401F"/>
    <w:rsid w:val="0024569B"/>
    <w:rsid w:val="00253E9A"/>
    <w:rsid w:val="00255B5A"/>
    <w:rsid w:val="002671A2"/>
    <w:rsid w:val="00267496"/>
    <w:rsid w:val="00270B61"/>
    <w:rsid w:val="00275B68"/>
    <w:rsid w:val="00277EF8"/>
    <w:rsid w:val="002845EA"/>
    <w:rsid w:val="00286EBE"/>
    <w:rsid w:val="00295B70"/>
    <w:rsid w:val="002A2A08"/>
    <w:rsid w:val="002A2D93"/>
    <w:rsid w:val="002A4E42"/>
    <w:rsid w:val="002A77C3"/>
    <w:rsid w:val="002B10B0"/>
    <w:rsid w:val="002B169C"/>
    <w:rsid w:val="002B42AD"/>
    <w:rsid w:val="002B6EFD"/>
    <w:rsid w:val="002B6F33"/>
    <w:rsid w:val="002B79F0"/>
    <w:rsid w:val="002B7F3E"/>
    <w:rsid w:val="002C1D9C"/>
    <w:rsid w:val="002C366F"/>
    <w:rsid w:val="002C4CA9"/>
    <w:rsid w:val="002C7093"/>
    <w:rsid w:val="002D2270"/>
    <w:rsid w:val="002E25A8"/>
    <w:rsid w:val="002E762E"/>
    <w:rsid w:val="002F04DE"/>
    <w:rsid w:val="002F1CD3"/>
    <w:rsid w:val="002F2AE2"/>
    <w:rsid w:val="002F3B2C"/>
    <w:rsid w:val="002F6E28"/>
    <w:rsid w:val="002F7E68"/>
    <w:rsid w:val="00302E5E"/>
    <w:rsid w:val="00307400"/>
    <w:rsid w:val="00307DEF"/>
    <w:rsid w:val="00311D33"/>
    <w:rsid w:val="00313584"/>
    <w:rsid w:val="00313664"/>
    <w:rsid w:val="00314F90"/>
    <w:rsid w:val="0032344D"/>
    <w:rsid w:val="0033102E"/>
    <w:rsid w:val="00331401"/>
    <w:rsid w:val="00333234"/>
    <w:rsid w:val="00335ED1"/>
    <w:rsid w:val="00336293"/>
    <w:rsid w:val="00337EF8"/>
    <w:rsid w:val="00342A60"/>
    <w:rsid w:val="0034379D"/>
    <w:rsid w:val="0034646D"/>
    <w:rsid w:val="00346EE2"/>
    <w:rsid w:val="00347BE5"/>
    <w:rsid w:val="003522E0"/>
    <w:rsid w:val="0035267F"/>
    <w:rsid w:val="0035580D"/>
    <w:rsid w:val="003639FB"/>
    <w:rsid w:val="00363BF7"/>
    <w:rsid w:val="00364DB3"/>
    <w:rsid w:val="00365746"/>
    <w:rsid w:val="00382AE5"/>
    <w:rsid w:val="00385469"/>
    <w:rsid w:val="003929D2"/>
    <w:rsid w:val="00393FA5"/>
    <w:rsid w:val="003A27BB"/>
    <w:rsid w:val="003A2E4F"/>
    <w:rsid w:val="003B15C1"/>
    <w:rsid w:val="003B673D"/>
    <w:rsid w:val="003B7FDB"/>
    <w:rsid w:val="003C2257"/>
    <w:rsid w:val="003C2577"/>
    <w:rsid w:val="003C36F3"/>
    <w:rsid w:val="003C4448"/>
    <w:rsid w:val="003D3D91"/>
    <w:rsid w:val="003D4708"/>
    <w:rsid w:val="003D477A"/>
    <w:rsid w:val="003E6615"/>
    <w:rsid w:val="003E74B4"/>
    <w:rsid w:val="003E79F9"/>
    <w:rsid w:val="003F12E9"/>
    <w:rsid w:val="003F59F4"/>
    <w:rsid w:val="00401575"/>
    <w:rsid w:val="00403C31"/>
    <w:rsid w:val="00404DCD"/>
    <w:rsid w:val="004077D6"/>
    <w:rsid w:val="004121E7"/>
    <w:rsid w:val="00414E51"/>
    <w:rsid w:val="0041705A"/>
    <w:rsid w:val="00420F04"/>
    <w:rsid w:val="00423099"/>
    <w:rsid w:val="00424E79"/>
    <w:rsid w:val="0042661C"/>
    <w:rsid w:val="004274B3"/>
    <w:rsid w:val="00443EC1"/>
    <w:rsid w:val="00453264"/>
    <w:rsid w:val="004532AD"/>
    <w:rsid w:val="004613A4"/>
    <w:rsid w:val="0046225D"/>
    <w:rsid w:val="00462B54"/>
    <w:rsid w:val="00463064"/>
    <w:rsid w:val="00472461"/>
    <w:rsid w:val="0047540E"/>
    <w:rsid w:val="004761A6"/>
    <w:rsid w:val="004772E3"/>
    <w:rsid w:val="004809B8"/>
    <w:rsid w:val="004821B9"/>
    <w:rsid w:val="00487EE9"/>
    <w:rsid w:val="00491D88"/>
    <w:rsid w:val="00492060"/>
    <w:rsid w:val="00492625"/>
    <w:rsid w:val="0049605C"/>
    <w:rsid w:val="004965F7"/>
    <w:rsid w:val="004A6E06"/>
    <w:rsid w:val="004A7048"/>
    <w:rsid w:val="004B0A0A"/>
    <w:rsid w:val="004B1C4B"/>
    <w:rsid w:val="004B2249"/>
    <w:rsid w:val="004B60CB"/>
    <w:rsid w:val="004C1CB5"/>
    <w:rsid w:val="004C64FE"/>
    <w:rsid w:val="004E581E"/>
    <w:rsid w:val="004E769A"/>
    <w:rsid w:val="004F129E"/>
    <w:rsid w:val="004F40BA"/>
    <w:rsid w:val="00500ACD"/>
    <w:rsid w:val="00504061"/>
    <w:rsid w:val="00505BAE"/>
    <w:rsid w:val="00506956"/>
    <w:rsid w:val="00515380"/>
    <w:rsid w:val="005176CA"/>
    <w:rsid w:val="005177E7"/>
    <w:rsid w:val="00526462"/>
    <w:rsid w:val="00537A77"/>
    <w:rsid w:val="00541A14"/>
    <w:rsid w:val="00543F9C"/>
    <w:rsid w:val="00544B10"/>
    <w:rsid w:val="00546D39"/>
    <w:rsid w:val="00550E84"/>
    <w:rsid w:val="00551368"/>
    <w:rsid w:val="005577B0"/>
    <w:rsid w:val="00561895"/>
    <w:rsid w:val="00562084"/>
    <w:rsid w:val="00570EED"/>
    <w:rsid w:val="005716FC"/>
    <w:rsid w:val="005721A4"/>
    <w:rsid w:val="00575DEF"/>
    <w:rsid w:val="00577BD0"/>
    <w:rsid w:val="00581586"/>
    <w:rsid w:val="00583A33"/>
    <w:rsid w:val="005867D2"/>
    <w:rsid w:val="00592669"/>
    <w:rsid w:val="005963CC"/>
    <w:rsid w:val="00596E19"/>
    <w:rsid w:val="005A241E"/>
    <w:rsid w:val="005A6174"/>
    <w:rsid w:val="005A6FED"/>
    <w:rsid w:val="005B1BC4"/>
    <w:rsid w:val="005B6894"/>
    <w:rsid w:val="005C11B0"/>
    <w:rsid w:val="005C13B2"/>
    <w:rsid w:val="005C27E3"/>
    <w:rsid w:val="005C37CB"/>
    <w:rsid w:val="005C459C"/>
    <w:rsid w:val="005C7076"/>
    <w:rsid w:val="005D1A9F"/>
    <w:rsid w:val="005D52FA"/>
    <w:rsid w:val="005D7746"/>
    <w:rsid w:val="005E266F"/>
    <w:rsid w:val="005E5734"/>
    <w:rsid w:val="005E73CE"/>
    <w:rsid w:val="005F00BD"/>
    <w:rsid w:val="005F07DC"/>
    <w:rsid w:val="005F0D9A"/>
    <w:rsid w:val="005F3022"/>
    <w:rsid w:val="005F64FB"/>
    <w:rsid w:val="0060251E"/>
    <w:rsid w:val="00602DDE"/>
    <w:rsid w:val="00611737"/>
    <w:rsid w:val="0061425B"/>
    <w:rsid w:val="00614DE8"/>
    <w:rsid w:val="00622669"/>
    <w:rsid w:val="00622FE1"/>
    <w:rsid w:val="00625CE5"/>
    <w:rsid w:val="00635027"/>
    <w:rsid w:val="00644A7B"/>
    <w:rsid w:val="006556D9"/>
    <w:rsid w:val="00661C46"/>
    <w:rsid w:val="006652D3"/>
    <w:rsid w:val="00667CF3"/>
    <w:rsid w:val="006723C0"/>
    <w:rsid w:val="006769C4"/>
    <w:rsid w:val="00677627"/>
    <w:rsid w:val="00677BD5"/>
    <w:rsid w:val="0068025E"/>
    <w:rsid w:val="00690104"/>
    <w:rsid w:val="00693C87"/>
    <w:rsid w:val="006A05C7"/>
    <w:rsid w:val="006A607B"/>
    <w:rsid w:val="006A6E27"/>
    <w:rsid w:val="006A72B0"/>
    <w:rsid w:val="006B3E4D"/>
    <w:rsid w:val="006B6A00"/>
    <w:rsid w:val="006C52B9"/>
    <w:rsid w:val="006D1DFE"/>
    <w:rsid w:val="006D2522"/>
    <w:rsid w:val="006E1B81"/>
    <w:rsid w:val="006E6BC2"/>
    <w:rsid w:val="006E77BB"/>
    <w:rsid w:val="006F5B18"/>
    <w:rsid w:val="0070150E"/>
    <w:rsid w:val="00702608"/>
    <w:rsid w:val="00705DB8"/>
    <w:rsid w:val="00713225"/>
    <w:rsid w:val="0072512A"/>
    <w:rsid w:val="00731EE6"/>
    <w:rsid w:val="00732CA9"/>
    <w:rsid w:val="007355A6"/>
    <w:rsid w:val="00740A71"/>
    <w:rsid w:val="007477C5"/>
    <w:rsid w:val="00747938"/>
    <w:rsid w:val="0075333F"/>
    <w:rsid w:val="00760479"/>
    <w:rsid w:val="00762AFB"/>
    <w:rsid w:val="00765BA8"/>
    <w:rsid w:val="00766007"/>
    <w:rsid w:val="00770A26"/>
    <w:rsid w:val="007719FF"/>
    <w:rsid w:val="007A1364"/>
    <w:rsid w:val="007A24A0"/>
    <w:rsid w:val="007A4AB2"/>
    <w:rsid w:val="007A5E68"/>
    <w:rsid w:val="007B1BF7"/>
    <w:rsid w:val="007B5783"/>
    <w:rsid w:val="007C0142"/>
    <w:rsid w:val="007C1BB0"/>
    <w:rsid w:val="007C3B23"/>
    <w:rsid w:val="007C404B"/>
    <w:rsid w:val="007C4BAE"/>
    <w:rsid w:val="007D1D3B"/>
    <w:rsid w:val="007D5960"/>
    <w:rsid w:val="007E114E"/>
    <w:rsid w:val="007E487F"/>
    <w:rsid w:val="007E4B2D"/>
    <w:rsid w:val="007E587D"/>
    <w:rsid w:val="007E71E9"/>
    <w:rsid w:val="007F1D06"/>
    <w:rsid w:val="008010D7"/>
    <w:rsid w:val="008018B9"/>
    <w:rsid w:val="00803443"/>
    <w:rsid w:val="0080680D"/>
    <w:rsid w:val="00812C05"/>
    <w:rsid w:val="0081322A"/>
    <w:rsid w:val="008162AB"/>
    <w:rsid w:val="0082288E"/>
    <w:rsid w:val="008248F7"/>
    <w:rsid w:val="00825D08"/>
    <w:rsid w:val="0083557A"/>
    <w:rsid w:val="00843E6F"/>
    <w:rsid w:val="00846E4A"/>
    <w:rsid w:val="00851AF5"/>
    <w:rsid w:val="00851FB5"/>
    <w:rsid w:val="008647DE"/>
    <w:rsid w:val="00864B95"/>
    <w:rsid w:val="00870EC3"/>
    <w:rsid w:val="008712AF"/>
    <w:rsid w:val="008800D3"/>
    <w:rsid w:val="00881642"/>
    <w:rsid w:val="00882EAA"/>
    <w:rsid w:val="00886CDD"/>
    <w:rsid w:val="0089214D"/>
    <w:rsid w:val="0089393B"/>
    <w:rsid w:val="00893C0D"/>
    <w:rsid w:val="008A20DA"/>
    <w:rsid w:val="008B3E99"/>
    <w:rsid w:val="008B5C8F"/>
    <w:rsid w:val="008B5F16"/>
    <w:rsid w:val="008B7722"/>
    <w:rsid w:val="008C0E5C"/>
    <w:rsid w:val="008D348B"/>
    <w:rsid w:val="008D646E"/>
    <w:rsid w:val="008E13F6"/>
    <w:rsid w:val="008E2BE4"/>
    <w:rsid w:val="008E3EAE"/>
    <w:rsid w:val="008E6B4E"/>
    <w:rsid w:val="008E7970"/>
    <w:rsid w:val="008E7C34"/>
    <w:rsid w:val="008F0C36"/>
    <w:rsid w:val="008F377B"/>
    <w:rsid w:val="009076A2"/>
    <w:rsid w:val="00911E0E"/>
    <w:rsid w:val="00915512"/>
    <w:rsid w:val="00920833"/>
    <w:rsid w:val="009233CC"/>
    <w:rsid w:val="009240D8"/>
    <w:rsid w:val="009360D7"/>
    <w:rsid w:val="009362C9"/>
    <w:rsid w:val="00942387"/>
    <w:rsid w:val="009458F6"/>
    <w:rsid w:val="00945B34"/>
    <w:rsid w:val="0094626F"/>
    <w:rsid w:val="009462D2"/>
    <w:rsid w:val="00965003"/>
    <w:rsid w:val="009652D5"/>
    <w:rsid w:val="009677F8"/>
    <w:rsid w:val="00971146"/>
    <w:rsid w:val="00972A9A"/>
    <w:rsid w:val="00984B47"/>
    <w:rsid w:val="00991675"/>
    <w:rsid w:val="00991AE1"/>
    <w:rsid w:val="00992008"/>
    <w:rsid w:val="00996409"/>
    <w:rsid w:val="00996D00"/>
    <w:rsid w:val="009A03DC"/>
    <w:rsid w:val="009A34F1"/>
    <w:rsid w:val="009A6CF3"/>
    <w:rsid w:val="009B43BF"/>
    <w:rsid w:val="009B4A2D"/>
    <w:rsid w:val="009C1E0B"/>
    <w:rsid w:val="009D545A"/>
    <w:rsid w:val="009D5534"/>
    <w:rsid w:val="009D5827"/>
    <w:rsid w:val="009D6D44"/>
    <w:rsid w:val="009E22FA"/>
    <w:rsid w:val="009E4744"/>
    <w:rsid w:val="009E4EC9"/>
    <w:rsid w:val="009E5D5A"/>
    <w:rsid w:val="009F2017"/>
    <w:rsid w:val="009F2262"/>
    <w:rsid w:val="009F4ADA"/>
    <w:rsid w:val="009F6A0D"/>
    <w:rsid w:val="00A07991"/>
    <w:rsid w:val="00A10CDE"/>
    <w:rsid w:val="00A13522"/>
    <w:rsid w:val="00A1680D"/>
    <w:rsid w:val="00A23AB0"/>
    <w:rsid w:val="00A255B3"/>
    <w:rsid w:val="00A266C5"/>
    <w:rsid w:val="00A309C6"/>
    <w:rsid w:val="00A31297"/>
    <w:rsid w:val="00A32E4E"/>
    <w:rsid w:val="00A42348"/>
    <w:rsid w:val="00A46084"/>
    <w:rsid w:val="00A505DE"/>
    <w:rsid w:val="00A5327C"/>
    <w:rsid w:val="00A5721C"/>
    <w:rsid w:val="00A57316"/>
    <w:rsid w:val="00A61355"/>
    <w:rsid w:val="00A63831"/>
    <w:rsid w:val="00A65534"/>
    <w:rsid w:val="00A67913"/>
    <w:rsid w:val="00A81A94"/>
    <w:rsid w:val="00A81BDD"/>
    <w:rsid w:val="00A86F2E"/>
    <w:rsid w:val="00A907D8"/>
    <w:rsid w:val="00A9681E"/>
    <w:rsid w:val="00AA007A"/>
    <w:rsid w:val="00AB073E"/>
    <w:rsid w:val="00AB1A13"/>
    <w:rsid w:val="00AB4E9F"/>
    <w:rsid w:val="00AC210F"/>
    <w:rsid w:val="00AC319E"/>
    <w:rsid w:val="00AC3B65"/>
    <w:rsid w:val="00AC4BC7"/>
    <w:rsid w:val="00AD7523"/>
    <w:rsid w:val="00AE3A1E"/>
    <w:rsid w:val="00AE734F"/>
    <w:rsid w:val="00AF0557"/>
    <w:rsid w:val="00AF2656"/>
    <w:rsid w:val="00AF6110"/>
    <w:rsid w:val="00AF6AC6"/>
    <w:rsid w:val="00B00611"/>
    <w:rsid w:val="00B04354"/>
    <w:rsid w:val="00B249FC"/>
    <w:rsid w:val="00B317E7"/>
    <w:rsid w:val="00B33A57"/>
    <w:rsid w:val="00B34083"/>
    <w:rsid w:val="00B37728"/>
    <w:rsid w:val="00B45C64"/>
    <w:rsid w:val="00B46A32"/>
    <w:rsid w:val="00B46B29"/>
    <w:rsid w:val="00B47A36"/>
    <w:rsid w:val="00B53547"/>
    <w:rsid w:val="00B53597"/>
    <w:rsid w:val="00B55D3E"/>
    <w:rsid w:val="00B57239"/>
    <w:rsid w:val="00B61484"/>
    <w:rsid w:val="00B62590"/>
    <w:rsid w:val="00B6729F"/>
    <w:rsid w:val="00B82136"/>
    <w:rsid w:val="00B82627"/>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3131"/>
    <w:rsid w:val="00BD3D24"/>
    <w:rsid w:val="00BE4F68"/>
    <w:rsid w:val="00C0018A"/>
    <w:rsid w:val="00C00905"/>
    <w:rsid w:val="00C01C15"/>
    <w:rsid w:val="00C035B5"/>
    <w:rsid w:val="00C07A50"/>
    <w:rsid w:val="00C116EC"/>
    <w:rsid w:val="00C11ABD"/>
    <w:rsid w:val="00C12FBA"/>
    <w:rsid w:val="00C14FB2"/>
    <w:rsid w:val="00C15891"/>
    <w:rsid w:val="00C176AC"/>
    <w:rsid w:val="00C21EF9"/>
    <w:rsid w:val="00C222F7"/>
    <w:rsid w:val="00C24743"/>
    <w:rsid w:val="00C24839"/>
    <w:rsid w:val="00C27C23"/>
    <w:rsid w:val="00C32851"/>
    <w:rsid w:val="00C41C84"/>
    <w:rsid w:val="00C43ACF"/>
    <w:rsid w:val="00C554D4"/>
    <w:rsid w:val="00C61B02"/>
    <w:rsid w:val="00C719A2"/>
    <w:rsid w:val="00C72165"/>
    <w:rsid w:val="00C766C4"/>
    <w:rsid w:val="00C83041"/>
    <w:rsid w:val="00C90B42"/>
    <w:rsid w:val="00C9475D"/>
    <w:rsid w:val="00C95056"/>
    <w:rsid w:val="00C951FD"/>
    <w:rsid w:val="00CA33B3"/>
    <w:rsid w:val="00CA7F28"/>
    <w:rsid w:val="00CB0768"/>
    <w:rsid w:val="00CB131F"/>
    <w:rsid w:val="00CB4DCD"/>
    <w:rsid w:val="00CB4F2D"/>
    <w:rsid w:val="00CC1690"/>
    <w:rsid w:val="00CC472B"/>
    <w:rsid w:val="00CC665A"/>
    <w:rsid w:val="00CC6A6B"/>
    <w:rsid w:val="00CE04A0"/>
    <w:rsid w:val="00CE34DC"/>
    <w:rsid w:val="00CF0E93"/>
    <w:rsid w:val="00CF6A55"/>
    <w:rsid w:val="00D07FB4"/>
    <w:rsid w:val="00D16528"/>
    <w:rsid w:val="00D20C70"/>
    <w:rsid w:val="00D21FA8"/>
    <w:rsid w:val="00D236B7"/>
    <w:rsid w:val="00D23E48"/>
    <w:rsid w:val="00D244BE"/>
    <w:rsid w:val="00D32A13"/>
    <w:rsid w:val="00D43096"/>
    <w:rsid w:val="00D46AB2"/>
    <w:rsid w:val="00D46F93"/>
    <w:rsid w:val="00D47815"/>
    <w:rsid w:val="00D520FA"/>
    <w:rsid w:val="00D54582"/>
    <w:rsid w:val="00D656EB"/>
    <w:rsid w:val="00D75003"/>
    <w:rsid w:val="00D76BAC"/>
    <w:rsid w:val="00D771FD"/>
    <w:rsid w:val="00D7796D"/>
    <w:rsid w:val="00D81B18"/>
    <w:rsid w:val="00D81C9F"/>
    <w:rsid w:val="00D83541"/>
    <w:rsid w:val="00D93A16"/>
    <w:rsid w:val="00D9496D"/>
    <w:rsid w:val="00D97B7C"/>
    <w:rsid w:val="00DA0768"/>
    <w:rsid w:val="00DA161A"/>
    <w:rsid w:val="00DA3A19"/>
    <w:rsid w:val="00DA5A94"/>
    <w:rsid w:val="00DA743D"/>
    <w:rsid w:val="00DB2355"/>
    <w:rsid w:val="00DB3BB4"/>
    <w:rsid w:val="00DB6554"/>
    <w:rsid w:val="00DC0517"/>
    <w:rsid w:val="00DC0F02"/>
    <w:rsid w:val="00DC0F8D"/>
    <w:rsid w:val="00DC2284"/>
    <w:rsid w:val="00DC3CA4"/>
    <w:rsid w:val="00DC7F1B"/>
    <w:rsid w:val="00DE0CAD"/>
    <w:rsid w:val="00DE4578"/>
    <w:rsid w:val="00DF04EE"/>
    <w:rsid w:val="00DF24FB"/>
    <w:rsid w:val="00DF3E35"/>
    <w:rsid w:val="00E03ED5"/>
    <w:rsid w:val="00E06243"/>
    <w:rsid w:val="00E07169"/>
    <w:rsid w:val="00E1688C"/>
    <w:rsid w:val="00E22665"/>
    <w:rsid w:val="00E27542"/>
    <w:rsid w:val="00E30499"/>
    <w:rsid w:val="00E30B51"/>
    <w:rsid w:val="00E324BB"/>
    <w:rsid w:val="00E377E8"/>
    <w:rsid w:val="00E41ADB"/>
    <w:rsid w:val="00E43464"/>
    <w:rsid w:val="00E45206"/>
    <w:rsid w:val="00E47A69"/>
    <w:rsid w:val="00E50471"/>
    <w:rsid w:val="00E571BB"/>
    <w:rsid w:val="00E616F0"/>
    <w:rsid w:val="00E717F9"/>
    <w:rsid w:val="00E728DD"/>
    <w:rsid w:val="00E74435"/>
    <w:rsid w:val="00E758AD"/>
    <w:rsid w:val="00E77193"/>
    <w:rsid w:val="00E77D4E"/>
    <w:rsid w:val="00E87D7D"/>
    <w:rsid w:val="00E916A3"/>
    <w:rsid w:val="00E91860"/>
    <w:rsid w:val="00E92B03"/>
    <w:rsid w:val="00E93E9B"/>
    <w:rsid w:val="00E94777"/>
    <w:rsid w:val="00E954B7"/>
    <w:rsid w:val="00E96FDB"/>
    <w:rsid w:val="00EA107B"/>
    <w:rsid w:val="00EC16F1"/>
    <w:rsid w:val="00EC57E8"/>
    <w:rsid w:val="00ED05D6"/>
    <w:rsid w:val="00ED0C6F"/>
    <w:rsid w:val="00ED2FCC"/>
    <w:rsid w:val="00ED41CE"/>
    <w:rsid w:val="00EE4AE1"/>
    <w:rsid w:val="00EE5F75"/>
    <w:rsid w:val="00EE6427"/>
    <w:rsid w:val="00EF23C8"/>
    <w:rsid w:val="00EF2722"/>
    <w:rsid w:val="00EF6805"/>
    <w:rsid w:val="00F00508"/>
    <w:rsid w:val="00F01E52"/>
    <w:rsid w:val="00F042DC"/>
    <w:rsid w:val="00F07099"/>
    <w:rsid w:val="00F105EA"/>
    <w:rsid w:val="00F11117"/>
    <w:rsid w:val="00F12541"/>
    <w:rsid w:val="00F15BC9"/>
    <w:rsid w:val="00F22035"/>
    <w:rsid w:val="00F22D18"/>
    <w:rsid w:val="00F26545"/>
    <w:rsid w:val="00F27B59"/>
    <w:rsid w:val="00F3399C"/>
    <w:rsid w:val="00F36C87"/>
    <w:rsid w:val="00F40F2A"/>
    <w:rsid w:val="00F46927"/>
    <w:rsid w:val="00F53CCD"/>
    <w:rsid w:val="00F55854"/>
    <w:rsid w:val="00F56813"/>
    <w:rsid w:val="00F66AB7"/>
    <w:rsid w:val="00F70110"/>
    <w:rsid w:val="00F7027B"/>
    <w:rsid w:val="00F72C93"/>
    <w:rsid w:val="00F80A88"/>
    <w:rsid w:val="00F81C6A"/>
    <w:rsid w:val="00F823F5"/>
    <w:rsid w:val="00F9170D"/>
    <w:rsid w:val="00F94368"/>
    <w:rsid w:val="00F9494C"/>
    <w:rsid w:val="00FA15C8"/>
    <w:rsid w:val="00FA2A0B"/>
    <w:rsid w:val="00FA2D86"/>
    <w:rsid w:val="00FA348C"/>
    <w:rsid w:val="00FB0AD8"/>
    <w:rsid w:val="00FB3DE8"/>
    <w:rsid w:val="00FB4DBB"/>
    <w:rsid w:val="00FC09B6"/>
    <w:rsid w:val="00FC725D"/>
    <w:rsid w:val="00FD171C"/>
    <w:rsid w:val="00FE2C17"/>
    <w:rsid w:val="00FF072F"/>
    <w:rsid w:val="00FF135C"/>
    <w:rsid w:val="00FF5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06A5"/>
  <w15:chartTrackingRefBased/>
  <w15:docId w15:val="{9F1C46BB-7A57-4C82-A069-D4888F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EF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161EFB"/>
    <w:pPr>
      <w:numPr>
        <w:numId w:val="23"/>
      </w:numPr>
      <w:ind w:left="1208"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DB58D-7CA3-49B9-9043-A7149A30B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FD0B4C-A249-49D8-8D25-828CA400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D72712-1B19-45FB-ADF0-BCE91516FF55}">
  <ds:schemaRefs>
    <ds:schemaRef ds:uri="http://schemas.microsoft.com/sharepoint/v3/contenttype/forms"/>
  </ds:schemaRefs>
</ds:datastoreItem>
</file>

<file path=customXml/itemProps4.xml><?xml version="1.0" encoding="utf-8"?>
<ds:datastoreItem xmlns:ds="http://schemas.openxmlformats.org/officeDocument/2006/customXml" ds:itemID="{17371846-F557-443C-9458-F166C9D19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10</cp:revision>
  <cp:lastPrinted>2020-03-03T23:09:00Z</cp:lastPrinted>
  <dcterms:created xsi:type="dcterms:W3CDTF">2020-03-12T00:15:00Z</dcterms:created>
  <dcterms:modified xsi:type="dcterms:W3CDTF">2020-03-13T03:45:00Z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