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022" w:rsidRDefault="007A0022" w:rsidP="00C21EF9">
      <w:bookmarkStart w:id="0" w:name="_GoBack"/>
      <w:bookmarkEnd w:id="0"/>
    </w:p>
    <w:p w:rsidR="00E23735" w:rsidRDefault="00E23735" w:rsidP="00C21EF9"/>
    <w:p w:rsidR="00E23735" w:rsidRDefault="00E23735" w:rsidP="00C21EF9"/>
    <w:p w:rsidR="00E23735" w:rsidRDefault="00E23735" w:rsidP="00C21EF9"/>
    <w:p w:rsidR="00EF10B9" w:rsidRPr="00741FF2" w:rsidRDefault="00EF10B9" w:rsidP="00EF10B9">
      <w:pPr>
        <w:tabs>
          <w:tab w:val="clear" w:pos="567"/>
        </w:tabs>
        <w:jc w:val="center"/>
        <w:rPr>
          <w:b/>
          <w:bCs/>
        </w:rPr>
      </w:pPr>
      <w:r w:rsidRPr="00741FF2">
        <w:rPr>
          <w:noProof/>
          <w:lang w:eastAsia="en-AU"/>
        </w:rPr>
        <w:drawing>
          <wp:inline distT="0" distB="0" distL="0" distR="0" wp14:anchorId="0BE28BC1" wp14:editId="0D18305A">
            <wp:extent cx="2933700" cy="1524600"/>
            <wp:effectExtent l="19050" t="0" r="0" b="0"/>
            <wp:docPr id="4" name="Picture 4" descr="Commonwealth Gran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C_stackedstrip"/>
                    <pic:cNvPicPr>
                      <a:picLocks noChangeAspect="1" noChangeArrowheads="1"/>
                    </pic:cNvPicPr>
                  </pic:nvPicPr>
                  <pic:blipFill>
                    <a:blip r:embed="rId9" cstate="print"/>
                    <a:srcRect/>
                    <a:stretch>
                      <a:fillRect/>
                    </a:stretch>
                  </pic:blipFill>
                  <pic:spPr bwMode="auto">
                    <a:xfrm>
                      <a:off x="0" y="0"/>
                      <a:ext cx="2933700" cy="1524600"/>
                    </a:xfrm>
                    <a:prstGeom prst="rect">
                      <a:avLst/>
                    </a:prstGeom>
                    <a:noFill/>
                    <a:ln w="9525">
                      <a:noFill/>
                      <a:miter lim="800000"/>
                      <a:headEnd/>
                      <a:tailEnd/>
                    </a:ln>
                  </pic:spPr>
                </pic:pic>
              </a:graphicData>
            </a:graphic>
          </wp:inline>
        </w:drawing>
      </w:r>
    </w:p>
    <w:p w:rsidR="00EF10B9" w:rsidRPr="00741FF2" w:rsidRDefault="00EF10B9" w:rsidP="00EF10B9">
      <w:pPr>
        <w:tabs>
          <w:tab w:val="clear" w:pos="567"/>
        </w:tabs>
        <w:jc w:val="center"/>
        <w:rPr>
          <w:b/>
          <w:sz w:val="40"/>
          <w:szCs w:val="40"/>
        </w:rPr>
      </w:pPr>
    </w:p>
    <w:p w:rsidR="00EF10B9" w:rsidRPr="00741FF2" w:rsidRDefault="00EF10B9" w:rsidP="00EF10B9">
      <w:pPr>
        <w:tabs>
          <w:tab w:val="clear" w:pos="567"/>
        </w:tabs>
        <w:jc w:val="center"/>
        <w:rPr>
          <w:b/>
          <w:sz w:val="40"/>
          <w:szCs w:val="40"/>
        </w:rPr>
      </w:pPr>
    </w:p>
    <w:p w:rsidR="00EF10B9" w:rsidRPr="00741FF2" w:rsidRDefault="00EF10B9" w:rsidP="00EF10B9">
      <w:pPr>
        <w:tabs>
          <w:tab w:val="clear" w:pos="567"/>
        </w:tabs>
        <w:jc w:val="center"/>
        <w:rPr>
          <w:b/>
          <w:sz w:val="40"/>
          <w:szCs w:val="40"/>
        </w:rPr>
      </w:pPr>
      <w:r w:rsidRPr="00741FF2">
        <w:rPr>
          <w:b/>
          <w:sz w:val="40"/>
          <w:szCs w:val="40"/>
        </w:rPr>
        <w:t>201</w:t>
      </w:r>
      <w:r>
        <w:rPr>
          <w:b/>
          <w:sz w:val="40"/>
          <w:szCs w:val="40"/>
        </w:rPr>
        <w:t>6</w:t>
      </w:r>
      <w:r w:rsidRPr="00741FF2">
        <w:rPr>
          <w:b/>
          <w:sz w:val="40"/>
          <w:szCs w:val="40"/>
        </w:rPr>
        <w:t xml:space="preserve"> </w:t>
      </w:r>
      <w:r>
        <w:rPr>
          <w:b/>
          <w:sz w:val="40"/>
          <w:szCs w:val="40"/>
        </w:rPr>
        <w:t>UPDATE</w:t>
      </w:r>
    </w:p>
    <w:p w:rsidR="00EF10B9" w:rsidRPr="00741FF2" w:rsidRDefault="00EF10B9" w:rsidP="00EF10B9">
      <w:pPr>
        <w:tabs>
          <w:tab w:val="clear" w:pos="567"/>
        </w:tabs>
        <w:jc w:val="center"/>
        <w:rPr>
          <w:b/>
          <w:sz w:val="40"/>
          <w:szCs w:val="40"/>
        </w:rPr>
      </w:pPr>
    </w:p>
    <w:p w:rsidR="00EF10B9" w:rsidRPr="00741FF2" w:rsidRDefault="00EF10B9" w:rsidP="00EF10B9">
      <w:pPr>
        <w:tabs>
          <w:tab w:val="clear" w:pos="567"/>
        </w:tabs>
        <w:jc w:val="center"/>
        <w:rPr>
          <w:b/>
          <w:sz w:val="40"/>
          <w:szCs w:val="40"/>
        </w:rPr>
      </w:pPr>
    </w:p>
    <w:p w:rsidR="00EF10B9" w:rsidRPr="00741FF2" w:rsidRDefault="00EF10B9" w:rsidP="00EF10B9">
      <w:pPr>
        <w:tabs>
          <w:tab w:val="clear" w:pos="567"/>
        </w:tabs>
        <w:jc w:val="center"/>
        <w:rPr>
          <w:b/>
          <w:sz w:val="40"/>
          <w:szCs w:val="40"/>
        </w:rPr>
      </w:pPr>
    </w:p>
    <w:p w:rsidR="00EF10B9" w:rsidRPr="00741FF2" w:rsidRDefault="00EF10B9" w:rsidP="00EF10B9">
      <w:pPr>
        <w:tabs>
          <w:tab w:val="clear" w:pos="567"/>
        </w:tabs>
        <w:jc w:val="center"/>
        <w:rPr>
          <w:bCs/>
          <w:sz w:val="40"/>
          <w:szCs w:val="40"/>
        </w:rPr>
      </w:pPr>
      <w:r>
        <w:rPr>
          <w:b/>
          <w:sz w:val="40"/>
          <w:szCs w:val="40"/>
        </w:rPr>
        <w:t>WAGE COSTS ASSESSMENT</w:t>
      </w:r>
    </w:p>
    <w:p w:rsidR="00EF10B9" w:rsidRPr="00741FF2" w:rsidRDefault="00EF10B9" w:rsidP="00EF10B9">
      <w:pPr>
        <w:tabs>
          <w:tab w:val="clear" w:pos="567"/>
        </w:tabs>
        <w:jc w:val="center"/>
        <w:rPr>
          <w:b/>
          <w:sz w:val="40"/>
          <w:szCs w:val="40"/>
        </w:rPr>
      </w:pPr>
    </w:p>
    <w:p w:rsidR="00EF10B9" w:rsidRPr="00741FF2" w:rsidRDefault="00EF10B9" w:rsidP="00EF10B9">
      <w:pPr>
        <w:tabs>
          <w:tab w:val="clear" w:pos="567"/>
        </w:tabs>
        <w:jc w:val="center"/>
        <w:rPr>
          <w:b/>
          <w:sz w:val="40"/>
          <w:szCs w:val="40"/>
        </w:rPr>
      </w:pPr>
    </w:p>
    <w:p w:rsidR="00EF10B9" w:rsidRPr="00741FF2" w:rsidRDefault="00EF10B9" w:rsidP="00EF10B9">
      <w:pPr>
        <w:tabs>
          <w:tab w:val="clear" w:pos="567"/>
        </w:tabs>
        <w:jc w:val="center"/>
        <w:rPr>
          <w:b/>
          <w:sz w:val="40"/>
          <w:szCs w:val="40"/>
        </w:rPr>
      </w:pPr>
    </w:p>
    <w:p w:rsidR="00EF10B9" w:rsidRPr="00741FF2" w:rsidRDefault="00EF10B9" w:rsidP="00EF10B9">
      <w:pPr>
        <w:tabs>
          <w:tab w:val="clear" w:pos="567"/>
        </w:tabs>
        <w:jc w:val="center"/>
        <w:rPr>
          <w:b/>
          <w:sz w:val="40"/>
          <w:szCs w:val="40"/>
        </w:rPr>
      </w:pPr>
      <w:r w:rsidRPr="00741FF2">
        <w:rPr>
          <w:b/>
          <w:sz w:val="40"/>
          <w:szCs w:val="40"/>
        </w:rPr>
        <w:t>STAFF DISCUSSION PAPER</w:t>
      </w:r>
      <w:r w:rsidRPr="00741FF2">
        <w:rPr>
          <w:b/>
          <w:sz w:val="40"/>
          <w:szCs w:val="40"/>
        </w:rPr>
        <w:br/>
        <w:t>CGC 201</w:t>
      </w:r>
      <w:r>
        <w:rPr>
          <w:b/>
          <w:sz w:val="40"/>
          <w:szCs w:val="40"/>
        </w:rPr>
        <w:t>5</w:t>
      </w:r>
      <w:r w:rsidRPr="00741FF2">
        <w:rPr>
          <w:b/>
          <w:sz w:val="40"/>
          <w:szCs w:val="40"/>
        </w:rPr>
        <w:t>-</w:t>
      </w:r>
      <w:r w:rsidR="00143AEA">
        <w:rPr>
          <w:b/>
          <w:sz w:val="40"/>
          <w:szCs w:val="40"/>
        </w:rPr>
        <w:t>03</w:t>
      </w:r>
      <w:r w:rsidR="00143AEA" w:rsidRPr="00741FF2">
        <w:rPr>
          <w:b/>
          <w:sz w:val="40"/>
          <w:szCs w:val="40"/>
        </w:rPr>
        <w:t>S</w:t>
      </w:r>
    </w:p>
    <w:p w:rsidR="00EF10B9" w:rsidRPr="00741FF2" w:rsidRDefault="00EF10B9" w:rsidP="00EF10B9">
      <w:pPr>
        <w:tabs>
          <w:tab w:val="clear" w:pos="567"/>
        </w:tabs>
        <w:jc w:val="center"/>
        <w:rPr>
          <w:b/>
          <w:sz w:val="40"/>
          <w:szCs w:val="40"/>
        </w:rPr>
      </w:pPr>
    </w:p>
    <w:p w:rsidR="00EF10B9" w:rsidRPr="00741FF2" w:rsidRDefault="00EF10B9" w:rsidP="00EF10B9">
      <w:pPr>
        <w:tabs>
          <w:tab w:val="clear" w:pos="567"/>
        </w:tabs>
        <w:jc w:val="center"/>
        <w:rPr>
          <w:b/>
          <w:sz w:val="40"/>
          <w:szCs w:val="40"/>
        </w:rPr>
      </w:pPr>
    </w:p>
    <w:p w:rsidR="00EF10B9" w:rsidRPr="00741FF2" w:rsidRDefault="00EF10B9" w:rsidP="00EF10B9">
      <w:pPr>
        <w:tabs>
          <w:tab w:val="clear" w:pos="567"/>
        </w:tabs>
        <w:jc w:val="center"/>
        <w:rPr>
          <w:sz w:val="40"/>
          <w:szCs w:val="40"/>
        </w:rPr>
      </w:pPr>
    </w:p>
    <w:p w:rsidR="00EF10B9" w:rsidRPr="00EF10B9" w:rsidRDefault="007D3115" w:rsidP="00EF10B9">
      <w:pPr>
        <w:tabs>
          <w:tab w:val="clear" w:pos="567"/>
        </w:tabs>
        <w:jc w:val="right"/>
        <w:rPr>
          <w:b/>
          <w:sz w:val="28"/>
          <w:szCs w:val="28"/>
        </w:rPr>
      </w:pPr>
      <w:r>
        <w:rPr>
          <w:b/>
          <w:sz w:val="28"/>
          <w:szCs w:val="28"/>
        </w:rPr>
        <w:t>JULY</w:t>
      </w:r>
      <w:r w:rsidRPr="00741FF2">
        <w:rPr>
          <w:b/>
          <w:sz w:val="28"/>
          <w:szCs w:val="28"/>
        </w:rPr>
        <w:t xml:space="preserve"> </w:t>
      </w:r>
      <w:r w:rsidR="00EF10B9" w:rsidRPr="00741FF2">
        <w:rPr>
          <w:b/>
          <w:sz w:val="28"/>
          <w:szCs w:val="28"/>
        </w:rPr>
        <w:t>201</w:t>
      </w:r>
      <w:r w:rsidR="00EF10B9">
        <w:rPr>
          <w:b/>
          <w:sz w:val="28"/>
          <w:szCs w:val="28"/>
        </w:rPr>
        <w:t>5</w:t>
      </w:r>
    </w:p>
    <w:p w:rsidR="00E23735" w:rsidRDefault="00E23735" w:rsidP="00E23735">
      <w:pPr>
        <w:pStyle w:val="Heading1"/>
      </w:pPr>
      <w:bookmarkStart w:id="1" w:name="_Toc420916558"/>
      <w:bookmarkStart w:id="2" w:name="_Toc420940562"/>
      <w:bookmarkStart w:id="3" w:name="_Toc420942576"/>
      <w:bookmarkStart w:id="4" w:name="_Toc421612529"/>
      <w:bookmarkStart w:id="5" w:name="_Toc421616756"/>
      <w:bookmarkStart w:id="6" w:name="_Toc422131395"/>
      <w:bookmarkStart w:id="7" w:name="_Toc422131457"/>
      <w:bookmarkStart w:id="8" w:name="_Toc422225884"/>
      <w:bookmarkStart w:id="9" w:name="_Toc422226421"/>
      <w:bookmarkStart w:id="10" w:name="_Toc422307630"/>
      <w:bookmarkStart w:id="11" w:name="_Toc422307693"/>
      <w:bookmarkStart w:id="12" w:name="_Toc423519009"/>
      <w:bookmarkStart w:id="13" w:name="_Toc423525276"/>
      <w:bookmarkStart w:id="14" w:name="_Toc423526933"/>
      <w:bookmarkStart w:id="15" w:name="_Toc423527782"/>
      <w:bookmarkStart w:id="16" w:name="_Toc423941791"/>
      <w:bookmarkStart w:id="17" w:name="_Toc423962561"/>
      <w:r>
        <w:lastRenderedPageBreak/>
        <w:t>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bookmarkStart w:id="18" w:name="_Toc420916559"/>
    <w:bookmarkStart w:id="19" w:name="_Toc420940563"/>
    <w:bookmarkStart w:id="20" w:name="_Toc420940580"/>
    <w:bookmarkStart w:id="21" w:name="_Toc420942577"/>
    <w:bookmarkStart w:id="22" w:name="_Toc421616757"/>
    <w:p w:rsidR="00E00488" w:rsidRDefault="00B444A4">
      <w:pPr>
        <w:pStyle w:val="TOC1"/>
        <w:tabs>
          <w:tab w:val="right" w:pos="8941"/>
        </w:tabs>
        <w:rPr>
          <w:rFonts w:eastAsiaTheme="minorEastAsia"/>
          <w:b w:val="0"/>
          <w:bCs w:val="0"/>
          <w:caps w:val="0"/>
          <w:noProof/>
          <w:sz w:val="22"/>
          <w:szCs w:val="22"/>
          <w:lang w:eastAsia="en-AU"/>
        </w:rPr>
      </w:pPr>
      <w:r w:rsidRPr="007649D2">
        <w:rPr>
          <w:sz w:val="24"/>
          <w:szCs w:val="24"/>
        </w:rPr>
        <w:fldChar w:fldCharType="begin"/>
      </w:r>
      <w:r w:rsidR="007649D2" w:rsidRPr="007649D2">
        <w:rPr>
          <w:sz w:val="24"/>
          <w:szCs w:val="24"/>
        </w:rPr>
        <w:instrText xml:space="preserve"> TOC \o "1-2" \f \h \z \t "Heading 3,1,Heading 4,2,Header,1" </w:instrText>
      </w:r>
      <w:r w:rsidRPr="007649D2">
        <w:rPr>
          <w:sz w:val="24"/>
          <w:szCs w:val="24"/>
        </w:rPr>
        <w:fldChar w:fldCharType="separate"/>
      </w:r>
      <w:hyperlink w:anchor="_Toc423962561" w:history="1">
        <w:r w:rsidR="00E00488" w:rsidRPr="008B7CCE">
          <w:rPr>
            <w:rStyle w:val="Hyperlink"/>
            <w:noProof/>
          </w:rPr>
          <w:t>Contents</w:t>
        </w:r>
        <w:r w:rsidR="00E00488">
          <w:rPr>
            <w:noProof/>
            <w:webHidden/>
          </w:rPr>
          <w:tab/>
        </w:r>
        <w:r w:rsidR="00E00488">
          <w:rPr>
            <w:noProof/>
            <w:webHidden/>
          </w:rPr>
          <w:fldChar w:fldCharType="begin"/>
        </w:r>
        <w:r w:rsidR="00E00488">
          <w:rPr>
            <w:noProof/>
            <w:webHidden/>
          </w:rPr>
          <w:instrText xml:space="preserve"> PAGEREF _Toc423962561 \h </w:instrText>
        </w:r>
        <w:r w:rsidR="00E00488">
          <w:rPr>
            <w:noProof/>
            <w:webHidden/>
          </w:rPr>
        </w:r>
        <w:r w:rsidR="00E00488">
          <w:rPr>
            <w:noProof/>
            <w:webHidden/>
          </w:rPr>
          <w:fldChar w:fldCharType="separate"/>
        </w:r>
        <w:r w:rsidR="00864DA7">
          <w:rPr>
            <w:noProof/>
            <w:webHidden/>
          </w:rPr>
          <w:t>2</w:t>
        </w:r>
        <w:r w:rsidR="00E00488">
          <w:rPr>
            <w:noProof/>
            <w:webHidden/>
          </w:rPr>
          <w:fldChar w:fldCharType="end"/>
        </w:r>
      </w:hyperlink>
    </w:p>
    <w:p w:rsidR="00E00488" w:rsidRDefault="00495218">
      <w:pPr>
        <w:pStyle w:val="TOC1"/>
        <w:tabs>
          <w:tab w:val="right" w:pos="8941"/>
        </w:tabs>
        <w:rPr>
          <w:rFonts w:eastAsiaTheme="minorEastAsia"/>
          <w:b w:val="0"/>
          <w:bCs w:val="0"/>
          <w:caps w:val="0"/>
          <w:noProof/>
          <w:sz w:val="22"/>
          <w:szCs w:val="22"/>
          <w:lang w:eastAsia="en-AU"/>
        </w:rPr>
      </w:pPr>
      <w:hyperlink w:anchor="_Toc423962562" w:history="1">
        <w:r w:rsidR="00E00488" w:rsidRPr="008B7CCE">
          <w:rPr>
            <w:rStyle w:val="Hyperlink"/>
            <w:noProof/>
          </w:rPr>
          <w:t>Introduction</w:t>
        </w:r>
        <w:r w:rsidR="00E00488">
          <w:rPr>
            <w:noProof/>
            <w:webHidden/>
          </w:rPr>
          <w:tab/>
        </w:r>
        <w:r w:rsidR="00E00488">
          <w:rPr>
            <w:noProof/>
            <w:webHidden/>
          </w:rPr>
          <w:fldChar w:fldCharType="begin"/>
        </w:r>
        <w:r w:rsidR="00E00488">
          <w:rPr>
            <w:noProof/>
            <w:webHidden/>
          </w:rPr>
          <w:instrText xml:space="preserve"> PAGEREF _Toc423962562 \h </w:instrText>
        </w:r>
        <w:r w:rsidR="00E00488">
          <w:rPr>
            <w:noProof/>
            <w:webHidden/>
          </w:rPr>
        </w:r>
        <w:r w:rsidR="00E00488">
          <w:rPr>
            <w:noProof/>
            <w:webHidden/>
          </w:rPr>
          <w:fldChar w:fldCharType="separate"/>
        </w:r>
        <w:r w:rsidR="00864DA7">
          <w:rPr>
            <w:noProof/>
            <w:webHidden/>
          </w:rPr>
          <w:t>3</w:t>
        </w:r>
        <w:r w:rsidR="00E00488">
          <w:rPr>
            <w:noProof/>
            <w:webHidden/>
          </w:rPr>
          <w:fldChar w:fldCharType="end"/>
        </w:r>
      </w:hyperlink>
    </w:p>
    <w:p w:rsidR="00E00488" w:rsidRDefault="00495218">
      <w:pPr>
        <w:pStyle w:val="TOC1"/>
        <w:tabs>
          <w:tab w:val="right" w:pos="8941"/>
        </w:tabs>
        <w:rPr>
          <w:rFonts w:eastAsiaTheme="minorEastAsia"/>
          <w:b w:val="0"/>
          <w:bCs w:val="0"/>
          <w:caps w:val="0"/>
          <w:noProof/>
          <w:sz w:val="22"/>
          <w:szCs w:val="22"/>
          <w:lang w:eastAsia="en-AU"/>
        </w:rPr>
      </w:pPr>
      <w:hyperlink w:anchor="_Toc423962563" w:history="1">
        <w:r w:rsidR="00E00488" w:rsidRPr="008B7CCE">
          <w:rPr>
            <w:rStyle w:val="Hyperlink"/>
            <w:noProof/>
          </w:rPr>
          <w:t>The Conceptual Case</w:t>
        </w:r>
        <w:r w:rsidR="00E00488">
          <w:rPr>
            <w:noProof/>
            <w:webHidden/>
          </w:rPr>
          <w:tab/>
        </w:r>
        <w:r w:rsidR="00E00488">
          <w:rPr>
            <w:noProof/>
            <w:webHidden/>
          </w:rPr>
          <w:fldChar w:fldCharType="begin"/>
        </w:r>
        <w:r w:rsidR="00E00488">
          <w:rPr>
            <w:noProof/>
            <w:webHidden/>
          </w:rPr>
          <w:instrText xml:space="preserve"> PAGEREF _Toc423962563 \h </w:instrText>
        </w:r>
        <w:r w:rsidR="00E00488">
          <w:rPr>
            <w:noProof/>
            <w:webHidden/>
          </w:rPr>
        </w:r>
        <w:r w:rsidR="00E00488">
          <w:rPr>
            <w:noProof/>
            <w:webHidden/>
          </w:rPr>
          <w:fldChar w:fldCharType="separate"/>
        </w:r>
        <w:r w:rsidR="00864DA7">
          <w:rPr>
            <w:noProof/>
            <w:webHidden/>
          </w:rPr>
          <w:t>4</w:t>
        </w:r>
        <w:r w:rsidR="00E00488">
          <w:rPr>
            <w:noProof/>
            <w:webHidden/>
          </w:rPr>
          <w:fldChar w:fldCharType="end"/>
        </w:r>
      </w:hyperlink>
    </w:p>
    <w:p w:rsidR="00E00488" w:rsidRDefault="00495218">
      <w:pPr>
        <w:pStyle w:val="TOC2"/>
        <w:tabs>
          <w:tab w:val="right" w:pos="8941"/>
        </w:tabs>
        <w:rPr>
          <w:rFonts w:eastAsiaTheme="minorEastAsia"/>
          <w:smallCaps w:val="0"/>
          <w:noProof/>
          <w:sz w:val="22"/>
          <w:szCs w:val="22"/>
          <w:lang w:eastAsia="en-AU"/>
        </w:rPr>
      </w:pPr>
      <w:hyperlink w:anchor="_Toc423962564" w:history="1">
        <w:r w:rsidR="00E00488" w:rsidRPr="008B7CCE">
          <w:rPr>
            <w:rStyle w:val="Hyperlink"/>
            <w:noProof/>
          </w:rPr>
          <w:t>Relationship between public and private State coefficients</w:t>
        </w:r>
        <w:r w:rsidR="00E00488">
          <w:rPr>
            <w:noProof/>
            <w:webHidden/>
          </w:rPr>
          <w:tab/>
        </w:r>
        <w:r w:rsidR="00E00488">
          <w:rPr>
            <w:noProof/>
            <w:webHidden/>
          </w:rPr>
          <w:fldChar w:fldCharType="begin"/>
        </w:r>
        <w:r w:rsidR="00E00488">
          <w:rPr>
            <w:noProof/>
            <w:webHidden/>
          </w:rPr>
          <w:instrText xml:space="preserve"> PAGEREF _Toc423962564 \h </w:instrText>
        </w:r>
        <w:r w:rsidR="00E00488">
          <w:rPr>
            <w:noProof/>
            <w:webHidden/>
          </w:rPr>
        </w:r>
        <w:r w:rsidR="00E00488">
          <w:rPr>
            <w:noProof/>
            <w:webHidden/>
          </w:rPr>
          <w:fldChar w:fldCharType="separate"/>
        </w:r>
        <w:r w:rsidR="00864DA7">
          <w:rPr>
            <w:noProof/>
            <w:webHidden/>
          </w:rPr>
          <w:t>5</w:t>
        </w:r>
        <w:r w:rsidR="00E00488">
          <w:rPr>
            <w:noProof/>
            <w:webHidden/>
          </w:rPr>
          <w:fldChar w:fldCharType="end"/>
        </w:r>
      </w:hyperlink>
    </w:p>
    <w:p w:rsidR="00E00488" w:rsidRDefault="00495218">
      <w:pPr>
        <w:pStyle w:val="TOC2"/>
        <w:tabs>
          <w:tab w:val="right" w:pos="8941"/>
        </w:tabs>
        <w:rPr>
          <w:rFonts w:eastAsiaTheme="minorEastAsia"/>
          <w:smallCaps w:val="0"/>
          <w:noProof/>
          <w:sz w:val="22"/>
          <w:szCs w:val="22"/>
          <w:lang w:eastAsia="en-AU"/>
        </w:rPr>
      </w:pPr>
      <w:hyperlink w:anchor="_Toc423962565" w:history="1">
        <w:r w:rsidR="00E00488" w:rsidRPr="008B7CCE">
          <w:rPr>
            <w:rStyle w:val="Hyperlink"/>
            <w:noProof/>
          </w:rPr>
          <w:t>National Market</w:t>
        </w:r>
        <w:r w:rsidR="00E00488">
          <w:rPr>
            <w:noProof/>
            <w:webHidden/>
          </w:rPr>
          <w:tab/>
        </w:r>
        <w:r w:rsidR="00E00488">
          <w:rPr>
            <w:noProof/>
            <w:webHidden/>
          </w:rPr>
          <w:fldChar w:fldCharType="begin"/>
        </w:r>
        <w:r w:rsidR="00E00488">
          <w:rPr>
            <w:noProof/>
            <w:webHidden/>
          </w:rPr>
          <w:instrText xml:space="preserve"> PAGEREF _Toc423962565 \h </w:instrText>
        </w:r>
        <w:r w:rsidR="00E00488">
          <w:rPr>
            <w:noProof/>
            <w:webHidden/>
          </w:rPr>
        </w:r>
        <w:r w:rsidR="00E00488">
          <w:rPr>
            <w:noProof/>
            <w:webHidden/>
          </w:rPr>
          <w:fldChar w:fldCharType="separate"/>
        </w:r>
        <w:r w:rsidR="00864DA7">
          <w:rPr>
            <w:noProof/>
            <w:webHidden/>
          </w:rPr>
          <w:t>7</w:t>
        </w:r>
        <w:r w:rsidR="00E00488">
          <w:rPr>
            <w:noProof/>
            <w:webHidden/>
          </w:rPr>
          <w:fldChar w:fldCharType="end"/>
        </w:r>
      </w:hyperlink>
    </w:p>
    <w:p w:rsidR="00E00488" w:rsidRDefault="00495218">
      <w:pPr>
        <w:pStyle w:val="TOC2"/>
        <w:tabs>
          <w:tab w:val="right" w:pos="8941"/>
        </w:tabs>
        <w:rPr>
          <w:rFonts w:eastAsiaTheme="minorEastAsia"/>
          <w:smallCaps w:val="0"/>
          <w:noProof/>
          <w:sz w:val="22"/>
          <w:szCs w:val="22"/>
          <w:lang w:eastAsia="en-AU"/>
        </w:rPr>
      </w:pPr>
      <w:hyperlink w:anchor="_Toc423962566" w:history="1">
        <w:r w:rsidR="00E00488" w:rsidRPr="008B7CCE">
          <w:rPr>
            <w:rStyle w:val="Hyperlink"/>
            <w:noProof/>
          </w:rPr>
          <w:t>Productivity differences</w:t>
        </w:r>
        <w:r w:rsidR="00E00488">
          <w:rPr>
            <w:noProof/>
            <w:webHidden/>
          </w:rPr>
          <w:tab/>
        </w:r>
        <w:r w:rsidR="00E00488">
          <w:rPr>
            <w:noProof/>
            <w:webHidden/>
          </w:rPr>
          <w:fldChar w:fldCharType="begin"/>
        </w:r>
        <w:r w:rsidR="00E00488">
          <w:rPr>
            <w:noProof/>
            <w:webHidden/>
          </w:rPr>
          <w:instrText xml:space="preserve"> PAGEREF _Toc423962566 \h </w:instrText>
        </w:r>
        <w:r w:rsidR="00E00488">
          <w:rPr>
            <w:noProof/>
            <w:webHidden/>
          </w:rPr>
        </w:r>
        <w:r w:rsidR="00E00488">
          <w:rPr>
            <w:noProof/>
            <w:webHidden/>
          </w:rPr>
          <w:fldChar w:fldCharType="separate"/>
        </w:r>
        <w:r w:rsidR="00864DA7">
          <w:rPr>
            <w:noProof/>
            <w:webHidden/>
          </w:rPr>
          <w:t>11</w:t>
        </w:r>
        <w:r w:rsidR="00E00488">
          <w:rPr>
            <w:noProof/>
            <w:webHidden/>
          </w:rPr>
          <w:fldChar w:fldCharType="end"/>
        </w:r>
      </w:hyperlink>
    </w:p>
    <w:p w:rsidR="00E00488" w:rsidRDefault="00495218">
      <w:pPr>
        <w:pStyle w:val="TOC2"/>
        <w:tabs>
          <w:tab w:val="right" w:pos="8941"/>
        </w:tabs>
        <w:rPr>
          <w:rFonts w:eastAsiaTheme="minorEastAsia"/>
          <w:smallCaps w:val="0"/>
          <w:noProof/>
          <w:sz w:val="22"/>
          <w:szCs w:val="22"/>
          <w:lang w:eastAsia="en-AU"/>
        </w:rPr>
      </w:pPr>
      <w:hyperlink w:anchor="_Toc423962567" w:history="1">
        <w:r w:rsidR="00E00488" w:rsidRPr="008B7CCE">
          <w:rPr>
            <w:rStyle w:val="Hyperlink"/>
            <w:noProof/>
          </w:rPr>
          <w:t>Segmentation of private and public markets</w:t>
        </w:r>
        <w:r w:rsidR="00E00488">
          <w:rPr>
            <w:noProof/>
            <w:webHidden/>
          </w:rPr>
          <w:tab/>
        </w:r>
        <w:r w:rsidR="00E00488">
          <w:rPr>
            <w:noProof/>
            <w:webHidden/>
          </w:rPr>
          <w:fldChar w:fldCharType="begin"/>
        </w:r>
        <w:r w:rsidR="00E00488">
          <w:rPr>
            <w:noProof/>
            <w:webHidden/>
          </w:rPr>
          <w:instrText xml:space="preserve"> PAGEREF _Toc423962567 \h </w:instrText>
        </w:r>
        <w:r w:rsidR="00E00488">
          <w:rPr>
            <w:noProof/>
            <w:webHidden/>
          </w:rPr>
        </w:r>
        <w:r w:rsidR="00E00488">
          <w:rPr>
            <w:noProof/>
            <w:webHidden/>
          </w:rPr>
          <w:fldChar w:fldCharType="separate"/>
        </w:r>
        <w:r w:rsidR="00864DA7">
          <w:rPr>
            <w:noProof/>
            <w:webHidden/>
          </w:rPr>
          <w:t>11</w:t>
        </w:r>
        <w:r w:rsidR="00E00488">
          <w:rPr>
            <w:noProof/>
            <w:webHidden/>
          </w:rPr>
          <w:fldChar w:fldCharType="end"/>
        </w:r>
      </w:hyperlink>
    </w:p>
    <w:p w:rsidR="00E00488" w:rsidRDefault="00495218">
      <w:pPr>
        <w:pStyle w:val="TOC2"/>
        <w:tabs>
          <w:tab w:val="right" w:pos="8941"/>
        </w:tabs>
        <w:rPr>
          <w:rFonts w:eastAsiaTheme="minorEastAsia"/>
          <w:smallCaps w:val="0"/>
          <w:noProof/>
          <w:sz w:val="22"/>
          <w:szCs w:val="22"/>
          <w:lang w:eastAsia="en-AU"/>
        </w:rPr>
      </w:pPr>
      <w:hyperlink w:anchor="_Toc423962568" w:history="1">
        <w:r w:rsidR="00E00488" w:rsidRPr="008B7CCE">
          <w:rPr>
            <w:rStyle w:val="Hyperlink"/>
            <w:noProof/>
          </w:rPr>
          <w:t>Other issues</w:t>
        </w:r>
        <w:r w:rsidR="00E00488">
          <w:rPr>
            <w:noProof/>
            <w:webHidden/>
          </w:rPr>
          <w:tab/>
        </w:r>
        <w:r w:rsidR="00E00488">
          <w:rPr>
            <w:noProof/>
            <w:webHidden/>
          </w:rPr>
          <w:fldChar w:fldCharType="begin"/>
        </w:r>
        <w:r w:rsidR="00E00488">
          <w:rPr>
            <w:noProof/>
            <w:webHidden/>
          </w:rPr>
          <w:instrText xml:space="preserve"> PAGEREF _Toc423962568 \h </w:instrText>
        </w:r>
        <w:r w:rsidR="00E00488">
          <w:rPr>
            <w:noProof/>
            <w:webHidden/>
          </w:rPr>
        </w:r>
        <w:r w:rsidR="00E00488">
          <w:rPr>
            <w:noProof/>
            <w:webHidden/>
          </w:rPr>
          <w:fldChar w:fldCharType="separate"/>
        </w:r>
        <w:r w:rsidR="00864DA7">
          <w:rPr>
            <w:noProof/>
            <w:webHidden/>
          </w:rPr>
          <w:t>12</w:t>
        </w:r>
        <w:r w:rsidR="00E00488">
          <w:rPr>
            <w:noProof/>
            <w:webHidden/>
          </w:rPr>
          <w:fldChar w:fldCharType="end"/>
        </w:r>
      </w:hyperlink>
    </w:p>
    <w:p w:rsidR="00E00488" w:rsidRDefault="00495218">
      <w:pPr>
        <w:pStyle w:val="TOC1"/>
        <w:tabs>
          <w:tab w:val="right" w:pos="8941"/>
        </w:tabs>
        <w:rPr>
          <w:rFonts w:eastAsiaTheme="minorEastAsia"/>
          <w:b w:val="0"/>
          <w:bCs w:val="0"/>
          <w:caps w:val="0"/>
          <w:noProof/>
          <w:sz w:val="22"/>
          <w:szCs w:val="22"/>
          <w:lang w:eastAsia="en-AU"/>
        </w:rPr>
      </w:pPr>
      <w:hyperlink w:anchor="_Toc423962569" w:history="1">
        <w:r w:rsidR="00E00488" w:rsidRPr="008B7CCE">
          <w:rPr>
            <w:rStyle w:val="Hyperlink"/>
            <w:noProof/>
          </w:rPr>
          <w:t>Does a regression approach Measure the disability?</w:t>
        </w:r>
        <w:r w:rsidR="00E00488">
          <w:rPr>
            <w:noProof/>
            <w:webHidden/>
          </w:rPr>
          <w:tab/>
        </w:r>
        <w:r w:rsidR="00E00488">
          <w:rPr>
            <w:noProof/>
            <w:webHidden/>
          </w:rPr>
          <w:fldChar w:fldCharType="begin"/>
        </w:r>
        <w:r w:rsidR="00E00488">
          <w:rPr>
            <w:noProof/>
            <w:webHidden/>
          </w:rPr>
          <w:instrText xml:space="preserve"> PAGEREF _Toc423962569 \h </w:instrText>
        </w:r>
        <w:r w:rsidR="00E00488">
          <w:rPr>
            <w:noProof/>
            <w:webHidden/>
          </w:rPr>
        </w:r>
        <w:r w:rsidR="00E00488">
          <w:rPr>
            <w:noProof/>
            <w:webHidden/>
          </w:rPr>
          <w:fldChar w:fldCharType="separate"/>
        </w:r>
        <w:r w:rsidR="00864DA7">
          <w:rPr>
            <w:noProof/>
            <w:webHidden/>
          </w:rPr>
          <w:t>13</w:t>
        </w:r>
        <w:r w:rsidR="00E00488">
          <w:rPr>
            <w:noProof/>
            <w:webHidden/>
          </w:rPr>
          <w:fldChar w:fldCharType="end"/>
        </w:r>
      </w:hyperlink>
    </w:p>
    <w:p w:rsidR="00E00488" w:rsidRDefault="00495218">
      <w:pPr>
        <w:pStyle w:val="TOC2"/>
        <w:tabs>
          <w:tab w:val="right" w:pos="8941"/>
        </w:tabs>
        <w:rPr>
          <w:rFonts w:eastAsiaTheme="minorEastAsia"/>
          <w:smallCaps w:val="0"/>
          <w:noProof/>
          <w:sz w:val="22"/>
          <w:szCs w:val="22"/>
          <w:lang w:eastAsia="en-AU"/>
        </w:rPr>
      </w:pPr>
      <w:hyperlink w:anchor="_Toc423962570" w:history="1">
        <w:r w:rsidR="00E00488" w:rsidRPr="008B7CCE">
          <w:rPr>
            <w:rStyle w:val="Hyperlink"/>
            <w:noProof/>
          </w:rPr>
          <w:t>Adjusting for private sector productivity differences</w:t>
        </w:r>
        <w:r w:rsidR="00E00488">
          <w:rPr>
            <w:noProof/>
            <w:webHidden/>
          </w:rPr>
          <w:tab/>
        </w:r>
        <w:r w:rsidR="00E00488">
          <w:rPr>
            <w:noProof/>
            <w:webHidden/>
          </w:rPr>
          <w:fldChar w:fldCharType="begin"/>
        </w:r>
        <w:r w:rsidR="00E00488">
          <w:rPr>
            <w:noProof/>
            <w:webHidden/>
          </w:rPr>
          <w:instrText xml:space="preserve"> PAGEREF _Toc423962570 \h </w:instrText>
        </w:r>
        <w:r w:rsidR="00E00488">
          <w:rPr>
            <w:noProof/>
            <w:webHidden/>
          </w:rPr>
        </w:r>
        <w:r w:rsidR="00E00488">
          <w:rPr>
            <w:noProof/>
            <w:webHidden/>
          </w:rPr>
          <w:fldChar w:fldCharType="separate"/>
        </w:r>
        <w:r w:rsidR="00864DA7">
          <w:rPr>
            <w:noProof/>
            <w:webHidden/>
          </w:rPr>
          <w:t>15</w:t>
        </w:r>
        <w:r w:rsidR="00E00488">
          <w:rPr>
            <w:noProof/>
            <w:webHidden/>
          </w:rPr>
          <w:fldChar w:fldCharType="end"/>
        </w:r>
      </w:hyperlink>
    </w:p>
    <w:p w:rsidR="00E00488" w:rsidRDefault="00495218">
      <w:pPr>
        <w:pStyle w:val="TOC2"/>
        <w:tabs>
          <w:tab w:val="right" w:pos="8941"/>
        </w:tabs>
        <w:rPr>
          <w:rFonts w:eastAsiaTheme="minorEastAsia"/>
          <w:smallCaps w:val="0"/>
          <w:noProof/>
          <w:sz w:val="22"/>
          <w:szCs w:val="22"/>
          <w:lang w:eastAsia="en-AU"/>
        </w:rPr>
      </w:pPr>
      <w:hyperlink w:anchor="_Toc423962571" w:history="1">
        <w:r w:rsidR="00E00488" w:rsidRPr="008B7CCE">
          <w:rPr>
            <w:rStyle w:val="Hyperlink"/>
            <w:noProof/>
          </w:rPr>
          <w:t>Omitted variable bias</w:t>
        </w:r>
        <w:r w:rsidR="00E00488">
          <w:rPr>
            <w:noProof/>
            <w:webHidden/>
          </w:rPr>
          <w:tab/>
        </w:r>
        <w:r w:rsidR="00E00488">
          <w:rPr>
            <w:noProof/>
            <w:webHidden/>
          </w:rPr>
          <w:fldChar w:fldCharType="begin"/>
        </w:r>
        <w:r w:rsidR="00E00488">
          <w:rPr>
            <w:noProof/>
            <w:webHidden/>
          </w:rPr>
          <w:instrText xml:space="preserve"> PAGEREF _Toc423962571 \h </w:instrText>
        </w:r>
        <w:r w:rsidR="00E00488">
          <w:rPr>
            <w:noProof/>
            <w:webHidden/>
          </w:rPr>
        </w:r>
        <w:r w:rsidR="00E00488">
          <w:rPr>
            <w:noProof/>
            <w:webHidden/>
          </w:rPr>
          <w:fldChar w:fldCharType="separate"/>
        </w:r>
        <w:r w:rsidR="00864DA7">
          <w:rPr>
            <w:noProof/>
            <w:webHidden/>
          </w:rPr>
          <w:t>16</w:t>
        </w:r>
        <w:r w:rsidR="00E00488">
          <w:rPr>
            <w:noProof/>
            <w:webHidden/>
          </w:rPr>
          <w:fldChar w:fldCharType="end"/>
        </w:r>
      </w:hyperlink>
    </w:p>
    <w:p w:rsidR="00E00488" w:rsidRDefault="00495218">
      <w:pPr>
        <w:pStyle w:val="TOC2"/>
        <w:tabs>
          <w:tab w:val="right" w:pos="8941"/>
        </w:tabs>
        <w:rPr>
          <w:rFonts w:eastAsiaTheme="minorEastAsia"/>
          <w:smallCaps w:val="0"/>
          <w:noProof/>
          <w:sz w:val="22"/>
          <w:szCs w:val="22"/>
          <w:lang w:eastAsia="en-AU"/>
        </w:rPr>
      </w:pPr>
      <w:hyperlink w:anchor="_Toc423962572" w:history="1">
        <w:r w:rsidR="00E00488" w:rsidRPr="008B7CCE">
          <w:rPr>
            <w:rStyle w:val="Hyperlink"/>
            <w:noProof/>
          </w:rPr>
          <w:t>Wage pressures from labour market structure</w:t>
        </w:r>
        <w:r w:rsidR="00E00488">
          <w:rPr>
            <w:noProof/>
            <w:webHidden/>
          </w:rPr>
          <w:tab/>
        </w:r>
        <w:r w:rsidR="00E00488">
          <w:rPr>
            <w:noProof/>
            <w:webHidden/>
          </w:rPr>
          <w:fldChar w:fldCharType="begin"/>
        </w:r>
        <w:r w:rsidR="00E00488">
          <w:rPr>
            <w:noProof/>
            <w:webHidden/>
          </w:rPr>
          <w:instrText xml:space="preserve"> PAGEREF _Toc423962572 \h </w:instrText>
        </w:r>
        <w:r w:rsidR="00E00488">
          <w:rPr>
            <w:noProof/>
            <w:webHidden/>
          </w:rPr>
        </w:r>
        <w:r w:rsidR="00E00488">
          <w:rPr>
            <w:noProof/>
            <w:webHidden/>
          </w:rPr>
          <w:fldChar w:fldCharType="separate"/>
        </w:r>
        <w:r w:rsidR="00864DA7">
          <w:rPr>
            <w:noProof/>
            <w:webHidden/>
          </w:rPr>
          <w:t>17</w:t>
        </w:r>
        <w:r w:rsidR="00E00488">
          <w:rPr>
            <w:noProof/>
            <w:webHidden/>
          </w:rPr>
          <w:fldChar w:fldCharType="end"/>
        </w:r>
      </w:hyperlink>
    </w:p>
    <w:p w:rsidR="00E00488" w:rsidRDefault="00495218">
      <w:pPr>
        <w:pStyle w:val="TOC2"/>
        <w:tabs>
          <w:tab w:val="right" w:pos="8941"/>
        </w:tabs>
        <w:rPr>
          <w:rFonts w:eastAsiaTheme="minorEastAsia"/>
          <w:smallCaps w:val="0"/>
          <w:noProof/>
          <w:sz w:val="22"/>
          <w:szCs w:val="22"/>
          <w:lang w:eastAsia="en-AU"/>
        </w:rPr>
      </w:pPr>
      <w:hyperlink w:anchor="_Toc423962573" w:history="1">
        <w:r w:rsidR="00E00488" w:rsidRPr="008B7CCE">
          <w:rPr>
            <w:rStyle w:val="Hyperlink"/>
            <w:noProof/>
          </w:rPr>
          <w:t>Policy influence on private sector wages</w:t>
        </w:r>
        <w:r w:rsidR="00E00488">
          <w:rPr>
            <w:noProof/>
            <w:webHidden/>
          </w:rPr>
          <w:tab/>
        </w:r>
        <w:r w:rsidR="00E00488">
          <w:rPr>
            <w:noProof/>
            <w:webHidden/>
          </w:rPr>
          <w:fldChar w:fldCharType="begin"/>
        </w:r>
        <w:r w:rsidR="00E00488">
          <w:rPr>
            <w:noProof/>
            <w:webHidden/>
          </w:rPr>
          <w:instrText xml:space="preserve"> PAGEREF _Toc423962573 \h </w:instrText>
        </w:r>
        <w:r w:rsidR="00E00488">
          <w:rPr>
            <w:noProof/>
            <w:webHidden/>
          </w:rPr>
        </w:r>
        <w:r w:rsidR="00E00488">
          <w:rPr>
            <w:noProof/>
            <w:webHidden/>
          </w:rPr>
          <w:fldChar w:fldCharType="separate"/>
        </w:r>
        <w:r w:rsidR="00864DA7">
          <w:rPr>
            <w:noProof/>
            <w:webHidden/>
          </w:rPr>
          <w:t>17</w:t>
        </w:r>
        <w:r w:rsidR="00E00488">
          <w:rPr>
            <w:noProof/>
            <w:webHidden/>
          </w:rPr>
          <w:fldChar w:fldCharType="end"/>
        </w:r>
      </w:hyperlink>
    </w:p>
    <w:p w:rsidR="00E00488" w:rsidRDefault="00495218">
      <w:pPr>
        <w:pStyle w:val="TOC2"/>
        <w:tabs>
          <w:tab w:val="right" w:pos="8941"/>
        </w:tabs>
        <w:rPr>
          <w:rFonts w:eastAsiaTheme="minorEastAsia"/>
          <w:smallCaps w:val="0"/>
          <w:noProof/>
          <w:sz w:val="22"/>
          <w:szCs w:val="22"/>
          <w:lang w:eastAsia="en-AU"/>
        </w:rPr>
      </w:pPr>
      <w:hyperlink w:anchor="_Toc423962574" w:history="1">
        <w:r w:rsidR="00E00488" w:rsidRPr="008B7CCE">
          <w:rPr>
            <w:rStyle w:val="Hyperlink"/>
            <w:noProof/>
          </w:rPr>
          <w:t>Alternatives to the regression approach</w:t>
        </w:r>
        <w:r w:rsidR="00E00488">
          <w:rPr>
            <w:noProof/>
            <w:webHidden/>
          </w:rPr>
          <w:tab/>
        </w:r>
        <w:r w:rsidR="00E00488">
          <w:rPr>
            <w:noProof/>
            <w:webHidden/>
          </w:rPr>
          <w:fldChar w:fldCharType="begin"/>
        </w:r>
        <w:r w:rsidR="00E00488">
          <w:rPr>
            <w:noProof/>
            <w:webHidden/>
          </w:rPr>
          <w:instrText xml:space="preserve"> PAGEREF _Toc423962574 \h </w:instrText>
        </w:r>
        <w:r w:rsidR="00E00488">
          <w:rPr>
            <w:noProof/>
            <w:webHidden/>
          </w:rPr>
        </w:r>
        <w:r w:rsidR="00E00488">
          <w:rPr>
            <w:noProof/>
            <w:webHidden/>
          </w:rPr>
          <w:fldChar w:fldCharType="separate"/>
        </w:r>
        <w:r w:rsidR="00864DA7">
          <w:rPr>
            <w:noProof/>
            <w:webHidden/>
          </w:rPr>
          <w:t>18</w:t>
        </w:r>
        <w:r w:rsidR="00E00488">
          <w:rPr>
            <w:noProof/>
            <w:webHidden/>
          </w:rPr>
          <w:fldChar w:fldCharType="end"/>
        </w:r>
      </w:hyperlink>
    </w:p>
    <w:p w:rsidR="00E00488" w:rsidRDefault="00495218">
      <w:pPr>
        <w:pStyle w:val="TOC2"/>
        <w:tabs>
          <w:tab w:val="right" w:pos="8941"/>
        </w:tabs>
        <w:rPr>
          <w:rFonts w:eastAsiaTheme="minorEastAsia"/>
          <w:smallCaps w:val="0"/>
          <w:noProof/>
          <w:sz w:val="22"/>
          <w:szCs w:val="22"/>
          <w:lang w:eastAsia="en-AU"/>
        </w:rPr>
      </w:pPr>
      <w:hyperlink w:anchor="_Toc423962575" w:history="1">
        <w:r w:rsidR="00E00488" w:rsidRPr="008B7CCE">
          <w:rPr>
            <w:rStyle w:val="Hyperlink"/>
            <w:noProof/>
          </w:rPr>
          <w:t>Greater variance in private than public sector wages</w:t>
        </w:r>
        <w:r w:rsidR="00E00488">
          <w:rPr>
            <w:noProof/>
            <w:webHidden/>
          </w:rPr>
          <w:tab/>
        </w:r>
        <w:r w:rsidR="00E00488">
          <w:rPr>
            <w:noProof/>
            <w:webHidden/>
          </w:rPr>
          <w:fldChar w:fldCharType="begin"/>
        </w:r>
        <w:r w:rsidR="00E00488">
          <w:rPr>
            <w:noProof/>
            <w:webHidden/>
          </w:rPr>
          <w:instrText xml:space="preserve"> PAGEREF _Toc423962575 \h </w:instrText>
        </w:r>
        <w:r w:rsidR="00E00488">
          <w:rPr>
            <w:noProof/>
            <w:webHidden/>
          </w:rPr>
        </w:r>
        <w:r w:rsidR="00E00488">
          <w:rPr>
            <w:noProof/>
            <w:webHidden/>
          </w:rPr>
          <w:fldChar w:fldCharType="separate"/>
        </w:r>
        <w:r w:rsidR="00864DA7">
          <w:rPr>
            <w:noProof/>
            <w:webHidden/>
          </w:rPr>
          <w:t>18</w:t>
        </w:r>
        <w:r w:rsidR="00E00488">
          <w:rPr>
            <w:noProof/>
            <w:webHidden/>
          </w:rPr>
          <w:fldChar w:fldCharType="end"/>
        </w:r>
      </w:hyperlink>
    </w:p>
    <w:p w:rsidR="00E00488" w:rsidRDefault="00495218">
      <w:pPr>
        <w:pStyle w:val="TOC1"/>
        <w:tabs>
          <w:tab w:val="right" w:pos="8941"/>
        </w:tabs>
        <w:rPr>
          <w:rFonts w:eastAsiaTheme="minorEastAsia"/>
          <w:b w:val="0"/>
          <w:bCs w:val="0"/>
          <w:caps w:val="0"/>
          <w:noProof/>
          <w:sz w:val="22"/>
          <w:szCs w:val="22"/>
          <w:lang w:eastAsia="en-AU"/>
        </w:rPr>
      </w:pPr>
      <w:hyperlink w:anchor="_Toc423962576" w:history="1">
        <w:r w:rsidR="00E00488" w:rsidRPr="008B7CCE">
          <w:rPr>
            <w:rStyle w:val="Hyperlink"/>
            <w:noProof/>
          </w:rPr>
          <w:t>State specific Adjustments</w:t>
        </w:r>
        <w:r w:rsidR="00E00488">
          <w:rPr>
            <w:noProof/>
            <w:webHidden/>
          </w:rPr>
          <w:tab/>
        </w:r>
        <w:r w:rsidR="00E00488">
          <w:rPr>
            <w:noProof/>
            <w:webHidden/>
          </w:rPr>
          <w:fldChar w:fldCharType="begin"/>
        </w:r>
        <w:r w:rsidR="00E00488">
          <w:rPr>
            <w:noProof/>
            <w:webHidden/>
          </w:rPr>
          <w:instrText xml:space="preserve"> PAGEREF _Toc423962576 \h </w:instrText>
        </w:r>
        <w:r w:rsidR="00E00488">
          <w:rPr>
            <w:noProof/>
            <w:webHidden/>
          </w:rPr>
        </w:r>
        <w:r w:rsidR="00E00488">
          <w:rPr>
            <w:noProof/>
            <w:webHidden/>
          </w:rPr>
          <w:fldChar w:fldCharType="separate"/>
        </w:r>
        <w:r w:rsidR="00864DA7">
          <w:rPr>
            <w:noProof/>
            <w:webHidden/>
          </w:rPr>
          <w:t>19</w:t>
        </w:r>
        <w:r w:rsidR="00E00488">
          <w:rPr>
            <w:noProof/>
            <w:webHidden/>
          </w:rPr>
          <w:fldChar w:fldCharType="end"/>
        </w:r>
      </w:hyperlink>
    </w:p>
    <w:p w:rsidR="00E00488" w:rsidRDefault="00495218">
      <w:pPr>
        <w:pStyle w:val="TOC2"/>
        <w:tabs>
          <w:tab w:val="right" w:pos="8941"/>
        </w:tabs>
        <w:rPr>
          <w:rFonts w:eastAsiaTheme="minorEastAsia"/>
          <w:smallCaps w:val="0"/>
          <w:noProof/>
          <w:sz w:val="22"/>
          <w:szCs w:val="22"/>
          <w:lang w:eastAsia="en-AU"/>
        </w:rPr>
      </w:pPr>
      <w:hyperlink w:anchor="_Toc423962577" w:history="1">
        <w:r w:rsidR="00E00488" w:rsidRPr="008B7CCE">
          <w:rPr>
            <w:rStyle w:val="Hyperlink"/>
            <w:noProof/>
          </w:rPr>
          <w:t>Private sector in Tasmania</w:t>
        </w:r>
        <w:r w:rsidR="00E00488">
          <w:rPr>
            <w:noProof/>
            <w:webHidden/>
          </w:rPr>
          <w:tab/>
        </w:r>
        <w:r w:rsidR="00E00488">
          <w:rPr>
            <w:noProof/>
            <w:webHidden/>
          </w:rPr>
          <w:fldChar w:fldCharType="begin"/>
        </w:r>
        <w:r w:rsidR="00E00488">
          <w:rPr>
            <w:noProof/>
            <w:webHidden/>
          </w:rPr>
          <w:instrText xml:space="preserve"> PAGEREF _Toc423962577 \h </w:instrText>
        </w:r>
        <w:r w:rsidR="00E00488">
          <w:rPr>
            <w:noProof/>
            <w:webHidden/>
          </w:rPr>
        </w:r>
        <w:r w:rsidR="00E00488">
          <w:rPr>
            <w:noProof/>
            <w:webHidden/>
          </w:rPr>
          <w:fldChar w:fldCharType="separate"/>
        </w:r>
        <w:r w:rsidR="00864DA7">
          <w:rPr>
            <w:noProof/>
            <w:webHidden/>
          </w:rPr>
          <w:t>19</w:t>
        </w:r>
        <w:r w:rsidR="00E00488">
          <w:rPr>
            <w:noProof/>
            <w:webHidden/>
          </w:rPr>
          <w:fldChar w:fldCharType="end"/>
        </w:r>
      </w:hyperlink>
    </w:p>
    <w:p w:rsidR="00E00488" w:rsidRDefault="00495218">
      <w:pPr>
        <w:pStyle w:val="TOC2"/>
        <w:tabs>
          <w:tab w:val="right" w:pos="8941"/>
        </w:tabs>
        <w:rPr>
          <w:rFonts w:eastAsiaTheme="minorEastAsia"/>
          <w:smallCaps w:val="0"/>
          <w:noProof/>
          <w:sz w:val="22"/>
          <w:szCs w:val="22"/>
          <w:lang w:eastAsia="en-AU"/>
        </w:rPr>
      </w:pPr>
      <w:hyperlink w:anchor="_Toc423962578" w:history="1">
        <w:r w:rsidR="00E00488" w:rsidRPr="008B7CCE">
          <w:rPr>
            <w:rStyle w:val="Hyperlink"/>
            <w:noProof/>
          </w:rPr>
          <w:t>Commonwealth sector influence on the ACT</w:t>
        </w:r>
        <w:r w:rsidR="00E00488">
          <w:rPr>
            <w:noProof/>
            <w:webHidden/>
          </w:rPr>
          <w:tab/>
        </w:r>
        <w:r w:rsidR="00E00488">
          <w:rPr>
            <w:noProof/>
            <w:webHidden/>
          </w:rPr>
          <w:fldChar w:fldCharType="begin"/>
        </w:r>
        <w:r w:rsidR="00E00488">
          <w:rPr>
            <w:noProof/>
            <w:webHidden/>
          </w:rPr>
          <w:instrText xml:space="preserve"> PAGEREF _Toc423962578 \h </w:instrText>
        </w:r>
        <w:r w:rsidR="00E00488">
          <w:rPr>
            <w:noProof/>
            <w:webHidden/>
          </w:rPr>
        </w:r>
        <w:r w:rsidR="00E00488">
          <w:rPr>
            <w:noProof/>
            <w:webHidden/>
          </w:rPr>
          <w:fldChar w:fldCharType="separate"/>
        </w:r>
        <w:r w:rsidR="00864DA7">
          <w:rPr>
            <w:noProof/>
            <w:webHidden/>
          </w:rPr>
          <w:t>20</w:t>
        </w:r>
        <w:r w:rsidR="00E00488">
          <w:rPr>
            <w:noProof/>
            <w:webHidden/>
          </w:rPr>
          <w:fldChar w:fldCharType="end"/>
        </w:r>
      </w:hyperlink>
    </w:p>
    <w:p w:rsidR="00E00488" w:rsidRDefault="00495218">
      <w:pPr>
        <w:pStyle w:val="TOC1"/>
        <w:tabs>
          <w:tab w:val="right" w:pos="8941"/>
        </w:tabs>
        <w:rPr>
          <w:rFonts w:eastAsiaTheme="minorEastAsia"/>
          <w:b w:val="0"/>
          <w:bCs w:val="0"/>
          <w:caps w:val="0"/>
          <w:noProof/>
          <w:sz w:val="22"/>
          <w:szCs w:val="22"/>
          <w:lang w:eastAsia="en-AU"/>
        </w:rPr>
      </w:pPr>
      <w:hyperlink w:anchor="_Toc423962579" w:history="1">
        <w:r w:rsidR="00E00488" w:rsidRPr="008B7CCE">
          <w:rPr>
            <w:rStyle w:val="Hyperlink"/>
            <w:noProof/>
          </w:rPr>
          <w:t>Improving the model</w:t>
        </w:r>
        <w:r w:rsidR="00E00488">
          <w:rPr>
            <w:noProof/>
            <w:webHidden/>
          </w:rPr>
          <w:tab/>
        </w:r>
        <w:r w:rsidR="00E00488">
          <w:rPr>
            <w:noProof/>
            <w:webHidden/>
          </w:rPr>
          <w:fldChar w:fldCharType="begin"/>
        </w:r>
        <w:r w:rsidR="00E00488">
          <w:rPr>
            <w:noProof/>
            <w:webHidden/>
          </w:rPr>
          <w:instrText xml:space="preserve"> PAGEREF _Toc423962579 \h </w:instrText>
        </w:r>
        <w:r w:rsidR="00E00488">
          <w:rPr>
            <w:noProof/>
            <w:webHidden/>
          </w:rPr>
        </w:r>
        <w:r w:rsidR="00E00488">
          <w:rPr>
            <w:noProof/>
            <w:webHidden/>
          </w:rPr>
          <w:fldChar w:fldCharType="separate"/>
        </w:r>
        <w:r w:rsidR="00864DA7">
          <w:rPr>
            <w:noProof/>
            <w:webHidden/>
          </w:rPr>
          <w:t>21</w:t>
        </w:r>
        <w:r w:rsidR="00E00488">
          <w:rPr>
            <w:noProof/>
            <w:webHidden/>
          </w:rPr>
          <w:fldChar w:fldCharType="end"/>
        </w:r>
      </w:hyperlink>
    </w:p>
    <w:p w:rsidR="00E00488" w:rsidRDefault="00495218">
      <w:pPr>
        <w:pStyle w:val="TOC2"/>
        <w:tabs>
          <w:tab w:val="right" w:pos="8941"/>
        </w:tabs>
        <w:rPr>
          <w:rFonts w:eastAsiaTheme="minorEastAsia"/>
          <w:smallCaps w:val="0"/>
          <w:noProof/>
          <w:sz w:val="22"/>
          <w:szCs w:val="22"/>
          <w:lang w:eastAsia="en-AU"/>
        </w:rPr>
      </w:pPr>
      <w:hyperlink w:anchor="_Toc423962580" w:history="1">
        <w:r w:rsidR="00E00488" w:rsidRPr="008B7CCE">
          <w:rPr>
            <w:rStyle w:val="Hyperlink"/>
            <w:noProof/>
          </w:rPr>
          <w:t>Capital city and regional loadings</w:t>
        </w:r>
        <w:r w:rsidR="00E00488">
          <w:rPr>
            <w:noProof/>
            <w:webHidden/>
          </w:rPr>
          <w:tab/>
        </w:r>
        <w:r w:rsidR="00E00488">
          <w:rPr>
            <w:noProof/>
            <w:webHidden/>
          </w:rPr>
          <w:fldChar w:fldCharType="begin"/>
        </w:r>
        <w:r w:rsidR="00E00488">
          <w:rPr>
            <w:noProof/>
            <w:webHidden/>
          </w:rPr>
          <w:instrText xml:space="preserve"> PAGEREF _Toc423962580 \h </w:instrText>
        </w:r>
        <w:r w:rsidR="00E00488">
          <w:rPr>
            <w:noProof/>
            <w:webHidden/>
          </w:rPr>
        </w:r>
        <w:r w:rsidR="00E00488">
          <w:rPr>
            <w:noProof/>
            <w:webHidden/>
          </w:rPr>
          <w:fldChar w:fldCharType="separate"/>
        </w:r>
        <w:r w:rsidR="00864DA7">
          <w:rPr>
            <w:noProof/>
            <w:webHidden/>
          </w:rPr>
          <w:t>21</w:t>
        </w:r>
        <w:r w:rsidR="00E00488">
          <w:rPr>
            <w:noProof/>
            <w:webHidden/>
          </w:rPr>
          <w:fldChar w:fldCharType="end"/>
        </w:r>
      </w:hyperlink>
    </w:p>
    <w:p w:rsidR="00E00488" w:rsidRDefault="00495218">
      <w:pPr>
        <w:pStyle w:val="TOC2"/>
        <w:tabs>
          <w:tab w:val="right" w:pos="8941"/>
        </w:tabs>
        <w:rPr>
          <w:rFonts w:eastAsiaTheme="minorEastAsia"/>
          <w:smallCaps w:val="0"/>
          <w:noProof/>
          <w:sz w:val="22"/>
          <w:szCs w:val="22"/>
          <w:lang w:eastAsia="en-AU"/>
        </w:rPr>
      </w:pPr>
      <w:hyperlink w:anchor="_Toc423962581" w:history="1">
        <w:r w:rsidR="00E00488" w:rsidRPr="008B7CCE">
          <w:rPr>
            <w:rStyle w:val="Hyperlink"/>
            <w:noProof/>
          </w:rPr>
          <w:t>Dominant employer effects (policy neutrality)</w:t>
        </w:r>
        <w:r w:rsidR="00E00488">
          <w:rPr>
            <w:noProof/>
            <w:webHidden/>
          </w:rPr>
          <w:tab/>
        </w:r>
        <w:r w:rsidR="00E00488">
          <w:rPr>
            <w:noProof/>
            <w:webHidden/>
          </w:rPr>
          <w:fldChar w:fldCharType="begin"/>
        </w:r>
        <w:r w:rsidR="00E00488">
          <w:rPr>
            <w:noProof/>
            <w:webHidden/>
          </w:rPr>
          <w:instrText xml:space="preserve"> PAGEREF _Toc423962581 \h </w:instrText>
        </w:r>
        <w:r w:rsidR="00E00488">
          <w:rPr>
            <w:noProof/>
            <w:webHidden/>
          </w:rPr>
        </w:r>
        <w:r w:rsidR="00E00488">
          <w:rPr>
            <w:noProof/>
            <w:webHidden/>
          </w:rPr>
          <w:fldChar w:fldCharType="separate"/>
        </w:r>
        <w:r w:rsidR="00864DA7">
          <w:rPr>
            <w:noProof/>
            <w:webHidden/>
          </w:rPr>
          <w:t>23</w:t>
        </w:r>
        <w:r w:rsidR="00E00488">
          <w:rPr>
            <w:noProof/>
            <w:webHidden/>
          </w:rPr>
          <w:fldChar w:fldCharType="end"/>
        </w:r>
      </w:hyperlink>
    </w:p>
    <w:p w:rsidR="00E00488" w:rsidRDefault="00495218">
      <w:pPr>
        <w:pStyle w:val="TOC2"/>
        <w:tabs>
          <w:tab w:val="right" w:pos="8941"/>
        </w:tabs>
        <w:rPr>
          <w:rFonts w:eastAsiaTheme="minorEastAsia"/>
          <w:smallCaps w:val="0"/>
          <w:noProof/>
          <w:sz w:val="22"/>
          <w:szCs w:val="22"/>
          <w:lang w:eastAsia="en-AU"/>
        </w:rPr>
      </w:pPr>
      <w:hyperlink w:anchor="_Toc423962582" w:history="1">
        <w:r w:rsidR="00E00488" w:rsidRPr="008B7CCE">
          <w:rPr>
            <w:rStyle w:val="Hyperlink"/>
            <w:noProof/>
          </w:rPr>
          <w:t>Simplification</w:t>
        </w:r>
        <w:r w:rsidR="00E00488">
          <w:rPr>
            <w:noProof/>
            <w:webHidden/>
          </w:rPr>
          <w:tab/>
        </w:r>
        <w:r w:rsidR="00E00488">
          <w:rPr>
            <w:noProof/>
            <w:webHidden/>
          </w:rPr>
          <w:fldChar w:fldCharType="begin"/>
        </w:r>
        <w:r w:rsidR="00E00488">
          <w:rPr>
            <w:noProof/>
            <w:webHidden/>
          </w:rPr>
          <w:instrText xml:space="preserve"> PAGEREF _Toc423962582 \h </w:instrText>
        </w:r>
        <w:r w:rsidR="00E00488">
          <w:rPr>
            <w:noProof/>
            <w:webHidden/>
          </w:rPr>
        </w:r>
        <w:r w:rsidR="00E00488">
          <w:rPr>
            <w:noProof/>
            <w:webHidden/>
          </w:rPr>
          <w:fldChar w:fldCharType="separate"/>
        </w:r>
        <w:r w:rsidR="00864DA7">
          <w:rPr>
            <w:noProof/>
            <w:webHidden/>
          </w:rPr>
          <w:t>23</w:t>
        </w:r>
        <w:r w:rsidR="00E00488">
          <w:rPr>
            <w:noProof/>
            <w:webHidden/>
          </w:rPr>
          <w:fldChar w:fldCharType="end"/>
        </w:r>
      </w:hyperlink>
    </w:p>
    <w:p w:rsidR="00E00488" w:rsidRDefault="00495218">
      <w:pPr>
        <w:pStyle w:val="TOC2"/>
        <w:tabs>
          <w:tab w:val="right" w:pos="8941"/>
        </w:tabs>
        <w:rPr>
          <w:rFonts w:eastAsiaTheme="minorEastAsia"/>
          <w:smallCaps w:val="0"/>
          <w:noProof/>
          <w:sz w:val="22"/>
          <w:szCs w:val="22"/>
          <w:lang w:eastAsia="en-AU"/>
        </w:rPr>
      </w:pPr>
      <w:hyperlink w:anchor="_Toc423962583" w:history="1">
        <w:r w:rsidR="00E00488" w:rsidRPr="008B7CCE">
          <w:rPr>
            <w:rStyle w:val="Hyperlink"/>
            <w:noProof/>
          </w:rPr>
          <w:t>Staff conclusions on measurement approach</w:t>
        </w:r>
        <w:r w:rsidR="00E00488">
          <w:rPr>
            <w:noProof/>
            <w:webHidden/>
          </w:rPr>
          <w:tab/>
        </w:r>
        <w:r w:rsidR="00E00488">
          <w:rPr>
            <w:noProof/>
            <w:webHidden/>
          </w:rPr>
          <w:fldChar w:fldCharType="begin"/>
        </w:r>
        <w:r w:rsidR="00E00488">
          <w:rPr>
            <w:noProof/>
            <w:webHidden/>
          </w:rPr>
          <w:instrText xml:space="preserve"> PAGEREF _Toc423962583 \h </w:instrText>
        </w:r>
        <w:r w:rsidR="00E00488">
          <w:rPr>
            <w:noProof/>
            <w:webHidden/>
          </w:rPr>
        </w:r>
        <w:r w:rsidR="00E00488">
          <w:rPr>
            <w:noProof/>
            <w:webHidden/>
          </w:rPr>
          <w:fldChar w:fldCharType="separate"/>
        </w:r>
        <w:r w:rsidR="00864DA7">
          <w:rPr>
            <w:noProof/>
            <w:webHidden/>
          </w:rPr>
          <w:t>24</w:t>
        </w:r>
        <w:r w:rsidR="00E00488">
          <w:rPr>
            <w:noProof/>
            <w:webHidden/>
          </w:rPr>
          <w:fldChar w:fldCharType="end"/>
        </w:r>
      </w:hyperlink>
    </w:p>
    <w:p w:rsidR="00E00488" w:rsidRDefault="00495218">
      <w:pPr>
        <w:pStyle w:val="TOC1"/>
        <w:tabs>
          <w:tab w:val="right" w:pos="8941"/>
        </w:tabs>
        <w:rPr>
          <w:rFonts w:eastAsiaTheme="minorEastAsia"/>
          <w:b w:val="0"/>
          <w:bCs w:val="0"/>
          <w:caps w:val="0"/>
          <w:noProof/>
          <w:sz w:val="22"/>
          <w:szCs w:val="22"/>
          <w:lang w:eastAsia="en-AU"/>
        </w:rPr>
      </w:pPr>
      <w:hyperlink w:anchor="_Toc423962584" w:history="1">
        <w:r w:rsidR="00E00488" w:rsidRPr="008B7CCE">
          <w:rPr>
            <w:rStyle w:val="Hyperlink"/>
            <w:noProof/>
          </w:rPr>
          <w:t>References</w:t>
        </w:r>
        <w:r w:rsidR="00E00488">
          <w:rPr>
            <w:noProof/>
            <w:webHidden/>
          </w:rPr>
          <w:tab/>
        </w:r>
        <w:r w:rsidR="00E00488">
          <w:rPr>
            <w:noProof/>
            <w:webHidden/>
          </w:rPr>
          <w:fldChar w:fldCharType="begin"/>
        </w:r>
        <w:r w:rsidR="00E00488">
          <w:rPr>
            <w:noProof/>
            <w:webHidden/>
          </w:rPr>
          <w:instrText xml:space="preserve"> PAGEREF _Toc423962584 \h </w:instrText>
        </w:r>
        <w:r w:rsidR="00E00488">
          <w:rPr>
            <w:noProof/>
            <w:webHidden/>
          </w:rPr>
        </w:r>
        <w:r w:rsidR="00E00488">
          <w:rPr>
            <w:noProof/>
            <w:webHidden/>
          </w:rPr>
          <w:fldChar w:fldCharType="separate"/>
        </w:r>
        <w:r w:rsidR="00864DA7">
          <w:rPr>
            <w:noProof/>
            <w:webHidden/>
          </w:rPr>
          <w:t>25</w:t>
        </w:r>
        <w:r w:rsidR="00E00488">
          <w:rPr>
            <w:noProof/>
            <w:webHidden/>
          </w:rPr>
          <w:fldChar w:fldCharType="end"/>
        </w:r>
      </w:hyperlink>
    </w:p>
    <w:p w:rsidR="00E00488" w:rsidRDefault="00495218">
      <w:pPr>
        <w:pStyle w:val="TOC1"/>
        <w:tabs>
          <w:tab w:val="right" w:pos="8941"/>
        </w:tabs>
        <w:rPr>
          <w:rFonts w:eastAsiaTheme="minorEastAsia"/>
          <w:b w:val="0"/>
          <w:bCs w:val="0"/>
          <w:caps w:val="0"/>
          <w:noProof/>
          <w:sz w:val="22"/>
          <w:szCs w:val="22"/>
          <w:lang w:eastAsia="en-AU"/>
        </w:rPr>
      </w:pPr>
      <w:hyperlink w:anchor="_Toc423962585" w:history="1">
        <w:r w:rsidR="00E00488" w:rsidRPr="008B7CCE">
          <w:rPr>
            <w:rStyle w:val="Hyperlink"/>
            <w:noProof/>
          </w:rPr>
          <w:t>Attachment A: Capital city wages</w:t>
        </w:r>
        <w:r w:rsidR="00E00488">
          <w:rPr>
            <w:noProof/>
            <w:webHidden/>
          </w:rPr>
          <w:tab/>
        </w:r>
        <w:r w:rsidR="00E00488">
          <w:rPr>
            <w:noProof/>
            <w:webHidden/>
          </w:rPr>
          <w:fldChar w:fldCharType="begin"/>
        </w:r>
        <w:r w:rsidR="00E00488">
          <w:rPr>
            <w:noProof/>
            <w:webHidden/>
          </w:rPr>
          <w:instrText xml:space="preserve"> PAGEREF _Toc423962585 \h </w:instrText>
        </w:r>
        <w:r w:rsidR="00E00488">
          <w:rPr>
            <w:noProof/>
            <w:webHidden/>
          </w:rPr>
        </w:r>
        <w:r w:rsidR="00E00488">
          <w:rPr>
            <w:noProof/>
            <w:webHidden/>
          </w:rPr>
          <w:fldChar w:fldCharType="separate"/>
        </w:r>
        <w:r w:rsidR="00864DA7">
          <w:rPr>
            <w:noProof/>
            <w:webHidden/>
          </w:rPr>
          <w:t>26</w:t>
        </w:r>
        <w:r w:rsidR="00E00488">
          <w:rPr>
            <w:noProof/>
            <w:webHidden/>
          </w:rPr>
          <w:fldChar w:fldCharType="end"/>
        </w:r>
      </w:hyperlink>
    </w:p>
    <w:p w:rsidR="00E00488" w:rsidRDefault="00495218">
      <w:pPr>
        <w:pStyle w:val="TOC2"/>
        <w:tabs>
          <w:tab w:val="right" w:pos="8941"/>
        </w:tabs>
        <w:rPr>
          <w:rFonts w:eastAsiaTheme="minorEastAsia"/>
          <w:smallCaps w:val="0"/>
          <w:noProof/>
          <w:sz w:val="22"/>
          <w:szCs w:val="22"/>
          <w:lang w:eastAsia="en-AU"/>
        </w:rPr>
      </w:pPr>
      <w:hyperlink w:anchor="_Toc423962586" w:history="1">
        <w:r w:rsidR="00E00488" w:rsidRPr="008B7CCE">
          <w:rPr>
            <w:rStyle w:val="Hyperlink"/>
            <w:noProof/>
          </w:rPr>
          <w:t>Do States pay the same wage throughout the State?</w:t>
        </w:r>
        <w:r w:rsidR="00E00488">
          <w:rPr>
            <w:noProof/>
            <w:webHidden/>
          </w:rPr>
          <w:tab/>
        </w:r>
        <w:r w:rsidR="00E00488">
          <w:rPr>
            <w:noProof/>
            <w:webHidden/>
          </w:rPr>
          <w:fldChar w:fldCharType="begin"/>
        </w:r>
        <w:r w:rsidR="00E00488">
          <w:rPr>
            <w:noProof/>
            <w:webHidden/>
          </w:rPr>
          <w:instrText xml:space="preserve"> PAGEREF _Toc423962586 \h </w:instrText>
        </w:r>
        <w:r w:rsidR="00E00488">
          <w:rPr>
            <w:noProof/>
            <w:webHidden/>
          </w:rPr>
        </w:r>
        <w:r w:rsidR="00E00488">
          <w:rPr>
            <w:noProof/>
            <w:webHidden/>
          </w:rPr>
          <w:fldChar w:fldCharType="separate"/>
        </w:r>
        <w:r w:rsidR="00864DA7">
          <w:rPr>
            <w:noProof/>
            <w:webHidden/>
          </w:rPr>
          <w:t>27</w:t>
        </w:r>
        <w:r w:rsidR="00E00488">
          <w:rPr>
            <w:noProof/>
            <w:webHidden/>
          </w:rPr>
          <w:fldChar w:fldCharType="end"/>
        </w:r>
      </w:hyperlink>
    </w:p>
    <w:p w:rsidR="00E00488" w:rsidRDefault="00495218">
      <w:pPr>
        <w:pStyle w:val="TOC2"/>
        <w:tabs>
          <w:tab w:val="right" w:pos="8941"/>
        </w:tabs>
        <w:rPr>
          <w:rFonts w:eastAsiaTheme="minorEastAsia"/>
          <w:smallCaps w:val="0"/>
          <w:noProof/>
          <w:sz w:val="22"/>
          <w:szCs w:val="22"/>
          <w:lang w:eastAsia="en-AU"/>
        </w:rPr>
      </w:pPr>
      <w:hyperlink w:anchor="_Toc423962587" w:history="1">
        <w:r w:rsidR="00E00488" w:rsidRPr="008B7CCE">
          <w:rPr>
            <w:rStyle w:val="Hyperlink"/>
            <w:noProof/>
          </w:rPr>
          <w:t>Proposed assessment</w:t>
        </w:r>
        <w:r w:rsidR="00E00488">
          <w:rPr>
            <w:noProof/>
            <w:webHidden/>
          </w:rPr>
          <w:tab/>
        </w:r>
        <w:r w:rsidR="00E00488">
          <w:rPr>
            <w:noProof/>
            <w:webHidden/>
          </w:rPr>
          <w:fldChar w:fldCharType="begin"/>
        </w:r>
        <w:r w:rsidR="00E00488">
          <w:rPr>
            <w:noProof/>
            <w:webHidden/>
          </w:rPr>
          <w:instrText xml:space="preserve"> PAGEREF _Toc423962587 \h </w:instrText>
        </w:r>
        <w:r w:rsidR="00E00488">
          <w:rPr>
            <w:noProof/>
            <w:webHidden/>
          </w:rPr>
        </w:r>
        <w:r w:rsidR="00E00488">
          <w:rPr>
            <w:noProof/>
            <w:webHidden/>
          </w:rPr>
          <w:fldChar w:fldCharType="separate"/>
        </w:r>
        <w:r w:rsidR="00864DA7">
          <w:rPr>
            <w:noProof/>
            <w:webHidden/>
          </w:rPr>
          <w:t>29</w:t>
        </w:r>
        <w:r w:rsidR="00E00488">
          <w:rPr>
            <w:noProof/>
            <w:webHidden/>
          </w:rPr>
          <w:fldChar w:fldCharType="end"/>
        </w:r>
      </w:hyperlink>
    </w:p>
    <w:p w:rsidR="00E00488" w:rsidRDefault="00495218">
      <w:pPr>
        <w:pStyle w:val="TOC2"/>
        <w:tabs>
          <w:tab w:val="right" w:pos="8941"/>
        </w:tabs>
        <w:rPr>
          <w:rFonts w:eastAsiaTheme="minorEastAsia"/>
          <w:smallCaps w:val="0"/>
          <w:noProof/>
          <w:sz w:val="22"/>
          <w:szCs w:val="22"/>
          <w:lang w:eastAsia="en-AU"/>
        </w:rPr>
      </w:pPr>
      <w:hyperlink w:anchor="_Toc423962588" w:history="1">
        <w:r w:rsidR="00E00488" w:rsidRPr="008B7CCE">
          <w:rPr>
            <w:rStyle w:val="Hyperlink"/>
            <w:noProof/>
          </w:rPr>
          <w:t>State specific regional wage loadings</w:t>
        </w:r>
        <w:r w:rsidR="00E00488">
          <w:rPr>
            <w:noProof/>
            <w:webHidden/>
          </w:rPr>
          <w:tab/>
        </w:r>
        <w:r w:rsidR="00E00488">
          <w:rPr>
            <w:noProof/>
            <w:webHidden/>
          </w:rPr>
          <w:fldChar w:fldCharType="begin"/>
        </w:r>
        <w:r w:rsidR="00E00488">
          <w:rPr>
            <w:noProof/>
            <w:webHidden/>
          </w:rPr>
          <w:instrText xml:space="preserve"> PAGEREF _Toc423962588 \h </w:instrText>
        </w:r>
        <w:r w:rsidR="00E00488">
          <w:rPr>
            <w:noProof/>
            <w:webHidden/>
          </w:rPr>
        </w:r>
        <w:r w:rsidR="00E00488">
          <w:rPr>
            <w:noProof/>
            <w:webHidden/>
          </w:rPr>
          <w:fldChar w:fldCharType="separate"/>
        </w:r>
        <w:r w:rsidR="00864DA7">
          <w:rPr>
            <w:noProof/>
            <w:webHidden/>
          </w:rPr>
          <w:t>30</w:t>
        </w:r>
        <w:r w:rsidR="00E00488">
          <w:rPr>
            <w:noProof/>
            <w:webHidden/>
          </w:rPr>
          <w:fldChar w:fldCharType="end"/>
        </w:r>
      </w:hyperlink>
    </w:p>
    <w:p w:rsidR="00E00488" w:rsidRDefault="00495218">
      <w:pPr>
        <w:pStyle w:val="TOC2"/>
        <w:tabs>
          <w:tab w:val="right" w:pos="8941"/>
        </w:tabs>
        <w:rPr>
          <w:rFonts w:eastAsiaTheme="minorEastAsia"/>
          <w:smallCaps w:val="0"/>
          <w:noProof/>
          <w:sz w:val="22"/>
          <w:szCs w:val="22"/>
          <w:lang w:eastAsia="en-AU"/>
        </w:rPr>
      </w:pPr>
      <w:hyperlink w:anchor="_Toc423962589" w:history="1">
        <w:r w:rsidR="00E00488" w:rsidRPr="008B7CCE">
          <w:rPr>
            <w:rStyle w:val="Hyperlink"/>
            <w:noProof/>
          </w:rPr>
          <w:t>Data quality</w:t>
        </w:r>
        <w:r w:rsidR="00E00488">
          <w:rPr>
            <w:noProof/>
            <w:webHidden/>
          </w:rPr>
          <w:tab/>
        </w:r>
        <w:r w:rsidR="00E00488">
          <w:rPr>
            <w:noProof/>
            <w:webHidden/>
          </w:rPr>
          <w:fldChar w:fldCharType="begin"/>
        </w:r>
        <w:r w:rsidR="00E00488">
          <w:rPr>
            <w:noProof/>
            <w:webHidden/>
          </w:rPr>
          <w:instrText xml:space="preserve"> PAGEREF _Toc423962589 \h </w:instrText>
        </w:r>
        <w:r w:rsidR="00E00488">
          <w:rPr>
            <w:noProof/>
            <w:webHidden/>
          </w:rPr>
        </w:r>
        <w:r w:rsidR="00E00488">
          <w:rPr>
            <w:noProof/>
            <w:webHidden/>
          </w:rPr>
          <w:fldChar w:fldCharType="separate"/>
        </w:r>
        <w:r w:rsidR="00864DA7">
          <w:rPr>
            <w:noProof/>
            <w:webHidden/>
          </w:rPr>
          <w:t>32</w:t>
        </w:r>
        <w:r w:rsidR="00E00488">
          <w:rPr>
            <w:noProof/>
            <w:webHidden/>
          </w:rPr>
          <w:fldChar w:fldCharType="end"/>
        </w:r>
      </w:hyperlink>
    </w:p>
    <w:p w:rsidR="00E00488" w:rsidRDefault="00495218">
      <w:pPr>
        <w:pStyle w:val="TOC2"/>
        <w:tabs>
          <w:tab w:val="right" w:pos="8941"/>
        </w:tabs>
        <w:rPr>
          <w:rFonts w:eastAsiaTheme="minorEastAsia"/>
          <w:smallCaps w:val="0"/>
          <w:noProof/>
          <w:sz w:val="22"/>
          <w:szCs w:val="22"/>
          <w:lang w:eastAsia="en-AU"/>
        </w:rPr>
      </w:pPr>
      <w:hyperlink w:anchor="_Toc423962590" w:history="1">
        <w:r w:rsidR="00E00488" w:rsidRPr="008B7CCE">
          <w:rPr>
            <w:rStyle w:val="Hyperlink"/>
            <w:noProof/>
          </w:rPr>
          <w:t>Impact of proposed changes to assessment</w:t>
        </w:r>
        <w:r w:rsidR="00E00488">
          <w:rPr>
            <w:noProof/>
            <w:webHidden/>
          </w:rPr>
          <w:tab/>
        </w:r>
        <w:r w:rsidR="00E00488">
          <w:rPr>
            <w:noProof/>
            <w:webHidden/>
          </w:rPr>
          <w:fldChar w:fldCharType="begin"/>
        </w:r>
        <w:r w:rsidR="00E00488">
          <w:rPr>
            <w:noProof/>
            <w:webHidden/>
          </w:rPr>
          <w:instrText xml:space="preserve"> PAGEREF _Toc423962590 \h </w:instrText>
        </w:r>
        <w:r w:rsidR="00E00488">
          <w:rPr>
            <w:noProof/>
            <w:webHidden/>
          </w:rPr>
        </w:r>
        <w:r w:rsidR="00E00488">
          <w:rPr>
            <w:noProof/>
            <w:webHidden/>
          </w:rPr>
          <w:fldChar w:fldCharType="separate"/>
        </w:r>
        <w:r w:rsidR="00864DA7">
          <w:rPr>
            <w:noProof/>
            <w:webHidden/>
          </w:rPr>
          <w:t>33</w:t>
        </w:r>
        <w:r w:rsidR="00E00488">
          <w:rPr>
            <w:noProof/>
            <w:webHidden/>
          </w:rPr>
          <w:fldChar w:fldCharType="end"/>
        </w:r>
      </w:hyperlink>
    </w:p>
    <w:p w:rsidR="00E00488" w:rsidRDefault="00495218">
      <w:pPr>
        <w:pStyle w:val="TOC2"/>
        <w:tabs>
          <w:tab w:val="right" w:pos="8941"/>
        </w:tabs>
        <w:rPr>
          <w:rFonts w:eastAsiaTheme="minorEastAsia"/>
          <w:smallCaps w:val="0"/>
          <w:noProof/>
          <w:sz w:val="22"/>
          <w:szCs w:val="22"/>
          <w:lang w:eastAsia="en-AU"/>
        </w:rPr>
      </w:pPr>
      <w:hyperlink w:anchor="_Toc423962591" w:history="1">
        <w:r w:rsidR="00E00488" w:rsidRPr="008B7CCE">
          <w:rPr>
            <w:rStyle w:val="Hyperlink"/>
            <w:noProof/>
          </w:rPr>
          <w:t>Conclusions</w:t>
        </w:r>
        <w:r w:rsidR="00E00488">
          <w:rPr>
            <w:noProof/>
            <w:webHidden/>
          </w:rPr>
          <w:tab/>
        </w:r>
        <w:r w:rsidR="00E00488">
          <w:rPr>
            <w:noProof/>
            <w:webHidden/>
          </w:rPr>
          <w:fldChar w:fldCharType="begin"/>
        </w:r>
        <w:r w:rsidR="00E00488">
          <w:rPr>
            <w:noProof/>
            <w:webHidden/>
          </w:rPr>
          <w:instrText xml:space="preserve"> PAGEREF _Toc423962591 \h </w:instrText>
        </w:r>
        <w:r w:rsidR="00E00488">
          <w:rPr>
            <w:noProof/>
            <w:webHidden/>
          </w:rPr>
        </w:r>
        <w:r w:rsidR="00E00488">
          <w:rPr>
            <w:noProof/>
            <w:webHidden/>
          </w:rPr>
          <w:fldChar w:fldCharType="separate"/>
        </w:r>
        <w:r w:rsidR="00864DA7">
          <w:rPr>
            <w:noProof/>
            <w:webHidden/>
          </w:rPr>
          <w:t>34</w:t>
        </w:r>
        <w:r w:rsidR="00E00488">
          <w:rPr>
            <w:noProof/>
            <w:webHidden/>
          </w:rPr>
          <w:fldChar w:fldCharType="end"/>
        </w:r>
      </w:hyperlink>
    </w:p>
    <w:p w:rsidR="00C20D9C" w:rsidRDefault="00B444A4" w:rsidP="00F61922">
      <w:pPr>
        <w:pStyle w:val="Heading3"/>
      </w:pPr>
      <w:r w:rsidRPr="007649D2">
        <w:rPr>
          <w:rFonts w:eastAsiaTheme="minorHAnsi" w:cstheme="minorBidi"/>
          <w:b w:val="0"/>
          <w:bCs w:val="0"/>
          <w:caps w:val="0"/>
          <w:smallCaps/>
          <w:color w:val="auto"/>
          <w:sz w:val="24"/>
          <w:szCs w:val="24"/>
        </w:rPr>
        <w:lastRenderedPageBreak/>
        <w:fldChar w:fldCharType="end"/>
      </w:r>
      <w:bookmarkStart w:id="23" w:name="_Toc423962562"/>
      <w:bookmarkStart w:id="24" w:name="_Toc422130901"/>
      <w:r w:rsidR="00C20D9C">
        <w:t>Introduction</w:t>
      </w:r>
      <w:bookmarkEnd w:id="23"/>
    </w:p>
    <w:bookmarkEnd w:id="18"/>
    <w:bookmarkEnd w:id="19"/>
    <w:bookmarkEnd w:id="20"/>
    <w:bookmarkEnd w:id="21"/>
    <w:bookmarkEnd w:id="22"/>
    <w:bookmarkEnd w:id="24"/>
    <w:p w:rsidR="00AF1B54" w:rsidRPr="00AF1B54" w:rsidRDefault="007A0022" w:rsidP="00AF1B54">
      <w:pPr>
        <w:pStyle w:val="CGCNumberedPara"/>
      </w:pPr>
      <w:r>
        <w:t xml:space="preserve">In the 2015 Review Report, the Commission committed to a comprehensive review of the Wage Costs assessment. </w:t>
      </w:r>
      <w:r w:rsidR="00A433FA">
        <w:t>It</w:t>
      </w:r>
      <w:r w:rsidR="00975B52">
        <w:t xml:space="preserve"> said </w:t>
      </w:r>
      <w:r w:rsidR="002E2AEC">
        <w:t>‘</w:t>
      </w:r>
      <w:r w:rsidR="00975B52" w:rsidRPr="00D44FA3">
        <w:rPr>
          <w:i/>
        </w:rPr>
        <w:t xml:space="preserve">when the new data are available </w:t>
      </w:r>
      <w:r w:rsidR="00975B52">
        <w:rPr>
          <w:i/>
        </w:rPr>
        <w:t>… w</w:t>
      </w:r>
      <w:r w:rsidR="00975B52" w:rsidRPr="00D44FA3">
        <w:rPr>
          <w:i/>
        </w:rPr>
        <w:t xml:space="preserve">e will need </w:t>
      </w:r>
      <w:r w:rsidR="00975B52" w:rsidRPr="00AF1B54">
        <w:rPr>
          <w:i/>
        </w:rPr>
        <w:t>to review whether a conceptual case for the disability continues to exist, and if it does, the most appropriate method to assess it</w:t>
      </w:r>
      <w:r w:rsidR="002E2AEC" w:rsidRPr="00AF1B54">
        <w:rPr>
          <w:i/>
        </w:rPr>
        <w:t>.’</w:t>
      </w:r>
      <w:r w:rsidR="00975B52" w:rsidRPr="00AF1B54">
        <w:t xml:space="preserve"> </w:t>
      </w:r>
    </w:p>
    <w:p w:rsidR="009F2B8B" w:rsidRDefault="009F2B8B" w:rsidP="009F2B8B">
      <w:pPr>
        <w:pStyle w:val="CGCNumberedPara"/>
      </w:pPr>
      <w:r w:rsidRPr="00AF1B54">
        <w:t>As we identified in the work plan sent to States in early June, the next stages of this process are:</w:t>
      </w:r>
    </w:p>
    <w:p w:rsidR="00AF1B54" w:rsidRPr="00AF1B54" w:rsidRDefault="00F81008" w:rsidP="00AF1B54">
      <w:pPr>
        <w:pStyle w:val="CGCBulletlist"/>
      </w:pPr>
      <w:r>
        <w:t>t</w:t>
      </w:r>
      <w:r w:rsidR="00AF1B54">
        <w:t>he distribution of this paper</w:t>
      </w:r>
    </w:p>
    <w:p w:rsidR="009F2B8B" w:rsidRPr="00AF1B54" w:rsidRDefault="009F2B8B" w:rsidP="009F2B8B">
      <w:pPr>
        <w:pStyle w:val="CGCBulletlist"/>
        <w:rPr>
          <w:szCs w:val="24"/>
        </w:rPr>
      </w:pPr>
      <w:r w:rsidRPr="00AF1B54">
        <w:t>State submissions in response to this paper (30 September)</w:t>
      </w:r>
    </w:p>
    <w:p w:rsidR="009F2B8B" w:rsidRPr="00AF1B54" w:rsidRDefault="00F81008" w:rsidP="009F2B8B">
      <w:pPr>
        <w:pStyle w:val="CGCBulletlist"/>
        <w:rPr>
          <w:szCs w:val="24"/>
        </w:rPr>
      </w:pPr>
      <w:r>
        <w:t>n</w:t>
      </w:r>
      <w:r w:rsidR="009F2B8B" w:rsidRPr="00AF1B54">
        <w:t>ew data and results available (October)</w:t>
      </w:r>
    </w:p>
    <w:p w:rsidR="009F2B8B" w:rsidRPr="00AF1B54" w:rsidRDefault="009F2B8B" w:rsidP="009F2B8B">
      <w:pPr>
        <w:pStyle w:val="CGCBulletlist"/>
        <w:rPr>
          <w:szCs w:val="24"/>
        </w:rPr>
      </w:pPr>
      <w:r w:rsidRPr="00AF1B54">
        <w:t>Labour Market Research Workshop (November)</w:t>
      </w:r>
    </w:p>
    <w:p w:rsidR="009F2B8B" w:rsidRPr="00AF1B54" w:rsidRDefault="00F81008" w:rsidP="009F2B8B">
      <w:pPr>
        <w:pStyle w:val="CGCBulletlist"/>
        <w:rPr>
          <w:b/>
          <w:bCs/>
          <w:caps/>
          <w:szCs w:val="24"/>
        </w:rPr>
      </w:pPr>
      <w:r>
        <w:t>f</w:t>
      </w:r>
      <w:r w:rsidR="009F2B8B" w:rsidRPr="00AF1B54">
        <w:t>inal State submissions (early December)</w:t>
      </w:r>
    </w:p>
    <w:p w:rsidR="009F2B8B" w:rsidRPr="00AF1B54" w:rsidRDefault="009F2B8B" w:rsidP="009F2B8B">
      <w:pPr>
        <w:pStyle w:val="CGCBulletlist"/>
        <w:rPr>
          <w:b/>
          <w:bCs/>
          <w:caps/>
          <w:szCs w:val="24"/>
        </w:rPr>
      </w:pPr>
      <w:r w:rsidRPr="00AF1B54">
        <w:t>Commission decision announced in the Update report (February)</w:t>
      </w:r>
      <w:r w:rsidR="00F81008">
        <w:t>.</w:t>
      </w:r>
    </w:p>
    <w:p w:rsidR="00407CBE" w:rsidRDefault="00407CBE" w:rsidP="009F2B8B">
      <w:pPr>
        <w:pStyle w:val="CGCNumberedPara"/>
      </w:pPr>
      <w:r w:rsidRPr="00AF1B54">
        <w:t xml:space="preserve">This paper </w:t>
      </w:r>
      <w:r>
        <w:t xml:space="preserve">sets out the conceptual case </w:t>
      </w:r>
      <w:r w:rsidR="00F81008">
        <w:t>on which</w:t>
      </w:r>
      <w:r>
        <w:t xml:space="preserve"> the current assessment</w:t>
      </w:r>
      <w:r w:rsidR="00F81008">
        <w:t xml:space="preserve"> is based</w:t>
      </w:r>
      <w:r>
        <w:t>, State views on that case based on submissions received up to and including the 2015</w:t>
      </w:r>
      <w:r w:rsidR="007B7057">
        <w:t> </w:t>
      </w:r>
      <w:r>
        <w:t>Review, and views on the estimation methodology.</w:t>
      </w:r>
    </w:p>
    <w:p w:rsidR="009F2B8B" w:rsidRPr="00AF1B54" w:rsidRDefault="00AF1B54" w:rsidP="009F2B8B">
      <w:pPr>
        <w:pStyle w:val="CGCNumberedPara"/>
      </w:pPr>
      <w:r>
        <w:t>To help focus the discussion, at times in this paper Commission staff have provided their current views on some key issues</w:t>
      </w:r>
      <w:r w:rsidR="009F2B8B" w:rsidRPr="00AF1B54">
        <w:t>. Over the course of this year, we expect to have access to a new data source, and to be informed on the conceptual underpinnings of the assessment by a range of independent experts and by further consultation with States. The recommendations we put to the Commission will evolve through this process.</w:t>
      </w:r>
    </w:p>
    <w:p w:rsidR="00571763" w:rsidRDefault="00571763" w:rsidP="007A0022">
      <w:pPr>
        <w:pStyle w:val="CGCNumberedPara"/>
      </w:pPr>
      <w:r>
        <w:t>In your responses to this paper, we are particularly interested in:</w:t>
      </w:r>
    </w:p>
    <w:p w:rsidR="00571763" w:rsidRDefault="00571763" w:rsidP="00670ACD">
      <w:pPr>
        <w:pStyle w:val="CGCBulletlist"/>
      </w:pPr>
      <w:r>
        <w:t xml:space="preserve">whether we have accurately captured the essence of </w:t>
      </w:r>
      <w:r w:rsidR="002C2391">
        <w:t xml:space="preserve">each </w:t>
      </w:r>
      <w:r w:rsidR="00136C75">
        <w:t>State’s</w:t>
      </w:r>
      <w:r>
        <w:t xml:space="preserve"> arguments</w:t>
      </w:r>
    </w:p>
    <w:p w:rsidR="00571763" w:rsidRDefault="00571763" w:rsidP="00670ACD">
      <w:pPr>
        <w:pStyle w:val="CGCBulletlist"/>
      </w:pPr>
      <w:r>
        <w:t xml:space="preserve">whether our </w:t>
      </w:r>
      <w:r w:rsidR="00AF1B54">
        <w:t>assessment of</w:t>
      </w:r>
      <w:r>
        <w:t xml:space="preserve"> those arguments </w:t>
      </w:r>
      <w:r w:rsidR="00A433FA">
        <w:t xml:space="preserve">adequately </w:t>
      </w:r>
      <w:r>
        <w:t>addresses them</w:t>
      </w:r>
      <w:r w:rsidR="00136C75">
        <w:t>, and</w:t>
      </w:r>
    </w:p>
    <w:p w:rsidR="00AF1B54" w:rsidRDefault="00615C13" w:rsidP="00AF1B54">
      <w:pPr>
        <w:pStyle w:val="CGCBulletlist"/>
      </w:pPr>
      <w:proofErr w:type="gramStart"/>
      <w:r>
        <w:t>any</w:t>
      </w:r>
      <w:proofErr w:type="gramEnd"/>
      <w:r>
        <w:t xml:space="preserve"> new arguments States wish to present.</w:t>
      </w:r>
    </w:p>
    <w:p w:rsidR="00AF1B54" w:rsidRDefault="00AF1B54" w:rsidP="007A0022">
      <w:pPr>
        <w:pStyle w:val="CGCNumberedPara"/>
      </w:pPr>
      <w:r>
        <w:t>The Commission’s usual approach when considering if difference</w:t>
      </w:r>
      <w:r w:rsidR="00B60B5A">
        <w:t>s</w:t>
      </w:r>
      <w:r>
        <w:t xml:space="preserve"> between States should affect assessed fiscal capacities and thus the GST distribution is </w:t>
      </w:r>
      <w:r w:rsidR="00A118BF">
        <w:t>to ask</w:t>
      </w:r>
      <w:r>
        <w:t>:</w:t>
      </w:r>
    </w:p>
    <w:p w:rsidR="00AF1B54" w:rsidRDefault="00AF1B54" w:rsidP="00AD6C12">
      <w:pPr>
        <w:pStyle w:val="CGCBulletlist"/>
      </w:pPr>
      <w:r>
        <w:t xml:space="preserve">is there a conceptual case </w:t>
      </w:r>
      <w:r w:rsidR="00694555">
        <w:t xml:space="preserve">supported by evidence </w:t>
      </w:r>
      <w:r>
        <w:t>that, putting aside policy dif</w:t>
      </w:r>
      <w:r w:rsidR="003822F0">
        <w:t>ferences, States face different</w:t>
      </w:r>
      <w:r>
        <w:t xml:space="preserve"> costs in the delivery of services, and</w:t>
      </w:r>
    </w:p>
    <w:p w:rsidR="00AF1B54" w:rsidRDefault="00AF1B54" w:rsidP="00AD6C12">
      <w:pPr>
        <w:pStyle w:val="CGCBulletlist"/>
      </w:pPr>
      <w:proofErr w:type="gramStart"/>
      <w:r>
        <w:t>can</w:t>
      </w:r>
      <w:proofErr w:type="gramEnd"/>
      <w:r>
        <w:t xml:space="preserve"> a reliable assessment of those costs be developed from the available evide</w:t>
      </w:r>
      <w:r w:rsidR="003822F0">
        <w:t>nc</w:t>
      </w:r>
      <w:r>
        <w:t>e, and if so what is the most appropriate methodology</w:t>
      </w:r>
      <w:r w:rsidR="00F81008">
        <w:t>?</w:t>
      </w:r>
    </w:p>
    <w:p w:rsidR="003822F0" w:rsidRDefault="003822F0" w:rsidP="00AD6C12">
      <w:pPr>
        <w:pStyle w:val="CGCNumberedPara"/>
      </w:pPr>
      <w:r>
        <w:t>This paper follows that structure, although at times there is some duplication of material to avoid excessive cross-referencing.</w:t>
      </w:r>
    </w:p>
    <w:p w:rsidR="007A0022" w:rsidRPr="009C7CEC" w:rsidRDefault="007A0022" w:rsidP="00F61922">
      <w:pPr>
        <w:pStyle w:val="Heading3"/>
      </w:pPr>
      <w:bookmarkStart w:id="25" w:name="_Toc420916560"/>
      <w:bookmarkStart w:id="26" w:name="_Toc420940564"/>
      <w:bookmarkStart w:id="27" w:name="_Toc420942578"/>
      <w:bookmarkStart w:id="28" w:name="_Toc421616758"/>
      <w:bookmarkStart w:id="29" w:name="_Toc422130902"/>
      <w:bookmarkStart w:id="30" w:name="_Toc423962563"/>
      <w:r w:rsidRPr="009C7CEC">
        <w:t>The Conceptual Case</w:t>
      </w:r>
      <w:bookmarkEnd w:id="25"/>
      <w:bookmarkEnd w:id="26"/>
      <w:bookmarkEnd w:id="27"/>
      <w:bookmarkEnd w:id="28"/>
      <w:bookmarkEnd w:id="29"/>
      <w:bookmarkEnd w:id="30"/>
    </w:p>
    <w:p w:rsidR="007B51B6" w:rsidRDefault="003D0828" w:rsidP="007A0022">
      <w:pPr>
        <w:pStyle w:val="CGCNumberedPara"/>
      </w:pPr>
      <w:r>
        <w:t>We</w:t>
      </w:r>
      <w:r w:rsidR="007A0022">
        <w:t xml:space="preserve"> </w:t>
      </w:r>
      <w:r w:rsidR="004D318B">
        <w:t>observe</w:t>
      </w:r>
      <w:r w:rsidR="00590408">
        <w:t xml:space="preserve"> that public sector employees </w:t>
      </w:r>
      <w:r w:rsidR="0047297A">
        <w:t xml:space="preserve">in the same occupation </w:t>
      </w:r>
      <w:r w:rsidR="00590408">
        <w:t xml:space="preserve">in different States are paid different wages. </w:t>
      </w:r>
      <w:r w:rsidR="003822F0">
        <w:t>While s</w:t>
      </w:r>
      <w:r w:rsidR="00766801">
        <w:t xml:space="preserve">ome </w:t>
      </w:r>
      <w:r w:rsidR="00590408">
        <w:t xml:space="preserve">of these differences are certainly </w:t>
      </w:r>
      <w:r w:rsidR="007B51B6">
        <w:t>influenced</w:t>
      </w:r>
      <w:r w:rsidR="00590408">
        <w:t xml:space="preserve"> by the policy choices of State governments, </w:t>
      </w:r>
      <w:r w:rsidR="003822F0">
        <w:t>successive Commissions have held the view</w:t>
      </w:r>
      <w:r w:rsidR="007B51B6">
        <w:t xml:space="preserve"> that part of these differences are due to influences beyond the policy control of States.</w:t>
      </w:r>
      <w:r w:rsidR="003822F0">
        <w:t xml:space="preserve"> </w:t>
      </w:r>
      <w:r w:rsidR="00F81008">
        <w:t>A</w:t>
      </w:r>
      <w:r w:rsidR="003822F0">
        <w:t xml:space="preserve"> paper on the history of the Commission’s assessment of this disability </w:t>
      </w:r>
      <w:r w:rsidR="00F81008">
        <w:t xml:space="preserve">is </w:t>
      </w:r>
      <w:r w:rsidR="003822F0">
        <w:t xml:space="preserve">on the </w:t>
      </w:r>
      <w:r w:rsidR="00F81008">
        <w:t xml:space="preserve">Commission’s </w:t>
      </w:r>
      <w:r w:rsidR="003822F0">
        <w:t>website.</w:t>
      </w:r>
    </w:p>
    <w:p w:rsidR="0076783E" w:rsidRDefault="003822F0" w:rsidP="0076783E">
      <w:pPr>
        <w:pStyle w:val="CGCNumberedPara"/>
      </w:pPr>
      <w:bookmarkStart w:id="31" w:name="_Ref423433802"/>
      <w:r>
        <w:t>At the highest conceptual level</w:t>
      </w:r>
      <w:r w:rsidR="00F81008">
        <w:t>,</w:t>
      </w:r>
      <w:r>
        <w:t xml:space="preserve"> the Commission is concerned about interstate differences in the cost of delivering State services. The focus of this assessment is on differences in wage costs brought about by differences in the cost of State employees. While it is </w:t>
      </w:r>
      <w:r w:rsidR="00694555">
        <w:t>possible</w:t>
      </w:r>
      <w:r>
        <w:t xml:space="preserve"> that differences in the cost of labour among States could see differences in the use of labour (and capital), Commission staff cannot see how a reliable assessment of such a dynamic could be made using available data. As a result, we propose to assume that States employ the </w:t>
      </w:r>
      <w:r w:rsidR="00C06285">
        <w:t>same quantum</w:t>
      </w:r>
      <w:r>
        <w:t xml:space="preserve"> of comparable labour in delivering a comparable service.</w:t>
      </w:r>
      <w:bookmarkEnd w:id="31"/>
    </w:p>
    <w:p w:rsidR="0076783E" w:rsidRDefault="00B9712E" w:rsidP="007A0022">
      <w:pPr>
        <w:pStyle w:val="CGCNumberedPara"/>
      </w:pPr>
      <w:proofErr w:type="gramStart"/>
      <w:r w:rsidRPr="00AF1B54">
        <w:t xml:space="preserve">Staff </w:t>
      </w:r>
      <w:r w:rsidR="0097600C" w:rsidRPr="00AF1B54">
        <w:t>currently consider</w:t>
      </w:r>
      <w:proofErr w:type="gramEnd"/>
      <w:r w:rsidR="0097600C" w:rsidRPr="00AF1B54">
        <w:t xml:space="preserve"> that there is a linkage between the wages paid by the State public sector and the wages of the larger community in which </w:t>
      </w:r>
      <w:r w:rsidR="005936EE">
        <w:t>States</w:t>
      </w:r>
      <w:r w:rsidR="005936EE" w:rsidRPr="00AF1B54">
        <w:t xml:space="preserve"> </w:t>
      </w:r>
      <w:r w:rsidR="0097600C" w:rsidRPr="00AF1B54">
        <w:t xml:space="preserve">operate. </w:t>
      </w:r>
    </w:p>
    <w:p w:rsidR="007D3115" w:rsidRPr="00404C99" w:rsidRDefault="0076783E" w:rsidP="007D3115">
      <w:pPr>
        <w:pStyle w:val="CGCNumberedPara"/>
      </w:pPr>
      <w:r w:rsidRPr="00404C99">
        <w:t>The conceptual case for such a position may take a number of forms.</w:t>
      </w:r>
    </w:p>
    <w:p w:rsidR="0076783E" w:rsidRPr="00404C99" w:rsidRDefault="00404C99" w:rsidP="00A81E50">
      <w:pPr>
        <w:pStyle w:val="CGCBulletlist"/>
      </w:pPr>
      <w:r>
        <w:t xml:space="preserve">Various strands of economic theory support the persistence </w:t>
      </w:r>
      <w:r w:rsidR="0076783E" w:rsidRPr="00404C99">
        <w:t xml:space="preserve">of differences in nominal wages </w:t>
      </w:r>
      <w:r w:rsidR="00F81008" w:rsidRPr="00404C99">
        <w:t xml:space="preserve">for comparable private and public sector employees </w:t>
      </w:r>
      <w:r>
        <w:t xml:space="preserve">across </w:t>
      </w:r>
      <w:r w:rsidR="0076783E" w:rsidRPr="00404C99">
        <w:t>regional labour markets. For example:</w:t>
      </w:r>
    </w:p>
    <w:p w:rsidR="00F668A4" w:rsidRPr="00404C99" w:rsidRDefault="00404C99" w:rsidP="009F284F">
      <w:pPr>
        <w:pStyle w:val="CGCSubbulletlist"/>
      </w:pPr>
      <w:r w:rsidRPr="009F284F">
        <w:rPr>
          <w:i/>
        </w:rPr>
        <w:t>C</w:t>
      </w:r>
      <w:r w:rsidR="006328C7" w:rsidRPr="009F284F">
        <w:rPr>
          <w:i/>
        </w:rPr>
        <w:t>ompensating differential</w:t>
      </w:r>
      <w:r w:rsidRPr="009F284F">
        <w:rPr>
          <w:i/>
        </w:rPr>
        <w:t>s</w:t>
      </w:r>
      <w:r>
        <w:t>: The</w:t>
      </w:r>
      <w:r w:rsidR="00AE0671" w:rsidRPr="00404C99">
        <w:t xml:space="preserve"> theory</w:t>
      </w:r>
      <w:r>
        <w:t xml:space="preserve"> of compensating differentials suggests </w:t>
      </w:r>
      <w:r w:rsidR="00AE0671" w:rsidRPr="00404C99">
        <w:t xml:space="preserve">that real wages </w:t>
      </w:r>
      <w:r>
        <w:t>will</w:t>
      </w:r>
      <w:r w:rsidRPr="00404C99">
        <w:t xml:space="preserve"> </w:t>
      </w:r>
      <w:r w:rsidR="00AE0671" w:rsidRPr="00404C99">
        <w:t xml:space="preserve">equalise between </w:t>
      </w:r>
      <w:r>
        <w:t>regions</w:t>
      </w:r>
      <w:r w:rsidR="00AE0671" w:rsidRPr="00404C99">
        <w:t xml:space="preserve"> but that nominal wages </w:t>
      </w:r>
      <w:r>
        <w:t>may</w:t>
      </w:r>
      <w:r w:rsidRPr="00404C99">
        <w:t xml:space="preserve"> </w:t>
      </w:r>
      <w:r w:rsidR="00AE0671" w:rsidRPr="00404C99">
        <w:t>not. In determining what</w:t>
      </w:r>
      <w:r>
        <w:t xml:space="preserve"> nominal</w:t>
      </w:r>
      <w:r w:rsidR="00AE0671" w:rsidRPr="00404C99">
        <w:t xml:space="preserve"> wage to accept in a</w:t>
      </w:r>
      <w:r w:rsidR="002C2391">
        <w:t xml:space="preserve"> </w:t>
      </w:r>
      <w:r>
        <w:t>particular region</w:t>
      </w:r>
      <w:r w:rsidR="00AE0671" w:rsidRPr="00404C99">
        <w:t>, workers take account of housing costs, other cost of living differences, and</w:t>
      </w:r>
      <w:r>
        <w:t xml:space="preserve"> positive or negative region-specific </w:t>
      </w:r>
      <w:r w:rsidR="00AE0671" w:rsidRPr="00404C99">
        <w:t>amenit</w:t>
      </w:r>
      <w:r>
        <w:t>ies</w:t>
      </w:r>
      <w:r w:rsidR="006328C7" w:rsidRPr="00404C99">
        <w:t xml:space="preserve">. As many of these </w:t>
      </w:r>
      <w:r>
        <w:t>factors</w:t>
      </w:r>
      <w:r w:rsidRPr="00404C99">
        <w:t xml:space="preserve"> </w:t>
      </w:r>
      <w:r w:rsidR="006328C7" w:rsidRPr="00404C99">
        <w:t xml:space="preserve">are </w:t>
      </w:r>
      <w:r>
        <w:t>not traded across regions</w:t>
      </w:r>
      <w:r w:rsidR="006328C7" w:rsidRPr="00404C99">
        <w:t xml:space="preserve">, </w:t>
      </w:r>
      <w:r w:rsidR="006611AA" w:rsidRPr="00404C99">
        <w:t xml:space="preserve">nominal </w:t>
      </w:r>
      <w:r w:rsidR="006328C7" w:rsidRPr="00404C99">
        <w:t xml:space="preserve">wages adjust to take account of </w:t>
      </w:r>
      <w:r>
        <w:t>them</w:t>
      </w:r>
      <w:r w:rsidR="006328C7" w:rsidRPr="00404C99">
        <w:t>.</w:t>
      </w:r>
      <w:r w:rsidR="0047297A" w:rsidRPr="00404C99">
        <w:t xml:space="preserve"> </w:t>
      </w:r>
    </w:p>
    <w:p w:rsidR="006D4212" w:rsidRPr="00404C99" w:rsidRDefault="00404C99" w:rsidP="00A81E50">
      <w:pPr>
        <w:pStyle w:val="CGCSubbulletlist"/>
      </w:pPr>
      <w:r>
        <w:rPr>
          <w:i/>
        </w:rPr>
        <w:t xml:space="preserve">Macroeconomic factors: </w:t>
      </w:r>
      <w:r>
        <w:t xml:space="preserve">At any particular time, regions within an economy may be at different stages of their business cycles. As a result, some may have excess labour demand and others excess labour supply. This can cause </w:t>
      </w:r>
      <w:r w:rsidR="006D4212" w:rsidRPr="00404C99">
        <w:t>wages</w:t>
      </w:r>
      <w:r>
        <w:t xml:space="preserve"> in high demand regions</w:t>
      </w:r>
      <w:r w:rsidR="006D4212" w:rsidRPr="00404C99">
        <w:t xml:space="preserve"> to </w:t>
      </w:r>
      <w:proofErr w:type="gramStart"/>
      <w:r w:rsidR="006D4212" w:rsidRPr="00404C99">
        <w:t>rise</w:t>
      </w:r>
      <w:proofErr w:type="gramEnd"/>
      <w:r w:rsidR="006D4212" w:rsidRPr="00404C99">
        <w:t xml:space="preserve"> </w:t>
      </w:r>
      <w:r>
        <w:t>relative to low demand regions, especially in the short run.</w:t>
      </w:r>
    </w:p>
    <w:p w:rsidR="006D4212" w:rsidRPr="00404C99" w:rsidRDefault="00404C99" w:rsidP="00A81E50">
      <w:pPr>
        <w:pStyle w:val="CGCSubbulletlist"/>
      </w:pPr>
      <w:r>
        <w:rPr>
          <w:i/>
        </w:rPr>
        <w:t>Attachment and migration costs:</w:t>
      </w:r>
      <w:r>
        <w:t xml:space="preserve"> People can also be attached to the place they live in, (known as </w:t>
      </w:r>
      <w:r w:rsidR="006D4212" w:rsidRPr="00404C99">
        <w:t>attachment to place</w:t>
      </w:r>
      <w:r>
        <w:t>)</w:t>
      </w:r>
      <w:r w:rsidR="006D4212" w:rsidRPr="00404C99">
        <w:t>,</w:t>
      </w:r>
      <w:r>
        <w:t xml:space="preserve"> due to family, cultural or other social factors. </w:t>
      </w:r>
      <w:r w:rsidR="006D4212" w:rsidRPr="00404C99">
        <w:t xml:space="preserve"> </w:t>
      </w:r>
      <w:r>
        <w:t>This means they may be resistant to migration to take advantage of wage differentials across regions. In addition, the costs of migrating to high wage regions may be relatively high.</w:t>
      </w:r>
      <w:r w:rsidR="0086045A">
        <w:t xml:space="preserve"> It is well known that both attachment to place and migration costs can contribute to wage differentials between regions</w:t>
      </w:r>
      <w:r w:rsidR="00B9712E" w:rsidRPr="00404C99">
        <w:t>.</w:t>
      </w:r>
      <w:r w:rsidR="0086045A">
        <w:t xml:space="preserve"> The implication is that an economy’s labour market can behave as separate regional labour markets.</w:t>
      </w:r>
    </w:p>
    <w:p w:rsidR="0086045A" w:rsidRDefault="006D4212" w:rsidP="002C2391">
      <w:pPr>
        <w:pStyle w:val="CGCNumberedPara"/>
      </w:pPr>
      <w:r w:rsidRPr="00404C99">
        <w:t xml:space="preserve">Some theories may </w:t>
      </w:r>
      <w:r w:rsidR="0086045A">
        <w:t>predict</w:t>
      </w:r>
      <w:r w:rsidR="0086045A" w:rsidRPr="00404C99">
        <w:t xml:space="preserve"> </w:t>
      </w:r>
      <w:r w:rsidRPr="00404C99">
        <w:t xml:space="preserve">wage levels </w:t>
      </w:r>
      <w:r w:rsidR="0086045A">
        <w:t>will</w:t>
      </w:r>
      <w:r w:rsidR="0086045A" w:rsidRPr="00404C99">
        <w:t xml:space="preserve"> </w:t>
      </w:r>
      <w:r w:rsidRPr="00404C99">
        <w:t xml:space="preserve">eventually equalise. However, </w:t>
      </w:r>
      <w:r w:rsidR="0086045A">
        <w:t xml:space="preserve">from the perspective of HFE </w:t>
      </w:r>
      <w:r w:rsidRPr="00404C99">
        <w:t xml:space="preserve">we are not concerned with long term </w:t>
      </w:r>
      <w:r w:rsidR="0086045A" w:rsidRPr="00404C99">
        <w:t>equilibri</w:t>
      </w:r>
      <w:r w:rsidR="0086045A">
        <w:t>a,</w:t>
      </w:r>
      <w:r w:rsidR="0086045A" w:rsidRPr="00404C99">
        <w:t xml:space="preserve"> </w:t>
      </w:r>
      <w:r w:rsidRPr="00404C99">
        <w:t xml:space="preserve">but </w:t>
      </w:r>
      <w:r w:rsidR="0086045A">
        <w:t xml:space="preserve">rather, </w:t>
      </w:r>
      <w:r w:rsidRPr="00404C99">
        <w:t>market</w:t>
      </w:r>
      <w:r w:rsidR="0086045A">
        <w:t>s</w:t>
      </w:r>
      <w:r w:rsidRPr="00404C99">
        <w:t xml:space="preserve"> as </w:t>
      </w:r>
      <w:r w:rsidR="0086045A">
        <w:t>they</w:t>
      </w:r>
      <w:r w:rsidR="0086045A" w:rsidRPr="00404C99">
        <w:t xml:space="preserve"> </w:t>
      </w:r>
      <w:r w:rsidRPr="00404C99">
        <w:t xml:space="preserve">operate in </w:t>
      </w:r>
      <w:r w:rsidR="0086045A">
        <w:t>given</w:t>
      </w:r>
      <w:r w:rsidR="0086045A" w:rsidRPr="00404C99">
        <w:t xml:space="preserve"> </w:t>
      </w:r>
      <w:r w:rsidRPr="00404C99">
        <w:t>assessment years.</w:t>
      </w:r>
      <w:r w:rsidR="0086045A">
        <w:t xml:space="preserve"> It should </w:t>
      </w:r>
      <w:r w:rsidR="000D01D2">
        <w:t>also</w:t>
      </w:r>
      <w:r w:rsidR="0086045A">
        <w:t xml:space="preserve"> be noted that t</w:t>
      </w:r>
      <w:r w:rsidR="0086045A" w:rsidRPr="00404C99">
        <w:t>he relative importance of these theories in driving relative wage differences is likely to vary across States and over time.</w:t>
      </w:r>
    </w:p>
    <w:p w:rsidR="00407CBE" w:rsidRPr="00404C99" w:rsidRDefault="0076783E" w:rsidP="002C2391">
      <w:pPr>
        <w:pStyle w:val="CGCNumberedPara"/>
      </w:pPr>
      <w:r w:rsidRPr="00404C99">
        <w:t>It</w:t>
      </w:r>
      <w:r w:rsidR="0086045A">
        <w:t xml:space="preserve"> is difficult to sustain an argument</w:t>
      </w:r>
      <w:r w:rsidRPr="00404C99">
        <w:t xml:space="preserve"> that the markets for public and private employment are </w:t>
      </w:r>
      <w:r w:rsidR="0086045A">
        <w:t xml:space="preserve">distinct and </w:t>
      </w:r>
      <w:r w:rsidRPr="00404C99">
        <w:t>independent</w:t>
      </w:r>
      <w:r w:rsidR="0086045A">
        <w:t>. This is</w:t>
      </w:r>
      <w:r w:rsidRPr="00404C99">
        <w:t xml:space="preserve"> especially</w:t>
      </w:r>
      <w:r w:rsidR="0086045A">
        <w:t xml:space="preserve"> so</w:t>
      </w:r>
      <w:r w:rsidRPr="00404C99">
        <w:t xml:space="preserve"> as we observe that </w:t>
      </w:r>
      <w:r w:rsidR="0086045A">
        <w:t>some types of workers do</w:t>
      </w:r>
      <w:r w:rsidR="0086045A" w:rsidRPr="00404C99">
        <w:t xml:space="preserve"> </w:t>
      </w:r>
      <w:r w:rsidRPr="00404C99">
        <w:t>move between the</w:t>
      </w:r>
      <w:r w:rsidR="0086045A">
        <w:t xml:space="preserve"> public and private sectors (e.g. teachers, nurses, engineers).</w:t>
      </w:r>
      <w:r w:rsidR="007B7057">
        <w:t xml:space="preserve"> </w:t>
      </w:r>
      <w:r w:rsidR="0086045A">
        <w:t>Hence,</w:t>
      </w:r>
      <w:r w:rsidR="0086045A" w:rsidRPr="00404C99">
        <w:t xml:space="preserve"> </w:t>
      </w:r>
      <w:r w:rsidRPr="00404C99">
        <w:t xml:space="preserve">differences in comparable private sector wages </w:t>
      </w:r>
      <w:r w:rsidR="0086045A">
        <w:t xml:space="preserve">across States </w:t>
      </w:r>
      <w:r w:rsidRPr="00404C99">
        <w:t>are</w:t>
      </w:r>
      <w:r w:rsidR="0086045A">
        <w:t xml:space="preserve"> also</w:t>
      </w:r>
      <w:r w:rsidRPr="00404C99">
        <w:t xml:space="preserve"> likely to influence</w:t>
      </w:r>
      <w:r w:rsidR="0086045A">
        <w:t>,</w:t>
      </w:r>
      <w:r w:rsidRPr="00404C99">
        <w:t xml:space="preserve"> and constrain</w:t>
      </w:r>
      <w:r w:rsidR="0086045A">
        <w:t>,</w:t>
      </w:r>
      <w:r w:rsidRPr="00404C99">
        <w:t xml:space="preserve"> what States </w:t>
      </w:r>
      <w:r w:rsidR="0086045A">
        <w:t>can</w:t>
      </w:r>
      <w:r w:rsidR="0086045A" w:rsidRPr="00404C99">
        <w:t xml:space="preserve"> </w:t>
      </w:r>
      <w:r w:rsidRPr="00404C99">
        <w:t>pay for comparable employees, if they all follow the same wage policy.</w:t>
      </w:r>
    </w:p>
    <w:p w:rsidR="00D85176" w:rsidRPr="00404C99" w:rsidRDefault="009254F7" w:rsidP="00854FED">
      <w:pPr>
        <w:pStyle w:val="CGCNumberedPara"/>
      </w:pPr>
      <w:r w:rsidRPr="00404C99">
        <w:t xml:space="preserve">Whether we simply observe that wage </w:t>
      </w:r>
      <w:r w:rsidR="0086045A">
        <w:t xml:space="preserve">differences across States </w:t>
      </w:r>
      <w:r w:rsidRPr="00404C99">
        <w:t>exist</w:t>
      </w:r>
      <w:r w:rsidR="0086045A">
        <w:t>,</w:t>
      </w:r>
      <w:r w:rsidRPr="00404C99">
        <w:t xml:space="preserve"> or whether we also support this with economic theor</w:t>
      </w:r>
      <w:r w:rsidR="0086045A">
        <w:t>ies such as those discussed above</w:t>
      </w:r>
      <w:r w:rsidRPr="00404C99">
        <w:t>, we conclude that</w:t>
      </w:r>
      <w:r w:rsidR="00B9712E" w:rsidRPr="00404C99">
        <w:t xml:space="preserve"> as</w:t>
      </w:r>
      <w:r w:rsidRPr="00404C99">
        <w:t xml:space="preserve"> </w:t>
      </w:r>
      <w:r w:rsidR="00E43C7E" w:rsidRPr="00404C99">
        <w:t xml:space="preserve">employers constrained by geographic boundaries, </w:t>
      </w:r>
      <w:r w:rsidR="00F668A4" w:rsidRPr="00404C99">
        <w:t>State governments</w:t>
      </w:r>
      <w:r w:rsidR="00175231" w:rsidRPr="00404C99">
        <w:t xml:space="preserve"> are</w:t>
      </w:r>
      <w:r w:rsidR="00F668A4" w:rsidRPr="00404C99">
        <w:t xml:space="preserve"> </w:t>
      </w:r>
      <w:r w:rsidR="00175231" w:rsidRPr="00404C99">
        <w:t>likely to</w:t>
      </w:r>
      <w:r w:rsidR="00F668A4" w:rsidRPr="00404C99">
        <w:t xml:space="preserve"> face non-policy influences on the wages they pay to their workers</w:t>
      </w:r>
      <w:r w:rsidR="00B9712E" w:rsidRPr="00404C99">
        <w:t>.</w:t>
      </w:r>
      <w:r w:rsidR="00F668A4" w:rsidRPr="00404C99">
        <w:t xml:space="preserve"> </w:t>
      </w:r>
    </w:p>
    <w:p w:rsidR="00043321" w:rsidRPr="00175236" w:rsidRDefault="00407CBE" w:rsidP="00043321">
      <w:pPr>
        <w:pStyle w:val="CGCNumberedPara"/>
      </w:pPr>
      <w:r>
        <w:t>The average public sector wage paid by different States will vary because they choose to deliver services using staff with differing mixes of skill</w:t>
      </w:r>
      <w:r w:rsidR="005936EE">
        <w:t xml:space="preserve"> and</w:t>
      </w:r>
      <w:r>
        <w:t xml:space="preserve"> experience. </w:t>
      </w:r>
      <w:r w:rsidR="005936EE">
        <w:t xml:space="preserve">Each group </w:t>
      </w:r>
      <w:r w:rsidRPr="00175236">
        <w:t xml:space="preserve">will attract a different wage. In focusing on the impact </w:t>
      </w:r>
      <w:r w:rsidR="00F81008" w:rsidRPr="00175236">
        <w:t xml:space="preserve">of </w:t>
      </w:r>
      <w:r w:rsidRPr="00175236">
        <w:t>different regional labour markets</w:t>
      </w:r>
      <w:r w:rsidR="005936EE" w:rsidRPr="00175236">
        <w:t>,</w:t>
      </w:r>
      <w:r w:rsidRPr="00175236">
        <w:t xml:space="preserve"> we need to abstract from these policy choices</w:t>
      </w:r>
      <w:r w:rsidR="005936EE" w:rsidRPr="00175236">
        <w:t>.</w:t>
      </w:r>
      <w:r w:rsidRPr="00175236">
        <w:t xml:space="preserve"> </w:t>
      </w:r>
      <w:r w:rsidR="005936EE" w:rsidRPr="00175236">
        <w:t>T</w:t>
      </w:r>
      <w:r w:rsidRPr="00175236">
        <w:t>o do this</w:t>
      </w:r>
      <w:r w:rsidR="005936EE" w:rsidRPr="00175236">
        <w:t>,</w:t>
      </w:r>
      <w:r w:rsidRPr="00175236">
        <w:t xml:space="preserve"> we use the concept of a comparable public employee, one with the average profile of employee characteristics. </w:t>
      </w:r>
      <w:r w:rsidR="005936EE" w:rsidRPr="00175236">
        <w:t xml:space="preserve">When </w:t>
      </w:r>
      <w:r w:rsidRPr="00175236">
        <w:t>an assessment is made, it seek</w:t>
      </w:r>
      <w:r w:rsidR="005936EE" w:rsidRPr="00175236">
        <w:t>s</w:t>
      </w:r>
      <w:r w:rsidRPr="00175236">
        <w:t xml:space="preserve"> to use an indicator of what comparable employees in</w:t>
      </w:r>
      <w:r w:rsidR="002B5CC3">
        <w:t xml:space="preserve"> different States would be paid </w:t>
      </w:r>
      <w:r w:rsidRPr="00175236">
        <w:t>if their employers had the same wage policy.</w:t>
      </w:r>
    </w:p>
    <w:p w:rsidR="00175236" w:rsidRDefault="00175236" w:rsidP="00175236">
      <w:pPr>
        <w:pStyle w:val="CGCNumberedPara"/>
      </w:pPr>
      <w:r>
        <w:t xml:space="preserve">Recent Commissions have used differences in the wages paid to comparable private sector employees in different States as an indicator of the differences in wages that would need to be paid to public sector employees in different States. This is because they considered it not possible to remove the influence of State policy choice </w:t>
      </w:r>
      <w:r w:rsidR="00240AF2">
        <w:t>on observed public sector data.</w:t>
      </w:r>
      <w:r>
        <w:t xml:space="preserve"> We propose to retain that indicator.</w:t>
      </w:r>
    </w:p>
    <w:p w:rsidR="00407CBE" w:rsidRPr="00872E68" w:rsidRDefault="00407CBE" w:rsidP="00407CBE">
      <w:pPr>
        <w:pStyle w:val="Heading4"/>
      </w:pPr>
      <w:bookmarkStart w:id="32" w:name="_Toc423962564"/>
      <w:r w:rsidRPr="00872E68">
        <w:t xml:space="preserve">Relationship between </w:t>
      </w:r>
      <w:r>
        <w:t>public and private State coefficients</w:t>
      </w:r>
      <w:bookmarkEnd w:id="32"/>
    </w:p>
    <w:p w:rsidR="00407CBE" w:rsidRDefault="00407CBE" w:rsidP="00407CBE">
      <w:pPr>
        <w:pStyle w:val="CGCNumberedPara"/>
      </w:pPr>
      <w:bookmarkStart w:id="33" w:name="_Ref423521163"/>
      <w:r w:rsidRPr="00872E68">
        <w:t>The Commission, in several past</w:t>
      </w:r>
      <w:r>
        <w:t xml:space="preserve"> reports, has cited the relationship between State coefficients for public and private sector relative wages as measured by </w:t>
      </w:r>
      <w:r w:rsidR="001B5A44">
        <w:t>the ABS Survey of Education and Training (</w:t>
      </w:r>
      <w:r>
        <w:t>SET</w:t>
      </w:r>
      <w:r w:rsidR="001B5A44">
        <w:t>)</w:t>
      </w:r>
      <w:r>
        <w:t xml:space="preserve"> as supporting evidence for the conceptual case. These data are shown in</w:t>
      </w:r>
      <w:r w:rsidR="005924E4">
        <w:t xml:space="preserve"> </w:t>
      </w:r>
      <w:r w:rsidR="00E00488">
        <w:t xml:space="preserve">Figure </w:t>
      </w:r>
      <w:r w:rsidR="00E00488">
        <w:rPr>
          <w:noProof/>
        </w:rPr>
        <w:t>1</w:t>
      </w:r>
      <w:r>
        <w:t>.</w:t>
      </w:r>
      <w:bookmarkEnd w:id="33"/>
      <w:r>
        <w:t xml:space="preserve"> </w:t>
      </w:r>
    </w:p>
    <w:p w:rsidR="00407CBE" w:rsidRDefault="00407CBE" w:rsidP="00407CBE">
      <w:pPr>
        <w:pStyle w:val="CGCNumberedPara"/>
      </w:pPr>
      <w:r>
        <w:t>These results suggest that, at the points in time the data were collected, high relative public sector wages have generally been observed in States with high relative private sector wages. The alternatives have occurred much more rarely.</w:t>
      </w:r>
    </w:p>
    <w:p w:rsidR="00407CBE" w:rsidRDefault="00407CBE" w:rsidP="00407CBE">
      <w:pPr>
        <w:pStyle w:val="Caption"/>
        <w:ind w:left="0" w:firstLine="0"/>
      </w:pPr>
      <w:bookmarkStart w:id="34" w:name="_Ref423520531"/>
      <w:bookmarkStart w:id="35" w:name="_Ref423520509"/>
      <w:r>
        <w:t xml:space="preserve">Figure </w:t>
      </w:r>
      <w:fldSimple w:instr=" SEQ Figure \* ARABIC ">
        <w:r w:rsidR="00495218">
          <w:rPr>
            <w:noProof/>
          </w:rPr>
          <w:t>1</w:t>
        </w:r>
      </w:fldSimple>
      <w:bookmarkEnd w:id="34"/>
      <w:r>
        <w:t xml:space="preserve"> </w:t>
      </w:r>
      <w:r>
        <w:tab/>
      </w:r>
      <w:r w:rsidRPr="001D2101">
        <w:t>Public-</w:t>
      </w:r>
      <w:r w:rsidR="007B7057">
        <w:t>p</w:t>
      </w:r>
      <w:r w:rsidR="007B7057" w:rsidRPr="001D2101">
        <w:t xml:space="preserve">rivate </w:t>
      </w:r>
      <w:r w:rsidRPr="001D2101">
        <w:t>wage levels for comparable employees</w:t>
      </w:r>
      <w:r>
        <w:t xml:space="preserve"> for States</w:t>
      </w:r>
      <w:r w:rsidRPr="001D2101">
        <w:t>, 1997-2009</w:t>
      </w:r>
      <w:bookmarkEnd w:id="35"/>
    </w:p>
    <w:p w:rsidR="00407CBE" w:rsidRDefault="00407CBE" w:rsidP="00407CBE">
      <w:pPr>
        <w:pStyle w:val="CGCTableFootnote"/>
        <w:keepNext/>
      </w:pPr>
      <w:r w:rsidRPr="00316B1D">
        <w:rPr>
          <w:noProof/>
          <w:lang w:eastAsia="en-AU"/>
        </w:rPr>
        <w:drawing>
          <wp:inline distT="0" distB="0" distL="0" distR="0" wp14:anchorId="740399E0" wp14:editId="49331485">
            <wp:extent cx="5683885" cy="30952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83885" cy="3095264"/>
                    </a:xfrm>
                    <a:prstGeom prst="rect">
                      <a:avLst/>
                    </a:prstGeom>
                    <a:noFill/>
                    <a:ln>
                      <a:noFill/>
                    </a:ln>
                  </pic:spPr>
                </pic:pic>
              </a:graphicData>
            </a:graphic>
          </wp:inline>
        </w:drawing>
      </w:r>
    </w:p>
    <w:p w:rsidR="00407CBE" w:rsidRDefault="00407CBE" w:rsidP="00407CBE">
      <w:pPr>
        <w:pStyle w:val="CGCTableFootnote"/>
        <w:keepNext/>
      </w:pPr>
      <w:r>
        <w:t xml:space="preserve">Source: </w:t>
      </w:r>
      <w:r>
        <w:tab/>
        <w:t xml:space="preserve">Commission analysis of ABS </w:t>
      </w:r>
      <w:r>
        <w:rPr>
          <w:i/>
        </w:rPr>
        <w:t>Survey of Education and Training</w:t>
      </w:r>
      <w:r w:rsidR="002B5CC3">
        <w:t>, 1997, 2001, 2005 and</w:t>
      </w:r>
      <w:r>
        <w:t xml:space="preserve"> 2009.</w:t>
      </w:r>
    </w:p>
    <w:p w:rsidR="00407CBE" w:rsidRDefault="00407CBE" w:rsidP="00407CBE">
      <w:pPr>
        <w:pStyle w:val="CGCNumberedPara"/>
      </w:pPr>
      <w:r>
        <w:t xml:space="preserve">States have differing views on </w:t>
      </w:r>
      <w:r w:rsidR="005936EE">
        <w:t xml:space="preserve">the </w:t>
      </w:r>
      <w:r>
        <w:t xml:space="preserve">weight </w:t>
      </w:r>
      <w:r w:rsidR="005936EE">
        <w:t xml:space="preserve">which </w:t>
      </w:r>
      <w:r>
        <w:t>should be placed on the observed relationship</w:t>
      </w:r>
      <w:r w:rsidR="005936EE">
        <w:t>s</w:t>
      </w:r>
      <w:r>
        <w:t xml:space="preserve"> in deciding if there is a conceptual case which warrants an assessment.</w:t>
      </w:r>
    </w:p>
    <w:p w:rsidR="00407CBE" w:rsidRDefault="00407CBE" w:rsidP="00407CBE">
      <w:pPr>
        <w:pStyle w:val="CGCNumberedPara"/>
      </w:pPr>
      <w:r>
        <w:t xml:space="preserve">Queensland has in recent submissions argued that the relationship in the 2009 data is less strong </w:t>
      </w:r>
      <w:r w:rsidRPr="00032009">
        <w:t>than previously observed (R</w:t>
      </w:r>
      <w:r w:rsidRPr="00032009">
        <w:rPr>
          <w:vertAlign w:val="superscript"/>
        </w:rPr>
        <w:t>2</w:t>
      </w:r>
      <w:r w:rsidRPr="00032009">
        <w:t xml:space="preserve">= 0.15), is not statistically significant, and that therefore the assessment should be discontinued or heavily discounted. </w:t>
      </w:r>
    </w:p>
    <w:p w:rsidR="00407CBE" w:rsidRDefault="00407CBE" w:rsidP="00407CBE">
      <w:pPr>
        <w:pStyle w:val="CGCNumberedPara"/>
      </w:pPr>
      <w:r w:rsidRPr="00032009">
        <w:t xml:space="preserve">Western Australia has stated that </w:t>
      </w:r>
      <w:r>
        <w:t xml:space="preserve">the statistical strength of </w:t>
      </w:r>
      <w:r w:rsidRPr="00032009">
        <w:t>this relationship</w:t>
      </w:r>
      <w:r>
        <w:t xml:space="preserve"> is not relevant at all. It considers that the conceptual case is valid, and whether individual States choose to follow average policy or not is not relevant.</w:t>
      </w:r>
    </w:p>
    <w:p w:rsidR="00407CBE" w:rsidRPr="00037637" w:rsidRDefault="00407CBE" w:rsidP="00407CBE">
      <w:pPr>
        <w:pStyle w:val="CGCNumberedPara"/>
      </w:pPr>
      <w:proofErr w:type="spellStart"/>
      <w:r w:rsidRPr="00037637">
        <w:t>Dr.</w:t>
      </w:r>
      <w:proofErr w:type="spellEnd"/>
      <w:r w:rsidRPr="00037637">
        <w:t xml:space="preserve"> A. M. Dockery</w:t>
      </w:r>
      <w:r w:rsidR="007D3115">
        <w:t>, who was commissioned by Western Australia as part of the 2004</w:t>
      </w:r>
      <w:r w:rsidR="007B7057">
        <w:t> </w:t>
      </w:r>
      <w:r w:rsidR="007D3115">
        <w:t>Review,</w:t>
      </w:r>
      <w:r w:rsidRPr="00037637">
        <w:t xml:space="preserve"> in his critique of the assessment</w:t>
      </w:r>
      <w:r>
        <w:t xml:space="preserve"> said</w:t>
      </w:r>
      <w:r w:rsidRPr="00037637">
        <w:t>:</w:t>
      </w:r>
    </w:p>
    <w:p w:rsidR="00407CBE" w:rsidRDefault="00407CBE" w:rsidP="00854FED">
      <w:pPr>
        <w:ind w:left="1134" w:right="1134"/>
        <w:rPr>
          <w:lang w:val="en-US"/>
        </w:rPr>
      </w:pPr>
      <w:r w:rsidRPr="00037637">
        <w:rPr>
          <w:lang w:val="en-US"/>
        </w:rPr>
        <w:t xml:space="preserve">When the statistical significance of the estimates </w:t>
      </w:r>
      <w:proofErr w:type="gramStart"/>
      <w:r w:rsidRPr="00037637">
        <w:rPr>
          <w:lang w:val="en-US"/>
        </w:rPr>
        <w:t>are</w:t>
      </w:r>
      <w:proofErr w:type="gramEnd"/>
      <w:r w:rsidRPr="00037637">
        <w:rPr>
          <w:lang w:val="en-US"/>
        </w:rPr>
        <w:t xml:space="preserve"> taken into account, I do not feel the figures strongly</w:t>
      </w:r>
      <w:r w:rsidR="00240AF2">
        <w:rPr>
          <w:lang w:val="en-US"/>
        </w:rPr>
        <w:t xml:space="preserve"> support the Commission’s case.</w:t>
      </w:r>
      <w:r w:rsidRPr="00037637">
        <w:rPr>
          <w:lang w:val="en-US"/>
        </w:rPr>
        <w:t xml:space="preserve"> Nor, given different wage setting processes and the timings of adjustments in different sectors, would I expect strong correlations between the estimated location effects for the two se</w:t>
      </w:r>
      <w:r w:rsidR="00240AF2">
        <w:rPr>
          <w:lang w:val="en-US"/>
        </w:rPr>
        <w:t xml:space="preserve">ctors at given points in time. </w:t>
      </w:r>
      <w:r w:rsidRPr="00037637">
        <w:rPr>
          <w:lang w:val="en-US"/>
        </w:rPr>
        <w:t>Rather, con</w:t>
      </w:r>
      <w:r w:rsidR="00240AF2">
        <w:rPr>
          <w:lang w:val="en-US"/>
        </w:rPr>
        <w:t xml:space="preserve">vergence towards an equilibrium </w:t>
      </w:r>
      <w:r w:rsidRPr="00037637">
        <w:rPr>
          <w:lang w:val="en-US"/>
        </w:rPr>
        <w:t>compensating differential over t</w:t>
      </w:r>
      <w:r w:rsidR="00240AF2">
        <w:rPr>
          <w:lang w:val="en-US"/>
        </w:rPr>
        <w:t>he longer term can be expected.</w:t>
      </w:r>
      <w:r w:rsidRPr="00037637">
        <w:rPr>
          <w:lang w:val="en-US"/>
        </w:rPr>
        <w:t xml:space="preserve"> In any case, I think the theoretical arguments in support of using private sector differentials are already sufficiently compelling.</w:t>
      </w:r>
    </w:p>
    <w:p w:rsidR="00407CBE" w:rsidRDefault="00407CBE" w:rsidP="00407CBE">
      <w:pPr>
        <w:pStyle w:val="CGCNumberedPara"/>
      </w:pPr>
      <w:r>
        <w:t xml:space="preserve">Western Australia has also argued that even if </w:t>
      </w:r>
      <w:r w:rsidR="00F81008">
        <w:t xml:space="preserve">States paid </w:t>
      </w:r>
      <w:r w:rsidR="005936EE">
        <w:t>uniform</w:t>
      </w:r>
      <w:r w:rsidR="00F81008">
        <w:t xml:space="preserve"> wages </w:t>
      </w:r>
      <w:r>
        <w:t xml:space="preserve">for some or all State </w:t>
      </w:r>
      <w:r w:rsidR="00F81008">
        <w:t>government employees</w:t>
      </w:r>
      <w:r>
        <w:t xml:space="preserve">, the conceptual case would still be valid. Higher cost States would effectively be offering lower real wages, and so would be </w:t>
      </w:r>
      <w:r w:rsidRPr="00AF1B54">
        <w:t xml:space="preserve">constrained to accept lower productivity workers. Lower cost States would have the capacity to attract higher productivity employees. As such, Western Australia argues that the Commission should perform an assessment regardless of the relationship in </w:t>
      </w:r>
      <w:r w:rsidR="006D2631">
        <w:t>future surveys</w:t>
      </w:r>
      <w:r w:rsidRPr="00AF1B54">
        <w:t>.</w:t>
      </w:r>
    </w:p>
    <w:p w:rsidR="00407CBE" w:rsidRDefault="00407CBE" w:rsidP="00407CBE">
      <w:pPr>
        <w:pStyle w:val="CGCNumberedPara"/>
      </w:pPr>
      <w:r>
        <w:t>We consider that some care needs to be exercised in interpreting the results of this analysis, especially as the observed public sector differentials are likely to be influenced by differences in State policy. A low correlation may reflect either that relative community wage levels have little impact on public sector wages, or that States have divergent policies at that point in time. It may also simply reflect sampling errors in the data.</w:t>
      </w:r>
    </w:p>
    <w:p w:rsidR="00407CBE" w:rsidRDefault="00407CBE" w:rsidP="00407CBE">
      <w:pPr>
        <w:pStyle w:val="CGCNumberedPara"/>
      </w:pPr>
      <w:r>
        <w:t xml:space="preserve">While we note the Queensland analysis, we do not consider that this is conclusive evidence that the conceptual case no longer holds, given the possible influences of </w:t>
      </w:r>
      <w:r w:rsidR="005936EE">
        <w:t>S</w:t>
      </w:r>
      <w:r>
        <w:t>tate policy on the public sector data.</w:t>
      </w:r>
    </w:p>
    <w:p w:rsidR="00407CBE" w:rsidRDefault="00407CBE" w:rsidP="00854FED">
      <w:pPr>
        <w:pStyle w:val="CGCNumberedPara"/>
      </w:pPr>
      <w:r w:rsidRPr="00AD6C12">
        <w:t>Staff</w:t>
      </w:r>
      <w:r>
        <w:t xml:space="preserve"> consider the correlation between the two </w:t>
      </w:r>
      <w:r w:rsidR="005924E4">
        <w:t xml:space="preserve">variables </w:t>
      </w:r>
      <w:r>
        <w:t>can only be used to shed light on the conceptual case regarding the functioning of these labour markets, not prove the validity of the case. We propose to perform similar analysis using new data and then consider it and any other information on labour markets that may inform the Commission on this issue</w:t>
      </w:r>
      <w:r w:rsidR="00854FED">
        <w:t>.</w:t>
      </w:r>
    </w:p>
    <w:p w:rsidR="00C36DF7" w:rsidRPr="00AF1B54" w:rsidRDefault="007A4A60" w:rsidP="00C36DF7">
      <w:pPr>
        <w:pStyle w:val="CGCNumberedPara"/>
      </w:pPr>
      <w:r w:rsidRPr="00AF1B54">
        <w:t>S</w:t>
      </w:r>
      <w:r w:rsidR="0026174E" w:rsidRPr="00AF1B54">
        <w:t>ome States have presented arguments that oppose the conceptual basis for the assessment, which are summarised below.</w:t>
      </w:r>
    </w:p>
    <w:p w:rsidR="007E3D05" w:rsidRPr="00AF1B54" w:rsidRDefault="00153344" w:rsidP="00670ACD">
      <w:pPr>
        <w:pStyle w:val="Heading4"/>
      </w:pPr>
      <w:bookmarkStart w:id="36" w:name="_Toc420942579"/>
      <w:bookmarkStart w:id="37" w:name="_Toc421616759"/>
      <w:bookmarkStart w:id="38" w:name="_Toc422130903"/>
      <w:bookmarkStart w:id="39" w:name="_Toc423962565"/>
      <w:r w:rsidRPr="00AF1B54">
        <w:t>National Market</w:t>
      </w:r>
      <w:bookmarkEnd w:id="36"/>
      <w:bookmarkEnd w:id="37"/>
      <w:bookmarkEnd w:id="38"/>
      <w:bookmarkEnd w:id="39"/>
      <w:r w:rsidR="005F1A05" w:rsidRPr="00AF1B54">
        <w:t xml:space="preserve"> </w:t>
      </w:r>
    </w:p>
    <w:p w:rsidR="00153344" w:rsidRPr="00AF1B54" w:rsidRDefault="00635F8D" w:rsidP="007A0022">
      <w:pPr>
        <w:pStyle w:val="CGCNumberedPara"/>
      </w:pPr>
      <w:r w:rsidRPr="00AF1B54">
        <w:t xml:space="preserve">Queensland, </w:t>
      </w:r>
      <w:r w:rsidR="007E3D05" w:rsidRPr="00AF1B54">
        <w:t xml:space="preserve">South Australia and Tasmania </w:t>
      </w:r>
      <w:r w:rsidR="00175231" w:rsidRPr="00AF1B54">
        <w:t>have argued</w:t>
      </w:r>
      <w:r w:rsidR="00543D07" w:rsidRPr="00AF1B54">
        <w:t xml:space="preserve"> that State Government wages </w:t>
      </w:r>
      <w:r w:rsidR="009C6FA5" w:rsidRPr="00AF1B54">
        <w:t xml:space="preserve">are not impacted by regional influences, and are instead driven </w:t>
      </w:r>
      <w:r w:rsidR="007E3D05" w:rsidRPr="00AF1B54">
        <w:t xml:space="preserve">primarily </w:t>
      </w:r>
      <w:r w:rsidR="009C6FA5" w:rsidRPr="00AF1B54">
        <w:t xml:space="preserve">by national market pressures. </w:t>
      </w:r>
      <w:r w:rsidR="00153344" w:rsidRPr="00AF1B54">
        <w:t>These States</w:t>
      </w:r>
      <w:r w:rsidR="000724EC" w:rsidRPr="00AF1B54">
        <w:t xml:space="preserve"> also argue that State public sector wages </w:t>
      </w:r>
      <w:r w:rsidR="007E3D05" w:rsidRPr="00AF1B54">
        <w:t>will</w:t>
      </w:r>
      <w:r w:rsidR="000724EC" w:rsidRPr="00AF1B54">
        <w:t xml:space="preserve"> </w:t>
      </w:r>
      <w:r w:rsidR="007E3D05" w:rsidRPr="00AF1B54">
        <w:t xml:space="preserve">therefore </w:t>
      </w:r>
      <w:r w:rsidR="000724EC" w:rsidRPr="00AF1B54">
        <w:t>converg</w:t>
      </w:r>
      <w:r w:rsidR="007E3D05" w:rsidRPr="00AF1B54">
        <w:t>e</w:t>
      </w:r>
      <w:r w:rsidR="000724EC" w:rsidRPr="00AF1B54">
        <w:t xml:space="preserve"> under these common influences.</w:t>
      </w:r>
      <w:r w:rsidR="00153344" w:rsidRPr="00AF1B54">
        <w:t xml:space="preserve"> </w:t>
      </w:r>
      <w:r w:rsidR="00337589" w:rsidRPr="00AF1B54">
        <w:t>T</w:t>
      </w:r>
      <w:r w:rsidR="00153344" w:rsidRPr="00AF1B54">
        <w:t xml:space="preserve">his view implies that </w:t>
      </w:r>
      <w:r w:rsidR="00337589" w:rsidRPr="00AF1B54">
        <w:t xml:space="preserve">any observed differences </w:t>
      </w:r>
      <w:r w:rsidR="00680719" w:rsidRPr="00AF1B54">
        <w:t>reflect either</w:t>
      </w:r>
      <w:r w:rsidR="00153344" w:rsidRPr="00AF1B54">
        <w:t xml:space="preserve"> a pol</w:t>
      </w:r>
      <w:r w:rsidR="00680719" w:rsidRPr="00AF1B54">
        <w:t>icy choice of the States or timing differences in wage setting</w:t>
      </w:r>
      <w:r w:rsidR="00153344" w:rsidRPr="00AF1B54">
        <w:t>, and thus no assessment of disabilities is required.</w:t>
      </w:r>
    </w:p>
    <w:p w:rsidR="006303F9" w:rsidRDefault="00153344" w:rsidP="006303F9">
      <w:pPr>
        <w:pStyle w:val="CGCNumberedPara"/>
      </w:pPr>
      <w:r w:rsidRPr="00AF1B54">
        <w:t>There is no evidence of the convergence in public</w:t>
      </w:r>
      <w:r>
        <w:t xml:space="preserve"> sector wages presupposed by this theory. </w:t>
      </w:r>
      <w:r w:rsidR="00E00488">
        <w:t xml:space="preserve">Figure </w:t>
      </w:r>
      <w:r w:rsidR="00E00488">
        <w:rPr>
          <w:noProof/>
        </w:rPr>
        <w:t>2</w:t>
      </w:r>
      <w:r>
        <w:t xml:space="preserve"> shows that public sector wages have been persistently unequal for the two decades shown. </w:t>
      </w:r>
      <w:r w:rsidR="006303F9">
        <w:t>The differential observed in th</w:t>
      </w:r>
      <w:r w:rsidR="009C25F7">
        <w:t>ese</w:t>
      </w:r>
      <w:r w:rsidR="006303F9">
        <w:t xml:space="preserve"> data has regularly been around 20% for the period shown</w:t>
      </w:r>
      <w:r w:rsidR="002C2FC3">
        <w:t>, around 10% excluding the ACT</w:t>
      </w:r>
      <w:r w:rsidR="006303F9">
        <w:t>.</w:t>
      </w:r>
    </w:p>
    <w:p w:rsidR="00B84168" w:rsidRDefault="00B84168" w:rsidP="00B84168">
      <w:pPr>
        <w:pStyle w:val="Caption"/>
        <w:ind w:left="0" w:firstLine="0"/>
      </w:pPr>
      <w:bookmarkStart w:id="40" w:name="_Ref418241554"/>
      <w:r>
        <w:t xml:space="preserve">Figure </w:t>
      </w:r>
      <w:fldSimple w:instr=" SEQ Figure \* ARABIC ">
        <w:r w:rsidR="00495218">
          <w:rPr>
            <w:noProof/>
          </w:rPr>
          <w:t>2</w:t>
        </w:r>
      </w:fldSimple>
      <w:bookmarkEnd w:id="40"/>
      <w:r>
        <w:t xml:space="preserve"> </w:t>
      </w:r>
      <w:r>
        <w:tab/>
        <w:t>Relative public sector average weekly earnings by State</w:t>
      </w:r>
    </w:p>
    <w:p w:rsidR="00B84168" w:rsidRPr="001B5492" w:rsidRDefault="00B84168" w:rsidP="00B84168">
      <w:pPr>
        <w:pStyle w:val="CGCNumberedPara"/>
        <w:numPr>
          <w:ilvl w:val="0"/>
          <w:numId w:val="0"/>
        </w:numPr>
      </w:pPr>
      <w:r w:rsidRPr="005B15B1">
        <w:rPr>
          <w:noProof/>
          <w:lang w:eastAsia="en-AU"/>
        </w:rPr>
        <w:drawing>
          <wp:inline distT="0" distB="0" distL="0" distR="0" wp14:anchorId="47A70CC1" wp14:editId="6EA12B2A">
            <wp:extent cx="5683885" cy="3668862"/>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83885" cy="3668862"/>
                    </a:xfrm>
                    <a:prstGeom prst="rect">
                      <a:avLst/>
                    </a:prstGeom>
                    <a:noFill/>
                    <a:ln>
                      <a:noFill/>
                    </a:ln>
                  </pic:spPr>
                </pic:pic>
              </a:graphicData>
            </a:graphic>
          </wp:inline>
        </w:drawing>
      </w:r>
    </w:p>
    <w:p w:rsidR="00B84168" w:rsidRDefault="00B84168" w:rsidP="00B84168">
      <w:pPr>
        <w:pStyle w:val="CGCTableFootnote"/>
        <w:ind w:left="0" w:firstLine="0"/>
      </w:pPr>
      <w:r>
        <w:t xml:space="preserve">Note: </w:t>
      </w:r>
      <w:r>
        <w:tab/>
        <w:t>The ACT reflects the concentration of senior Commonwealth public servants in Canberra.</w:t>
      </w:r>
    </w:p>
    <w:p w:rsidR="00B84168" w:rsidRDefault="00B84168" w:rsidP="00B84168">
      <w:pPr>
        <w:pStyle w:val="CGCTableFootnote"/>
        <w:ind w:left="0" w:firstLine="0"/>
      </w:pPr>
      <w:r>
        <w:t xml:space="preserve">Source: </w:t>
      </w:r>
      <w:r>
        <w:tab/>
        <w:t xml:space="preserve">ABS, 6302.0 </w:t>
      </w:r>
      <w:r>
        <w:rPr>
          <w:i/>
        </w:rPr>
        <w:t>Average Weekly Earnings Australia,</w:t>
      </w:r>
      <w:r>
        <w:t xml:space="preserve"> November 2014, Tables 14A-14H.</w:t>
      </w:r>
    </w:p>
    <w:p w:rsidR="006303F9" w:rsidRPr="00AF1B54" w:rsidRDefault="006303F9" w:rsidP="006303F9">
      <w:pPr>
        <w:pStyle w:val="CGCNumberedPara"/>
      </w:pPr>
      <w:r w:rsidRPr="00AF1B54">
        <w:t xml:space="preserve">Of course, this difference </w:t>
      </w:r>
      <w:r w:rsidR="00F81008">
        <w:t>may reflect</w:t>
      </w:r>
      <w:r w:rsidR="00F81008" w:rsidRPr="00AF1B54">
        <w:t xml:space="preserve"> </w:t>
      </w:r>
      <w:r w:rsidR="00751EFF" w:rsidRPr="00AF1B54">
        <w:t xml:space="preserve">a combination of </w:t>
      </w:r>
      <w:r w:rsidRPr="00AF1B54">
        <w:t>different characteristics of public sector employees in each State</w:t>
      </w:r>
      <w:r w:rsidR="00293A2D" w:rsidRPr="00AF1B54">
        <w:t>,</w:t>
      </w:r>
      <w:r w:rsidR="00B9712E" w:rsidRPr="00AF1B54">
        <w:t xml:space="preserve"> such as differences in experience or qualifications,</w:t>
      </w:r>
      <w:r w:rsidR="00293A2D" w:rsidRPr="00AF1B54">
        <w:t xml:space="preserve"> persistent policy differences</w:t>
      </w:r>
      <w:r w:rsidR="00751EFF" w:rsidRPr="00AF1B54">
        <w:t>, and</w:t>
      </w:r>
      <w:r w:rsidR="005936EE">
        <w:t>, in our view,</w:t>
      </w:r>
      <w:r w:rsidR="00751EFF" w:rsidRPr="00AF1B54">
        <w:t xml:space="preserve"> the underlying wage disability</w:t>
      </w:r>
      <w:r w:rsidRPr="00AF1B54">
        <w:t xml:space="preserve">. Controlling for observable characteristics, the evidence in </w:t>
      </w:r>
      <w:r w:rsidR="00E00488">
        <w:t>Figure 3</w:t>
      </w:r>
      <w:r w:rsidRPr="00AF1B54">
        <w:t xml:space="preserve"> indicates that there </w:t>
      </w:r>
      <w:r w:rsidR="006A03A5" w:rsidRPr="00AF1B54">
        <w:t xml:space="preserve">have been </w:t>
      </w:r>
      <w:r w:rsidRPr="00AF1B54">
        <w:t>persistent differences in the wages paid to</w:t>
      </w:r>
      <w:r w:rsidR="00F81008">
        <w:t xml:space="preserve"> comparable</w:t>
      </w:r>
      <w:r w:rsidRPr="00AF1B54">
        <w:t xml:space="preserve"> public sector employees</w:t>
      </w:r>
      <w:r w:rsidR="00240AF2">
        <w:t xml:space="preserve">. </w:t>
      </w:r>
      <w:r w:rsidR="006611AA" w:rsidRPr="00AF1B54">
        <w:t>This analysis gives</w:t>
      </w:r>
      <w:r w:rsidR="006A03A5" w:rsidRPr="00AF1B54">
        <w:t xml:space="preserve"> </w:t>
      </w:r>
      <w:r w:rsidRPr="00AF1B54">
        <w:t xml:space="preserve">no indication that these differences </w:t>
      </w:r>
      <w:r w:rsidR="005936EE">
        <w:t>have</w:t>
      </w:r>
      <w:r w:rsidR="005936EE" w:rsidRPr="00AF1B54">
        <w:t xml:space="preserve"> </w:t>
      </w:r>
      <w:r w:rsidR="006A03A5" w:rsidRPr="00AF1B54">
        <w:t>disappeared or even</w:t>
      </w:r>
      <w:r w:rsidR="0087130C" w:rsidRPr="00AF1B54">
        <w:t xml:space="preserve"> been</w:t>
      </w:r>
      <w:r w:rsidR="006A03A5" w:rsidRPr="00AF1B54">
        <w:t xml:space="preserve"> </w:t>
      </w:r>
      <w:r w:rsidR="006611AA" w:rsidRPr="00AF1B54">
        <w:t>moderated</w:t>
      </w:r>
      <w:r w:rsidR="006A03A5" w:rsidRPr="00AF1B54">
        <w:t xml:space="preserve"> by 2009.</w:t>
      </w:r>
      <w:r w:rsidR="007927D8" w:rsidRPr="00AF1B54">
        <w:t xml:space="preserve"> We consider that regardless of whether these differences are driven by underlying pressures, or policy choice, they undermine the argument for </w:t>
      </w:r>
      <w:r w:rsidR="005B085E">
        <w:t xml:space="preserve">no regional </w:t>
      </w:r>
      <w:r w:rsidR="007D3115">
        <w:t xml:space="preserve">market </w:t>
      </w:r>
      <w:r w:rsidR="005B085E">
        <w:t xml:space="preserve">influences </w:t>
      </w:r>
      <w:r w:rsidR="007927D8" w:rsidRPr="00AF1B54">
        <w:t>in the public sector.</w:t>
      </w:r>
    </w:p>
    <w:p w:rsidR="00B84168" w:rsidRDefault="00B84168" w:rsidP="00360904">
      <w:pPr>
        <w:pStyle w:val="Caption"/>
        <w:ind w:left="0" w:firstLine="0"/>
      </w:pPr>
      <w:bookmarkStart w:id="41" w:name="_Ref419107833"/>
      <w:r>
        <w:t xml:space="preserve">Figure </w:t>
      </w:r>
      <w:fldSimple w:instr=" SEQ Figure \* ARABIC ">
        <w:r w:rsidR="00495218">
          <w:rPr>
            <w:noProof/>
          </w:rPr>
          <w:t>3</w:t>
        </w:r>
      </w:fldSimple>
      <w:bookmarkEnd w:id="41"/>
      <w:r>
        <w:t xml:space="preserve"> </w:t>
      </w:r>
      <w:r>
        <w:tab/>
        <w:t>Relative public sector wages for comparable employees, by State</w:t>
      </w:r>
    </w:p>
    <w:p w:rsidR="00B84168" w:rsidRDefault="00360904" w:rsidP="00360904">
      <w:pPr>
        <w:pStyle w:val="CGCNumberedPara"/>
        <w:keepNext/>
        <w:numPr>
          <w:ilvl w:val="0"/>
          <w:numId w:val="0"/>
        </w:numPr>
      </w:pPr>
      <w:r w:rsidRPr="00360904">
        <w:rPr>
          <w:noProof/>
          <w:lang w:eastAsia="en-AU"/>
        </w:rPr>
        <w:drawing>
          <wp:inline distT="0" distB="0" distL="0" distR="0" wp14:anchorId="3801EF68" wp14:editId="3D4A3A14">
            <wp:extent cx="5657850" cy="3562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57850" cy="3562350"/>
                    </a:xfrm>
                    <a:prstGeom prst="rect">
                      <a:avLst/>
                    </a:prstGeom>
                    <a:noFill/>
                    <a:ln>
                      <a:noFill/>
                    </a:ln>
                  </pic:spPr>
                </pic:pic>
              </a:graphicData>
            </a:graphic>
          </wp:inline>
        </w:drawing>
      </w:r>
    </w:p>
    <w:p w:rsidR="00153344" w:rsidRDefault="00B84168" w:rsidP="00360904">
      <w:pPr>
        <w:pStyle w:val="CGCTableFootnote"/>
        <w:keepNext/>
        <w:ind w:left="0" w:firstLine="0"/>
      </w:pPr>
      <w:r>
        <w:t xml:space="preserve">Source: </w:t>
      </w:r>
      <w:r>
        <w:tab/>
        <w:t xml:space="preserve">Commission analysis of ABS </w:t>
      </w:r>
      <w:r>
        <w:rPr>
          <w:i/>
        </w:rPr>
        <w:t>Survey of Education and Training</w:t>
      </w:r>
      <w:r w:rsidR="00240AF2">
        <w:t>, 1997, 2001, 2005 and</w:t>
      </w:r>
      <w:r>
        <w:t xml:space="preserve"> 2009.</w:t>
      </w:r>
    </w:p>
    <w:p w:rsidR="003F7892" w:rsidRDefault="002F1E14" w:rsidP="003F7892">
      <w:pPr>
        <w:pStyle w:val="CGCNumberedPara"/>
      </w:pPr>
      <w:r>
        <w:t>South Australi</w:t>
      </w:r>
      <w:r w:rsidR="00B07BDB">
        <w:t>a</w:t>
      </w:r>
      <w:r>
        <w:t xml:space="preserve"> argues that </w:t>
      </w:r>
      <w:r w:rsidR="007B7057">
        <w:t>‘</w:t>
      </w:r>
      <w:r w:rsidR="00654603">
        <w:t>m</w:t>
      </w:r>
      <w:r>
        <w:t>aterial wage differentials do not exist in public sector occupations where States are the dominant employer and where local private sector employment opportunities are limited (teachers, nurses, police)</w:t>
      </w:r>
      <w:r w:rsidR="00A532D2">
        <w:t>’</w:t>
      </w:r>
      <w:r>
        <w:rPr>
          <w:rStyle w:val="FootnoteReference"/>
        </w:rPr>
        <w:footnoteReference w:id="1"/>
      </w:r>
      <w:r>
        <w:t>.</w:t>
      </w:r>
      <w:r w:rsidR="00654603">
        <w:t xml:space="preserve"> </w:t>
      </w:r>
      <w:r w:rsidR="00E00488">
        <w:t xml:space="preserve">Table </w:t>
      </w:r>
      <w:r w:rsidR="00E00488">
        <w:rPr>
          <w:noProof/>
        </w:rPr>
        <w:t>1</w:t>
      </w:r>
      <w:r w:rsidR="00416495">
        <w:t xml:space="preserve">, </w:t>
      </w:r>
      <w:r w:rsidR="00E00488">
        <w:t xml:space="preserve">Table </w:t>
      </w:r>
      <w:r w:rsidR="00E00488">
        <w:rPr>
          <w:noProof/>
        </w:rPr>
        <w:t>2</w:t>
      </w:r>
      <w:r w:rsidR="00416495">
        <w:t xml:space="preserve"> and </w:t>
      </w:r>
      <w:r w:rsidR="00E00488">
        <w:t xml:space="preserve">Table </w:t>
      </w:r>
      <w:r w:rsidR="00E00488">
        <w:rPr>
          <w:noProof/>
        </w:rPr>
        <w:t>3</w:t>
      </w:r>
      <w:r w:rsidR="004D42C6">
        <w:t xml:space="preserve"> list</w:t>
      </w:r>
      <w:r w:rsidR="00654603">
        <w:t xml:space="preserve"> the annual salaries of comparable nurses</w:t>
      </w:r>
      <w:r w:rsidR="00A21138">
        <w:t>, police officers and teachers</w:t>
      </w:r>
      <w:r w:rsidR="00654603">
        <w:t xml:space="preserve"> </w:t>
      </w:r>
      <w:r w:rsidR="00A21138">
        <w:t>in each State</w:t>
      </w:r>
      <w:r w:rsidR="00654603">
        <w:t xml:space="preserve">. It is clear that there are </w:t>
      </w:r>
      <w:r w:rsidR="00D85176">
        <w:t xml:space="preserve">significant </w:t>
      </w:r>
      <w:r w:rsidR="00654603">
        <w:t>differences in the wages of these employees.</w:t>
      </w:r>
    </w:p>
    <w:p w:rsidR="00690645" w:rsidRDefault="00690645" w:rsidP="0026174E">
      <w:pPr>
        <w:pStyle w:val="Caption"/>
      </w:pPr>
      <w:bookmarkStart w:id="42" w:name="_Ref420059032"/>
      <w:bookmarkStart w:id="43" w:name="_Ref422230820"/>
      <w:r>
        <w:t xml:space="preserve">Table </w:t>
      </w:r>
      <w:fldSimple w:instr=" SEQ Table \* ARABIC ">
        <w:r w:rsidR="00495218">
          <w:rPr>
            <w:noProof/>
          </w:rPr>
          <w:t>1</w:t>
        </w:r>
      </w:fldSimple>
      <w:bookmarkEnd w:id="42"/>
      <w:r>
        <w:t xml:space="preserve"> </w:t>
      </w:r>
      <w:r>
        <w:tab/>
        <w:t xml:space="preserve">Australian </w:t>
      </w:r>
      <w:r w:rsidR="007B7057">
        <w:t>n</w:t>
      </w:r>
      <w:r>
        <w:t xml:space="preserve">urse </w:t>
      </w:r>
      <w:r w:rsidR="007B7057">
        <w:t>s</w:t>
      </w:r>
      <w:r w:rsidR="00241DD2">
        <w:t xml:space="preserve">alary </w:t>
      </w:r>
      <w:r w:rsidR="007B7057">
        <w:t>c</w:t>
      </w:r>
      <w:r w:rsidR="00241DD2">
        <w:t>omparison</w:t>
      </w:r>
      <w:r>
        <w:t xml:space="preserve"> (public system) annual base salaries</w:t>
      </w:r>
      <w:bookmarkEnd w:id="43"/>
    </w:p>
    <w:tbl>
      <w:tblPr>
        <w:tblW w:w="9026" w:type="dxa"/>
        <w:tblLayout w:type="fixed"/>
        <w:tblCellMar>
          <w:left w:w="0" w:type="dxa"/>
          <w:right w:w="0" w:type="dxa"/>
        </w:tblCellMar>
        <w:tblLook w:val="04A0" w:firstRow="1" w:lastRow="0" w:firstColumn="1" w:lastColumn="0" w:noHBand="0" w:noVBand="1"/>
      </w:tblPr>
      <w:tblGrid>
        <w:gridCol w:w="2011"/>
        <w:gridCol w:w="885"/>
        <w:gridCol w:w="826"/>
        <w:gridCol w:w="884"/>
        <w:gridCol w:w="884"/>
        <w:gridCol w:w="884"/>
        <w:gridCol w:w="884"/>
        <w:gridCol w:w="884"/>
        <w:gridCol w:w="884"/>
      </w:tblGrid>
      <w:tr w:rsidR="00690645" w:rsidRPr="00690645" w:rsidTr="007B7057">
        <w:trPr>
          <w:trHeight w:val="379"/>
        </w:trPr>
        <w:tc>
          <w:tcPr>
            <w:tcW w:w="2011" w:type="dxa"/>
            <w:tcBorders>
              <w:top w:val="single" w:sz="4" w:space="0" w:color="auto"/>
              <w:left w:val="nil"/>
              <w:bottom w:val="single" w:sz="4" w:space="0" w:color="auto"/>
              <w:right w:val="nil"/>
            </w:tcBorders>
            <w:shd w:val="clear" w:color="auto" w:fill="auto"/>
            <w:noWrap/>
            <w:vAlign w:val="center"/>
            <w:hideMark/>
          </w:tcPr>
          <w:p w:rsidR="00690645" w:rsidRPr="00690645" w:rsidRDefault="00690645" w:rsidP="007B7057">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bookmarkStart w:id="44" w:name="RANGE!A2:I8"/>
            <w:r w:rsidRPr="00690645">
              <w:rPr>
                <w:rFonts w:ascii="Calibri" w:eastAsia="Times New Roman" w:hAnsi="Calibri" w:cs="Times New Roman"/>
                <w:color w:val="000000"/>
                <w:sz w:val="20"/>
                <w:szCs w:val="20"/>
                <w:lang w:eastAsia="en-AU"/>
              </w:rPr>
              <w:t> </w:t>
            </w:r>
            <w:bookmarkEnd w:id="44"/>
          </w:p>
        </w:tc>
        <w:tc>
          <w:tcPr>
            <w:tcW w:w="885" w:type="dxa"/>
            <w:tcBorders>
              <w:top w:val="single" w:sz="4" w:space="0" w:color="auto"/>
              <w:left w:val="nil"/>
              <w:bottom w:val="single" w:sz="4" w:space="0" w:color="auto"/>
              <w:right w:val="nil"/>
            </w:tcBorders>
            <w:shd w:val="clear" w:color="auto" w:fill="auto"/>
            <w:noWrap/>
            <w:vAlign w:val="center"/>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NSW</w:t>
            </w:r>
          </w:p>
        </w:tc>
        <w:tc>
          <w:tcPr>
            <w:tcW w:w="826" w:type="dxa"/>
            <w:tcBorders>
              <w:top w:val="single" w:sz="4" w:space="0" w:color="auto"/>
              <w:left w:val="nil"/>
              <w:bottom w:val="single" w:sz="4" w:space="0" w:color="auto"/>
              <w:right w:val="nil"/>
            </w:tcBorders>
            <w:shd w:val="clear" w:color="auto" w:fill="auto"/>
            <w:noWrap/>
            <w:vAlign w:val="center"/>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Vic</w:t>
            </w:r>
          </w:p>
        </w:tc>
        <w:tc>
          <w:tcPr>
            <w:tcW w:w="884" w:type="dxa"/>
            <w:tcBorders>
              <w:top w:val="single" w:sz="4" w:space="0" w:color="auto"/>
              <w:left w:val="nil"/>
              <w:bottom w:val="single" w:sz="4" w:space="0" w:color="auto"/>
              <w:right w:val="nil"/>
            </w:tcBorders>
            <w:shd w:val="clear" w:color="auto" w:fill="auto"/>
            <w:noWrap/>
            <w:vAlign w:val="center"/>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Qld</w:t>
            </w:r>
          </w:p>
        </w:tc>
        <w:tc>
          <w:tcPr>
            <w:tcW w:w="884" w:type="dxa"/>
            <w:tcBorders>
              <w:top w:val="single" w:sz="4" w:space="0" w:color="auto"/>
              <w:left w:val="nil"/>
              <w:bottom w:val="single" w:sz="4" w:space="0" w:color="auto"/>
              <w:right w:val="nil"/>
            </w:tcBorders>
            <w:shd w:val="clear" w:color="auto" w:fill="auto"/>
            <w:noWrap/>
            <w:vAlign w:val="center"/>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WA</w:t>
            </w:r>
          </w:p>
        </w:tc>
        <w:tc>
          <w:tcPr>
            <w:tcW w:w="884" w:type="dxa"/>
            <w:tcBorders>
              <w:top w:val="single" w:sz="4" w:space="0" w:color="auto"/>
              <w:left w:val="nil"/>
              <w:bottom w:val="single" w:sz="4" w:space="0" w:color="auto"/>
              <w:right w:val="nil"/>
            </w:tcBorders>
            <w:shd w:val="clear" w:color="auto" w:fill="auto"/>
            <w:noWrap/>
            <w:vAlign w:val="center"/>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SA</w:t>
            </w:r>
          </w:p>
        </w:tc>
        <w:tc>
          <w:tcPr>
            <w:tcW w:w="884" w:type="dxa"/>
            <w:tcBorders>
              <w:top w:val="single" w:sz="4" w:space="0" w:color="auto"/>
              <w:left w:val="nil"/>
              <w:bottom w:val="single" w:sz="4" w:space="0" w:color="auto"/>
              <w:right w:val="nil"/>
            </w:tcBorders>
            <w:shd w:val="clear" w:color="auto" w:fill="auto"/>
            <w:noWrap/>
            <w:vAlign w:val="center"/>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Tas</w:t>
            </w:r>
          </w:p>
        </w:tc>
        <w:tc>
          <w:tcPr>
            <w:tcW w:w="884" w:type="dxa"/>
            <w:tcBorders>
              <w:top w:val="single" w:sz="4" w:space="0" w:color="auto"/>
              <w:left w:val="nil"/>
              <w:bottom w:val="single" w:sz="4" w:space="0" w:color="auto"/>
              <w:right w:val="nil"/>
            </w:tcBorders>
            <w:shd w:val="clear" w:color="auto" w:fill="auto"/>
            <w:noWrap/>
            <w:vAlign w:val="center"/>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ACT</w:t>
            </w:r>
          </w:p>
        </w:tc>
        <w:tc>
          <w:tcPr>
            <w:tcW w:w="884" w:type="dxa"/>
            <w:tcBorders>
              <w:top w:val="single" w:sz="4" w:space="0" w:color="auto"/>
              <w:left w:val="nil"/>
              <w:bottom w:val="single" w:sz="4" w:space="0" w:color="auto"/>
              <w:right w:val="nil"/>
            </w:tcBorders>
            <w:shd w:val="clear" w:color="auto" w:fill="auto"/>
            <w:noWrap/>
            <w:vAlign w:val="center"/>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NT</w:t>
            </w:r>
          </w:p>
        </w:tc>
      </w:tr>
      <w:tr w:rsidR="00690645" w:rsidRPr="00690645" w:rsidTr="007B7057">
        <w:trPr>
          <w:trHeight w:val="259"/>
        </w:trPr>
        <w:tc>
          <w:tcPr>
            <w:tcW w:w="2011" w:type="dxa"/>
            <w:tcBorders>
              <w:top w:val="nil"/>
              <w:left w:val="nil"/>
              <w:bottom w:val="nil"/>
              <w:right w:val="nil"/>
            </w:tcBorders>
            <w:shd w:val="clear" w:color="auto" w:fill="auto"/>
            <w:noWrap/>
            <w:vAlign w:val="bottom"/>
            <w:hideMark/>
          </w:tcPr>
          <w:p w:rsidR="00690645" w:rsidRPr="00690645" w:rsidRDefault="00690645" w:rsidP="007B7057">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885" w:type="dxa"/>
            <w:tcBorders>
              <w:top w:val="nil"/>
              <w:left w:val="nil"/>
              <w:bottom w:val="nil"/>
              <w:right w:val="nil"/>
            </w:tcBorders>
            <w:shd w:val="clear" w:color="auto" w:fill="auto"/>
            <w:noWrap/>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w:t>
            </w:r>
          </w:p>
        </w:tc>
        <w:tc>
          <w:tcPr>
            <w:tcW w:w="826" w:type="dxa"/>
            <w:tcBorders>
              <w:top w:val="nil"/>
              <w:left w:val="nil"/>
              <w:bottom w:val="nil"/>
              <w:right w:val="nil"/>
            </w:tcBorders>
            <w:shd w:val="clear" w:color="auto" w:fill="auto"/>
            <w:noWrap/>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w:t>
            </w:r>
          </w:p>
        </w:tc>
        <w:tc>
          <w:tcPr>
            <w:tcW w:w="884" w:type="dxa"/>
            <w:tcBorders>
              <w:top w:val="nil"/>
              <w:left w:val="nil"/>
              <w:bottom w:val="nil"/>
              <w:right w:val="nil"/>
            </w:tcBorders>
            <w:shd w:val="clear" w:color="auto" w:fill="auto"/>
            <w:noWrap/>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w:t>
            </w:r>
          </w:p>
        </w:tc>
        <w:tc>
          <w:tcPr>
            <w:tcW w:w="884" w:type="dxa"/>
            <w:tcBorders>
              <w:top w:val="nil"/>
              <w:left w:val="nil"/>
              <w:bottom w:val="nil"/>
              <w:right w:val="nil"/>
            </w:tcBorders>
            <w:shd w:val="clear" w:color="auto" w:fill="auto"/>
            <w:noWrap/>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w:t>
            </w:r>
          </w:p>
        </w:tc>
        <w:tc>
          <w:tcPr>
            <w:tcW w:w="884" w:type="dxa"/>
            <w:tcBorders>
              <w:top w:val="nil"/>
              <w:left w:val="nil"/>
              <w:bottom w:val="nil"/>
              <w:right w:val="nil"/>
            </w:tcBorders>
            <w:shd w:val="clear" w:color="auto" w:fill="auto"/>
            <w:noWrap/>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w:t>
            </w:r>
          </w:p>
        </w:tc>
        <w:tc>
          <w:tcPr>
            <w:tcW w:w="884" w:type="dxa"/>
            <w:tcBorders>
              <w:top w:val="nil"/>
              <w:left w:val="nil"/>
              <w:bottom w:val="nil"/>
              <w:right w:val="nil"/>
            </w:tcBorders>
            <w:shd w:val="clear" w:color="auto" w:fill="auto"/>
            <w:noWrap/>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w:t>
            </w:r>
          </w:p>
        </w:tc>
        <w:tc>
          <w:tcPr>
            <w:tcW w:w="884" w:type="dxa"/>
            <w:tcBorders>
              <w:top w:val="nil"/>
              <w:left w:val="nil"/>
              <w:bottom w:val="nil"/>
              <w:right w:val="nil"/>
            </w:tcBorders>
            <w:shd w:val="clear" w:color="auto" w:fill="auto"/>
            <w:noWrap/>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w:t>
            </w:r>
          </w:p>
        </w:tc>
        <w:tc>
          <w:tcPr>
            <w:tcW w:w="884" w:type="dxa"/>
            <w:tcBorders>
              <w:top w:val="nil"/>
              <w:left w:val="nil"/>
              <w:bottom w:val="nil"/>
              <w:right w:val="nil"/>
            </w:tcBorders>
            <w:shd w:val="clear" w:color="auto" w:fill="auto"/>
            <w:noWrap/>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w:t>
            </w:r>
          </w:p>
        </w:tc>
      </w:tr>
      <w:tr w:rsidR="00690645" w:rsidRPr="00690645" w:rsidTr="007B7057">
        <w:trPr>
          <w:trHeight w:val="315"/>
        </w:trPr>
        <w:tc>
          <w:tcPr>
            <w:tcW w:w="2011" w:type="dxa"/>
            <w:tcBorders>
              <w:top w:val="nil"/>
              <w:left w:val="nil"/>
              <w:bottom w:val="nil"/>
              <w:right w:val="nil"/>
            </w:tcBorders>
            <w:shd w:val="clear" w:color="auto" w:fill="auto"/>
            <w:noWrap/>
            <w:vAlign w:val="bottom"/>
            <w:hideMark/>
          </w:tcPr>
          <w:p w:rsidR="00690645" w:rsidRPr="00690645" w:rsidRDefault="00690645" w:rsidP="007B7057">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Enrolled Nurse</w:t>
            </w:r>
          </w:p>
        </w:tc>
        <w:tc>
          <w:tcPr>
            <w:tcW w:w="885" w:type="dxa"/>
            <w:tcBorders>
              <w:top w:val="nil"/>
              <w:left w:val="nil"/>
              <w:bottom w:val="nil"/>
              <w:right w:val="nil"/>
            </w:tcBorders>
            <w:shd w:val="clear" w:color="auto" w:fill="auto"/>
            <w:noWrap/>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49 852</w:t>
            </w:r>
          </w:p>
        </w:tc>
        <w:tc>
          <w:tcPr>
            <w:tcW w:w="826" w:type="dxa"/>
            <w:tcBorders>
              <w:top w:val="nil"/>
              <w:left w:val="nil"/>
              <w:bottom w:val="nil"/>
              <w:right w:val="nil"/>
            </w:tcBorders>
            <w:shd w:val="clear" w:color="auto" w:fill="auto"/>
            <w:noWrap/>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46 972</w:t>
            </w:r>
          </w:p>
        </w:tc>
        <w:tc>
          <w:tcPr>
            <w:tcW w:w="884" w:type="dxa"/>
            <w:tcBorders>
              <w:top w:val="nil"/>
              <w:left w:val="nil"/>
              <w:bottom w:val="nil"/>
              <w:right w:val="nil"/>
            </w:tcBorders>
            <w:shd w:val="clear" w:color="auto" w:fill="auto"/>
            <w:noWrap/>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53 293</w:t>
            </w:r>
          </w:p>
        </w:tc>
        <w:tc>
          <w:tcPr>
            <w:tcW w:w="884" w:type="dxa"/>
            <w:tcBorders>
              <w:top w:val="nil"/>
              <w:left w:val="nil"/>
              <w:bottom w:val="nil"/>
              <w:right w:val="nil"/>
            </w:tcBorders>
            <w:shd w:val="clear" w:color="auto" w:fill="auto"/>
            <w:noWrap/>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52 230</w:t>
            </w:r>
          </w:p>
        </w:tc>
        <w:tc>
          <w:tcPr>
            <w:tcW w:w="884" w:type="dxa"/>
            <w:tcBorders>
              <w:top w:val="nil"/>
              <w:left w:val="nil"/>
              <w:bottom w:val="nil"/>
              <w:right w:val="nil"/>
            </w:tcBorders>
            <w:shd w:val="clear" w:color="auto" w:fill="auto"/>
            <w:noWrap/>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49 750</w:t>
            </w:r>
          </w:p>
        </w:tc>
        <w:tc>
          <w:tcPr>
            <w:tcW w:w="884" w:type="dxa"/>
            <w:tcBorders>
              <w:top w:val="nil"/>
              <w:left w:val="nil"/>
              <w:bottom w:val="nil"/>
              <w:right w:val="nil"/>
            </w:tcBorders>
            <w:shd w:val="clear" w:color="auto" w:fill="auto"/>
            <w:noWrap/>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51 727</w:t>
            </w:r>
          </w:p>
        </w:tc>
        <w:tc>
          <w:tcPr>
            <w:tcW w:w="884" w:type="dxa"/>
            <w:tcBorders>
              <w:top w:val="nil"/>
              <w:left w:val="nil"/>
              <w:bottom w:val="nil"/>
              <w:right w:val="nil"/>
            </w:tcBorders>
            <w:shd w:val="clear" w:color="auto" w:fill="auto"/>
            <w:noWrap/>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53 501</w:t>
            </w:r>
          </w:p>
        </w:tc>
        <w:tc>
          <w:tcPr>
            <w:tcW w:w="884" w:type="dxa"/>
            <w:tcBorders>
              <w:top w:val="nil"/>
              <w:left w:val="nil"/>
              <w:bottom w:val="nil"/>
              <w:right w:val="nil"/>
            </w:tcBorders>
            <w:shd w:val="clear" w:color="auto" w:fill="auto"/>
            <w:noWrap/>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52 564</w:t>
            </w:r>
          </w:p>
        </w:tc>
      </w:tr>
      <w:tr w:rsidR="00690645" w:rsidRPr="00690645" w:rsidTr="007B7057">
        <w:trPr>
          <w:trHeight w:val="555"/>
        </w:trPr>
        <w:tc>
          <w:tcPr>
            <w:tcW w:w="2011" w:type="dxa"/>
            <w:tcBorders>
              <w:top w:val="nil"/>
              <w:left w:val="nil"/>
              <w:bottom w:val="nil"/>
              <w:right w:val="nil"/>
            </w:tcBorders>
            <w:shd w:val="clear" w:color="auto" w:fill="auto"/>
            <w:vAlign w:val="bottom"/>
            <w:hideMark/>
          </w:tcPr>
          <w:p w:rsidR="00690645" w:rsidRPr="00690645" w:rsidRDefault="00690645" w:rsidP="007B7057">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Registered Nurse/ Midwife</w:t>
            </w:r>
          </w:p>
        </w:tc>
        <w:tc>
          <w:tcPr>
            <w:tcW w:w="885" w:type="dxa"/>
            <w:tcBorders>
              <w:top w:val="nil"/>
              <w:left w:val="nil"/>
              <w:bottom w:val="nil"/>
              <w:right w:val="nil"/>
            </w:tcBorders>
            <w:shd w:val="clear" w:color="auto" w:fill="auto"/>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56 529</w:t>
            </w:r>
          </w:p>
        </w:tc>
        <w:tc>
          <w:tcPr>
            <w:tcW w:w="826" w:type="dxa"/>
            <w:tcBorders>
              <w:top w:val="nil"/>
              <w:left w:val="nil"/>
              <w:bottom w:val="nil"/>
              <w:right w:val="nil"/>
            </w:tcBorders>
            <w:shd w:val="clear" w:color="auto" w:fill="auto"/>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52 473</w:t>
            </w:r>
          </w:p>
        </w:tc>
        <w:tc>
          <w:tcPr>
            <w:tcW w:w="884" w:type="dxa"/>
            <w:tcBorders>
              <w:top w:val="nil"/>
              <w:left w:val="nil"/>
              <w:bottom w:val="nil"/>
              <w:right w:val="nil"/>
            </w:tcBorders>
            <w:shd w:val="clear" w:color="auto" w:fill="auto"/>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61 988</w:t>
            </w:r>
          </w:p>
        </w:tc>
        <w:tc>
          <w:tcPr>
            <w:tcW w:w="884" w:type="dxa"/>
            <w:tcBorders>
              <w:top w:val="nil"/>
              <w:left w:val="nil"/>
              <w:bottom w:val="nil"/>
              <w:right w:val="nil"/>
            </w:tcBorders>
            <w:shd w:val="clear" w:color="auto" w:fill="auto"/>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60 734</w:t>
            </w:r>
          </w:p>
        </w:tc>
        <w:tc>
          <w:tcPr>
            <w:tcW w:w="884" w:type="dxa"/>
            <w:tcBorders>
              <w:top w:val="nil"/>
              <w:left w:val="nil"/>
              <w:bottom w:val="nil"/>
              <w:right w:val="nil"/>
            </w:tcBorders>
            <w:shd w:val="clear" w:color="auto" w:fill="auto"/>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58 178</w:t>
            </w:r>
          </w:p>
        </w:tc>
        <w:tc>
          <w:tcPr>
            <w:tcW w:w="884" w:type="dxa"/>
            <w:tcBorders>
              <w:top w:val="nil"/>
              <w:left w:val="nil"/>
              <w:bottom w:val="nil"/>
              <w:right w:val="nil"/>
            </w:tcBorders>
            <w:shd w:val="clear" w:color="auto" w:fill="auto"/>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57 286</w:t>
            </w:r>
          </w:p>
        </w:tc>
        <w:tc>
          <w:tcPr>
            <w:tcW w:w="884" w:type="dxa"/>
            <w:tcBorders>
              <w:top w:val="nil"/>
              <w:left w:val="nil"/>
              <w:bottom w:val="nil"/>
              <w:right w:val="nil"/>
            </w:tcBorders>
            <w:shd w:val="clear" w:color="auto" w:fill="auto"/>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58 989</w:t>
            </w:r>
          </w:p>
        </w:tc>
        <w:tc>
          <w:tcPr>
            <w:tcW w:w="884" w:type="dxa"/>
            <w:tcBorders>
              <w:top w:val="nil"/>
              <w:left w:val="nil"/>
              <w:bottom w:val="nil"/>
              <w:right w:val="nil"/>
            </w:tcBorders>
            <w:shd w:val="clear" w:color="auto" w:fill="auto"/>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59 419</w:t>
            </w:r>
          </w:p>
        </w:tc>
      </w:tr>
      <w:tr w:rsidR="00690645" w:rsidRPr="00690645" w:rsidTr="007B7057">
        <w:trPr>
          <w:trHeight w:val="555"/>
        </w:trPr>
        <w:tc>
          <w:tcPr>
            <w:tcW w:w="2011" w:type="dxa"/>
            <w:tcBorders>
              <w:top w:val="nil"/>
              <w:left w:val="nil"/>
              <w:bottom w:val="nil"/>
              <w:right w:val="nil"/>
            </w:tcBorders>
            <w:shd w:val="clear" w:color="auto" w:fill="auto"/>
            <w:vAlign w:val="bottom"/>
            <w:hideMark/>
          </w:tcPr>
          <w:p w:rsidR="00690645" w:rsidRPr="00690645" w:rsidRDefault="00690645" w:rsidP="007B7057">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Clinical Nurse / Midwives</w:t>
            </w:r>
          </w:p>
        </w:tc>
        <w:tc>
          <w:tcPr>
            <w:tcW w:w="885" w:type="dxa"/>
            <w:tcBorders>
              <w:top w:val="nil"/>
              <w:left w:val="nil"/>
              <w:bottom w:val="nil"/>
              <w:right w:val="nil"/>
            </w:tcBorders>
            <w:shd w:val="clear" w:color="auto" w:fill="auto"/>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82 612</w:t>
            </w:r>
          </w:p>
        </w:tc>
        <w:tc>
          <w:tcPr>
            <w:tcW w:w="826" w:type="dxa"/>
            <w:tcBorders>
              <w:top w:val="nil"/>
              <w:left w:val="nil"/>
              <w:bottom w:val="nil"/>
              <w:right w:val="nil"/>
            </w:tcBorders>
            <w:shd w:val="clear" w:color="auto" w:fill="auto"/>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71 495</w:t>
            </w:r>
          </w:p>
        </w:tc>
        <w:tc>
          <w:tcPr>
            <w:tcW w:w="884" w:type="dxa"/>
            <w:tcBorders>
              <w:top w:val="nil"/>
              <w:left w:val="nil"/>
              <w:bottom w:val="nil"/>
              <w:right w:val="nil"/>
            </w:tcBorders>
            <w:shd w:val="clear" w:color="auto" w:fill="auto"/>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81 025</w:t>
            </w:r>
          </w:p>
        </w:tc>
        <w:tc>
          <w:tcPr>
            <w:tcW w:w="884" w:type="dxa"/>
            <w:tcBorders>
              <w:top w:val="nil"/>
              <w:left w:val="nil"/>
              <w:bottom w:val="nil"/>
              <w:right w:val="nil"/>
            </w:tcBorders>
            <w:shd w:val="clear" w:color="auto" w:fill="auto"/>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82 433</w:t>
            </w:r>
          </w:p>
        </w:tc>
        <w:tc>
          <w:tcPr>
            <w:tcW w:w="884" w:type="dxa"/>
            <w:tcBorders>
              <w:top w:val="nil"/>
              <w:left w:val="nil"/>
              <w:bottom w:val="nil"/>
              <w:right w:val="nil"/>
            </w:tcBorders>
            <w:shd w:val="clear" w:color="auto" w:fill="auto"/>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67 149</w:t>
            </w:r>
          </w:p>
        </w:tc>
        <w:tc>
          <w:tcPr>
            <w:tcW w:w="884" w:type="dxa"/>
            <w:tcBorders>
              <w:top w:val="nil"/>
              <w:left w:val="nil"/>
              <w:bottom w:val="nil"/>
              <w:right w:val="nil"/>
            </w:tcBorders>
            <w:shd w:val="clear" w:color="auto" w:fill="auto"/>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74 129</w:t>
            </w:r>
          </w:p>
        </w:tc>
        <w:tc>
          <w:tcPr>
            <w:tcW w:w="884" w:type="dxa"/>
            <w:tcBorders>
              <w:top w:val="nil"/>
              <w:left w:val="nil"/>
              <w:bottom w:val="nil"/>
              <w:right w:val="nil"/>
            </w:tcBorders>
            <w:shd w:val="clear" w:color="auto" w:fill="auto"/>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81 918</w:t>
            </w:r>
          </w:p>
        </w:tc>
        <w:tc>
          <w:tcPr>
            <w:tcW w:w="884" w:type="dxa"/>
            <w:tcBorders>
              <w:top w:val="nil"/>
              <w:left w:val="nil"/>
              <w:bottom w:val="nil"/>
              <w:right w:val="nil"/>
            </w:tcBorders>
            <w:shd w:val="clear" w:color="auto" w:fill="auto"/>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91 894</w:t>
            </w:r>
          </w:p>
        </w:tc>
      </w:tr>
      <w:tr w:rsidR="00690645" w:rsidRPr="00690645" w:rsidTr="007B7057">
        <w:trPr>
          <w:trHeight w:val="315"/>
        </w:trPr>
        <w:tc>
          <w:tcPr>
            <w:tcW w:w="2011" w:type="dxa"/>
            <w:tcBorders>
              <w:top w:val="nil"/>
              <w:left w:val="nil"/>
              <w:bottom w:val="nil"/>
              <w:right w:val="nil"/>
            </w:tcBorders>
            <w:shd w:val="clear" w:color="auto" w:fill="auto"/>
            <w:noWrap/>
            <w:vAlign w:val="bottom"/>
            <w:hideMark/>
          </w:tcPr>
          <w:p w:rsidR="00690645" w:rsidRPr="00690645" w:rsidRDefault="00690645" w:rsidP="007B7057">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Nurse Practitioner</w:t>
            </w:r>
          </w:p>
        </w:tc>
        <w:tc>
          <w:tcPr>
            <w:tcW w:w="885" w:type="dxa"/>
            <w:tcBorders>
              <w:top w:val="nil"/>
              <w:left w:val="nil"/>
              <w:bottom w:val="nil"/>
              <w:right w:val="nil"/>
            </w:tcBorders>
            <w:shd w:val="clear" w:color="auto" w:fill="auto"/>
            <w:noWrap/>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109 439</w:t>
            </w:r>
          </w:p>
        </w:tc>
        <w:tc>
          <w:tcPr>
            <w:tcW w:w="826" w:type="dxa"/>
            <w:tcBorders>
              <w:top w:val="nil"/>
              <w:left w:val="nil"/>
              <w:bottom w:val="nil"/>
              <w:right w:val="nil"/>
            </w:tcBorders>
            <w:shd w:val="clear" w:color="auto" w:fill="auto"/>
            <w:noWrap/>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96 252</w:t>
            </w:r>
          </w:p>
        </w:tc>
        <w:tc>
          <w:tcPr>
            <w:tcW w:w="884" w:type="dxa"/>
            <w:tcBorders>
              <w:top w:val="nil"/>
              <w:left w:val="nil"/>
              <w:bottom w:val="nil"/>
              <w:right w:val="nil"/>
            </w:tcBorders>
            <w:shd w:val="clear" w:color="auto" w:fill="auto"/>
            <w:noWrap/>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112 213</w:t>
            </w:r>
          </w:p>
        </w:tc>
        <w:tc>
          <w:tcPr>
            <w:tcW w:w="884" w:type="dxa"/>
            <w:tcBorders>
              <w:top w:val="nil"/>
              <w:left w:val="nil"/>
              <w:bottom w:val="nil"/>
              <w:right w:val="nil"/>
            </w:tcBorders>
            <w:shd w:val="clear" w:color="auto" w:fill="auto"/>
            <w:noWrap/>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102 171</w:t>
            </w:r>
          </w:p>
        </w:tc>
        <w:tc>
          <w:tcPr>
            <w:tcW w:w="884" w:type="dxa"/>
            <w:tcBorders>
              <w:top w:val="nil"/>
              <w:left w:val="nil"/>
              <w:bottom w:val="nil"/>
              <w:right w:val="nil"/>
            </w:tcBorders>
            <w:shd w:val="clear" w:color="auto" w:fill="auto"/>
            <w:noWrap/>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102 762</w:t>
            </w:r>
          </w:p>
        </w:tc>
        <w:tc>
          <w:tcPr>
            <w:tcW w:w="884" w:type="dxa"/>
            <w:tcBorders>
              <w:top w:val="nil"/>
              <w:left w:val="nil"/>
              <w:bottom w:val="nil"/>
              <w:right w:val="nil"/>
            </w:tcBorders>
            <w:shd w:val="clear" w:color="auto" w:fill="auto"/>
            <w:noWrap/>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101 357</w:t>
            </w:r>
          </w:p>
        </w:tc>
        <w:tc>
          <w:tcPr>
            <w:tcW w:w="884" w:type="dxa"/>
            <w:tcBorders>
              <w:top w:val="nil"/>
              <w:left w:val="nil"/>
              <w:bottom w:val="nil"/>
              <w:right w:val="nil"/>
            </w:tcBorders>
            <w:shd w:val="clear" w:color="auto" w:fill="auto"/>
            <w:noWrap/>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113 699</w:t>
            </w:r>
          </w:p>
        </w:tc>
        <w:tc>
          <w:tcPr>
            <w:tcW w:w="884" w:type="dxa"/>
            <w:tcBorders>
              <w:top w:val="nil"/>
              <w:left w:val="nil"/>
              <w:bottom w:val="nil"/>
              <w:right w:val="nil"/>
            </w:tcBorders>
            <w:shd w:val="clear" w:color="auto" w:fill="auto"/>
            <w:noWrap/>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106 466</w:t>
            </w:r>
          </w:p>
        </w:tc>
      </w:tr>
      <w:tr w:rsidR="00690645" w:rsidRPr="00690645" w:rsidTr="007B7057">
        <w:trPr>
          <w:trHeight w:val="315"/>
        </w:trPr>
        <w:tc>
          <w:tcPr>
            <w:tcW w:w="2011" w:type="dxa"/>
            <w:tcBorders>
              <w:top w:val="nil"/>
              <w:left w:val="nil"/>
              <w:bottom w:val="single" w:sz="4" w:space="0" w:color="auto"/>
              <w:right w:val="nil"/>
            </w:tcBorders>
            <w:shd w:val="clear" w:color="auto" w:fill="auto"/>
            <w:noWrap/>
            <w:vAlign w:val="bottom"/>
            <w:hideMark/>
          </w:tcPr>
          <w:p w:rsidR="00690645" w:rsidRPr="00690645" w:rsidRDefault="00690645" w:rsidP="007B7057">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Nurse Unit Manager</w:t>
            </w:r>
          </w:p>
        </w:tc>
        <w:tc>
          <w:tcPr>
            <w:tcW w:w="885" w:type="dxa"/>
            <w:tcBorders>
              <w:top w:val="nil"/>
              <w:left w:val="nil"/>
              <w:bottom w:val="single" w:sz="4" w:space="0" w:color="auto"/>
              <w:right w:val="nil"/>
            </w:tcBorders>
            <w:shd w:val="clear" w:color="auto" w:fill="auto"/>
            <w:noWrap/>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99 304</w:t>
            </w:r>
          </w:p>
        </w:tc>
        <w:tc>
          <w:tcPr>
            <w:tcW w:w="826" w:type="dxa"/>
            <w:tcBorders>
              <w:top w:val="nil"/>
              <w:left w:val="nil"/>
              <w:bottom w:val="single" w:sz="4" w:space="0" w:color="auto"/>
              <w:right w:val="nil"/>
            </w:tcBorders>
            <w:shd w:val="clear" w:color="auto" w:fill="auto"/>
            <w:noWrap/>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88 520</w:t>
            </w:r>
          </w:p>
        </w:tc>
        <w:tc>
          <w:tcPr>
            <w:tcW w:w="884" w:type="dxa"/>
            <w:tcBorders>
              <w:top w:val="nil"/>
              <w:left w:val="nil"/>
              <w:bottom w:val="single" w:sz="4" w:space="0" w:color="auto"/>
              <w:right w:val="nil"/>
            </w:tcBorders>
            <w:shd w:val="clear" w:color="auto" w:fill="auto"/>
            <w:noWrap/>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99 606</w:t>
            </w:r>
          </w:p>
        </w:tc>
        <w:tc>
          <w:tcPr>
            <w:tcW w:w="884" w:type="dxa"/>
            <w:tcBorders>
              <w:top w:val="nil"/>
              <w:left w:val="nil"/>
              <w:bottom w:val="single" w:sz="4" w:space="0" w:color="auto"/>
              <w:right w:val="nil"/>
            </w:tcBorders>
            <w:shd w:val="clear" w:color="auto" w:fill="auto"/>
            <w:noWrap/>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98 993</w:t>
            </w:r>
          </w:p>
        </w:tc>
        <w:tc>
          <w:tcPr>
            <w:tcW w:w="884" w:type="dxa"/>
            <w:tcBorders>
              <w:top w:val="nil"/>
              <w:left w:val="nil"/>
              <w:bottom w:val="single" w:sz="4" w:space="0" w:color="auto"/>
              <w:right w:val="nil"/>
            </w:tcBorders>
            <w:shd w:val="clear" w:color="auto" w:fill="auto"/>
            <w:noWrap/>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97 325</w:t>
            </w:r>
          </w:p>
        </w:tc>
        <w:tc>
          <w:tcPr>
            <w:tcW w:w="884" w:type="dxa"/>
            <w:tcBorders>
              <w:top w:val="nil"/>
              <w:left w:val="nil"/>
              <w:bottom w:val="single" w:sz="4" w:space="0" w:color="auto"/>
              <w:right w:val="nil"/>
            </w:tcBorders>
            <w:shd w:val="clear" w:color="auto" w:fill="auto"/>
            <w:noWrap/>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89 075</w:t>
            </w:r>
          </w:p>
        </w:tc>
        <w:tc>
          <w:tcPr>
            <w:tcW w:w="884" w:type="dxa"/>
            <w:tcBorders>
              <w:top w:val="nil"/>
              <w:left w:val="nil"/>
              <w:bottom w:val="single" w:sz="4" w:space="0" w:color="auto"/>
              <w:right w:val="nil"/>
            </w:tcBorders>
            <w:shd w:val="clear" w:color="auto" w:fill="auto"/>
            <w:noWrap/>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90645">
              <w:rPr>
                <w:rFonts w:ascii="Calibri" w:eastAsia="Times New Roman" w:hAnsi="Calibri" w:cs="Times New Roman"/>
                <w:color w:val="000000"/>
                <w:sz w:val="20"/>
                <w:szCs w:val="20"/>
                <w:lang w:eastAsia="en-AU"/>
              </w:rPr>
              <w:t>93 917</w:t>
            </w:r>
          </w:p>
        </w:tc>
        <w:tc>
          <w:tcPr>
            <w:tcW w:w="884" w:type="dxa"/>
            <w:tcBorders>
              <w:top w:val="nil"/>
              <w:left w:val="nil"/>
              <w:bottom w:val="single" w:sz="4" w:space="0" w:color="auto"/>
              <w:right w:val="nil"/>
            </w:tcBorders>
            <w:shd w:val="clear" w:color="auto" w:fill="auto"/>
            <w:noWrap/>
            <w:vAlign w:val="bottom"/>
            <w:hideMark/>
          </w:tcPr>
          <w:p w:rsidR="00690645" w:rsidRPr="00690645" w:rsidRDefault="00690645"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proofErr w:type="spellStart"/>
            <w:r w:rsidRPr="00690645">
              <w:rPr>
                <w:rFonts w:ascii="Calibri" w:eastAsia="Times New Roman" w:hAnsi="Calibri" w:cs="Times New Roman"/>
                <w:color w:val="000000"/>
                <w:sz w:val="20"/>
                <w:szCs w:val="20"/>
                <w:lang w:eastAsia="en-AU"/>
              </w:rPr>
              <w:t>n.a</w:t>
            </w:r>
            <w:proofErr w:type="spellEnd"/>
          </w:p>
        </w:tc>
      </w:tr>
    </w:tbl>
    <w:p w:rsidR="003F7892" w:rsidRDefault="00690645" w:rsidP="0026174E">
      <w:pPr>
        <w:pStyle w:val="CGCTableFootnote"/>
        <w:keepNext/>
      </w:pPr>
      <w:r>
        <w:t>Source:</w:t>
      </w:r>
      <w:r>
        <w:tab/>
        <w:t>healthtimes.com.au (Apr 2015), taken from State nursing enterprise agreements.</w:t>
      </w:r>
    </w:p>
    <w:p w:rsidR="00241DD2" w:rsidRDefault="00241DD2" w:rsidP="000151CF">
      <w:pPr>
        <w:pStyle w:val="Caption"/>
      </w:pPr>
      <w:bookmarkStart w:id="45" w:name="_Ref420071000"/>
      <w:r>
        <w:t xml:space="preserve">Table </w:t>
      </w:r>
      <w:fldSimple w:instr=" SEQ Table \* ARABIC ">
        <w:r w:rsidR="00495218">
          <w:rPr>
            <w:noProof/>
          </w:rPr>
          <w:t>2</w:t>
        </w:r>
      </w:fldSimple>
      <w:bookmarkEnd w:id="45"/>
      <w:r w:rsidR="0089357B">
        <w:tab/>
      </w:r>
      <w:r>
        <w:t xml:space="preserve"> Australian </w:t>
      </w:r>
      <w:r w:rsidR="007B7057">
        <w:t>p</w:t>
      </w:r>
      <w:r>
        <w:t xml:space="preserve">olice </w:t>
      </w:r>
      <w:r w:rsidR="007B7057">
        <w:t>s</w:t>
      </w:r>
      <w:r>
        <w:t xml:space="preserve">alary </w:t>
      </w:r>
      <w:r w:rsidR="007B7057">
        <w:t>c</w:t>
      </w:r>
      <w:r>
        <w:t>omparison (</w:t>
      </w:r>
      <w:r w:rsidR="007B7057">
        <w:t>e</w:t>
      </w:r>
      <w:r>
        <w:t xml:space="preserve">ntry </w:t>
      </w:r>
      <w:r w:rsidR="007B7057">
        <w:t>l</w:t>
      </w:r>
      <w:r>
        <w:t>evel)</w:t>
      </w:r>
    </w:p>
    <w:tbl>
      <w:tblPr>
        <w:tblW w:w="9026" w:type="dxa"/>
        <w:tblLayout w:type="fixed"/>
        <w:tblCellMar>
          <w:left w:w="0" w:type="dxa"/>
          <w:right w:w="0" w:type="dxa"/>
        </w:tblCellMar>
        <w:tblLook w:val="04A0" w:firstRow="1" w:lastRow="0" w:firstColumn="1" w:lastColumn="0" w:noHBand="0" w:noVBand="1"/>
      </w:tblPr>
      <w:tblGrid>
        <w:gridCol w:w="1659"/>
        <w:gridCol w:w="986"/>
        <w:gridCol w:w="985"/>
        <w:gridCol w:w="985"/>
        <w:gridCol w:w="985"/>
        <w:gridCol w:w="985"/>
        <w:gridCol w:w="985"/>
        <w:gridCol w:w="570"/>
        <w:gridCol w:w="886"/>
      </w:tblGrid>
      <w:tr w:rsidR="000151CF" w:rsidRPr="000151CF" w:rsidTr="007B7057">
        <w:trPr>
          <w:trHeight w:val="379"/>
        </w:trPr>
        <w:tc>
          <w:tcPr>
            <w:tcW w:w="1659" w:type="dxa"/>
            <w:tcBorders>
              <w:top w:val="single" w:sz="4" w:space="0" w:color="auto"/>
              <w:left w:val="nil"/>
              <w:bottom w:val="single" w:sz="4" w:space="0" w:color="auto"/>
              <w:right w:val="nil"/>
            </w:tcBorders>
            <w:shd w:val="clear" w:color="auto" w:fill="auto"/>
            <w:noWrap/>
            <w:vAlign w:val="center"/>
            <w:hideMark/>
          </w:tcPr>
          <w:p w:rsidR="000151CF" w:rsidRPr="000151CF" w:rsidRDefault="000151CF" w:rsidP="007B7057">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bookmarkStart w:id="46" w:name="RANGE!A2:H8"/>
            <w:r w:rsidRPr="000151CF">
              <w:rPr>
                <w:rFonts w:ascii="Calibri" w:eastAsia="Times New Roman" w:hAnsi="Calibri" w:cs="Times New Roman"/>
                <w:color w:val="000000"/>
                <w:sz w:val="20"/>
                <w:szCs w:val="20"/>
                <w:lang w:eastAsia="en-AU"/>
              </w:rPr>
              <w:t> </w:t>
            </w:r>
            <w:bookmarkEnd w:id="46"/>
          </w:p>
        </w:tc>
        <w:tc>
          <w:tcPr>
            <w:tcW w:w="986" w:type="dxa"/>
            <w:tcBorders>
              <w:top w:val="single" w:sz="4" w:space="0" w:color="auto"/>
              <w:left w:val="nil"/>
              <w:bottom w:val="single" w:sz="4" w:space="0" w:color="auto"/>
              <w:right w:val="nil"/>
            </w:tcBorders>
            <w:shd w:val="clear" w:color="auto" w:fill="auto"/>
            <w:noWrap/>
            <w:vAlign w:val="center"/>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NSW</w:t>
            </w:r>
          </w:p>
        </w:tc>
        <w:tc>
          <w:tcPr>
            <w:tcW w:w="985" w:type="dxa"/>
            <w:tcBorders>
              <w:top w:val="single" w:sz="4" w:space="0" w:color="auto"/>
              <w:left w:val="nil"/>
              <w:bottom w:val="single" w:sz="4" w:space="0" w:color="auto"/>
              <w:right w:val="nil"/>
            </w:tcBorders>
            <w:shd w:val="clear" w:color="auto" w:fill="auto"/>
            <w:noWrap/>
            <w:vAlign w:val="center"/>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Vic</w:t>
            </w:r>
          </w:p>
        </w:tc>
        <w:tc>
          <w:tcPr>
            <w:tcW w:w="985" w:type="dxa"/>
            <w:tcBorders>
              <w:top w:val="single" w:sz="4" w:space="0" w:color="auto"/>
              <w:left w:val="nil"/>
              <w:bottom w:val="single" w:sz="4" w:space="0" w:color="auto"/>
              <w:right w:val="nil"/>
            </w:tcBorders>
            <w:shd w:val="clear" w:color="auto" w:fill="auto"/>
            <w:noWrap/>
            <w:vAlign w:val="center"/>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Qld</w:t>
            </w:r>
          </w:p>
        </w:tc>
        <w:tc>
          <w:tcPr>
            <w:tcW w:w="985" w:type="dxa"/>
            <w:tcBorders>
              <w:top w:val="single" w:sz="4" w:space="0" w:color="auto"/>
              <w:left w:val="nil"/>
              <w:bottom w:val="single" w:sz="4" w:space="0" w:color="auto"/>
              <w:right w:val="nil"/>
            </w:tcBorders>
            <w:shd w:val="clear" w:color="auto" w:fill="auto"/>
            <w:noWrap/>
            <w:vAlign w:val="center"/>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WA</w:t>
            </w:r>
          </w:p>
        </w:tc>
        <w:tc>
          <w:tcPr>
            <w:tcW w:w="985" w:type="dxa"/>
            <w:tcBorders>
              <w:top w:val="single" w:sz="4" w:space="0" w:color="auto"/>
              <w:left w:val="nil"/>
              <w:bottom w:val="single" w:sz="4" w:space="0" w:color="auto"/>
              <w:right w:val="nil"/>
            </w:tcBorders>
            <w:shd w:val="clear" w:color="auto" w:fill="auto"/>
            <w:noWrap/>
            <w:vAlign w:val="center"/>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SA</w:t>
            </w:r>
          </w:p>
        </w:tc>
        <w:tc>
          <w:tcPr>
            <w:tcW w:w="985" w:type="dxa"/>
            <w:tcBorders>
              <w:top w:val="single" w:sz="4" w:space="0" w:color="auto"/>
              <w:left w:val="nil"/>
              <w:bottom w:val="single" w:sz="4" w:space="0" w:color="auto"/>
              <w:right w:val="nil"/>
            </w:tcBorders>
            <w:shd w:val="clear" w:color="auto" w:fill="auto"/>
            <w:noWrap/>
            <w:vAlign w:val="center"/>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Tas</w:t>
            </w:r>
          </w:p>
        </w:tc>
        <w:tc>
          <w:tcPr>
            <w:tcW w:w="570" w:type="dxa"/>
            <w:tcBorders>
              <w:top w:val="single" w:sz="4" w:space="0" w:color="auto"/>
              <w:left w:val="nil"/>
              <w:bottom w:val="single" w:sz="4" w:space="0" w:color="auto"/>
              <w:right w:val="nil"/>
            </w:tcBorders>
            <w:shd w:val="clear" w:color="auto" w:fill="auto"/>
            <w:noWrap/>
            <w:vAlign w:val="center"/>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ACT</w:t>
            </w:r>
          </w:p>
        </w:tc>
        <w:tc>
          <w:tcPr>
            <w:tcW w:w="886" w:type="dxa"/>
            <w:tcBorders>
              <w:top w:val="single" w:sz="4" w:space="0" w:color="auto"/>
              <w:left w:val="nil"/>
              <w:bottom w:val="single" w:sz="4" w:space="0" w:color="auto"/>
              <w:right w:val="nil"/>
            </w:tcBorders>
            <w:shd w:val="clear" w:color="auto" w:fill="auto"/>
            <w:noWrap/>
            <w:vAlign w:val="center"/>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NT</w:t>
            </w:r>
          </w:p>
        </w:tc>
      </w:tr>
      <w:tr w:rsidR="000151CF" w:rsidRPr="000151CF" w:rsidTr="007B7057">
        <w:trPr>
          <w:trHeight w:val="259"/>
        </w:trPr>
        <w:tc>
          <w:tcPr>
            <w:tcW w:w="1659" w:type="dxa"/>
            <w:tcBorders>
              <w:top w:val="nil"/>
              <w:left w:val="nil"/>
              <w:bottom w:val="nil"/>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986" w:type="dxa"/>
            <w:tcBorders>
              <w:top w:val="nil"/>
              <w:left w:val="nil"/>
              <w:bottom w:val="nil"/>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w:t>
            </w:r>
          </w:p>
        </w:tc>
        <w:tc>
          <w:tcPr>
            <w:tcW w:w="985" w:type="dxa"/>
            <w:tcBorders>
              <w:top w:val="nil"/>
              <w:left w:val="nil"/>
              <w:bottom w:val="nil"/>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w:t>
            </w:r>
          </w:p>
        </w:tc>
        <w:tc>
          <w:tcPr>
            <w:tcW w:w="985" w:type="dxa"/>
            <w:tcBorders>
              <w:top w:val="nil"/>
              <w:left w:val="nil"/>
              <w:bottom w:val="nil"/>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w:t>
            </w:r>
          </w:p>
        </w:tc>
        <w:tc>
          <w:tcPr>
            <w:tcW w:w="985" w:type="dxa"/>
            <w:tcBorders>
              <w:top w:val="nil"/>
              <w:left w:val="nil"/>
              <w:bottom w:val="nil"/>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w:t>
            </w:r>
          </w:p>
        </w:tc>
        <w:tc>
          <w:tcPr>
            <w:tcW w:w="985" w:type="dxa"/>
            <w:tcBorders>
              <w:top w:val="nil"/>
              <w:left w:val="nil"/>
              <w:bottom w:val="nil"/>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w:t>
            </w:r>
          </w:p>
        </w:tc>
        <w:tc>
          <w:tcPr>
            <w:tcW w:w="985" w:type="dxa"/>
            <w:tcBorders>
              <w:top w:val="nil"/>
              <w:left w:val="nil"/>
              <w:bottom w:val="nil"/>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w:t>
            </w:r>
          </w:p>
        </w:tc>
        <w:tc>
          <w:tcPr>
            <w:tcW w:w="570" w:type="dxa"/>
            <w:tcBorders>
              <w:top w:val="nil"/>
              <w:left w:val="nil"/>
              <w:bottom w:val="nil"/>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w:t>
            </w:r>
          </w:p>
        </w:tc>
        <w:tc>
          <w:tcPr>
            <w:tcW w:w="886" w:type="dxa"/>
            <w:tcBorders>
              <w:top w:val="nil"/>
              <w:left w:val="nil"/>
              <w:bottom w:val="nil"/>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w:t>
            </w:r>
          </w:p>
        </w:tc>
      </w:tr>
      <w:tr w:rsidR="000151CF" w:rsidRPr="000151CF" w:rsidTr="007B7057">
        <w:trPr>
          <w:trHeight w:val="315"/>
        </w:trPr>
        <w:tc>
          <w:tcPr>
            <w:tcW w:w="1659" w:type="dxa"/>
            <w:tcBorders>
              <w:top w:val="nil"/>
              <w:left w:val="nil"/>
              <w:bottom w:val="nil"/>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Constable</w:t>
            </w:r>
          </w:p>
        </w:tc>
        <w:tc>
          <w:tcPr>
            <w:tcW w:w="986" w:type="dxa"/>
            <w:tcBorders>
              <w:top w:val="nil"/>
              <w:left w:val="nil"/>
              <w:bottom w:val="nil"/>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 xml:space="preserve"> 63 615</w:t>
            </w:r>
          </w:p>
        </w:tc>
        <w:tc>
          <w:tcPr>
            <w:tcW w:w="985" w:type="dxa"/>
            <w:tcBorders>
              <w:top w:val="nil"/>
              <w:left w:val="nil"/>
              <w:bottom w:val="nil"/>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 xml:space="preserve"> 57 035</w:t>
            </w:r>
          </w:p>
        </w:tc>
        <w:tc>
          <w:tcPr>
            <w:tcW w:w="985" w:type="dxa"/>
            <w:tcBorders>
              <w:top w:val="nil"/>
              <w:left w:val="nil"/>
              <w:bottom w:val="nil"/>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 xml:space="preserve"> 52 823</w:t>
            </w:r>
          </w:p>
        </w:tc>
        <w:tc>
          <w:tcPr>
            <w:tcW w:w="985" w:type="dxa"/>
            <w:tcBorders>
              <w:top w:val="nil"/>
              <w:left w:val="nil"/>
              <w:bottom w:val="nil"/>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 xml:space="preserve"> 66 960</w:t>
            </w:r>
          </w:p>
        </w:tc>
        <w:tc>
          <w:tcPr>
            <w:tcW w:w="985" w:type="dxa"/>
            <w:tcBorders>
              <w:top w:val="nil"/>
              <w:left w:val="nil"/>
              <w:bottom w:val="nil"/>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 xml:space="preserve"> 59 225</w:t>
            </w:r>
          </w:p>
        </w:tc>
        <w:tc>
          <w:tcPr>
            <w:tcW w:w="985" w:type="dxa"/>
            <w:tcBorders>
              <w:top w:val="nil"/>
              <w:left w:val="nil"/>
              <w:bottom w:val="nil"/>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 xml:space="preserve"> 55 865</w:t>
            </w:r>
          </w:p>
        </w:tc>
        <w:tc>
          <w:tcPr>
            <w:tcW w:w="570" w:type="dxa"/>
            <w:tcBorders>
              <w:top w:val="nil"/>
              <w:left w:val="nil"/>
              <w:bottom w:val="nil"/>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proofErr w:type="spellStart"/>
            <w:r w:rsidRPr="000151CF">
              <w:rPr>
                <w:rFonts w:ascii="Calibri" w:eastAsia="Times New Roman" w:hAnsi="Calibri" w:cs="Times New Roman"/>
                <w:color w:val="000000"/>
                <w:sz w:val="20"/>
                <w:szCs w:val="20"/>
                <w:lang w:eastAsia="en-AU"/>
              </w:rPr>
              <w:t>n.a</w:t>
            </w:r>
            <w:proofErr w:type="spellEnd"/>
          </w:p>
        </w:tc>
        <w:tc>
          <w:tcPr>
            <w:tcW w:w="886" w:type="dxa"/>
            <w:tcBorders>
              <w:top w:val="nil"/>
              <w:left w:val="nil"/>
              <w:bottom w:val="nil"/>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 xml:space="preserve"> 60 202</w:t>
            </w:r>
          </w:p>
        </w:tc>
      </w:tr>
      <w:tr w:rsidR="000151CF" w:rsidRPr="000151CF" w:rsidTr="007B7057">
        <w:trPr>
          <w:trHeight w:val="315"/>
        </w:trPr>
        <w:tc>
          <w:tcPr>
            <w:tcW w:w="1659" w:type="dxa"/>
            <w:tcBorders>
              <w:top w:val="nil"/>
              <w:left w:val="nil"/>
              <w:bottom w:val="nil"/>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Senior Constable</w:t>
            </w:r>
          </w:p>
        </w:tc>
        <w:tc>
          <w:tcPr>
            <w:tcW w:w="986" w:type="dxa"/>
            <w:tcBorders>
              <w:top w:val="nil"/>
              <w:left w:val="nil"/>
              <w:bottom w:val="nil"/>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 xml:space="preserve"> 79 223</w:t>
            </w:r>
          </w:p>
        </w:tc>
        <w:tc>
          <w:tcPr>
            <w:tcW w:w="985" w:type="dxa"/>
            <w:tcBorders>
              <w:top w:val="nil"/>
              <w:left w:val="nil"/>
              <w:bottom w:val="nil"/>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 xml:space="preserve"> 69 648</w:t>
            </w:r>
          </w:p>
        </w:tc>
        <w:tc>
          <w:tcPr>
            <w:tcW w:w="985" w:type="dxa"/>
            <w:tcBorders>
              <w:top w:val="nil"/>
              <w:left w:val="nil"/>
              <w:bottom w:val="nil"/>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 xml:space="preserve"> 65 962</w:t>
            </w:r>
          </w:p>
        </w:tc>
        <w:tc>
          <w:tcPr>
            <w:tcW w:w="985" w:type="dxa"/>
            <w:tcBorders>
              <w:top w:val="nil"/>
              <w:left w:val="nil"/>
              <w:bottom w:val="nil"/>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 xml:space="preserve"> 84 187</w:t>
            </w:r>
          </w:p>
        </w:tc>
        <w:tc>
          <w:tcPr>
            <w:tcW w:w="985" w:type="dxa"/>
            <w:tcBorders>
              <w:top w:val="nil"/>
              <w:left w:val="nil"/>
              <w:bottom w:val="nil"/>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 xml:space="preserve"> 71 585</w:t>
            </w:r>
          </w:p>
        </w:tc>
        <w:tc>
          <w:tcPr>
            <w:tcW w:w="985" w:type="dxa"/>
            <w:tcBorders>
              <w:top w:val="nil"/>
              <w:left w:val="nil"/>
              <w:bottom w:val="nil"/>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proofErr w:type="spellStart"/>
            <w:r w:rsidRPr="000151CF">
              <w:rPr>
                <w:rFonts w:ascii="Calibri" w:eastAsia="Times New Roman" w:hAnsi="Calibri" w:cs="Times New Roman"/>
                <w:color w:val="000000"/>
                <w:sz w:val="20"/>
                <w:szCs w:val="20"/>
                <w:lang w:eastAsia="en-AU"/>
              </w:rPr>
              <w:t>n.a</w:t>
            </w:r>
            <w:proofErr w:type="spellEnd"/>
          </w:p>
        </w:tc>
        <w:tc>
          <w:tcPr>
            <w:tcW w:w="570" w:type="dxa"/>
            <w:tcBorders>
              <w:top w:val="nil"/>
              <w:left w:val="nil"/>
              <w:bottom w:val="nil"/>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proofErr w:type="spellStart"/>
            <w:r w:rsidRPr="000151CF">
              <w:rPr>
                <w:rFonts w:ascii="Calibri" w:eastAsia="Times New Roman" w:hAnsi="Calibri" w:cs="Times New Roman"/>
                <w:color w:val="000000"/>
                <w:sz w:val="20"/>
                <w:szCs w:val="20"/>
                <w:lang w:eastAsia="en-AU"/>
              </w:rPr>
              <w:t>n.a</w:t>
            </w:r>
            <w:proofErr w:type="spellEnd"/>
          </w:p>
        </w:tc>
        <w:tc>
          <w:tcPr>
            <w:tcW w:w="886" w:type="dxa"/>
            <w:tcBorders>
              <w:top w:val="nil"/>
              <w:left w:val="nil"/>
              <w:bottom w:val="nil"/>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 xml:space="preserve"> 75 545</w:t>
            </w:r>
          </w:p>
        </w:tc>
      </w:tr>
      <w:tr w:rsidR="000151CF" w:rsidRPr="000151CF" w:rsidTr="007B7057">
        <w:trPr>
          <w:trHeight w:val="315"/>
        </w:trPr>
        <w:tc>
          <w:tcPr>
            <w:tcW w:w="1659" w:type="dxa"/>
            <w:tcBorders>
              <w:top w:val="nil"/>
              <w:left w:val="nil"/>
              <w:bottom w:val="nil"/>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Sergeant</w:t>
            </w:r>
          </w:p>
        </w:tc>
        <w:tc>
          <w:tcPr>
            <w:tcW w:w="986" w:type="dxa"/>
            <w:tcBorders>
              <w:top w:val="nil"/>
              <w:left w:val="nil"/>
              <w:bottom w:val="nil"/>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 xml:space="preserve"> 93 623</w:t>
            </w:r>
          </w:p>
        </w:tc>
        <w:tc>
          <w:tcPr>
            <w:tcW w:w="985" w:type="dxa"/>
            <w:tcBorders>
              <w:top w:val="nil"/>
              <w:left w:val="nil"/>
              <w:bottom w:val="nil"/>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 xml:space="preserve"> 87 272</w:t>
            </w:r>
          </w:p>
        </w:tc>
        <w:tc>
          <w:tcPr>
            <w:tcW w:w="985" w:type="dxa"/>
            <w:tcBorders>
              <w:top w:val="nil"/>
              <w:left w:val="nil"/>
              <w:bottom w:val="nil"/>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 xml:space="preserve"> 79 486</w:t>
            </w:r>
          </w:p>
        </w:tc>
        <w:tc>
          <w:tcPr>
            <w:tcW w:w="985" w:type="dxa"/>
            <w:tcBorders>
              <w:top w:val="nil"/>
              <w:left w:val="nil"/>
              <w:bottom w:val="nil"/>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 xml:space="preserve"> 93 724</w:t>
            </w:r>
          </w:p>
        </w:tc>
        <w:tc>
          <w:tcPr>
            <w:tcW w:w="985" w:type="dxa"/>
            <w:tcBorders>
              <w:top w:val="nil"/>
              <w:left w:val="nil"/>
              <w:bottom w:val="nil"/>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 xml:space="preserve"> 87 035</w:t>
            </w:r>
          </w:p>
        </w:tc>
        <w:tc>
          <w:tcPr>
            <w:tcW w:w="985" w:type="dxa"/>
            <w:tcBorders>
              <w:top w:val="nil"/>
              <w:left w:val="nil"/>
              <w:bottom w:val="nil"/>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 xml:space="preserve"> 80 819</w:t>
            </w:r>
          </w:p>
        </w:tc>
        <w:tc>
          <w:tcPr>
            <w:tcW w:w="570" w:type="dxa"/>
            <w:tcBorders>
              <w:top w:val="nil"/>
              <w:left w:val="nil"/>
              <w:bottom w:val="nil"/>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proofErr w:type="spellStart"/>
            <w:r w:rsidRPr="000151CF">
              <w:rPr>
                <w:rFonts w:ascii="Calibri" w:eastAsia="Times New Roman" w:hAnsi="Calibri" w:cs="Times New Roman"/>
                <w:color w:val="000000"/>
                <w:sz w:val="20"/>
                <w:szCs w:val="20"/>
                <w:lang w:eastAsia="en-AU"/>
              </w:rPr>
              <w:t>n.a</w:t>
            </w:r>
            <w:proofErr w:type="spellEnd"/>
          </w:p>
        </w:tc>
        <w:tc>
          <w:tcPr>
            <w:tcW w:w="886" w:type="dxa"/>
            <w:tcBorders>
              <w:top w:val="nil"/>
              <w:left w:val="nil"/>
              <w:bottom w:val="nil"/>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 xml:space="preserve"> 90 270</w:t>
            </w:r>
          </w:p>
        </w:tc>
      </w:tr>
      <w:tr w:rsidR="000151CF" w:rsidRPr="000151CF" w:rsidTr="007B7057">
        <w:trPr>
          <w:trHeight w:val="315"/>
        </w:trPr>
        <w:tc>
          <w:tcPr>
            <w:tcW w:w="1659" w:type="dxa"/>
            <w:tcBorders>
              <w:top w:val="nil"/>
              <w:left w:val="nil"/>
              <w:bottom w:val="nil"/>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Senior Sergeant</w:t>
            </w:r>
          </w:p>
        </w:tc>
        <w:tc>
          <w:tcPr>
            <w:tcW w:w="986" w:type="dxa"/>
            <w:tcBorders>
              <w:top w:val="nil"/>
              <w:left w:val="nil"/>
              <w:bottom w:val="nil"/>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 xml:space="preserve"> 106 826</w:t>
            </w:r>
          </w:p>
        </w:tc>
        <w:tc>
          <w:tcPr>
            <w:tcW w:w="985" w:type="dxa"/>
            <w:tcBorders>
              <w:top w:val="nil"/>
              <w:left w:val="nil"/>
              <w:bottom w:val="nil"/>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 xml:space="preserve"> 97 784</w:t>
            </w:r>
          </w:p>
        </w:tc>
        <w:tc>
          <w:tcPr>
            <w:tcW w:w="985" w:type="dxa"/>
            <w:tcBorders>
              <w:top w:val="nil"/>
              <w:left w:val="nil"/>
              <w:bottom w:val="nil"/>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 xml:space="preserve"> 92 667</w:t>
            </w:r>
          </w:p>
        </w:tc>
        <w:tc>
          <w:tcPr>
            <w:tcW w:w="985" w:type="dxa"/>
            <w:tcBorders>
              <w:top w:val="nil"/>
              <w:left w:val="nil"/>
              <w:bottom w:val="nil"/>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 xml:space="preserve"> 104 941</w:t>
            </w:r>
          </w:p>
        </w:tc>
        <w:tc>
          <w:tcPr>
            <w:tcW w:w="985" w:type="dxa"/>
            <w:tcBorders>
              <w:top w:val="nil"/>
              <w:left w:val="nil"/>
              <w:bottom w:val="nil"/>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 xml:space="preserve"> 97 850</w:t>
            </w:r>
          </w:p>
        </w:tc>
        <w:tc>
          <w:tcPr>
            <w:tcW w:w="985" w:type="dxa"/>
            <w:tcBorders>
              <w:top w:val="nil"/>
              <w:left w:val="nil"/>
              <w:bottom w:val="nil"/>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proofErr w:type="spellStart"/>
            <w:r w:rsidRPr="000151CF">
              <w:rPr>
                <w:rFonts w:ascii="Calibri" w:eastAsia="Times New Roman" w:hAnsi="Calibri" w:cs="Times New Roman"/>
                <w:color w:val="000000"/>
                <w:sz w:val="20"/>
                <w:szCs w:val="20"/>
                <w:lang w:eastAsia="en-AU"/>
              </w:rPr>
              <w:t>n.a</w:t>
            </w:r>
            <w:proofErr w:type="spellEnd"/>
          </w:p>
        </w:tc>
        <w:tc>
          <w:tcPr>
            <w:tcW w:w="570" w:type="dxa"/>
            <w:tcBorders>
              <w:top w:val="nil"/>
              <w:left w:val="nil"/>
              <w:bottom w:val="nil"/>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proofErr w:type="spellStart"/>
            <w:r w:rsidRPr="000151CF">
              <w:rPr>
                <w:rFonts w:ascii="Calibri" w:eastAsia="Times New Roman" w:hAnsi="Calibri" w:cs="Times New Roman"/>
                <w:color w:val="000000"/>
                <w:sz w:val="20"/>
                <w:szCs w:val="20"/>
                <w:lang w:eastAsia="en-AU"/>
              </w:rPr>
              <w:t>n.a</w:t>
            </w:r>
            <w:proofErr w:type="spellEnd"/>
          </w:p>
        </w:tc>
        <w:tc>
          <w:tcPr>
            <w:tcW w:w="886" w:type="dxa"/>
            <w:tcBorders>
              <w:top w:val="nil"/>
              <w:left w:val="nil"/>
              <w:bottom w:val="nil"/>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 xml:space="preserve"> 99 554</w:t>
            </w:r>
          </w:p>
        </w:tc>
      </w:tr>
      <w:tr w:rsidR="000151CF" w:rsidRPr="000151CF" w:rsidTr="007B7057">
        <w:trPr>
          <w:trHeight w:val="315"/>
        </w:trPr>
        <w:tc>
          <w:tcPr>
            <w:tcW w:w="1659" w:type="dxa"/>
            <w:tcBorders>
              <w:top w:val="nil"/>
              <w:left w:val="nil"/>
              <w:bottom w:val="single" w:sz="4" w:space="0" w:color="auto"/>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Inspector</w:t>
            </w:r>
          </w:p>
        </w:tc>
        <w:tc>
          <w:tcPr>
            <w:tcW w:w="986" w:type="dxa"/>
            <w:tcBorders>
              <w:top w:val="nil"/>
              <w:left w:val="nil"/>
              <w:bottom w:val="single" w:sz="4" w:space="0" w:color="auto"/>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 xml:space="preserve"> 119 710</w:t>
            </w:r>
          </w:p>
        </w:tc>
        <w:tc>
          <w:tcPr>
            <w:tcW w:w="985" w:type="dxa"/>
            <w:tcBorders>
              <w:top w:val="nil"/>
              <w:left w:val="nil"/>
              <w:bottom w:val="single" w:sz="4" w:space="0" w:color="auto"/>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 xml:space="preserve"> 115 783</w:t>
            </w:r>
          </w:p>
        </w:tc>
        <w:tc>
          <w:tcPr>
            <w:tcW w:w="985" w:type="dxa"/>
            <w:tcBorders>
              <w:top w:val="nil"/>
              <w:left w:val="nil"/>
              <w:bottom w:val="single" w:sz="4" w:space="0" w:color="auto"/>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 xml:space="preserve"> 123 003</w:t>
            </w:r>
          </w:p>
        </w:tc>
        <w:tc>
          <w:tcPr>
            <w:tcW w:w="985" w:type="dxa"/>
            <w:tcBorders>
              <w:top w:val="nil"/>
              <w:left w:val="nil"/>
              <w:bottom w:val="single" w:sz="4" w:space="0" w:color="auto"/>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 xml:space="preserve"> 128 977</w:t>
            </w:r>
          </w:p>
        </w:tc>
        <w:tc>
          <w:tcPr>
            <w:tcW w:w="985" w:type="dxa"/>
            <w:tcBorders>
              <w:top w:val="nil"/>
              <w:left w:val="nil"/>
              <w:bottom w:val="single" w:sz="4" w:space="0" w:color="auto"/>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 xml:space="preserve"> 122 055</w:t>
            </w:r>
          </w:p>
        </w:tc>
        <w:tc>
          <w:tcPr>
            <w:tcW w:w="985" w:type="dxa"/>
            <w:tcBorders>
              <w:top w:val="nil"/>
              <w:left w:val="nil"/>
              <w:bottom w:val="single" w:sz="4" w:space="0" w:color="auto"/>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151CF">
              <w:rPr>
                <w:rFonts w:ascii="Calibri" w:eastAsia="Times New Roman" w:hAnsi="Calibri" w:cs="Times New Roman"/>
                <w:color w:val="000000"/>
                <w:sz w:val="20"/>
                <w:szCs w:val="20"/>
                <w:lang w:eastAsia="en-AU"/>
              </w:rPr>
              <w:t xml:space="preserve"> 123 204</w:t>
            </w:r>
          </w:p>
        </w:tc>
        <w:tc>
          <w:tcPr>
            <w:tcW w:w="570" w:type="dxa"/>
            <w:tcBorders>
              <w:top w:val="nil"/>
              <w:left w:val="nil"/>
              <w:bottom w:val="single" w:sz="4" w:space="0" w:color="auto"/>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proofErr w:type="spellStart"/>
            <w:r w:rsidRPr="000151CF">
              <w:rPr>
                <w:rFonts w:ascii="Calibri" w:eastAsia="Times New Roman" w:hAnsi="Calibri" w:cs="Times New Roman"/>
                <w:color w:val="000000"/>
                <w:sz w:val="20"/>
                <w:szCs w:val="20"/>
                <w:lang w:eastAsia="en-AU"/>
              </w:rPr>
              <w:t>n.a</w:t>
            </w:r>
            <w:proofErr w:type="spellEnd"/>
          </w:p>
        </w:tc>
        <w:tc>
          <w:tcPr>
            <w:tcW w:w="886" w:type="dxa"/>
            <w:tcBorders>
              <w:top w:val="nil"/>
              <w:left w:val="nil"/>
              <w:bottom w:val="single" w:sz="4" w:space="0" w:color="auto"/>
              <w:right w:val="nil"/>
            </w:tcBorders>
            <w:shd w:val="clear" w:color="auto" w:fill="auto"/>
            <w:noWrap/>
            <w:vAlign w:val="bottom"/>
            <w:hideMark/>
          </w:tcPr>
          <w:p w:rsidR="000151CF" w:rsidRPr="000151CF" w:rsidRDefault="000151CF"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proofErr w:type="spellStart"/>
            <w:r w:rsidRPr="000151CF">
              <w:rPr>
                <w:rFonts w:ascii="Calibri" w:eastAsia="Times New Roman" w:hAnsi="Calibri" w:cs="Times New Roman"/>
                <w:color w:val="000000"/>
                <w:sz w:val="20"/>
                <w:szCs w:val="20"/>
                <w:lang w:eastAsia="en-AU"/>
              </w:rPr>
              <w:t>n.a</w:t>
            </w:r>
            <w:proofErr w:type="spellEnd"/>
          </w:p>
        </w:tc>
      </w:tr>
    </w:tbl>
    <w:p w:rsidR="00241DD2" w:rsidRDefault="00241DD2" w:rsidP="000151CF">
      <w:pPr>
        <w:pStyle w:val="CGCTableFootnote"/>
        <w:keepNext/>
      </w:pPr>
      <w:r>
        <w:t>Note:</w:t>
      </w:r>
      <w:r>
        <w:tab/>
        <w:t>ACT excluded due to differences in AFP classifications.</w:t>
      </w:r>
    </w:p>
    <w:p w:rsidR="00241DD2" w:rsidRDefault="00241DD2" w:rsidP="00241DD2">
      <w:pPr>
        <w:pStyle w:val="CGCTableFootnote"/>
      </w:pPr>
      <w:r>
        <w:t>Source:</w:t>
      </w:r>
      <w:r>
        <w:tab/>
      </w:r>
      <w:r w:rsidR="0076687D">
        <w:t>Western Australian Parliament d</w:t>
      </w:r>
      <w:r>
        <w:t>ocument tabled 24</w:t>
      </w:r>
      <w:r w:rsidR="009C25F7">
        <w:t xml:space="preserve">th </w:t>
      </w:r>
      <w:r>
        <w:t>February 2013</w:t>
      </w:r>
      <w:r w:rsidR="007B7057">
        <w:t>.</w:t>
      </w:r>
    </w:p>
    <w:p w:rsidR="0089357B" w:rsidRDefault="0089357B" w:rsidP="00B07BDB">
      <w:pPr>
        <w:pStyle w:val="Caption"/>
      </w:pPr>
      <w:bookmarkStart w:id="47" w:name="_Ref420071800"/>
      <w:bookmarkStart w:id="48" w:name="_Ref422230822"/>
      <w:r>
        <w:t xml:space="preserve">Table </w:t>
      </w:r>
      <w:fldSimple w:instr=" SEQ Table \* ARABIC ">
        <w:r w:rsidR="00495218">
          <w:rPr>
            <w:noProof/>
          </w:rPr>
          <w:t>3</w:t>
        </w:r>
      </w:fldSimple>
      <w:bookmarkEnd w:id="47"/>
      <w:r>
        <w:t xml:space="preserve"> </w:t>
      </w:r>
      <w:r>
        <w:tab/>
        <w:t xml:space="preserve">Australian </w:t>
      </w:r>
      <w:r w:rsidR="007B7057">
        <w:t>t</w:t>
      </w:r>
      <w:r>
        <w:t xml:space="preserve">eacher </w:t>
      </w:r>
      <w:r w:rsidR="007B7057">
        <w:t>s</w:t>
      </w:r>
      <w:r>
        <w:t xml:space="preserve">alary </w:t>
      </w:r>
      <w:r w:rsidR="007B7057">
        <w:t>c</w:t>
      </w:r>
      <w:r>
        <w:t>omparison</w:t>
      </w:r>
      <w:bookmarkEnd w:id="48"/>
      <w:r w:rsidR="00BA3142">
        <w:t>, 2014</w:t>
      </w:r>
    </w:p>
    <w:tbl>
      <w:tblPr>
        <w:tblW w:w="9026" w:type="dxa"/>
        <w:tblLayout w:type="fixed"/>
        <w:tblCellMar>
          <w:left w:w="0" w:type="dxa"/>
          <w:right w:w="0" w:type="dxa"/>
        </w:tblCellMar>
        <w:tblLook w:val="04A0" w:firstRow="1" w:lastRow="0" w:firstColumn="1" w:lastColumn="0" w:noHBand="0" w:noVBand="1"/>
      </w:tblPr>
      <w:tblGrid>
        <w:gridCol w:w="1746"/>
        <w:gridCol w:w="910"/>
        <w:gridCol w:w="910"/>
        <w:gridCol w:w="910"/>
        <w:gridCol w:w="910"/>
        <w:gridCol w:w="910"/>
        <w:gridCol w:w="910"/>
        <w:gridCol w:w="910"/>
        <w:gridCol w:w="910"/>
      </w:tblGrid>
      <w:tr w:rsidR="0089357B" w:rsidRPr="0089357B" w:rsidTr="007B7057">
        <w:trPr>
          <w:trHeight w:val="379"/>
        </w:trPr>
        <w:tc>
          <w:tcPr>
            <w:tcW w:w="1746" w:type="dxa"/>
            <w:tcBorders>
              <w:top w:val="single" w:sz="4" w:space="0" w:color="auto"/>
              <w:left w:val="nil"/>
              <w:bottom w:val="single" w:sz="4" w:space="0" w:color="auto"/>
              <w:right w:val="nil"/>
            </w:tcBorders>
            <w:shd w:val="clear" w:color="auto" w:fill="auto"/>
            <w:noWrap/>
            <w:vAlign w:val="center"/>
            <w:hideMark/>
          </w:tcPr>
          <w:p w:rsidR="0089357B" w:rsidRPr="0089357B" w:rsidRDefault="0089357B" w:rsidP="007B7057">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bookmarkStart w:id="49" w:name="RANGE!A2:I5"/>
            <w:r w:rsidRPr="0089357B">
              <w:rPr>
                <w:rFonts w:ascii="Calibri" w:eastAsia="Times New Roman" w:hAnsi="Calibri" w:cs="Times New Roman"/>
                <w:color w:val="000000"/>
                <w:sz w:val="20"/>
                <w:szCs w:val="20"/>
                <w:lang w:eastAsia="en-AU"/>
              </w:rPr>
              <w:t> </w:t>
            </w:r>
            <w:bookmarkEnd w:id="49"/>
          </w:p>
        </w:tc>
        <w:tc>
          <w:tcPr>
            <w:tcW w:w="910" w:type="dxa"/>
            <w:tcBorders>
              <w:top w:val="single" w:sz="4" w:space="0" w:color="auto"/>
              <w:left w:val="nil"/>
              <w:bottom w:val="single" w:sz="4" w:space="0" w:color="auto"/>
              <w:right w:val="nil"/>
            </w:tcBorders>
            <w:shd w:val="clear" w:color="auto" w:fill="auto"/>
            <w:noWrap/>
            <w:vAlign w:val="center"/>
            <w:hideMark/>
          </w:tcPr>
          <w:p w:rsidR="0089357B" w:rsidRPr="0089357B" w:rsidRDefault="0089357B"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9357B">
              <w:rPr>
                <w:rFonts w:ascii="Calibri" w:eastAsia="Times New Roman" w:hAnsi="Calibri" w:cs="Times New Roman"/>
                <w:color w:val="000000"/>
                <w:sz w:val="20"/>
                <w:szCs w:val="20"/>
                <w:lang w:eastAsia="en-AU"/>
              </w:rPr>
              <w:t>NSW</w:t>
            </w:r>
          </w:p>
        </w:tc>
        <w:tc>
          <w:tcPr>
            <w:tcW w:w="910" w:type="dxa"/>
            <w:tcBorders>
              <w:top w:val="single" w:sz="4" w:space="0" w:color="auto"/>
              <w:left w:val="nil"/>
              <w:bottom w:val="single" w:sz="4" w:space="0" w:color="auto"/>
              <w:right w:val="nil"/>
            </w:tcBorders>
            <w:shd w:val="clear" w:color="auto" w:fill="auto"/>
            <w:noWrap/>
            <w:vAlign w:val="center"/>
            <w:hideMark/>
          </w:tcPr>
          <w:p w:rsidR="0089357B" w:rsidRPr="0089357B" w:rsidRDefault="0089357B"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9357B">
              <w:rPr>
                <w:rFonts w:ascii="Calibri" w:eastAsia="Times New Roman" w:hAnsi="Calibri" w:cs="Times New Roman"/>
                <w:color w:val="000000"/>
                <w:sz w:val="20"/>
                <w:szCs w:val="20"/>
                <w:lang w:eastAsia="en-AU"/>
              </w:rPr>
              <w:t>Vic</w:t>
            </w:r>
          </w:p>
        </w:tc>
        <w:tc>
          <w:tcPr>
            <w:tcW w:w="910" w:type="dxa"/>
            <w:tcBorders>
              <w:top w:val="single" w:sz="4" w:space="0" w:color="auto"/>
              <w:left w:val="nil"/>
              <w:bottom w:val="single" w:sz="4" w:space="0" w:color="auto"/>
              <w:right w:val="nil"/>
            </w:tcBorders>
            <w:shd w:val="clear" w:color="auto" w:fill="auto"/>
            <w:noWrap/>
            <w:vAlign w:val="center"/>
            <w:hideMark/>
          </w:tcPr>
          <w:p w:rsidR="0089357B" w:rsidRPr="0089357B" w:rsidRDefault="0089357B"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9357B">
              <w:rPr>
                <w:rFonts w:ascii="Calibri" w:eastAsia="Times New Roman" w:hAnsi="Calibri" w:cs="Times New Roman"/>
                <w:color w:val="000000"/>
                <w:sz w:val="20"/>
                <w:szCs w:val="20"/>
                <w:lang w:eastAsia="en-AU"/>
              </w:rPr>
              <w:t>Qld</w:t>
            </w:r>
          </w:p>
        </w:tc>
        <w:tc>
          <w:tcPr>
            <w:tcW w:w="910" w:type="dxa"/>
            <w:tcBorders>
              <w:top w:val="single" w:sz="4" w:space="0" w:color="auto"/>
              <w:left w:val="nil"/>
              <w:bottom w:val="single" w:sz="4" w:space="0" w:color="auto"/>
              <w:right w:val="nil"/>
            </w:tcBorders>
            <w:shd w:val="clear" w:color="auto" w:fill="auto"/>
            <w:noWrap/>
            <w:vAlign w:val="center"/>
            <w:hideMark/>
          </w:tcPr>
          <w:p w:rsidR="0089357B" w:rsidRPr="0089357B" w:rsidRDefault="0089357B"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9357B">
              <w:rPr>
                <w:rFonts w:ascii="Calibri" w:eastAsia="Times New Roman" w:hAnsi="Calibri" w:cs="Times New Roman"/>
                <w:color w:val="000000"/>
                <w:sz w:val="20"/>
                <w:szCs w:val="20"/>
                <w:lang w:eastAsia="en-AU"/>
              </w:rPr>
              <w:t>WA</w:t>
            </w:r>
          </w:p>
        </w:tc>
        <w:tc>
          <w:tcPr>
            <w:tcW w:w="910" w:type="dxa"/>
            <w:tcBorders>
              <w:top w:val="single" w:sz="4" w:space="0" w:color="auto"/>
              <w:left w:val="nil"/>
              <w:bottom w:val="single" w:sz="4" w:space="0" w:color="auto"/>
              <w:right w:val="nil"/>
            </w:tcBorders>
            <w:shd w:val="clear" w:color="auto" w:fill="auto"/>
            <w:noWrap/>
            <w:vAlign w:val="center"/>
            <w:hideMark/>
          </w:tcPr>
          <w:p w:rsidR="0089357B" w:rsidRPr="0089357B" w:rsidRDefault="0089357B"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9357B">
              <w:rPr>
                <w:rFonts w:ascii="Calibri" w:eastAsia="Times New Roman" w:hAnsi="Calibri" w:cs="Times New Roman"/>
                <w:color w:val="000000"/>
                <w:sz w:val="20"/>
                <w:szCs w:val="20"/>
                <w:lang w:eastAsia="en-AU"/>
              </w:rPr>
              <w:t>SA</w:t>
            </w:r>
          </w:p>
        </w:tc>
        <w:tc>
          <w:tcPr>
            <w:tcW w:w="910" w:type="dxa"/>
            <w:tcBorders>
              <w:top w:val="single" w:sz="4" w:space="0" w:color="auto"/>
              <w:left w:val="nil"/>
              <w:bottom w:val="single" w:sz="4" w:space="0" w:color="auto"/>
              <w:right w:val="nil"/>
            </w:tcBorders>
            <w:shd w:val="clear" w:color="auto" w:fill="auto"/>
            <w:noWrap/>
            <w:vAlign w:val="center"/>
            <w:hideMark/>
          </w:tcPr>
          <w:p w:rsidR="0089357B" w:rsidRPr="0089357B" w:rsidRDefault="0089357B"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9357B">
              <w:rPr>
                <w:rFonts w:ascii="Calibri" w:eastAsia="Times New Roman" w:hAnsi="Calibri" w:cs="Times New Roman"/>
                <w:color w:val="000000"/>
                <w:sz w:val="20"/>
                <w:szCs w:val="20"/>
                <w:lang w:eastAsia="en-AU"/>
              </w:rPr>
              <w:t>Tas</w:t>
            </w:r>
          </w:p>
        </w:tc>
        <w:tc>
          <w:tcPr>
            <w:tcW w:w="910" w:type="dxa"/>
            <w:tcBorders>
              <w:top w:val="single" w:sz="4" w:space="0" w:color="auto"/>
              <w:left w:val="nil"/>
              <w:bottom w:val="single" w:sz="4" w:space="0" w:color="auto"/>
              <w:right w:val="nil"/>
            </w:tcBorders>
            <w:shd w:val="clear" w:color="auto" w:fill="auto"/>
            <w:noWrap/>
            <w:vAlign w:val="center"/>
            <w:hideMark/>
          </w:tcPr>
          <w:p w:rsidR="0089357B" w:rsidRPr="0089357B" w:rsidRDefault="0089357B"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9357B">
              <w:rPr>
                <w:rFonts w:ascii="Calibri" w:eastAsia="Times New Roman" w:hAnsi="Calibri" w:cs="Times New Roman"/>
                <w:color w:val="000000"/>
                <w:sz w:val="20"/>
                <w:szCs w:val="20"/>
                <w:lang w:eastAsia="en-AU"/>
              </w:rPr>
              <w:t>ACT</w:t>
            </w:r>
          </w:p>
        </w:tc>
        <w:tc>
          <w:tcPr>
            <w:tcW w:w="910" w:type="dxa"/>
            <w:tcBorders>
              <w:top w:val="single" w:sz="4" w:space="0" w:color="auto"/>
              <w:left w:val="nil"/>
              <w:bottom w:val="single" w:sz="4" w:space="0" w:color="auto"/>
              <w:right w:val="nil"/>
            </w:tcBorders>
            <w:shd w:val="clear" w:color="auto" w:fill="auto"/>
            <w:noWrap/>
            <w:vAlign w:val="center"/>
            <w:hideMark/>
          </w:tcPr>
          <w:p w:rsidR="0089357B" w:rsidRPr="0089357B" w:rsidRDefault="0089357B"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9357B">
              <w:rPr>
                <w:rFonts w:ascii="Calibri" w:eastAsia="Times New Roman" w:hAnsi="Calibri" w:cs="Times New Roman"/>
                <w:color w:val="000000"/>
                <w:sz w:val="20"/>
                <w:szCs w:val="20"/>
                <w:lang w:eastAsia="en-AU"/>
              </w:rPr>
              <w:t>NT</w:t>
            </w:r>
          </w:p>
        </w:tc>
      </w:tr>
      <w:tr w:rsidR="0089357B" w:rsidRPr="0089357B" w:rsidTr="007B7057">
        <w:trPr>
          <w:trHeight w:val="259"/>
        </w:trPr>
        <w:tc>
          <w:tcPr>
            <w:tcW w:w="1746" w:type="dxa"/>
            <w:tcBorders>
              <w:top w:val="nil"/>
              <w:left w:val="nil"/>
              <w:bottom w:val="nil"/>
              <w:right w:val="nil"/>
            </w:tcBorders>
            <w:shd w:val="clear" w:color="auto" w:fill="auto"/>
            <w:noWrap/>
            <w:vAlign w:val="bottom"/>
            <w:hideMark/>
          </w:tcPr>
          <w:p w:rsidR="0089357B" w:rsidRPr="0089357B" w:rsidRDefault="0089357B" w:rsidP="007B7057">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910" w:type="dxa"/>
            <w:tcBorders>
              <w:top w:val="nil"/>
              <w:left w:val="nil"/>
              <w:bottom w:val="nil"/>
              <w:right w:val="nil"/>
            </w:tcBorders>
            <w:shd w:val="clear" w:color="auto" w:fill="auto"/>
            <w:noWrap/>
            <w:vAlign w:val="bottom"/>
            <w:hideMark/>
          </w:tcPr>
          <w:p w:rsidR="0089357B" w:rsidRPr="0089357B" w:rsidRDefault="0089357B"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9357B">
              <w:rPr>
                <w:rFonts w:ascii="Calibri" w:eastAsia="Times New Roman" w:hAnsi="Calibri" w:cs="Times New Roman"/>
                <w:color w:val="000000"/>
                <w:sz w:val="20"/>
                <w:szCs w:val="20"/>
                <w:lang w:eastAsia="en-AU"/>
              </w:rPr>
              <w:t>$</w:t>
            </w:r>
          </w:p>
        </w:tc>
        <w:tc>
          <w:tcPr>
            <w:tcW w:w="910" w:type="dxa"/>
            <w:tcBorders>
              <w:top w:val="nil"/>
              <w:left w:val="nil"/>
              <w:bottom w:val="nil"/>
              <w:right w:val="nil"/>
            </w:tcBorders>
            <w:shd w:val="clear" w:color="auto" w:fill="auto"/>
            <w:noWrap/>
            <w:vAlign w:val="bottom"/>
            <w:hideMark/>
          </w:tcPr>
          <w:p w:rsidR="0089357B" w:rsidRPr="0089357B" w:rsidRDefault="0089357B"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9357B">
              <w:rPr>
                <w:rFonts w:ascii="Calibri" w:eastAsia="Times New Roman" w:hAnsi="Calibri" w:cs="Times New Roman"/>
                <w:color w:val="000000"/>
                <w:sz w:val="20"/>
                <w:szCs w:val="20"/>
                <w:lang w:eastAsia="en-AU"/>
              </w:rPr>
              <w:t>$</w:t>
            </w:r>
          </w:p>
        </w:tc>
        <w:tc>
          <w:tcPr>
            <w:tcW w:w="910" w:type="dxa"/>
            <w:tcBorders>
              <w:top w:val="nil"/>
              <w:left w:val="nil"/>
              <w:bottom w:val="nil"/>
              <w:right w:val="nil"/>
            </w:tcBorders>
            <w:shd w:val="clear" w:color="auto" w:fill="auto"/>
            <w:noWrap/>
            <w:vAlign w:val="bottom"/>
            <w:hideMark/>
          </w:tcPr>
          <w:p w:rsidR="0089357B" w:rsidRPr="0089357B" w:rsidRDefault="0089357B"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9357B">
              <w:rPr>
                <w:rFonts w:ascii="Calibri" w:eastAsia="Times New Roman" w:hAnsi="Calibri" w:cs="Times New Roman"/>
                <w:color w:val="000000"/>
                <w:sz w:val="20"/>
                <w:szCs w:val="20"/>
                <w:lang w:eastAsia="en-AU"/>
              </w:rPr>
              <w:t>$</w:t>
            </w:r>
          </w:p>
        </w:tc>
        <w:tc>
          <w:tcPr>
            <w:tcW w:w="910" w:type="dxa"/>
            <w:tcBorders>
              <w:top w:val="nil"/>
              <w:left w:val="nil"/>
              <w:bottom w:val="nil"/>
              <w:right w:val="nil"/>
            </w:tcBorders>
            <w:shd w:val="clear" w:color="auto" w:fill="auto"/>
            <w:noWrap/>
            <w:vAlign w:val="bottom"/>
            <w:hideMark/>
          </w:tcPr>
          <w:p w:rsidR="0089357B" w:rsidRPr="0089357B" w:rsidRDefault="0089357B"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9357B">
              <w:rPr>
                <w:rFonts w:ascii="Calibri" w:eastAsia="Times New Roman" w:hAnsi="Calibri" w:cs="Times New Roman"/>
                <w:color w:val="000000"/>
                <w:sz w:val="20"/>
                <w:szCs w:val="20"/>
                <w:lang w:eastAsia="en-AU"/>
              </w:rPr>
              <w:t>$</w:t>
            </w:r>
          </w:p>
        </w:tc>
        <w:tc>
          <w:tcPr>
            <w:tcW w:w="910" w:type="dxa"/>
            <w:tcBorders>
              <w:top w:val="nil"/>
              <w:left w:val="nil"/>
              <w:bottom w:val="nil"/>
              <w:right w:val="nil"/>
            </w:tcBorders>
            <w:shd w:val="clear" w:color="auto" w:fill="auto"/>
            <w:noWrap/>
            <w:vAlign w:val="bottom"/>
            <w:hideMark/>
          </w:tcPr>
          <w:p w:rsidR="0089357B" w:rsidRPr="0089357B" w:rsidRDefault="0089357B"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9357B">
              <w:rPr>
                <w:rFonts w:ascii="Calibri" w:eastAsia="Times New Roman" w:hAnsi="Calibri" w:cs="Times New Roman"/>
                <w:color w:val="000000"/>
                <w:sz w:val="20"/>
                <w:szCs w:val="20"/>
                <w:lang w:eastAsia="en-AU"/>
              </w:rPr>
              <w:t>$</w:t>
            </w:r>
          </w:p>
        </w:tc>
        <w:tc>
          <w:tcPr>
            <w:tcW w:w="910" w:type="dxa"/>
            <w:tcBorders>
              <w:top w:val="nil"/>
              <w:left w:val="nil"/>
              <w:bottom w:val="nil"/>
              <w:right w:val="nil"/>
            </w:tcBorders>
            <w:shd w:val="clear" w:color="auto" w:fill="auto"/>
            <w:noWrap/>
            <w:vAlign w:val="bottom"/>
            <w:hideMark/>
          </w:tcPr>
          <w:p w:rsidR="0089357B" w:rsidRPr="0089357B" w:rsidRDefault="0089357B"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9357B">
              <w:rPr>
                <w:rFonts w:ascii="Calibri" w:eastAsia="Times New Roman" w:hAnsi="Calibri" w:cs="Times New Roman"/>
                <w:color w:val="000000"/>
                <w:sz w:val="20"/>
                <w:szCs w:val="20"/>
                <w:lang w:eastAsia="en-AU"/>
              </w:rPr>
              <w:t>$</w:t>
            </w:r>
          </w:p>
        </w:tc>
        <w:tc>
          <w:tcPr>
            <w:tcW w:w="910" w:type="dxa"/>
            <w:tcBorders>
              <w:top w:val="nil"/>
              <w:left w:val="nil"/>
              <w:bottom w:val="nil"/>
              <w:right w:val="nil"/>
            </w:tcBorders>
            <w:shd w:val="clear" w:color="auto" w:fill="auto"/>
            <w:noWrap/>
            <w:vAlign w:val="bottom"/>
            <w:hideMark/>
          </w:tcPr>
          <w:p w:rsidR="0089357B" w:rsidRPr="0089357B" w:rsidRDefault="0089357B"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9357B">
              <w:rPr>
                <w:rFonts w:ascii="Calibri" w:eastAsia="Times New Roman" w:hAnsi="Calibri" w:cs="Times New Roman"/>
                <w:color w:val="000000"/>
                <w:sz w:val="20"/>
                <w:szCs w:val="20"/>
                <w:lang w:eastAsia="en-AU"/>
              </w:rPr>
              <w:t>$</w:t>
            </w:r>
          </w:p>
        </w:tc>
        <w:tc>
          <w:tcPr>
            <w:tcW w:w="910" w:type="dxa"/>
            <w:tcBorders>
              <w:top w:val="nil"/>
              <w:left w:val="nil"/>
              <w:bottom w:val="nil"/>
              <w:right w:val="nil"/>
            </w:tcBorders>
            <w:shd w:val="clear" w:color="auto" w:fill="auto"/>
            <w:noWrap/>
            <w:vAlign w:val="bottom"/>
            <w:hideMark/>
          </w:tcPr>
          <w:p w:rsidR="0089357B" w:rsidRPr="0089357B" w:rsidRDefault="0089357B"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9357B">
              <w:rPr>
                <w:rFonts w:ascii="Calibri" w:eastAsia="Times New Roman" w:hAnsi="Calibri" w:cs="Times New Roman"/>
                <w:color w:val="000000"/>
                <w:sz w:val="20"/>
                <w:szCs w:val="20"/>
                <w:lang w:eastAsia="en-AU"/>
              </w:rPr>
              <w:t>$</w:t>
            </w:r>
          </w:p>
        </w:tc>
      </w:tr>
      <w:tr w:rsidR="0089357B" w:rsidRPr="0089357B" w:rsidTr="007B7057">
        <w:trPr>
          <w:trHeight w:val="315"/>
        </w:trPr>
        <w:tc>
          <w:tcPr>
            <w:tcW w:w="1746" w:type="dxa"/>
            <w:tcBorders>
              <w:top w:val="nil"/>
              <w:left w:val="nil"/>
              <w:bottom w:val="nil"/>
              <w:right w:val="nil"/>
            </w:tcBorders>
            <w:shd w:val="clear" w:color="auto" w:fill="auto"/>
            <w:noWrap/>
            <w:vAlign w:val="bottom"/>
            <w:hideMark/>
          </w:tcPr>
          <w:p w:rsidR="0089357B" w:rsidRPr="0089357B" w:rsidRDefault="0089357B" w:rsidP="007B7057">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89357B">
              <w:rPr>
                <w:rFonts w:ascii="Calibri" w:eastAsia="Times New Roman" w:hAnsi="Calibri" w:cs="Times New Roman"/>
                <w:color w:val="000000"/>
                <w:sz w:val="20"/>
                <w:szCs w:val="20"/>
                <w:lang w:eastAsia="en-AU"/>
              </w:rPr>
              <w:t>Graduate Teacher</w:t>
            </w:r>
          </w:p>
        </w:tc>
        <w:tc>
          <w:tcPr>
            <w:tcW w:w="910" w:type="dxa"/>
            <w:tcBorders>
              <w:top w:val="nil"/>
              <w:left w:val="nil"/>
              <w:bottom w:val="nil"/>
              <w:right w:val="nil"/>
            </w:tcBorders>
            <w:shd w:val="clear" w:color="auto" w:fill="auto"/>
            <w:noWrap/>
            <w:vAlign w:val="bottom"/>
            <w:hideMark/>
          </w:tcPr>
          <w:p w:rsidR="0089357B" w:rsidRPr="0089357B" w:rsidRDefault="0089357B"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9357B">
              <w:rPr>
                <w:rFonts w:ascii="Calibri" w:eastAsia="Times New Roman" w:hAnsi="Calibri" w:cs="Times New Roman"/>
                <w:color w:val="000000"/>
                <w:sz w:val="20"/>
                <w:szCs w:val="20"/>
                <w:lang w:eastAsia="en-AU"/>
              </w:rPr>
              <w:t>61 061</w:t>
            </w:r>
          </w:p>
        </w:tc>
        <w:tc>
          <w:tcPr>
            <w:tcW w:w="910" w:type="dxa"/>
            <w:tcBorders>
              <w:top w:val="nil"/>
              <w:left w:val="nil"/>
              <w:bottom w:val="nil"/>
              <w:right w:val="nil"/>
            </w:tcBorders>
            <w:shd w:val="clear" w:color="auto" w:fill="auto"/>
            <w:noWrap/>
            <w:vAlign w:val="bottom"/>
            <w:hideMark/>
          </w:tcPr>
          <w:p w:rsidR="0089357B" w:rsidRPr="0089357B" w:rsidRDefault="0089357B"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9357B">
              <w:rPr>
                <w:rFonts w:ascii="Calibri" w:eastAsia="Times New Roman" w:hAnsi="Calibri" w:cs="Times New Roman"/>
                <w:color w:val="000000"/>
                <w:sz w:val="20"/>
                <w:szCs w:val="20"/>
                <w:lang w:eastAsia="en-AU"/>
              </w:rPr>
              <w:t>59 106</w:t>
            </w:r>
          </w:p>
        </w:tc>
        <w:tc>
          <w:tcPr>
            <w:tcW w:w="910" w:type="dxa"/>
            <w:tcBorders>
              <w:top w:val="nil"/>
              <w:left w:val="nil"/>
              <w:bottom w:val="nil"/>
              <w:right w:val="nil"/>
            </w:tcBorders>
            <w:shd w:val="clear" w:color="auto" w:fill="auto"/>
            <w:noWrap/>
            <w:vAlign w:val="bottom"/>
            <w:hideMark/>
          </w:tcPr>
          <w:p w:rsidR="0089357B" w:rsidRPr="0089357B" w:rsidRDefault="0089357B"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9357B">
              <w:rPr>
                <w:rFonts w:ascii="Calibri" w:eastAsia="Times New Roman" w:hAnsi="Calibri" w:cs="Times New Roman"/>
                <w:color w:val="000000"/>
                <w:sz w:val="20"/>
                <w:szCs w:val="20"/>
                <w:lang w:eastAsia="en-AU"/>
              </w:rPr>
              <w:t>61 636</w:t>
            </w:r>
          </w:p>
        </w:tc>
        <w:tc>
          <w:tcPr>
            <w:tcW w:w="910" w:type="dxa"/>
            <w:tcBorders>
              <w:top w:val="nil"/>
              <w:left w:val="nil"/>
              <w:bottom w:val="nil"/>
              <w:right w:val="nil"/>
            </w:tcBorders>
            <w:shd w:val="clear" w:color="auto" w:fill="auto"/>
            <w:noWrap/>
            <w:vAlign w:val="bottom"/>
            <w:hideMark/>
          </w:tcPr>
          <w:p w:rsidR="0089357B" w:rsidRPr="0089357B" w:rsidRDefault="0089357B"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9357B">
              <w:rPr>
                <w:rFonts w:ascii="Calibri" w:eastAsia="Times New Roman" w:hAnsi="Calibri" w:cs="Times New Roman"/>
                <w:color w:val="000000"/>
                <w:sz w:val="20"/>
                <w:szCs w:val="20"/>
                <w:lang w:eastAsia="en-AU"/>
              </w:rPr>
              <w:t>63 118</w:t>
            </w:r>
          </w:p>
        </w:tc>
        <w:tc>
          <w:tcPr>
            <w:tcW w:w="910" w:type="dxa"/>
            <w:tcBorders>
              <w:top w:val="nil"/>
              <w:left w:val="nil"/>
              <w:bottom w:val="nil"/>
              <w:right w:val="nil"/>
            </w:tcBorders>
            <w:shd w:val="clear" w:color="auto" w:fill="auto"/>
            <w:noWrap/>
            <w:vAlign w:val="bottom"/>
            <w:hideMark/>
          </w:tcPr>
          <w:p w:rsidR="0089357B" w:rsidRPr="0089357B" w:rsidRDefault="0089357B"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9357B">
              <w:rPr>
                <w:rFonts w:ascii="Calibri" w:eastAsia="Times New Roman" w:hAnsi="Calibri" w:cs="Times New Roman"/>
                <w:color w:val="000000"/>
                <w:sz w:val="20"/>
                <w:szCs w:val="20"/>
                <w:lang w:eastAsia="en-AU"/>
              </w:rPr>
              <w:t>63 260</w:t>
            </w:r>
          </w:p>
        </w:tc>
        <w:tc>
          <w:tcPr>
            <w:tcW w:w="910" w:type="dxa"/>
            <w:tcBorders>
              <w:top w:val="nil"/>
              <w:left w:val="nil"/>
              <w:bottom w:val="nil"/>
              <w:right w:val="nil"/>
            </w:tcBorders>
            <w:shd w:val="clear" w:color="auto" w:fill="auto"/>
            <w:noWrap/>
            <w:vAlign w:val="bottom"/>
            <w:hideMark/>
          </w:tcPr>
          <w:p w:rsidR="0089357B" w:rsidRPr="0089357B" w:rsidRDefault="0089357B"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9357B">
              <w:rPr>
                <w:rFonts w:ascii="Calibri" w:eastAsia="Times New Roman" w:hAnsi="Calibri" w:cs="Times New Roman"/>
                <w:color w:val="000000"/>
                <w:sz w:val="20"/>
                <w:szCs w:val="20"/>
                <w:lang w:eastAsia="en-AU"/>
              </w:rPr>
              <w:t>59 890</w:t>
            </w:r>
          </w:p>
        </w:tc>
        <w:tc>
          <w:tcPr>
            <w:tcW w:w="910" w:type="dxa"/>
            <w:tcBorders>
              <w:top w:val="nil"/>
              <w:left w:val="nil"/>
              <w:bottom w:val="nil"/>
              <w:right w:val="nil"/>
            </w:tcBorders>
            <w:shd w:val="clear" w:color="auto" w:fill="auto"/>
            <w:noWrap/>
            <w:vAlign w:val="bottom"/>
            <w:hideMark/>
          </w:tcPr>
          <w:p w:rsidR="0089357B" w:rsidRPr="0089357B" w:rsidRDefault="0089357B"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9357B">
              <w:rPr>
                <w:rFonts w:ascii="Calibri" w:eastAsia="Times New Roman" w:hAnsi="Calibri" w:cs="Times New Roman"/>
                <w:color w:val="000000"/>
                <w:sz w:val="20"/>
                <w:szCs w:val="20"/>
                <w:lang w:eastAsia="en-AU"/>
              </w:rPr>
              <w:t>60 384</w:t>
            </w:r>
          </w:p>
        </w:tc>
        <w:tc>
          <w:tcPr>
            <w:tcW w:w="910" w:type="dxa"/>
            <w:tcBorders>
              <w:top w:val="nil"/>
              <w:left w:val="nil"/>
              <w:bottom w:val="nil"/>
              <w:right w:val="nil"/>
            </w:tcBorders>
            <w:shd w:val="clear" w:color="auto" w:fill="auto"/>
            <w:noWrap/>
            <w:vAlign w:val="bottom"/>
            <w:hideMark/>
          </w:tcPr>
          <w:p w:rsidR="0089357B" w:rsidRPr="0089357B" w:rsidRDefault="0089357B"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9357B">
              <w:rPr>
                <w:rFonts w:ascii="Calibri" w:eastAsia="Times New Roman" w:hAnsi="Calibri" w:cs="Times New Roman"/>
                <w:color w:val="000000"/>
                <w:sz w:val="20"/>
                <w:szCs w:val="20"/>
                <w:lang w:eastAsia="en-AU"/>
              </w:rPr>
              <w:t>62 017</w:t>
            </w:r>
          </w:p>
        </w:tc>
      </w:tr>
      <w:tr w:rsidR="0089357B" w:rsidRPr="0089357B" w:rsidTr="007B7057">
        <w:trPr>
          <w:trHeight w:val="315"/>
        </w:trPr>
        <w:tc>
          <w:tcPr>
            <w:tcW w:w="1746" w:type="dxa"/>
            <w:tcBorders>
              <w:top w:val="nil"/>
              <w:left w:val="nil"/>
              <w:bottom w:val="single" w:sz="4" w:space="0" w:color="auto"/>
              <w:right w:val="nil"/>
            </w:tcBorders>
            <w:shd w:val="clear" w:color="auto" w:fill="auto"/>
            <w:noWrap/>
            <w:vAlign w:val="bottom"/>
            <w:hideMark/>
          </w:tcPr>
          <w:p w:rsidR="0089357B" w:rsidRPr="0089357B" w:rsidRDefault="0089357B" w:rsidP="007B7057">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89357B">
              <w:rPr>
                <w:rFonts w:ascii="Calibri" w:eastAsia="Times New Roman" w:hAnsi="Calibri" w:cs="Times New Roman"/>
                <w:color w:val="000000"/>
                <w:sz w:val="20"/>
                <w:szCs w:val="20"/>
                <w:lang w:eastAsia="en-AU"/>
              </w:rPr>
              <w:t>3rd Year Teacher</w:t>
            </w:r>
          </w:p>
        </w:tc>
        <w:tc>
          <w:tcPr>
            <w:tcW w:w="910" w:type="dxa"/>
            <w:tcBorders>
              <w:top w:val="nil"/>
              <w:left w:val="nil"/>
              <w:bottom w:val="single" w:sz="4" w:space="0" w:color="auto"/>
              <w:right w:val="nil"/>
            </w:tcBorders>
            <w:shd w:val="clear" w:color="auto" w:fill="auto"/>
            <w:noWrap/>
            <w:vAlign w:val="bottom"/>
            <w:hideMark/>
          </w:tcPr>
          <w:p w:rsidR="0089357B" w:rsidRPr="0089357B" w:rsidRDefault="0089357B"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9357B">
              <w:rPr>
                <w:rFonts w:ascii="Calibri" w:eastAsia="Times New Roman" w:hAnsi="Calibri" w:cs="Times New Roman"/>
                <w:color w:val="000000"/>
                <w:sz w:val="20"/>
                <w:szCs w:val="20"/>
                <w:lang w:eastAsia="en-AU"/>
              </w:rPr>
              <w:t>67 352</w:t>
            </w:r>
          </w:p>
        </w:tc>
        <w:tc>
          <w:tcPr>
            <w:tcW w:w="910" w:type="dxa"/>
            <w:tcBorders>
              <w:top w:val="nil"/>
              <w:left w:val="nil"/>
              <w:bottom w:val="single" w:sz="4" w:space="0" w:color="auto"/>
              <w:right w:val="nil"/>
            </w:tcBorders>
            <w:shd w:val="clear" w:color="auto" w:fill="auto"/>
            <w:noWrap/>
            <w:vAlign w:val="bottom"/>
            <w:hideMark/>
          </w:tcPr>
          <w:p w:rsidR="0089357B" w:rsidRPr="0089357B" w:rsidRDefault="0089357B"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9357B">
              <w:rPr>
                <w:rFonts w:ascii="Calibri" w:eastAsia="Times New Roman" w:hAnsi="Calibri" w:cs="Times New Roman"/>
                <w:color w:val="000000"/>
                <w:sz w:val="20"/>
                <w:szCs w:val="20"/>
                <w:lang w:eastAsia="en-AU"/>
              </w:rPr>
              <w:t>64 152</w:t>
            </w:r>
          </w:p>
        </w:tc>
        <w:tc>
          <w:tcPr>
            <w:tcW w:w="910" w:type="dxa"/>
            <w:tcBorders>
              <w:top w:val="nil"/>
              <w:left w:val="nil"/>
              <w:bottom w:val="single" w:sz="4" w:space="0" w:color="auto"/>
              <w:right w:val="nil"/>
            </w:tcBorders>
            <w:shd w:val="clear" w:color="auto" w:fill="auto"/>
            <w:noWrap/>
            <w:vAlign w:val="bottom"/>
            <w:hideMark/>
          </w:tcPr>
          <w:p w:rsidR="0089357B" w:rsidRPr="0089357B" w:rsidRDefault="0089357B"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9357B">
              <w:rPr>
                <w:rFonts w:ascii="Calibri" w:eastAsia="Times New Roman" w:hAnsi="Calibri" w:cs="Times New Roman"/>
                <w:color w:val="000000"/>
                <w:sz w:val="20"/>
                <w:szCs w:val="20"/>
                <w:lang w:eastAsia="en-AU"/>
              </w:rPr>
              <w:t>66 400</w:t>
            </w:r>
          </w:p>
        </w:tc>
        <w:tc>
          <w:tcPr>
            <w:tcW w:w="910" w:type="dxa"/>
            <w:tcBorders>
              <w:top w:val="nil"/>
              <w:left w:val="nil"/>
              <w:bottom w:val="single" w:sz="4" w:space="0" w:color="auto"/>
              <w:right w:val="nil"/>
            </w:tcBorders>
            <w:shd w:val="clear" w:color="auto" w:fill="auto"/>
            <w:noWrap/>
            <w:vAlign w:val="bottom"/>
            <w:hideMark/>
          </w:tcPr>
          <w:p w:rsidR="0089357B" w:rsidRPr="0089357B" w:rsidRDefault="0089357B"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9357B">
              <w:rPr>
                <w:rFonts w:ascii="Calibri" w:eastAsia="Times New Roman" w:hAnsi="Calibri" w:cs="Times New Roman"/>
                <w:color w:val="000000"/>
                <w:sz w:val="20"/>
                <w:szCs w:val="20"/>
                <w:lang w:eastAsia="en-AU"/>
              </w:rPr>
              <w:t>75 793</w:t>
            </w:r>
          </w:p>
        </w:tc>
        <w:tc>
          <w:tcPr>
            <w:tcW w:w="910" w:type="dxa"/>
            <w:tcBorders>
              <w:top w:val="nil"/>
              <w:left w:val="nil"/>
              <w:bottom w:val="single" w:sz="4" w:space="0" w:color="auto"/>
              <w:right w:val="nil"/>
            </w:tcBorders>
            <w:shd w:val="clear" w:color="auto" w:fill="auto"/>
            <w:noWrap/>
            <w:vAlign w:val="bottom"/>
            <w:hideMark/>
          </w:tcPr>
          <w:p w:rsidR="0089357B" w:rsidRPr="0089357B" w:rsidRDefault="0089357B"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9357B">
              <w:rPr>
                <w:rFonts w:ascii="Calibri" w:eastAsia="Times New Roman" w:hAnsi="Calibri" w:cs="Times New Roman"/>
                <w:color w:val="000000"/>
                <w:sz w:val="20"/>
                <w:szCs w:val="20"/>
                <w:lang w:eastAsia="en-AU"/>
              </w:rPr>
              <w:t>69 787</w:t>
            </w:r>
          </w:p>
        </w:tc>
        <w:tc>
          <w:tcPr>
            <w:tcW w:w="910" w:type="dxa"/>
            <w:tcBorders>
              <w:top w:val="nil"/>
              <w:left w:val="nil"/>
              <w:bottom w:val="single" w:sz="4" w:space="0" w:color="auto"/>
              <w:right w:val="nil"/>
            </w:tcBorders>
            <w:shd w:val="clear" w:color="auto" w:fill="auto"/>
            <w:noWrap/>
            <w:vAlign w:val="bottom"/>
            <w:hideMark/>
          </w:tcPr>
          <w:p w:rsidR="0089357B" w:rsidRPr="0089357B" w:rsidRDefault="0089357B"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9357B">
              <w:rPr>
                <w:rFonts w:ascii="Calibri" w:eastAsia="Times New Roman" w:hAnsi="Calibri" w:cs="Times New Roman"/>
                <w:color w:val="000000"/>
                <w:sz w:val="20"/>
                <w:szCs w:val="20"/>
                <w:lang w:eastAsia="en-AU"/>
              </w:rPr>
              <w:t>66 213</w:t>
            </w:r>
          </w:p>
        </w:tc>
        <w:tc>
          <w:tcPr>
            <w:tcW w:w="910" w:type="dxa"/>
            <w:tcBorders>
              <w:top w:val="nil"/>
              <w:left w:val="nil"/>
              <w:bottom w:val="single" w:sz="4" w:space="0" w:color="auto"/>
              <w:right w:val="nil"/>
            </w:tcBorders>
            <w:shd w:val="clear" w:color="auto" w:fill="auto"/>
            <w:noWrap/>
            <w:vAlign w:val="bottom"/>
            <w:hideMark/>
          </w:tcPr>
          <w:p w:rsidR="0089357B" w:rsidRPr="0089357B" w:rsidRDefault="0089357B"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9357B">
              <w:rPr>
                <w:rFonts w:ascii="Calibri" w:eastAsia="Times New Roman" w:hAnsi="Calibri" w:cs="Times New Roman"/>
                <w:color w:val="000000"/>
                <w:sz w:val="20"/>
                <w:szCs w:val="20"/>
                <w:lang w:eastAsia="en-AU"/>
              </w:rPr>
              <w:t>66 813</w:t>
            </w:r>
          </w:p>
        </w:tc>
        <w:tc>
          <w:tcPr>
            <w:tcW w:w="910" w:type="dxa"/>
            <w:tcBorders>
              <w:top w:val="nil"/>
              <w:left w:val="nil"/>
              <w:bottom w:val="single" w:sz="4" w:space="0" w:color="auto"/>
              <w:right w:val="nil"/>
            </w:tcBorders>
            <w:shd w:val="clear" w:color="auto" w:fill="auto"/>
            <w:noWrap/>
            <w:vAlign w:val="bottom"/>
            <w:hideMark/>
          </w:tcPr>
          <w:p w:rsidR="0089357B" w:rsidRPr="0089357B" w:rsidRDefault="0089357B" w:rsidP="007B705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9357B">
              <w:rPr>
                <w:rFonts w:ascii="Calibri" w:eastAsia="Times New Roman" w:hAnsi="Calibri" w:cs="Times New Roman"/>
                <w:color w:val="000000"/>
                <w:sz w:val="20"/>
                <w:szCs w:val="20"/>
                <w:lang w:eastAsia="en-AU"/>
              </w:rPr>
              <w:t>68 239</w:t>
            </w:r>
          </w:p>
        </w:tc>
      </w:tr>
    </w:tbl>
    <w:p w:rsidR="0089357B" w:rsidRPr="0089357B" w:rsidRDefault="0089357B" w:rsidP="0089357B">
      <w:pPr>
        <w:pStyle w:val="CGCTableFootnote"/>
      </w:pPr>
      <w:r>
        <w:t>Source:</w:t>
      </w:r>
      <w:r>
        <w:tab/>
        <w:t>Australian Education Union factsheet, taken from State enterprise agreements</w:t>
      </w:r>
      <w:r w:rsidR="007B7057">
        <w:t>.</w:t>
      </w:r>
    </w:p>
    <w:p w:rsidR="002F1E14" w:rsidRDefault="00B62B58" w:rsidP="000401AB">
      <w:pPr>
        <w:pStyle w:val="CGCNumberedPara"/>
      </w:pPr>
      <w:proofErr w:type="gramStart"/>
      <w:r>
        <w:t xml:space="preserve">Staff </w:t>
      </w:r>
      <w:r w:rsidR="007D4B33">
        <w:t>have</w:t>
      </w:r>
      <w:proofErr w:type="gramEnd"/>
      <w:r w:rsidR="007D4B33">
        <w:t xml:space="preserve"> not observed </w:t>
      </w:r>
      <w:r w:rsidR="0026174E">
        <w:t xml:space="preserve">evidence that </w:t>
      </w:r>
      <w:r w:rsidR="00A46210">
        <w:t xml:space="preserve">public sector </w:t>
      </w:r>
      <w:r w:rsidR="0026174E">
        <w:t>wages are equal</w:t>
      </w:r>
      <w:r w:rsidR="00D85176">
        <w:t xml:space="preserve"> </w:t>
      </w:r>
      <w:r w:rsidR="0026174E">
        <w:t xml:space="preserve">across States, even in those occupations for which the State government is a </w:t>
      </w:r>
      <w:r w:rsidR="000151CF">
        <w:t xml:space="preserve">major </w:t>
      </w:r>
      <w:r w:rsidR="0026174E">
        <w:t xml:space="preserve">employer. </w:t>
      </w:r>
      <w:r>
        <w:t xml:space="preserve">We </w:t>
      </w:r>
      <w:r w:rsidR="0026174E">
        <w:t xml:space="preserve">do </w:t>
      </w:r>
      <w:r w:rsidR="00CA2BCA">
        <w:t>accept</w:t>
      </w:r>
      <w:r w:rsidR="00BA31AF">
        <w:t xml:space="preserve"> that there may be</w:t>
      </w:r>
      <w:r w:rsidR="00B07BDB">
        <w:t xml:space="preserve"> </w:t>
      </w:r>
      <w:r w:rsidR="00BA31AF">
        <w:t>pressures on wages that are common to all States</w:t>
      </w:r>
      <w:r w:rsidR="00AB6936">
        <w:t>, such as the need to meet productivity</w:t>
      </w:r>
      <w:r w:rsidR="00E43C7E">
        <w:t xml:space="preserve"> and budgetary</w:t>
      </w:r>
      <w:r w:rsidR="00AB6936">
        <w:t xml:space="preserve"> targets</w:t>
      </w:r>
      <w:r w:rsidR="00BA31AF">
        <w:t>. However,</w:t>
      </w:r>
      <w:r w:rsidR="00172208">
        <w:t xml:space="preserve"> we currently consider that</w:t>
      </w:r>
      <w:r w:rsidR="00BA31AF">
        <w:t xml:space="preserve"> this does not </w:t>
      </w:r>
      <w:r w:rsidR="00D40BC2">
        <w:t>negate the impact of regional labour market influences</w:t>
      </w:r>
      <w:r w:rsidR="00BA31AF">
        <w:t xml:space="preserve">. The two can, and </w:t>
      </w:r>
      <w:r w:rsidR="00813FAD">
        <w:t xml:space="preserve">we </w:t>
      </w:r>
      <w:r w:rsidR="00BA31AF">
        <w:t xml:space="preserve">consider do, exist together, and </w:t>
      </w:r>
      <w:r w:rsidR="00813FAD">
        <w:t xml:space="preserve">on average </w:t>
      </w:r>
      <w:r w:rsidR="00BA31AF">
        <w:t xml:space="preserve">States </w:t>
      </w:r>
      <w:r w:rsidR="00813FAD">
        <w:t xml:space="preserve">appear to </w:t>
      </w:r>
      <w:r w:rsidR="00BA31AF">
        <w:t xml:space="preserve">respond to </w:t>
      </w:r>
      <w:r w:rsidR="00813FAD">
        <w:t>both</w:t>
      </w:r>
      <w:r w:rsidR="00BA31AF">
        <w:t xml:space="preserve">. </w:t>
      </w:r>
    </w:p>
    <w:p w:rsidR="00FF0A2B" w:rsidRDefault="00BA31AF" w:rsidP="00175236">
      <w:pPr>
        <w:pStyle w:val="CGCNumberedPara"/>
      </w:pPr>
      <w:r>
        <w:t xml:space="preserve">Should it become evident that States elect to establish nationally consistent wages for their employees, the Commission would </w:t>
      </w:r>
      <w:r w:rsidR="002F1E14">
        <w:t xml:space="preserve">need to </w:t>
      </w:r>
      <w:r>
        <w:t xml:space="preserve">consider </w:t>
      </w:r>
      <w:r w:rsidR="00037637">
        <w:t xml:space="preserve">if there is a </w:t>
      </w:r>
      <w:r>
        <w:t xml:space="preserve">role </w:t>
      </w:r>
      <w:r w:rsidR="00037637">
        <w:t xml:space="preserve">for </w:t>
      </w:r>
      <w:r>
        <w:t>equalisation in that context.</w:t>
      </w:r>
      <w:r w:rsidR="00037637">
        <w:t xml:space="preserve"> </w:t>
      </w:r>
    </w:p>
    <w:p w:rsidR="00175236" w:rsidRPr="007D3115" w:rsidRDefault="00175236" w:rsidP="00947A26">
      <w:pPr>
        <w:pStyle w:val="Heading4"/>
      </w:pPr>
      <w:bookmarkStart w:id="50" w:name="_Toc423962566"/>
      <w:bookmarkStart w:id="51" w:name="_Toc420942587"/>
      <w:bookmarkStart w:id="52" w:name="_Toc421616762"/>
      <w:bookmarkStart w:id="53" w:name="_Toc422130907"/>
      <w:bookmarkStart w:id="54" w:name="_Toc420916563"/>
      <w:r w:rsidRPr="007D3115">
        <w:t>Productivity differences</w:t>
      </w:r>
      <w:bookmarkEnd w:id="50"/>
    </w:p>
    <w:p w:rsidR="00175236" w:rsidRPr="007D3115" w:rsidRDefault="00175236" w:rsidP="00175236">
      <w:pPr>
        <w:pStyle w:val="CGCNumberedPara"/>
      </w:pPr>
      <w:r w:rsidRPr="007D3115" w:rsidDel="00585A49">
        <w:t>South Australia and Queensland have argued that differences in State productivity may account for all of the differences in wages observed in both the public and private sectors across States. They argue that it is not sufficient to observe wage differences if it is not established that the differences are between genuinely comparable employees.</w:t>
      </w:r>
    </w:p>
    <w:p w:rsidR="00175236" w:rsidRPr="007D3115" w:rsidRDefault="00175236" w:rsidP="00175236">
      <w:pPr>
        <w:pStyle w:val="CGCNumberedPara"/>
      </w:pPr>
      <w:r w:rsidRPr="007D3115">
        <w:t>We agree that there could be productivity differences between the public sectors of different States</w:t>
      </w:r>
      <w:r w:rsidR="00A118BF">
        <w:t>.</w:t>
      </w:r>
      <w:r w:rsidRPr="007D3115">
        <w:t xml:space="preserve"> </w:t>
      </w:r>
      <w:r w:rsidR="00A118BF">
        <w:t>H</w:t>
      </w:r>
      <w:r w:rsidR="00A118BF" w:rsidRPr="007D3115">
        <w:t>owever</w:t>
      </w:r>
      <w:r w:rsidR="00A118BF">
        <w:t>,</w:t>
      </w:r>
      <w:r w:rsidR="00A118BF" w:rsidRPr="007D3115">
        <w:t xml:space="preserve"> </w:t>
      </w:r>
      <w:r w:rsidRPr="007D3115">
        <w:t>it is less clear what impact those differences should have on the equalisation process.</w:t>
      </w:r>
    </w:p>
    <w:p w:rsidR="00175236" w:rsidRPr="007D3115" w:rsidRDefault="00175236" w:rsidP="00175236">
      <w:pPr>
        <w:pStyle w:val="CGCBulletlist"/>
      </w:pPr>
      <w:r w:rsidRPr="007D3115">
        <w:t>To the extent those productivity differences are likely to be influenced by State policy choice on how they organise the delivery of services, they should not be recognised in the equalisation process, as is the Commission’s usual approach.</w:t>
      </w:r>
    </w:p>
    <w:p w:rsidR="00175236" w:rsidRPr="007D3115" w:rsidRDefault="00175236" w:rsidP="00175236">
      <w:pPr>
        <w:pStyle w:val="CGCBulletlist"/>
      </w:pPr>
      <w:r w:rsidRPr="007D3115">
        <w:t>To the extent productivity differences are due to other influences outside State control, they should be recognised and, in the case of administrative scale and service delivery scale differences between States, they are.</w:t>
      </w:r>
    </w:p>
    <w:p w:rsidR="00175236" w:rsidRPr="007D3115" w:rsidRDefault="00175236" w:rsidP="00175236">
      <w:pPr>
        <w:pStyle w:val="CGCNumberedPara"/>
      </w:pPr>
      <w:r w:rsidRPr="007D3115">
        <w:t>There might be still other reasons outside State control. However,</w:t>
      </w:r>
      <w:r w:rsidR="007B7057">
        <w:t xml:space="preserve"> </w:t>
      </w:r>
      <w:r w:rsidRPr="007D3115">
        <w:t xml:space="preserve">as the data to either measure differences in State public sector productivity or isolate the impact of policy choice or other as yet unidentified influences on those differences </w:t>
      </w:r>
      <w:r w:rsidR="007B7057">
        <w:t xml:space="preserve">are </w:t>
      </w:r>
      <w:r w:rsidRPr="007D3115">
        <w:t>unavailable, we do not consider that there is a basis for any assessment of their impact on State service delivery costs.</w:t>
      </w:r>
    </w:p>
    <w:p w:rsidR="00175236" w:rsidRPr="007D3115" w:rsidRDefault="00175236" w:rsidP="00175236">
      <w:pPr>
        <w:pStyle w:val="CGCNumberedPara"/>
      </w:pPr>
      <w:r w:rsidRPr="007D3115">
        <w:t xml:space="preserve">These State comments do, however, raise the question of whether differences in private sector productivity which are reflected in our estimate of wage differentials for comparable private sector employees among States should be incorporated into our assessment of public sector wage costs. This is discussed from paragraph </w:t>
      </w:r>
      <w:r w:rsidR="00E00488">
        <w:t>55</w:t>
      </w:r>
      <w:r w:rsidRPr="007D3115">
        <w:t>.</w:t>
      </w:r>
    </w:p>
    <w:p w:rsidR="00947A26" w:rsidRPr="00872E68" w:rsidRDefault="00947A26" w:rsidP="00947A26">
      <w:pPr>
        <w:pStyle w:val="Heading4"/>
      </w:pPr>
      <w:bookmarkStart w:id="55" w:name="_Toc423962567"/>
      <w:r w:rsidRPr="007D3115">
        <w:t>Segmentation of private and public markets</w:t>
      </w:r>
      <w:bookmarkEnd w:id="51"/>
      <w:bookmarkEnd w:id="52"/>
      <w:bookmarkEnd w:id="53"/>
      <w:bookmarkEnd w:id="55"/>
    </w:p>
    <w:p w:rsidR="00947A26" w:rsidRPr="00872E68" w:rsidRDefault="00947A26" w:rsidP="00947A26">
      <w:pPr>
        <w:pStyle w:val="CGCNumberedPara"/>
      </w:pPr>
      <w:r w:rsidRPr="00872E68">
        <w:t>Victoria and Queensland have argued that State public and private labour markets are inherently different from each other, and that parity with the level of private sector wages has never formed an explicit part of the wage setting process in any State. Instead, these States argue that the primary focus when setting wages has been:</w:t>
      </w:r>
    </w:p>
    <w:p w:rsidR="00947A26" w:rsidRPr="00872E68" w:rsidRDefault="00947A26" w:rsidP="00131B92">
      <w:pPr>
        <w:pStyle w:val="CGCBulletlist"/>
      </w:pPr>
      <w:r w:rsidRPr="00872E68">
        <w:t xml:space="preserve">the wages paid to comparable employees in the other States, </w:t>
      </w:r>
    </w:p>
    <w:p w:rsidR="00947A26" w:rsidRPr="00872E68" w:rsidRDefault="00947A26" w:rsidP="00131B92">
      <w:pPr>
        <w:pStyle w:val="CGCBulletlist"/>
      </w:pPr>
      <w:r w:rsidRPr="00872E68">
        <w:t>cost</w:t>
      </w:r>
      <w:r>
        <w:t xml:space="preserve"> of </w:t>
      </w:r>
      <w:r w:rsidRPr="00872E68">
        <w:t>living increase</w:t>
      </w:r>
      <w:r w:rsidR="00A523F0" w:rsidRPr="00872E68">
        <w:t>s, and</w:t>
      </w:r>
    </w:p>
    <w:p w:rsidR="00947A26" w:rsidRPr="00872E68" w:rsidRDefault="00947A26" w:rsidP="00131B92">
      <w:pPr>
        <w:pStyle w:val="CGCBulletlist"/>
      </w:pPr>
      <w:proofErr w:type="gramStart"/>
      <w:r w:rsidRPr="00872E68">
        <w:t>their</w:t>
      </w:r>
      <w:proofErr w:type="gramEnd"/>
      <w:r w:rsidRPr="00872E68">
        <w:t xml:space="preserve"> budgetary constraints.</w:t>
      </w:r>
    </w:p>
    <w:p w:rsidR="00BC51CB" w:rsidRDefault="0073271E" w:rsidP="00947A26">
      <w:pPr>
        <w:pStyle w:val="CGCNumberedPara"/>
      </w:pPr>
      <w:proofErr w:type="gramStart"/>
      <w:r w:rsidRPr="00872E68">
        <w:t xml:space="preserve">Staff </w:t>
      </w:r>
      <w:r w:rsidR="00367EB8" w:rsidRPr="00872E68">
        <w:t>agree</w:t>
      </w:r>
      <w:proofErr w:type="gramEnd"/>
      <w:r w:rsidR="00367EB8" w:rsidRPr="00872E68">
        <w:t xml:space="preserve"> that States are free to set wages as they see fit, but consider that States will not be able to ignore fundamental labour market dynamics</w:t>
      </w:r>
      <w:r w:rsidR="004A2149">
        <w:t xml:space="preserve"> for long</w:t>
      </w:r>
      <w:r w:rsidR="00367EB8" w:rsidRPr="00872E68">
        <w:t>.</w:t>
      </w:r>
      <w:r w:rsidR="00D40BC2">
        <w:t xml:space="preserve"> </w:t>
      </w:r>
    </w:p>
    <w:p w:rsidR="00947A26" w:rsidRPr="00872E68" w:rsidRDefault="00D40BC2" w:rsidP="00947A26">
      <w:pPr>
        <w:pStyle w:val="CGCNumberedPara"/>
      </w:pPr>
      <w:r>
        <w:t xml:space="preserve">To the extent that </w:t>
      </w:r>
      <w:r w:rsidR="006826E4">
        <w:t>States do take account of cost of living, then this will also reflect differences in the cost of living between the States.</w:t>
      </w:r>
      <w:r w:rsidR="00947A26" w:rsidRPr="00872E68">
        <w:t xml:space="preserve"> </w:t>
      </w:r>
      <w:r w:rsidR="006826E4" w:rsidRPr="00872E68">
        <w:t>It is difficult to imagine a Tasmanian public sector enterprise arguing for cost-of-living wage increases on the basis of the cost</w:t>
      </w:r>
      <w:r w:rsidR="007B7057">
        <w:t xml:space="preserve"> </w:t>
      </w:r>
      <w:r w:rsidR="006826E4" w:rsidRPr="00872E68">
        <w:t>of</w:t>
      </w:r>
      <w:r w:rsidR="007B7057">
        <w:t xml:space="preserve"> </w:t>
      </w:r>
      <w:r w:rsidR="006826E4" w:rsidRPr="00872E68">
        <w:t>living in Perth, for instance.</w:t>
      </w:r>
    </w:p>
    <w:p w:rsidR="00D40BC2" w:rsidRPr="00AF1B54" w:rsidRDefault="00D40BC2" w:rsidP="00D40BC2">
      <w:pPr>
        <w:pStyle w:val="Heading4"/>
      </w:pPr>
      <w:bookmarkStart w:id="56" w:name="_Toc423962568"/>
      <w:r>
        <w:t>Other issues</w:t>
      </w:r>
      <w:bookmarkEnd w:id="56"/>
    </w:p>
    <w:p w:rsidR="00D40BC2" w:rsidRDefault="00D40BC2" w:rsidP="00D40BC2">
      <w:pPr>
        <w:pStyle w:val="CGCNumberedPara"/>
      </w:pPr>
      <w:r w:rsidRPr="00AF1B54">
        <w:t xml:space="preserve">Queensland has for many years opposed this assessment on the grounds that the conceptual case is flawed. It argues that location is an insufficient explanation for the observed differences in wages between the States, and instead submits these are purely the result of policy choices on behalf of the State governments. It considers the </w:t>
      </w:r>
      <w:r w:rsidR="009C40F5">
        <w:t>economic theories</w:t>
      </w:r>
      <w:r>
        <w:t xml:space="preserve"> used by the Commission</w:t>
      </w:r>
      <w:r w:rsidR="009C40F5">
        <w:t xml:space="preserve"> to explain wage differences between regions</w:t>
      </w:r>
      <w:r>
        <w:t xml:space="preserve"> do not apply to the Australian labour market. Queensland has put forward a number of arguments concerning the existence and drivers of the disability.</w:t>
      </w:r>
    </w:p>
    <w:p w:rsidR="00D40BC2" w:rsidRPr="00032009" w:rsidRDefault="00D40BC2" w:rsidP="00D40BC2">
      <w:pPr>
        <w:pStyle w:val="CGCNumberedPara"/>
      </w:pPr>
      <w:r>
        <w:t>Queensland has argued on the subject of cost</w:t>
      </w:r>
      <w:r w:rsidR="007B7057">
        <w:t xml:space="preserve"> </w:t>
      </w:r>
      <w:r>
        <w:t>of</w:t>
      </w:r>
      <w:r w:rsidR="007B7057">
        <w:t xml:space="preserve"> </w:t>
      </w:r>
      <w:r>
        <w:t xml:space="preserve">living </w:t>
      </w:r>
      <w:r w:rsidRPr="00032009">
        <w:t>impacting wage differentials that ‘inflation [is] broadly the same everywhere’</w:t>
      </w:r>
      <w:r w:rsidRPr="00032009">
        <w:rPr>
          <w:rStyle w:val="FootnoteReference"/>
        </w:rPr>
        <w:t xml:space="preserve"> </w:t>
      </w:r>
      <w:r w:rsidRPr="00032009">
        <w:rPr>
          <w:rStyle w:val="FootnoteReference"/>
        </w:rPr>
        <w:footnoteReference w:id="2"/>
      </w:r>
      <w:r w:rsidRPr="00032009">
        <w:t>, and therefore cannot be responsible for persistent differences in wages. However, there is considerable evidence of differences in cost</w:t>
      </w:r>
      <w:r w:rsidR="007B7057">
        <w:t xml:space="preserve"> </w:t>
      </w:r>
      <w:r w:rsidRPr="00032009">
        <w:t>of</w:t>
      </w:r>
      <w:r w:rsidR="007B7057">
        <w:t xml:space="preserve"> </w:t>
      </w:r>
      <w:r w:rsidRPr="00032009">
        <w:t>living between States. Studies suggest that there is considerable and growing spatial variation in prices in Australia</w:t>
      </w:r>
      <w:r w:rsidRPr="00032009">
        <w:rPr>
          <w:rStyle w:val="FootnoteReference"/>
        </w:rPr>
        <w:footnoteReference w:id="3"/>
      </w:r>
      <w:r w:rsidRPr="00032009">
        <w:t>, and considerable heterogeneity in housing in particular</w:t>
      </w:r>
      <w:r w:rsidRPr="00032009">
        <w:rPr>
          <w:rStyle w:val="FootnoteReference"/>
        </w:rPr>
        <w:footnoteReference w:id="4"/>
      </w:r>
      <w:r w:rsidRPr="00032009">
        <w:t>.</w:t>
      </w:r>
    </w:p>
    <w:p w:rsidR="00D40BC2" w:rsidRPr="00872E68" w:rsidRDefault="00D40BC2" w:rsidP="00D40BC2">
      <w:pPr>
        <w:pStyle w:val="CGCNumberedPara"/>
      </w:pPr>
      <w:r w:rsidRPr="00032009">
        <w:t xml:space="preserve">Queensland has also suggested that due to the free and open labour market in Australia, internal migration will over time eliminate </w:t>
      </w:r>
      <w:r w:rsidRPr="00872E68">
        <w:t>any private or public sector wage differentials between States, arguing that there is ‘no compelling reason for these differences to remain so persistent’</w:t>
      </w:r>
      <w:r>
        <w:t>. We accept the view that when internal migration eliminates disparities that the assessment should have no impact on the GST distribution. However we also note that</w:t>
      </w:r>
      <w:r w:rsidR="005936EE">
        <w:t xml:space="preserve"> it is current conditions we are interested in, and that</w:t>
      </w:r>
      <w:r>
        <w:t xml:space="preserve"> under some economic theories</w:t>
      </w:r>
      <w:r w:rsidR="005936EE">
        <w:t>,</w:t>
      </w:r>
      <w:r>
        <w:t xml:space="preserve"> differences in nominal wages can exist over the long term.</w:t>
      </w:r>
    </w:p>
    <w:p w:rsidR="00D40BC2" w:rsidRPr="00872E68" w:rsidRDefault="00D40BC2" w:rsidP="00D40BC2">
      <w:pPr>
        <w:pStyle w:val="CGCNumberedPara"/>
      </w:pPr>
      <w:r w:rsidRPr="00872E68">
        <w:t xml:space="preserve">Queensland has also argued that because public sector average weekly earnings are generally higher than private earnings, that the </w:t>
      </w:r>
      <w:r>
        <w:t>existence</w:t>
      </w:r>
      <w:r w:rsidRPr="00872E68">
        <w:t xml:space="preserve"> of</w:t>
      </w:r>
      <w:r w:rsidR="005936EE">
        <w:t xml:space="preserve"> similar</w:t>
      </w:r>
      <w:r w:rsidRPr="00872E68">
        <w:t xml:space="preserve"> wage pressures on both markets is disproved. </w:t>
      </w:r>
      <w:proofErr w:type="gramStart"/>
      <w:r>
        <w:t>Staff consider</w:t>
      </w:r>
      <w:proofErr w:type="gramEnd"/>
      <w:r>
        <w:t xml:space="preserve"> that it is not that public sector employees are paid more or less than the private sector, but that there are differences in the relative wages of private sector employees</w:t>
      </w:r>
      <w:r w:rsidR="00407CBE">
        <w:t xml:space="preserve"> among States</w:t>
      </w:r>
      <w:r>
        <w:t xml:space="preserve"> that are </w:t>
      </w:r>
      <w:r w:rsidR="005936EE">
        <w:t xml:space="preserve">also </w:t>
      </w:r>
      <w:r>
        <w:t>reflected in the relative wages of public sector employees</w:t>
      </w:r>
      <w:r w:rsidR="00407CBE">
        <w:t xml:space="preserve"> among States</w:t>
      </w:r>
      <w:r>
        <w:t>.</w:t>
      </w:r>
    </w:p>
    <w:p w:rsidR="00D40BC2" w:rsidRPr="00872E68" w:rsidRDefault="00D40BC2" w:rsidP="00D40BC2">
      <w:pPr>
        <w:pStyle w:val="CGCNumberedPara"/>
      </w:pPr>
      <w:r w:rsidRPr="00872E68">
        <w:t>Queensland has suggested that the persistence of wage differences may in fact be due to the Commission compensating State governments for high wage costs, suggesting that this may be a ’significant restriction on market forces’.</w:t>
      </w:r>
      <w:r>
        <w:t xml:space="preserve"> </w:t>
      </w:r>
      <w:r w:rsidRPr="00872E68">
        <w:t>Queensland argues that New South Wales does not have any non-policy reason to pay high wages, and does so only because of the grants received as a result of this assessment. This seems an unlikely argument because any assessment for higher wages only provides untied funds to a State; it need not allocate that to higher wages. Further, it appears inconsistent with New South Wales recording higher wages prior to the assessment being in operation.</w:t>
      </w:r>
    </w:p>
    <w:p w:rsidR="00D40BC2" w:rsidRPr="00872E68" w:rsidRDefault="00D40BC2" w:rsidP="00D40BC2">
      <w:pPr>
        <w:pStyle w:val="CGCNumberedPara"/>
      </w:pPr>
      <w:r w:rsidRPr="00872E68">
        <w:t xml:space="preserve">Queensland has also argued that if differences in the cost of housing drive the wage costs assessment, it effectively ‘compensates’ States for higher house prices, representing a transfer from residents in asset-poor States to residents in asset-rich States. Queensland argues this does not represent a case for equalisation. </w:t>
      </w:r>
      <w:proofErr w:type="gramStart"/>
      <w:r w:rsidRPr="00872E68">
        <w:t>Staff consider</w:t>
      </w:r>
      <w:proofErr w:type="gramEnd"/>
      <w:r w:rsidRPr="00872E68">
        <w:t xml:space="preserve"> that if housing does indeed put pressure on wages, then to not compensate States for this disability would not achieve HFE. We are tasked with equalising State fiscal posit</w:t>
      </w:r>
      <w:r w:rsidR="001B5A44">
        <w:t>i</w:t>
      </w:r>
      <w:r w:rsidRPr="00872E68">
        <w:t>ons, not household incomes.</w:t>
      </w:r>
    </w:p>
    <w:p w:rsidR="00A91DD3" w:rsidRPr="00AF1B54" w:rsidRDefault="007E256E" w:rsidP="00F61922">
      <w:pPr>
        <w:pStyle w:val="Heading3"/>
      </w:pPr>
      <w:bookmarkStart w:id="57" w:name="_Toc420916564"/>
      <w:bookmarkStart w:id="58" w:name="_Toc420940569"/>
      <w:bookmarkStart w:id="59" w:name="_Toc420942585"/>
      <w:bookmarkStart w:id="60" w:name="_Toc421616764"/>
      <w:bookmarkStart w:id="61" w:name="_Toc422130909"/>
      <w:bookmarkStart w:id="62" w:name="_Toc423962569"/>
      <w:bookmarkEnd w:id="54"/>
      <w:r w:rsidRPr="00AF1B54">
        <w:t xml:space="preserve">Does </w:t>
      </w:r>
      <w:r w:rsidR="00C617D6" w:rsidRPr="00AF1B54">
        <w:t>a</w:t>
      </w:r>
      <w:r w:rsidRPr="00AF1B54">
        <w:t xml:space="preserve"> regression approach </w:t>
      </w:r>
      <w:r w:rsidR="0048195E" w:rsidRPr="00AF1B54">
        <w:t>Measure</w:t>
      </w:r>
      <w:r w:rsidRPr="00AF1B54">
        <w:t xml:space="preserve"> </w:t>
      </w:r>
      <w:r w:rsidR="0048195E" w:rsidRPr="00AF1B54">
        <w:t>the disability</w:t>
      </w:r>
      <w:bookmarkEnd w:id="57"/>
      <w:bookmarkEnd w:id="58"/>
      <w:r w:rsidRPr="00AF1B54">
        <w:t>?</w:t>
      </w:r>
      <w:bookmarkEnd w:id="59"/>
      <w:bookmarkEnd w:id="60"/>
      <w:bookmarkEnd w:id="61"/>
      <w:bookmarkEnd w:id="62"/>
      <w:r w:rsidR="00A91DD3" w:rsidRPr="00AF1B54">
        <w:t xml:space="preserve"> </w:t>
      </w:r>
    </w:p>
    <w:p w:rsidR="0048195E" w:rsidRPr="00872E68" w:rsidRDefault="00E01601" w:rsidP="0048195E">
      <w:pPr>
        <w:pStyle w:val="CGCNumberedPara"/>
      </w:pPr>
      <w:r w:rsidRPr="00AF1B54">
        <w:t xml:space="preserve">On the assumption that </w:t>
      </w:r>
      <w:r w:rsidR="0048195E" w:rsidRPr="00AF1B54">
        <w:t>there is a case for a disability faced by States in wage setting, the Commission requires a method of measuring it that is robust, reliable, and policy neutral.</w:t>
      </w:r>
      <w:r w:rsidR="00582D0D" w:rsidRPr="00AF1B54">
        <w:t xml:space="preserve"> We </w:t>
      </w:r>
      <w:r w:rsidR="00904292" w:rsidRPr="00AF1B54">
        <w:t xml:space="preserve">consider that using direct </w:t>
      </w:r>
      <w:r w:rsidR="00582D0D" w:rsidRPr="00AF1B54">
        <w:t xml:space="preserve">public sector wage levels </w:t>
      </w:r>
      <w:r w:rsidR="00005EEE" w:rsidRPr="00AF1B54">
        <w:t xml:space="preserve">is inappropriate, as they </w:t>
      </w:r>
      <w:r w:rsidR="00582D0D" w:rsidRPr="00AF1B54">
        <w:t>are influenced by State government policies and priorities</w:t>
      </w:r>
      <w:r w:rsidR="00904292" w:rsidRPr="00872E68">
        <w:t>, and may not solely reflect the underlying disabilities</w:t>
      </w:r>
      <w:r w:rsidR="00582D0D" w:rsidRPr="00872E68">
        <w:t>.</w:t>
      </w:r>
      <w:r w:rsidR="0048195E" w:rsidRPr="00872E68">
        <w:t xml:space="preserve"> </w:t>
      </w:r>
    </w:p>
    <w:p w:rsidR="003547F8" w:rsidRPr="00872E68" w:rsidRDefault="00AA41CB" w:rsidP="00AA41CB">
      <w:pPr>
        <w:pStyle w:val="CGCNumberedPara"/>
      </w:pPr>
      <w:r w:rsidRPr="00872E68">
        <w:t>If there are underlying location influences which put pressure on wages, then they will not be confined to the public sector but will also be evident in the wages of the</w:t>
      </w:r>
      <w:r w:rsidR="000724EC" w:rsidRPr="00872E68">
        <w:t xml:space="preserve"> general</w:t>
      </w:r>
      <w:r w:rsidRPr="00872E68">
        <w:t xml:space="preserve"> </w:t>
      </w:r>
      <w:r w:rsidR="0045439A" w:rsidRPr="00872E68">
        <w:t xml:space="preserve">community. </w:t>
      </w:r>
      <w:r w:rsidR="00340DBB" w:rsidRPr="00872E68">
        <w:t xml:space="preserve">To this end, the Commission looks for evidence of </w:t>
      </w:r>
      <w:r w:rsidR="0048195E" w:rsidRPr="00872E68">
        <w:t>such</w:t>
      </w:r>
      <w:r w:rsidR="00340DBB" w:rsidRPr="00872E68">
        <w:t xml:space="preserve"> </w:t>
      </w:r>
      <w:r w:rsidR="0048195E" w:rsidRPr="00872E68">
        <w:t>influences</w:t>
      </w:r>
      <w:r w:rsidR="00340DBB" w:rsidRPr="00872E68">
        <w:t xml:space="preserve"> on private sector wage levels</w:t>
      </w:r>
      <w:r w:rsidR="00A91DD3" w:rsidRPr="00872E68">
        <w:t xml:space="preserve">, as measured by the wage received </w:t>
      </w:r>
      <w:r w:rsidR="00E01601" w:rsidRPr="00872E68">
        <w:t xml:space="preserve">in each State </w:t>
      </w:r>
      <w:r w:rsidR="00A91DD3" w:rsidRPr="00872E68">
        <w:t>by the average private sector employee</w:t>
      </w:r>
      <w:r w:rsidR="00340DBB" w:rsidRPr="00872E68">
        <w:t>.</w:t>
      </w:r>
      <w:r w:rsidR="0048195E" w:rsidRPr="00872E68">
        <w:t xml:space="preserve"> </w:t>
      </w:r>
    </w:p>
    <w:p w:rsidR="00453BD5" w:rsidRPr="00872E68" w:rsidRDefault="00FD4954" w:rsidP="009829B9">
      <w:pPr>
        <w:pStyle w:val="CGCNumberedPara"/>
      </w:pPr>
      <w:r>
        <w:t>T</w:t>
      </w:r>
      <w:r w:rsidR="00453BD5" w:rsidRPr="00872E68">
        <w:t>o estimate the wage of the ‘average’ or ‘comparable’ worker, we must remove the influence of differences in worker ch</w:t>
      </w:r>
      <w:r w:rsidR="009829B9" w:rsidRPr="00872E68">
        <w:t>aracteristics. As an example</w:t>
      </w:r>
      <w:r w:rsidR="005936EE">
        <w:t>:</w:t>
      </w:r>
      <w:r w:rsidR="009829B9" w:rsidRPr="00872E68">
        <w:t xml:space="preserve"> </w:t>
      </w:r>
      <w:r w:rsidR="00453BD5" w:rsidRPr="00872E68">
        <w:t>doctor</w:t>
      </w:r>
      <w:r w:rsidR="009829B9" w:rsidRPr="00872E68">
        <w:t>s receive higher wages than cleaners</w:t>
      </w:r>
      <w:r w:rsidR="00453BD5" w:rsidRPr="00872E68">
        <w:t>. If one State had many more doctors than cle</w:t>
      </w:r>
      <w:r w:rsidR="009829B9" w:rsidRPr="00872E68">
        <w:t>aners</w:t>
      </w:r>
      <w:r w:rsidR="00453BD5" w:rsidRPr="00872E68">
        <w:t xml:space="preserve">, not considering this </w:t>
      </w:r>
      <w:r w:rsidR="009829B9" w:rsidRPr="00872E68">
        <w:t>difference</w:t>
      </w:r>
      <w:r w:rsidR="00453BD5" w:rsidRPr="00872E68">
        <w:t xml:space="preserve"> would lead us to estimate a higher average wage where more doctors were located. This higher wage would not be due to </w:t>
      </w:r>
      <w:r w:rsidR="009829B9" w:rsidRPr="00872E68">
        <w:t>location, but due to the difference in occupation structure. We want to estimate the degree to which the wages of a doctor in one State differ from the average doctor, and how much a given cleaner’s wage differs from the average cleaner</w:t>
      </w:r>
      <w:r w:rsidR="005936EE">
        <w:t>s</w:t>
      </w:r>
      <w:r w:rsidR="009829B9" w:rsidRPr="00872E68">
        <w:t xml:space="preserve">. This can be achieved </w:t>
      </w:r>
      <w:r w:rsidR="002A7404" w:rsidRPr="00872E68">
        <w:t>for individual occupations</w:t>
      </w:r>
      <w:r w:rsidR="005936EE">
        <w:t>;</w:t>
      </w:r>
      <w:r w:rsidR="002A7404" w:rsidRPr="00872E68">
        <w:t xml:space="preserve"> for example as shown in </w:t>
      </w:r>
      <w:r w:rsidR="00E00488">
        <w:t>Table 1</w:t>
      </w:r>
      <w:r w:rsidR="002A7404" w:rsidRPr="00872E68">
        <w:t xml:space="preserve"> to </w:t>
      </w:r>
      <w:r w:rsidR="00E00488">
        <w:t>Table 3</w:t>
      </w:r>
      <w:r w:rsidR="002A7404" w:rsidRPr="00872E68">
        <w:t xml:space="preserve">. It can be achieved in aggregate </w:t>
      </w:r>
      <w:r w:rsidR="009829B9" w:rsidRPr="00872E68">
        <w:t>either through standardi</w:t>
      </w:r>
      <w:r w:rsidR="00293A2D">
        <w:t>s</w:t>
      </w:r>
      <w:r w:rsidR="009829B9" w:rsidRPr="00872E68">
        <w:t>ation or regression</w:t>
      </w:r>
      <w:r w:rsidR="002A7404" w:rsidRPr="00872E68">
        <w:t xml:space="preserve">, both of which capture the same underlying concept. </w:t>
      </w:r>
    </w:p>
    <w:p w:rsidR="0084644F" w:rsidRDefault="002A7404" w:rsidP="00AA41CB">
      <w:pPr>
        <w:pStyle w:val="CGCNumberedPara"/>
      </w:pPr>
      <w:r w:rsidRPr="00872E68">
        <w:t>Since 2004, we have used a regression model</w:t>
      </w:r>
      <w:r w:rsidR="0048195E" w:rsidRPr="00872E68">
        <w:t xml:space="preserve"> which controls for a large number of observable employee characteristics.</w:t>
      </w:r>
      <w:r w:rsidR="00592A4D" w:rsidRPr="00872E68">
        <w:t xml:space="preserve"> The data source </w:t>
      </w:r>
      <w:r w:rsidR="00E01601" w:rsidRPr="00872E68">
        <w:t xml:space="preserve">has been </w:t>
      </w:r>
      <w:r w:rsidR="00592A4D" w:rsidRPr="00872E68">
        <w:t>the SET.</w:t>
      </w:r>
      <w:r w:rsidR="003547F8" w:rsidRPr="00872E68">
        <w:t xml:space="preserve"> </w:t>
      </w:r>
      <w:r w:rsidR="006C37EA" w:rsidRPr="00872E68">
        <w:t>This approach has been critiqued b</w:t>
      </w:r>
      <w:r w:rsidR="006C37EA">
        <w:t>y a number of expert consultants</w:t>
      </w:r>
      <w:r w:rsidR="00A118BF">
        <w:t>, both labour market economists and econometricians,</w:t>
      </w:r>
      <w:r w:rsidR="006C37EA">
        <w:t xml:space="preserve"> on behalf of the Commission and the States</w:t>
      </w:r>
      <w:r w:rsidR="00A118BF">
        <w:t>.</w:t>
      </w:r>
      <w:r w:rsidR="006C37EA">
        <w:t xml:space="preserve"> </w:t>
      </w:r>
      <w:r w:rsidR="00A118BF">
        <w:t>T</w:t>
      </w:r>
      <w:r w:rsidR="006C37EA">
        <w:t xml:space="preserve">he Commission considers </w:t>
      </w:r>
      <w:r w:rsidR="00A118BF">
        <w:t xml:space="preserve">the model </w:t>
      </w:r>
      <w:r w:rsidR="006C37EA">
        <w:t xml:space="preserve">fit for purpose. </w:t>
      </w:r>
    </w:p>
    <w:p w:rsidR="00182D67" w:rsidRDefault="00182D67" w:rsidP="00182D67">
      <w:pPr>
        <w:pStyle w:val="CGCNumberedPara"/>
      </w:pPr>
      <w:r>
        <w:t xml:space="preserve">In this manner, </w:t>
      </w:r>
      <w:r w:rsidR="00760919">
        <w:t>we</w:t>
      </w:r>
      <w:r>
        <w:t xml:space="preserve"> take the relative private sector wage level of the </w:t>
      </w:r>
      <w:r w:rsidR="000D4F9F">
        <w:t>n</w:t>
      </w:r>
      <w:r w:rsidR="00C7672B">
        <w:t xml:space="preserve">ational </w:t>
      </w:r>
      <w:r>
        <w:t xml:space="preserve">average </w:t>
      </w:r>
      <w:r w:rsidR="007B3A76">
        <w:t xml:space="preserve">private sector </w:t>
      </w:r>
      <w:r>
        <w:t>employee in each State to be a policy neutral measure of the disability created by location influences on wages.</w:t>
      </w:r>
    </w:p>
    <w:p w:rsidR="00AA41CB" w:rsidRDefault="003547F8" w:rsidP="00AA41CB">
      <w:pPr>
        <w:pStyle w:val="CGCNumberedPara"/>
      </w:pPr>
      <w:r>
        <w:t xml:space="preserve">The results of this model are shown below in </w:t>
      </w:r>
      <w:r w:rsidR="00E00488">
        <w:t xml:space="preserve">Figure </w:t>
      </w:r>
      <w:r w:rsidR="00E00488">
        <w:rPr>
          <w:noProof/>
        </w:rPr>
        <w:t>4</w:t>
      </w:r>
      <w:r>
        <w:t xml:space="preserve">. They show that New South Wales, the ACT and the Northern Territory have had consistently higher than average wages, Queensland, South Australia, </w:t>
      </w:r>
      <w:proofErr w:type="gramStart"/>
      <w:r>
        <w:t>Tasmania</w:t>
      </w:r>
      <w:proofErr w:type="gramEnd"/>
      <w:r>
        <w:t xml:space="preserve"> and to a lesser extent Victoria lower than average wages, and Western Australia above average wages </w:t>
      </w:r>
      <w:r w:rsidR="00467976">
        <w:t>more recently</w:t>
      </w:r>
      <w:r>
        <w:t xml:space="preserve">. </w:t>
      </w:r>
    </w:p>
    <w:p w:rsidR="0084644F" w:rsidRDefault="0084644F" w:rsidP="0057687D">
      <w:pPr>
        <w:pStyle w:val="CGCNumberedPara"/>
      </w:pPr>
      <w:r>
        <w:t>The ABS has indicated it will replace the SET survey with an expanded annual survey known as the Characteristics of Employees (C</w:t>
      </w:r>
      <w:r w:rsidR="006D2631">
        <w:t>o</w:t>
      </w:r>
      <w:r>
        <w:t xml:space="preserve">E) survey. This </w:t>
      </w:r>
      <w:r w:rsidR="00E01601">
        <w:t xml:space="preserve">survey was run in </w:t>
      </w:r>
      <w:r w:rsidR="00D16217">
        <w:t xml:space="preserve">August 2014 and </w:t>
      </w:r>
      <w:r>
        <w:t>data sh</w:t>
      </w:r>
      <w:r w:rsidR="0014029A">
        <w:t>ould be available by August 2015</w:t>
      </w:r>
      <w:r w:rsidR="00D16217">
        <w:t>.</w:t>
      </w:r>
      <w:r>
        <w:t xml:space="preserve"> </w:t>
      </w:r>
      <w:proofErr w:type="gramStart"/>
      <w:r w:rsidR="00B416DD">
        <w:t>Staff expect</w:t>
      </w:r>
      <w:proofErr w:type="gramEnd"/>
      <w:r>
        <w:t xml:space="preserve"> to be able to apply a similar econometric model to th</w:t>
      </w:r>
      <w:r w:rsidR="00053F88">
        <w:t>ese</w:t>
      </w:r>
      <w:r>
        <w:t xml:space="preserve"> data to produce relativities on an annual basis.</w:t>
      </w:r>
      <w:r w:rsidR="00182D67">
        <w:t xml:space="preserve"> </w:t>
      </w:r>
    </w:p>
    <w:p w:rsidR="005A7D19" w:rsidRDefault="005A7D19" w:rsidP="00907D29">
      <w:pPr>
        <w:pStyle w:val="Caption"/>
        <w:ind w:left="0" w:firstLine="0"/>
      </w:pPr>
      <w:bookmarkStart w:id="63" w:name="_Ref419883445"/>
      <w:r>
        <w:t xml:space="preserve">Figure </w:t>
      </w:r>
      <w:fldSimple w:instr=" SEQ Figure \* ARABIC ">
        <w:r w:rsidR="00495218">
          <w:rPr>
            <w:noProof/>
          </w:rPr>
          <w:t>4</w:t>
        </w:r>
      </w:fldSimple>
      <w:bookmarkEnd w:id="63"/>
      <w:r>
        <w:t xml:space="preserve"> </w:t>
      </w:r>
      <w:r>
        <w:tab/>
        <w:t>Relative private sector wages for comparable employees, by State</w:t>
      </w:r>
    </w:p>
    <w:p w:rsidR="005A7D19" w:rsidRDefault="00053F88" w:rsidP="00907D29">
      <w:pPr>
        <w:pStyle w:val="ListParagraph"/>
        <w:keepNext/>
        <w:ind w:left="0"/>
      </w:pPr>
      <w:r w:rsidRPr="00053F88">
        <w:rPr>
          <w:noProof/>
          <w:lang w:eastAsia="en-AU"/>
        </w:rPr>
        <w:drawing>
          <wp:inline distT="0" distB="0" distL="0" distR="0" wp14:anchorId="63A2EE2D" wp14:editId="7C98172D">
            <wp:extent cx="5659120" cy="3562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59120" cy="3562985"/>
                    </a:xfrm>
                    <a:prstGeom prst="rect">
                      <a:avLst/>
                    </a:prstGeom>
                    <a:noFill/>
                    <a:ln>
                      <a:noFill/>
                    </a:ln>
                  </pic:spPr>
                </pic:pic>
              </a:graphicData>
            </a:graphic>
          </wp:inline>
        </w:drawing>
      </w:r>
    </w:p>
    <w:p w:rsidR="005A7D19" w:rsidRDefault="005A7D19" w:rsidP="00907D29">
      <w:pPr>
        <w:pStyle w:val="CGCTableFootnote"/>
        <w:keepNext/>
        <w:ind w:left="0" w:firstLine="0"/>
      </w:pPr>
      <w:r>
        <w:t xml:space="preserve">Source: </w:t>
      </w:r>
      <w:r>
        <w:tab/>
        <w:t xml:space="preserve">Commission analysis of ABS </w:t>
      </w:r>
      <w:r>
        <w:rPr>
          <w:i/>
        </w:rPr>
        <w:t>Survey of Education and Training</w:t>
      </w:r>
      <w:r>
        <w:t xml:space="preserve">, </w:t>
      </w:r>
      <w:r w:rsidR="00240AF2">
        <w:t>1997, 2001, 2005 and</w:t>
      </w:r>
      <w:r>
        <w:t xml:space="preserve"> 2009.</w:t>
      </w:r>
    </w:p>
    <w:p w:rsidR="00947EC7" w:rsidRDefault="00A91DD3" w:rsidP="00340DBB">
      <w:pPr>
        <w:pStyle w:val="CGCNumberedPara"/>
      </w:pPr>
      <w:r>
        <w:t>New South Wales, Western Australia, the ACT and the Northern Territory all agree that the wage level of the average private sector employee is an appropriate measure of the disability.</w:t>
      </w:r>
      <w:r w:rsidR="00D16217">
        <w:t xml:space="preserve"> </w:t>
      </w:r>
      <w:r>
        <w:t>Victoria, Queensland</w:t>
      </w:r>
      <w:r w:rsidR="00394C46">
        <w:t>,</w:t>
      </w:r>
      <w:r>
        <w:t xml:space="preserve"> South Australia</w:t>
      </w:r>
      <w:r w:rsidR="00394C46">
        <w:t xml:space="preserve"> and Tasmania </w:t>
      </w:r>
      <w:r>
        <w:t>do not.</w:t>
      </w:r>
      <w:r w:rsidR="00182D67">
        <w:t xml:space="preserve"> </w:t>
      </w:r>
      <w:r w:rsidR="00D16217">
        <w:t>These States have a range of concerns</w:t>
      </w:r>
      <w:r w:rsidR="00C617D6">
        <w:t>, outlined below</w:t>
      </w:r>
      <w:r w:rsidR="00D16217">
        <w:t>.</w:t>
      </w:r>
    </w:p>
    <w:p w:rsidR="00642A3C" w:rsidRDefault="00642A3C" w:rsidP="00642A3C">
      <w:pPr>
        <w:pStyle w:val="Heading4"/>
      </w:pPr>
      <w:bookmarkStart w:id="64" w:name="_Toc423962570"/>
      <w:bookmarkStart w:id="65" w:name="_Toc421616765"/>
      <w:bookmarkStart w:id="66" w:name="_Toc422130910"/>
      <w:bookmarkStart w:id="67" w:name="_Toc420942588"/>
      <w:r>
        <w:t>Adjusting for private sector productivity differences</w:t>
      </w:r>
      <w:bookmarkEnd w:id="64"/>
      <w:r>
        <w:t xml:space="preserve"> </w:t>
      </w:r>
    </w:p>
    <w:p w:rsidR="00AC5439" w:rsidRDefault="00AC5439" w:rsidP="00642A3C">
      <w:pPr>
        <w:pStyle w:val="CGCNumberedPara"/>
      </w:pPr>
      <w:bookmarkStart w:id="68" w:name="_Ref423524437"/>
      <w:proofErr w:type="gramStart"/>
      <w:r>
        <w:t>Staff accept</w:t>
      </w:r>
      <w:proofErr w:type="gramEnd"/>
      <w:r>
        <w:t xml:space="preserve"> that while productivity may cause differences in wages between States, it will not be the only driver of these differences. </w:t>
      </w:r>
      <w:proofErr w:type="gramStart"/>
      <w:r>
        <w:t>Staff consider</w:t>
      </w:r>
      <w:proofErr w:type="gramEnd"/>
      <w:r>
        <w:t xml:space="preserve"> the case of Western Australia in recent years to be an example of regional labour market dynamics leading to differences in relative wages.</w:t>
      </w:r>
      <w:bookmarkEnd w:id="68"/>
    </w:p>
    <w:p w:rsidR="00AC5439" w:rsidRPr="00AF1B54" w:rsidRDefault="00E00488" w:rsidP="00AC5439">
      <w:pPr>
        <w:pStyle w:val="CGCNumberedPara"/>
      </w:pPr>
      <w:r w:rsidRPr="00AF1B54">
        <w:t xml:space="preserve">Table </w:t>
      </w:r>
      <w:r>
        <w:rPr>
          <w:noProof/>
        </w:rPr>
        <w:t>4</w:t>
      </w:r>
      <w:r w:rsidR="00175236">
        <w:t xml:space="preserve"> </w:t>
      </w:r>
      <w:r w:rsidR="00AC5439" w:rsidRPr="00872E68">
        <w:t xml:space="preserve">provides a sample of occupations from </w:t>
      </w:r>
      <w:r w:rsidR="00AC5439" w:rsidRPr="00AF1B54">
        <w:t xml:space="preserve">Western Australia. It shows that a wide array of occupations receive much higher wages in that State compared to the national average. In this analysis, 48 of 51 occupations at the </w:t>
      </w:r>
      <w:r w:rsidR="00240AF2">
        <w:t>Australian and New Zealand Standard Classification of Occupation (ANZCO)</w:t>
      </w:r>
      <w:r w:rsidR="00AC5439" w:rsidRPr="00AF1B54">
        <w:t xml:space="preserve"> 2-digit level received higher than average wages in Western Australia.</w:t>
      </w:r>
    </w:p>
    <w:p w:rsidR="00AC5439" w:rsidRPr="00AF1B54" w:rsidRDefault="00AC5439" w:rsidP="00AC5439">
      <w:pPr>
        <w:pStyle w:val="Caption"/>
        <w:ind w:left="0" w:firstLine="0"/>
      </w:pPr>
      <w:bookmarkStart w:id="69" w:name="_Ref423526983"/>
      <w:r w:rsidRPr="00AF1B54">
        <w:t xml:space="preserve">Table </w:t>
      </w:r>
      <w:fldSimple w:instr=" SEQ Table \* ARABIC ">
        <w:r w:rsidR="00495218">
          <w:rPr>
            <w:noProof/>
          </w:rPr>
          <w:t>4</w:t>
        </w:r>
      </w:fldSimple>
      <w:bookmarkEnd w:id="69"/>
      <w:r w:rsidRPr="00AF1B54">
        <w:t xml:space="preserve"> </w:t>
      </w:r>
      <w:r w:rsidRPr="00AF1B54">
        <w:tab/>
        <w:t>Average wage for selected occupations, Western Australia and Australia</w:t>
      </w:r>
    </w:p>
    <w:tbl>
      <w:tblPr>
        <w:tblW w:w="9024" w:type="dxa"/>
        <w:tblInd w:w="108" w:type="dxa"/>
        <w:tblLook w:val="04A0" w:firstRow="1" w:lastRow="0" w:firstColumn="1" w:lastColumn="0" w:noHBand="0" w:noVBand="1"/>
      </w:tblPr>
      <w:tblGrid>
        <w:gridCol w:w="5116"/>
        <w:gridCol w:w="1716"/>
        <w:gridCol w:w="1056"/>
        <w:gridCol w:w="1136"/>
      </w:tblGrid>
      <w:tr w:rsidR="00AC5439" w:rsidRPr="00AF1B54" w:rsidTr="005441C8">
        <w:trPr>
          <w:trHeight w:val="315"/>
        </w:trPr>
        <w:tc>
          <w:tcPr>
            <w:tcW w:w="5116" w:type="dxa"/>
            <w:tcBorders>
              <w:top w:val="single" w:sz="4" w:space="0" w:color="auto"/>
              <w:left w:val="nil"/>
              <w:bottom w:val="single" w:sz="4" w:space="0" w:color="auto"/>
              <w:right w:val="nil"/>
            </w:tcBorders>
            <w:shd w:val="clear" w:color="auto" w:fill="auto"/>
            <w:noWrap/>
            <w:vAlign w:val="bottom"/>
            <w:hideMark/>
          </w:tcPr>
          <w:p w:rsidR="00AC5439" w:rsidRPr="00AF1B54" w:rsidRDefault="00AC5439" w:rsidP="005441C8">
            <w:pPr>
              <w:keepNext/>
              <w:tabs>
                <w:tab w:val="clear" w:pos="567"/>
              </w:tabs>
              <w:spacing w:after="0" w:line="240" w:lineRule="auto"/>
              <w:rPr>
                <w:rFonts w:ascii="Calibri" w:eastAsia="Times New Roman" w:hAnsi="Calibri" w:cs="Times New Roman"/>
                <w:color w:val="000000"/>
                <w:sz w:val="20"/>
                <w:szCs w:val="20"/>
                <w:lang w:eastAsia="en-AU"/>
              </w:rPr>
            </w:pPr>
            <w:r w:rsidRPr="00AF1B54">
              <w:rPr>
                <w:rFonts w:ascii="Calibri" w:eastAsia="Times New Roman" w:hAnsi="Calibri" w:cs="Times New Roman"/>
                <w:color w:val="000000"/>
                <w:sz w:val="20"/>
                <w:szCs w:val="20"/>
                <w:lang w:eastAsia="en-AU"/>
              </w:rPr>
              <w:t>2-digit Occupation</w:t>
            </w:r>
          </w:p>
        </w:tc>
        <w:tc>
          <w:tcPr>
            <w:tcW w:w="1716" w:type="dxa"/>
            <w:tcBorders>
              <w:top w:val="single" w:sz="4" w:space="0" w:color="auto"/>
              <w:left w:val="nil"/>
              <w:bottom w:val="single" w:sz="4" w:space="0" w:color="auto"/>
              <w:right w:val="nil"/>
            </w:tcBorders>
            <w:shd w:val="clear" w:color="auto" w:fill="auto"/>
            <w:noWrap/>
            <w:vAlign w:val="bottom"/>
            <w:hideMark/>
          </w:tcPr>
          <w:p w:rsidR="00AC5439" w:rsidRPr="00AF1B54" w:rsidRDefault="00AC5439" w:rsidP="005441C8">
            <w:pPr>
              <w:keepNext/>
              <w:tabs>
                <w:tab w:val="clear" w:pos="567"/>
              </w:tabs>
              <w:spacing w:after="0" w:line="240" w:lineRule="auto"/>
              <w:jc w:val="right"/>
              <w:rPr>
                <w:rFonts w:ascii="Calibri" w:eastAsia="Times New Roman" w:hAnsi="Calibri" w:cs="Times New Roman"/>
                <w:color w:val="000000"/>
                <w:sz w:val="20"/>
                <w:szCs w:val="20"/>
                <w:lang w:eastAsia="en-AU"/>
              </w:rPr>
            </w:pPr>
            <w:r w:rsidRPr="00AF1B54">
              <w:rPr>
                <w:rFonts w:ascii="Calibri" w:eastAsia="Times New Roman" w:hAnsi="Calibri" w:cs="Times New Roman"/>
                <w:color w:val="000000"/>
                <w:sz w:val="20"/>
                <w:szCs w:val="20"/>
                <w:lang w:eastAsia="en-AU"/>
              </w:rPr>
              <w:t>Western Australia</w:t>
            </w:r>
          </w:p>
        </w:tc>
        <w:tc>
          <w:tcPr>
            <w:tcW w:w="1056" w:type="dxa"/>
            <w:tcBorders>
              <w:top w:val="single" w:sz="4" w:space="0" w:color="auto"/>
              <w:left w:val="nil"/>
              <w:bottom w:val="single" w:sz="4" w:space="0" w:color="auto"/>
              <w:right w:val="nil"/>
            </w:tcBorders>
            <w:shd w:val="clear" w:color="auto" w:fill="auto"/>
            <w:noWrap/>
            <w:vAlign w:val="bottom"/>
            <w:hideMark/>
          </w:tcPr>
          <w:p w:rsidR="00AC5439" w:rsidRPr="00AF1B54" w:rsidRDefault="00AC5439" w:rsidP="005441C8">
            <w:pPr>
              <w:keepNext/>
              <w:tabs>
                <w:tab w:val="clear" w:pos="567"/>
              </w:tabs>
              <w:spacing w:after="0" w:line="240" w:lineRule="auto"/>
              <w:jc w:val="right"/>
              <w:rPr>
                <w:rFonts w:ascii="Calibri" w:eastAsia="Times New Roman" w:hAnsi="Calibri" w:cs="Times New Roman"/>
                <w:color w:val="000000"/>
                <w:sz w:val="20"/>
                <w:szCs w:val="20"/>
                <w:lang w:eastAsia="en-AU"/>
              </w:rPr>
            </w:pPr>
            <w:r w:rsidRPr="00AF1B54">
              <w:rPr>
                <w:rFonts w:ascii="Calibri" w:eastAsia="Times New Roman" w:hAnsi="Calibri" w:cs="Times New Roman"/>
                <w:color w:val="000000"/>
                <w:sz w:val="20"/>
                <w:szCs w:val="20"/>
                <w:lang w:eastAsia="en-AU"/>
              </w:rPr>
              <w:t>Australia</w:t>
            </w:r>
          </w:p>
        </w:tc>
        <w:tc>
          <w:tcPr>
            <w:tcW w:w="1136" w:type="dxa"/>
            <w:tcBorders>
              <w:top w:val="single" w:sz="4" w:space="0" w:color="auto"/>
              <w:left w:val="nil"/>
              <w:bottom w:val="single" w:sz="4" w:space="0" w:color="auto"/>
              <w:right w:val="nil"/>
            </w:tcBorders>
            <w:shd w:val="clear" w:color="auto" w:fill="auto"/>
            <w:noWrap/>
            <w:vAlign w:val="bottom"/>
            <w:hideMark/>
          </w:tcPr>
          <w:p w:rsidR="00AC5439" w:rsidRPr="00AF1B54" w:rsidRDefault="00AC5439" w:rsidP="005441C8">
            <w:pPr>
              <w:keepNext/>
              <w:tabs>
                <w:tab w:val="clear" w:pos="567"/>
              </w:tabs>
              <w:spacing w:after="0" w:line="240" w:lineRule="auto"/>
              <w:jc w:val="right"/>
              <w:rPr>
                <w:rFonts w:ascii="Calibri" w:eastAsia="Times New Roman" w:hAnsi="Calibri" w:cs="Times New Roman"/>
                <w:color w:val="000000"/>
                <w:sz w:val="20"/>
                <w:szCs w:val="20"/>
                <w:lang w:eastAsia="en-AU"/>
              </w:rPr>
            </w:pPr>
            <w:r w:rsidRPr="00AF1B54">
              <w:rPr>
                <w:rFonts w:ascii="Calibri" w:eastAsia="Times New Roman" w:hAnsi="Calibri" w:cs="Times New Roman"/>
                <w:color w:val="000000"/>
                <w:sz w:val="20"/>
                <w:szCs w:val="20"/>
                <w:lang w:eastAsia="en-AU"/>
              </w:rPr>
              <w:t>Difference</w:t>
            </w:r>
          </w:p>
        </w:tc>
      </w:tr>
      <w:tr w:rsidR="00AC5439" w:rsidRPr="00AF1B54" w:rsidTr="005441C8">
        <w:trPr>
          <w:trHeight w:val="259"/>
        </w:trPr>
        <w:tc>
          <w:tcPr>
            <w:tcW w:w="5116" w:type="dxa"/>
            <w:tcBorders>
              <w:top w:val="nil"/>
              <w:left w:val="nil"/>
              <w:bottom w:val="nil"/>
              <w:right w:val="nil"/>
            </w:tcBorders>
            <w:shd w:val="clear" w:color="auto" w:fill="auto"/>
            <w:noWrap/>
            <w:vAlign w:val="bottom"/>
            <w:hideMark/>
          </w:tcPr>
          <w:p w:rsidR="00AC5439" w:rsidRPr="00AF1B54" w:rsidRDefault="00AC5439" w:rsidP="005441C8">
            <w:pPr>
              <w:keepNext/>
              <w:tabs>
                <w:tab w:val="clear" w:pos="567"/>
              </w:tabs>
              <w:spacing w:after="0" w:line="240" w:lineRule="auto"/>
              <w:jc w:val="right"/>
              <w:rPr>
                <w:rFonts w:ascii="Calibri" w:eastAsia="Times New Roman" w:hAnsi="Calibri" w:cs="Times New Roman"/>
                <w:color w:val="000000"/>
                <w:sz w:val="20"/>
                <w:szCs w:val="20"/>
                <w:lang w:eastAsia="en-AU"/>
              </w:rPr>
            </w:pPr>
          </w:p>
        </w:tc>
        <w:tc>
          <w:tcPr>
            <w:tcW w:w="1716" w:type="dxa"/>
            <w:tcBorders>
              <w:top w:val="nil"/>
              <w:left w:val="nil"/>
              <w:bottom w:val="nil"/>
              <w:right w:val="nil"/>
            </w:tcBorders>
            <w:shd w:val="clear" w:color="auto" w:fill="auto"/>
            <w:noWrap/>
            <w:vAlign w:val="bottom"/>
            <w:hideMark/>
          </w:tcPr>
          <w:p w:rsidR="00AC5439" w:rsidRPr="00AF1B54" w:rsidRDefault="00AC5439" w:rsidP="005441C8">
            <w:pPr>
              <w:keepNext/>
              <w:tabs>
                <w:tab w:val="clear" w:pos="567"/>
              </w:tabs>
              <w:spacing w:after="0" w:line="240" w:lineRule="auto"/>
              <w:jc w:val="right"/>
              <w:rPr>
                <w:rFonts w:ascii="Calibri" w:eastAsia="Times New Roman" w:hAnsi="Calibri" w:cs="Times New Roman"/>
                <w:color w:val="000000"/>
                <w:sz w:val="20"/>
                <w:szCs w:val="20"/>
                <w:lang w:eastAsia="en-AU"/>
              </w:rPr>
            </w:pPr>
            <w:r w:rsidRPr="00AF1B54">
              <w:rPr>
                <w:rFonts w:ascii="Calibri" w:eastAsia="Times New Roman" w:hAnsi="Calibri" w:cs="Times New Roman"/>
                <w:color w:val="000000"/>
                <w:sz w:val="20"/>
                <w:szCs w:val="20"/>
                <w:lang w:eastAsia="en-AU"/>
              </w:rPr>
              <w:t>$</w:t>
            </w:r>
          </w:p>
        </w:tc>
        <w:tc>
          <w:tcPr>
            <w:tcW w:w="1056" w:type="dxa"/>
            <w:tcBorders>
              <w:top w:val="nil"/>
              <w:left w:val="nil"/>
              <w:bottom w:val="nil"/>
              <w:right w:val="nil"/>
            </w:tcBorders>
            <w:shd w:val="clear" w:color="auto" w:fill="auto"/>
            <w:noWrap/>
            <w:vAlign w:val="bottom"/>
            <w:hideMark/>
          </w:tcPr>
          <w:p w:rsidR="00AC5439" w:rsidRPr="00AF1B54" w:rsidRDefault="00AC5439" w:rsidP="005441C8">
            <w:pPr>
              <w:keepNext/>
              <w:tabs>
                <w:tab w:val="clear" w:pos="567"/>
              </w:tabs>
              <w:spacing w:after="0" w:line="240" w:lineRule="auto"/>
              <w:jc w:val="right"/>
              <w:rPr>
                <w:rFonts w:ascii="Calibri" w:eastAsia="Times New Roman" w:hAnsi="Calibri" w:cs="Times New Roman"/>
                <w:color w:val="000000"/>
                <w:sz w:val="20"/>
                <w:szCs w:val="20"/>
                <w:lang w:eastAsia="en-AU"/>
              </w:rPr>
            </w:pPr>
            <w:r w:rsidRPr="00AF1B54">
              <w:rPr>
                <w:rFonts w:ascii="Calibri" w:eastAsia="Times New Roman" w:hAnsi="Calibri" w:cs="Times New Roman"/>
                <w:color w:val="000000"/>
                <w:sz w:val="20"/>
                <w:szCs w:val="20"/>
                <w:lang w:eastAsia="en-AU"/>
              </w:rPr>
              <w:t>$</w:t>
            </w:r>
          </w:p>
        </w:tc>
        <w:tc>
          <w:tcPr>
            <w:tcW w:w="1136" w:type="dxa"/>
            <w:tcBorders>
              <w:top w:val="nil"/>
              <w:left w:val="nil"/>
              <w:bottom w:val="nil"/>
              <w:right w:val="nil"/>
            </w:tcBorders>
            <w:shd w:val="clear" w:color="auto" w:fill="auto"/>
            <w:noWrap/>
            <w:vAlign w:val="bottom"/>
            <w:hideMark/>
          </w:tcPr>
          <w:p w:rsidR="00AC5439" w:rsidRPr="00AF1B54" w:rsidRDefault="00AC5439" w:rsidP="005441C8">
            <w:pPr>
              <w:keepNext/>
              <w:tabs>
                <w:tab w:val="clear" w:pos="567"/>
              </w:tabs>
              <w:spacing w:after="0" w:line="240" w:lineRule="auto"/>
              <w:jc w:val="right"/>
              <w:rPr>
                <w:rFonts w:ascii="Calibri" w:eastAsia="Times New Roman" w:hAnsi="Calibri" w:cs="Times New Roman"/>
                <w:color w:val="000000"/>
                <w:sz w:val="20"/>
                <w:szCs w:val="20"/>
                <w:lang w:eastAsia="en-AU"/>
              </w:rPr>
            </w:pPr>
            <w:r w:rsidRPr="00AF1B54">
              <w:rPr>
                <w:rFonts w:ascii="Calibri" w:eastAsia="Times New Roman" w:hAnsi="Calibri" w:cs="Times New Roman"/>
                <w:color w:val="000000"/>
                <w:sz w:val="20"/>
                <w:szCs w:val="20"/>
                <w:lang w:eastAsia="en-AU"/>
              </w:rPr>
              <w:t>$</w:t>
            </w:r>
          </w:p>
        </w:tc>
      </w:tr>
      <w:tr w:rsidR="00AC5439" w:rsidRPr="00AF1B54" w:rsidTr="005441C8">
        <w:trPr>
          <w:trHeight w:val="315"/>
        </w:trPr>
        <w:tc>
          <w:tcPr>
            <w:tcW w:w="5116" w:type="dxa"/>
            <w:tcBorders>
              <w:top w:val="nil"/>
              <w:left w:val="nil"/>
              <w:bottom w:val="nil"/>
              <w:right w:val="nil"/>
            </w:tcBorders>
            <w:shd w:val="clear" w:color="auto" w:fill="auto"/>
            <w:noWrap/>
            <w:vAlign w:val="bottom"/>
            <w:hideMark/>
          </w:tcPr>
          <w:p w:rsidR="00AC5439" w:rsidRPr="00AF1B54" w:rsidRDefault="00AC5439" w:rsidP="005441C8">
            <w:pPr>
              <w:keepNext/>
              <w:tabs>
                <w:tab w:val="clear" w:pos="567"/>
              </w:tabs>
              <w:spacing w:after="0" w:line="240" w:lineRule="auto"/>
              <w:rPr>
                <w:rFonts w:ascii="Calibri" w:eastAsia="Times New Roman" w:hAnsi="Calibri" w:cs="Times New Roman"/>
                <w:color w:val="000000"/>
                <w:sz w:val="20"/>
                <w:szCs w:val="20"/>
                <w:lang w:eastAsia="en-AU"/>
              </w:rPr>
            </w:pPr>
            <w:r w:rsidRPr="00AF1B54">
              <w:rPr>
                <w:rFonts w:ascii="Calibri" w:eastAsia="Times New Roman" w:hAnsi="Calibri" w:cs="Times New Roman"/>
                <w:color w:val="000000"/>
                <w:sz w:val="20"/>
                <w:szCs w:val="20"/>
                <w:lang w:eastAsia="en-AU"/>
              </w:rPr>
              <w:t>Hospitality, Retail and Service Managers</w:t>
            </w:r>
          </w:p>
        </w:tc>
        <w:tc>
          <w:tcPr>
            <w:tcW w:w="1716" w:type="dxa"/>
            <w:tcBorders>
              <w:top w:val="nil"/>
              <w:left w:val="nil"/>
              <w:bottom w:val="nil"/>
              <w:right w:val="nil"/>
            </w:tcBorders>
            <w:shd w:val="clear" w:color="auto" w:fill="auto"/>
            <w:noWrap/>
            <w:vAlign w:val="bottom"/>
            <w:hideMark/>
          </w:tcPr>
          <w:p w:rsidR="00AC5439" w:rsidRPr="00AF1B54" w:rsidRDefault="00AC5439" w:rsidP="005441C8">
            <w:pPr>
              <w:keepNext/>
              <w:tabs>
                <w:tab w:val="clear" w:pos="567"/>
              </w:tabs>
              <w:spacing w:after="0" w:line="240" w:lineRule="auto"/>
              <w:jc w:val="right"/>
              <w:rPr>
                <w:rFonts w:ascii="Calibri" w:eastAsia="Times New Roman" w:hAnsi="Calibri" w:cs="Times New Roman"/>
                <w:color w:val="000000"/>
                <w:sz w:val="20"/>
                <w:szCs w:val="20"/>
                <w:lang w:eastAsia="en-AU"/>
              </w:rPr>
            </w:pPr>
            <w:r w:rsidRPr="00AF1B54">
              <w:rPr>
                <w:rFonts w:ascii="Calibri" w:eastAsia="Times New Roman" w:hAnsi="Calibri" w:cs="Times New Roman"/>
                <w:color w:val="000000"/>
                <w:sz w:val="20"/>
                <w:szCs w:val="20"/>
                <w:lang w:eastAsia="en-AU"/>
              </w:rPr>
              <w:t xml:space="preserve"> 57 593</w:t>
            </w:r>
          </w:p>
        </w:tc>
        <w:tc>
          <w:tcPr>
            <w:tcW w:w="1056" w:type="dxa"/>
            <w:tcBorders>
              <w:top w:val="nil"/>
              <w:left w:val="nil"/>
              <w:bottom w:val="nil"/>
              <w:right w:val="nil"/>
            </w:tcBorders>
            <w:shd w:val="clear" w:color="auto" w:fill="auto"/>
            <w:noWrap/>
            <w:vAlign w:val="bottom"/>
            <w:hideMark/>
          </w:tcPr>
          <w:p w:rsidR="00AC5439" w:rsidRPr="00AF1B54" w:rsidRDefault="00AC5439" w:rsidP="005441C8">
            <w:pPr>
              <w:keepNext/>
              <w:tabs>
                <w:tab w:val="clear" w:pos="567"/>
              </w:tabs>
              <w:spacing w:after="0" w:line="240" w:lineRule="auto"/>
              <w:jc w:val="right"/>
              <w:rPr>
                <w:rFonts w:ascii="Calibri" w:eastAsia="Times New Roman" w:hAnsi="Calibri" w:cs="Times New Roman"/>
                <w:color w:val="000000"/>
                <w:sz w:val="20"/>
                <w:szCs w:val="20"/>
                <w:lang w:eastAsia="en-AU"/>
              </w:rPr>
            </w:pPr>
            <w:r w:rsidRPr="00AF1B54">
              <w:rPr>
                <w:rFonts w:ascii="Calibri" w:eastAsia="Times New Roman" w:hAnsi="Calibri" w:cs="Times New Roman"/>
                <w:color w:val="000000"/>
                <w:sz w:val="20"/>
                <w:szCs w:val="20"/>
                <w:lang w:eastAsia="en-AU"/>
              </w:rPr>
              <w:t xml:space="preserve"> 53 676</w:t>
            </w:r>
          </w:p>
        </w:tc>
        <w:tc>
          <w:tcPr>
            <w:tcW w:w="1136" w:type="dxa"/>
            <w:tcBorders>
              <w:top w:val="nil"/>
              <w:left w:val="nil"/>
              <w:bottom w:val="nil"/>
              <w:right w:val="nil"/>
            </w:tcBorders>
            <w:shd w:val="clear" w:color="auto" w:fill="auto"/>
            <w:noWrap/>
            <w:vAlign w:val="bottom"/>
            <w:hideMark/>
          </w:tcPr>
          <w:p w:rsidR="00AC5439" w:rsidRPr="00AF1B54" w:rsidRDefault="00AC5439" w:rsidP="005441C8">
            <w:pPr>
              <w:keepNext/>
              <w:tabs>
                <w:tab w:val="clear" w:pos="567"/>
              </w:tabs>
              <w:spacing w:after="0" w:line="240" w:lineRule="auto"/>
              <w:jc w:val="right"/>
              <w:rPr>
                <w:rFonts w:ascii="Calibri" w:eastAsia="Times New Roman" w:hAnsi="Calibri" w:cs="Times New Roman"/>
                <w:color w:val="000000"/>
                <w:sz w:val="20"/>
                <w:szCs w:val="20"/>
                <w:lang w:eastAsia="en-AU"/>
              </w:rPr>
            </w:pPr>
            <w:r w:rsidRPr="00AF1B54">
              <w:rPr>
                <w:rFonts w:ascii="Calibri" w:eastAsia="Times New Roman" w:hAnsi="Calibri" w:cs="Times New Roman"/>
                <w:color w:val="000000"/>
                <w:sz w:val="20"/>
                <w:szCs w:val="20"/>
                <w:lang w:eastAsia="en-AU"/>
              </w:rPr>
              <w:t xml:space="preserve"> 3 917</w:t>
            </w:r>
          </w:p>
        </w:tc>
      </w:tr>
      <w:tr w:rsidR="00AC5439" w:rsidRPr="00AF1B54" w:rsidTr="005441C8">
        <w:trPr>
          <w:trHeight w:val="315"/>
        </w:trPr>
        <w:tc>
          <w:tcPr>
            <w:tcW w:w="5116" w:type="dxa"/>
            <w:tcBorders>
              <w:top w:val="nil"/>
              <w:left w:val="nil"/>
              <w:bottom w:val="nil"/>
              <w:right w:val="nil"/>
            </w:tcBorders>
            <w:shd w:val="clear" w:color="auto" w:fill="auto"/>
            <w:vAlign w:val="bottom"/>
            <w:hideMark/>
          </w:tcPr>
          <w:p w:rsidR="00AC5439" w:rsidRPr="00AF1B54" w:rsidRDefault="00AC5439" w:rsidP="005441C8">
            <w:pPr>
              <w:keepNext/>
              <w:tabs>
                <w:tab w:val="clear" w:pos="567"/>
              </w:tabs>
              <w:spacing w:after="0" w:line="240" w:lineRule="auto"/>
              <w:rPr>
                <w:rFonts w:ascii="Calibri" w:eastAsia="Times New Roman" w:hAnsi="Calibri" w:cs="Times New Roman"/>
                <w:color w:val="000000"/>
                <w:sz w:val="20"/>
                <w:szCs w:val="20"/>
                <w:lang w:eastAsia="en-AU"/>
              </w:rPr>
            </w:pPr>
            <w:r w:rsidRPr="00AF1B54">
              <w:rPr>
                <w:rFonts w:ascii="Calibri" w:eastAsia="Times New Roman" w:hAnsi="Calibri" w:cs="Times New Roman"/>
                <w:color w:val="000000"/>
                <w:sz w:val="20"/>
                <w:szCs w:val="20"/>
                <w:lang w:eastAsia="en-AU"/>
              </w:rPr>
              <w:t>Design, Engineering, Science and Transport Professionals</w:t>
            </w:r>
          </w:p>
        </w:tc>
        <w:tc>
          <w:tcPr>
            <w:tcW w:w="1716" w:type="dxa"/>
            <w:tcBorders>
              <w:top w:val="nil"/>
              <w:left w:val="nil"/>
              <w:bottom w:val="nil"/>
              <w:right w:val="nil"/>
            </w:tcBorders>
            <w:shd w:val="clear" w:color="auto" w:fill="auto"/>
            <w:vAlign w:val="bottom"/>
            <w:hideMark/>
          </w:tcPr>
          <w:p w:rsidR="00AC5439" w:rsidRPr="00AF1B54" w:rsidRDefault="00AC5439" w:rsidP="005441C8">
            <w:pPr>
              <w:keepNext/>
              <w:tabs>
                <w:tab w:val="clear" w:pos="567"/>
              </w:tabs>
              <w:spacing w:after="0" w:line="240" w:lineRule="auto"/>
              <w:jc w:val="right"/>
              <w:rPr>
                <w:rFonts w:ascii="Calibri" w:eastAsia="Times New Roman" w:hAnsi="Calibri" w:cs="Times New Roman"/>
                <w:color w:val="000000"/>
                <w:sz w:val="20"/>
                <w:szCs w:val="20"/>
                <w:lang w:eastAsia="en-AU"/>
              </w:rPr>
            </w:pPr>
            <w:r w:rsidRPr="00AF1B54">
              <w:rPr>
                <w:rFonts w:ascii="Calibri" w:eastAsia="Times New Roman" w:hAnsi="Calibri" w:cs="Times New Roman"/>
                <w:color w:val="000000"/>
                <w:sz w:val="20"/>
                <w:szCs w:val="20"/>
                <w:lang w:eastAsia="en-AU"/>
              </w:rPr>
              <w:t xml:space="preserve"> 92 295</w:t>
            </w:r>
          </w:p>
        </w:tc>
        <w:tc>
          <w:tcPr>
            <w:tcW w:w="1056" w:type="dxa"/>
            <w:tcBorders>
              <w:top w:val="nil"/>
              <w:left w:val="nil"/>
              <w:bottom w:val="nil"/>
              <w:right w:val="nil"/>
            </w:tcBorders>
            <w:shd w:val="clear" w:color="auto" w:fill="auto"/>
            <w:vAlign w:val="bottom"/>
            <w:hideMark/>
          </w:tcPr>
          <w:p w:rsidR="00AC5439" w:rsidRPr="00AF1B54" w:rsidRDefault="00AC5439" w:rsidP="005441C8">
            <w:pPr>
              <w:keepNext/>
              <w:tabs>
                <w:tab w:val="clear" w:pos="567"/>
              </w:tabs>
              <w:spacing w:after="0" w:line="240" w:lineRule="auto"/>
              <w:jc w:val="right"/>
              <w:rPr>
                <w:rFonts w:ascii="Calibri" w:eastAsia="Times New Roman" w:hAnsi="Calibri" w:cs="Times New Roman"/>
                <w:color w:val="000000"/>
                <w:sz w:val="20"/>
                <w:szCs w:val="20"/>
                <w:lang w:eastAsia="en-AU"/>
              </w:rPr>
            </w:pPr>
            <w:r w:rsidRPr="00AF1B54">
              <w:rPr>
                <w:rFonts w:ascii="Calibri" w:eastAsia="Times New Roman" w:hAnsi="Calibri" w:cs="Times New Roman"/>
                <w:color w:val="000000"/>
                <w:sz w:val="20"/>
                <w:szCs w:val="20"/>
                <w:lang w:eastAsia="en-AU"/>
              </w:rPr>
              <w:t xml:space="preserve"> 78 078</w:t>
            </w:r>
          </w:p>
        </w:tc>
        <w:tc>
          <w:tcPr>
            <w:tcW w:w="1136" w:type="dxa"/>
            <w:tcBorders>
              <w:top w:val="nil"/>
              <w:left w:val="nil"/>
              <w:bottom w:val="nil"/>
              <w:right w:val="nil"/>
            </w:tcBorders>
            <w:shd w:val="clear" w:color="auto" w:fill="auto"/>
            <w:vAlign w:val="bottom"/>
            <w:hideMark/>
          </w:tcPr>
          <w:p w:rsidR="00AC5439" w:rsidRPr="00AF1B54" w:rsidRDefault="00AC5439" w:rsidP="005441C8">
            <w:pPr>
              <w:keepNext/>
              <w:tabs>
                <w:tab w:val="clear" w:pos="567"/>
              </w:tabs>
              <w:spacing w:after="0" w:line="240" w:lineRule="auto"/>
              <w:jc w:val="right"/>
              <w:rPr>
                <w:rFonts w:ascii="Calibri" w:eastAsia="Times New Roman" w:hAnsi="Calibri" w:cs="Times New Roman"/>
                <w:color w:val="000000"/>
                <w:sz w:val="20"/>
                <w:szCs w:val="20"/>
                <w:lang w:eastAsia="en-AU"/>
              </w:rPr>
            </w:pPr>
            <w:r w:rsidRPr="00AF1B54">
              <w:rPr>
                <w:rFonts w:ascii="Calibri" w:eastAsia="Times New Roman" w:hAnsi="Calibri" w:cs="Times New Roman"/>
                <w:color w:val="000000"/>
                <w:sz w:val="20"/>
                <w:szCs w:val="20"/>
                <w:lang w:eastAsia="en-AU"/>
              </w:rPr>
              <w:t xml:space="preserve"> 14 217</w:t>
            </w:r>
          </w:p>
        </w:tc>
      </w:tr>
      <w:tr w:rsidR="00AC5439" w:rsidRPr="00AF1B54" w:rsidTr="005441C8">
        <w:trPr>
          <w:trHeight w:val="315"/>
        </w:trPr>
        <w:tc>
          <w:tcPr>
            <w:tcW w:w="5116" w:type="dxa"/>
            <w:tcBorders>
              <w:top w:val="nil"/>
              <w:left w:val="nil"/>
              <w:bottom w:val="nil"/>
              <w:right w:val="nil"/>
            </w:tcBorders>
            <w:shd w:val="clear" w:color="auto" w:fill="auto"/>
            <w:noWrap/>
            <w:vAlign w:val="bottom"/>
            <w:hideMark/>
          </w:tcPr>
          <w:p w:rsidR="00AC5439" w:rsidRPr="00AF1B54" w:rsidRDefault="00AC5439" w:rsidP="005441C8">
            <w:pPr>
              <w:keepNext/>
              <w:tabs>
                <w:tab w:val="clear" w:pos="567"/>
              </w:tabs>
              <w:spacing w:after="0" w:line="240" w:lineRule="auto"/>
              <w:rPr>
                <w:rFonts w:ascii="Calibri" w:eastAsia="Times New Roman" w:hAnsi="Calibri" w:cs="Times New Roman"/>
                <w:color w:val="000000"/>
                <w:sz w:val="20"/>
                <w:szCs w:val="20"/>
                <w:lang w:eastAsia="en-AU"/>
              </w:rPr>
            </w:pPr>
            <w:r w:rsidRPr="00AF1B54">
              <w:rPr>
                <w:rFonts w:ascii="Calibri" w:eastAsia="Times New Roman" w:hAnsi="Calibri" w:cs="Times New Roman"/>
                <w:color w:val="000000"/>
                <w:sz w:val="20"/>
                <w:szCs w:val="20"/>
                <w:lang w:eastAsia="en-AU"/>
              </w:rPr>
              <w:t>Food Trades Workers</w:t>
            </w:r>
          </w:p>
        </w:tc>
        <w:tc>
          <w:tcPr>
            <w:tcW w:w="1716" w:type="dxa"/>
            <w:tcBorders>
              <w:top w:val="nil"/>
              <w:left w:val="nil"/>
              <w:bottom w:val="nil"/>
              <w:right w:val="nil"/>
            </w:tcBorders>
            <w:shd w:val="clear" w:color="auto" w:fill="auto"/>
            <w:noWrap/>
            <w:vAlign w:val="bottom"/>
            <w:hideMark/>
          </w:tcPr>
          <w:p w:rsidR="00AC5439" w:rsidRPr="00AF1B54" w:rsidRDefault="00AC5439" w:rsidP="005441C8">
            <w:pPr>
              <w:keepNext/>
              <w:tabs>
                <w:tab w:val="clear" w:pos="567"/>
              </w:tabs>
              <w:spacing w:after="0" w:line="240" w:lineRule="auto"/>
              <w:jc w:val="right"/>
              <w:rPr>
                <w:rFonts w:ascii="Calibri" w:eastAsia="Times New Roman" w:hAnsi="Calibri" w:cs="Times New Roman"/>
                <w:color w:val="000000"/>
                <w:sz w:val="20"/>
                <w:szCs w:val="20"/>
                <w:lang w:eastAsia="en-AU"/>
              </w:rPr>
            </w:pPr>
            <w:r w:rsidRPr="00AF1B54">
              <w:rPr>
                <w:rFonts w:ascii="Calibri" w:eastAsia="Times New Roman" w:hAnsi="Calibri" w:cs="Times New Roman"/>
                <w:color w:val="000000"/>
                <w:sz w:val="20"/>
                <w:szCs w:val="20"/>
                <w:lang w:eastAsia="en-AU"/>
              </w:rPr>
              <w:t xml:space="preserve"> 43 065</w:t>
            </w:r>
          </w:p>
        </w:tc>
        <w:tc>
          <w:tcPr>
            <w:tcW w:w="1056" w:type="dxa"/>
            <w:tcBorders>
              <w:top w:val="nil"/>
              <w:left w:val="nil"/>
              <w:bottom w:val="nil"/>
              <w:right w:val="nil"/>
            </w:tcBorders>
            <w:shd w:val="clear" w:color="auto" w:fill="auto"/>
            <w:noWrap/>
            <w:vAlign w:val="bottom"/>
            <w:hideMark/>
          </w:tcPr>
          <w:p w:rsidR="00AC5439" w:rsidRPr="00AF1B54" w:rsidRDefault="00AC5439" w:rsidP="005441C8">
            <w:pPr>
              <w:keepNext/>
              <w:tabs>
                <w:tab w:val="clear" w:pos="567"/>
              </w:tabs>
              <w:spacing w:after="0" w:line="240" w:lineRule="auto"/>
              <w:jc w:val="right"/>
              <w:rPr>
                <w:rFonts w:ascii="Calibri" w:eastAsia="Times New Roman" w:hAnsi="Calibri" w:cs="Times New Roman"/>
                <w:color w:val="000000"/>
                <w:sz w:val="20"/>
                <w:szCs w:val="20"/>
                <w:lang w:eastAsia="en-AU"/>
              </w:rPr>
            </w:pPr>
            <w:r w:rsidRPr="00AF1B54">
              <w:rPr>
                <w:rFonts w:ascii="Calibri" w:eastAsia="Times New Roman" w:hAnsi="Calibri" w:cs="Times New Roman"/>
                <w:color w:val="000000"/>
                <w:sz w:val="20"/>
                <w:szCs w:val="20"/>
                <w:lang w:eastAsia="en-AU"/>
              </w:rPr>
              <w:t xml:space="preserve"> 36 584</w:t>
            </w:r>
          </w:p>
        </w:tc>
        <w:tc>
          <w:tcPr>
            <w:tcW w:w="1136" w:type="dxa"/>
            <w:tcBorders>
              <w:top w:val="nil"/>
              <w:left w:val="nil"/>
              <w:bottom w:val="nil"/>
              <w:right w:val="nil"/>
            </w:tcBorders>
            <w:shd w:val="clear" w:color="auto" w:fill="auto"/>
            <w:noWrap/>
            <w:vAlign w:val="bottom"/>
            <w:hideMark/>
          </w:tcPr>
          <w:p w:rsidR="00AC5439" w:rsidRPr="00AF1B54" w:rsidRDefault="00AC5439" w:rsidP="005441C8">
            <w:pPr>
              <w:keepNext/>
              <w:tabs>
                <w:tab w:val="clear" w:pos="567"/>
              </w:tabs>
              <w:spacing w:after="0" w:line="240" w:lineRule="auto"/>
              <w:jc w:val="right"/>
              <w:rPr>
                <w:rFonts w:ascii="Calibri" w:eastAsia="Times New Roman" w:hAnsi="Calibri" w:cs="Times New Roman"/>
                <w:color w:val="000000"/>
                <w:sz w:val="20"/>
                <w:szCs w:val="20"/>
                <w:lang w:eastAsia="en-AU"/>
              </w:rPr>
            </w:pPr>
            <w:r w:rsidRPr="00AF1B54">
              <w:rPr>
                <w:rFonts w:ascii="Calibri" w:eastAsia="Times New Roman" w:hAnsi="Calibri" w:cs="Times New Roman"/>
                <w:color w:val="000000"/>
                <w:sz w:val="20"/>
                <w:szCs w:val="20"/>
                <w:lang w:eastAsia="en-AU"/>
              </w:rPr>
              <w:t xml:space="preserve"> 6 480</w:t>
            </w:r>
          </w:p>
        </w:tc>
      </w:tr>
      <w:tr w:rsidR="00AC5439" w:rsidRPr="00AF1B54" w:rsidTr="005441C8">
        <w:trPr>
          <w:trHeight w:val="315"/>
        </w:trPr>
        <w:tc>
          <w:tcPr>
            <w:tcW w:w="5116" w:type="dxa"/>
            <w:tcBorders>
              <w:top w:val="nil"/>
              <w:left w:val="nil"/>
              <w:bottom w:val="nil"/>
              <w:right w:val="nil"/>
            </w:tcBorders>
            <w:shd w:val="clear" w:color="auto" w:fill="auto"/>
            <w:noWrap/>
            <w:vAlign w:val="bottom"/>
            <w:hideMark/>
          </w:tcPr>
          <w:p w:rsidR="00AC5439" w:rsidRPr="00AF1B54" w:rsidRDefault="00AC5439" w:rsidP="005441C8">
            <w:pPr>
              <w:keepNext/>
              <w:tabs>
                <w:tab w:val="clear" w:pos="567"/>
              </w:tabs>
              <w:spacing w:after="0" w:line="240" w:lineRule="auto"/>
              <w:rPr>
                <w:rFonts w:ascii="Calibri" w:eastAsia="Times New Roman" w:hAnsi="Calibri" w:cs="Times New Roman"/>
                <w:color w:val="000000"/>
                <w:sz w:val="20"/>
                <w:szCs w:val="20"/>
                <w:lang w:eastAsia="en-AU"/>
              </w:rPr>
            </w:pPr>
            <w:r w:rsidRPr="00AF1B54">
              <w:rPr>
                <w:rFonts w:ascii="Calibri" w:eastAsia="Times New Roman" w:hAnsi="Calibri" w:cs="Times New Roman"/>
                <w:color w:val="000000"/>
                <w:sz w:val="20"/>
                <w:szCs w:val="20"/>
                <w:lang w:eastAsia="en-AU"/>
              </w:rPr>
              <w:t>Skilled Animal and Horticultural Workers</w:t>
            </w:r>
          </w:p>
        </w:tc>
        <w:tc>
          <w:tcPr>
            <w:tcW w:w="1716" w:type="dxa"/>
            <w:tcBorders>
              <w:top w:val="nil"/>
              <w:left w:val="nil"/>
              <w:bottom w:val="nil"/>
              <w:right w:val="nil"/>
            </w:tcBorders>
            <w:shd w:val="clear" w:color="auto" w:fill="auto"/>
            <w:noWrap/>
            <w:vAlign w:val="bottom"/>
            <w:hideMark/>
          </w:tcPr>
          <w:p w:rsidR="00AC5439" w:rsidRPr="00AF1B54" w:rsidRDefault="00AC5439" w:rsidP="005441C8">
            <w:pPr>
              <w:keepNext/>
              <w:tabs>
                <w:tab w:val="clear" w:pos="567"/>
              </w:tabs>
              <w:spacing w:after="0" w:line="240" w:lineRule="auto"/>
              <w:jc w:val="right"/>
              <w:rPr>
                <w:rFonts w:ascii="Calibri" w:eastAsia="Times New Roman" w:hAnsi="Calibri" w:cs="Times New Roman"/>
                <w:color w:val="000000"/>
                <w:sz w:val="20"/>
                <w:szCs w:val="20"/>
                <w:lang w:eastAsia="en-AU"/>
              </w:rPr>
            </w:pPr>
            <w:r w:rsidRPr="00AF1B54">
              <w:rPr>
                <w:rFonts w:ascii="Calibri" w:eastAsia="Times New Roman" w:hAnsi="Calibri" w:cs="Times New Roman"/>
                <w:color w:val="000000"/>
                <w:sz w:val="20"/>
                <w:szCs w:val="20"/>
                <w:lang w:eastAsia="en-AU"/>
              </w:rPr>
              <w:t xml:space="preserve"> 39 546</w:t>
            </w:r>
          </w:p>
        </w:tc>
        <w:tc>
          <w:tcPr>
            <w:tcW w:w="1056" w:type="dxa"/>
            <w:tcBorders>
              <w:top w:val="nil"/>
              <w:left w:val="nil"/>
              <w:bottom w:val="nil"/>
              <w:right w:val="nil"/>
            </w:tcBorders>
            <w:shd w:val="clear" w:color="auto" w:fill="auto"/>
            <w:noWrap/>
            <w:vAlign w:val="bottom"/>
            <w:hideMark/>
          </w:tcPr>
          <w:p w:rsidR="00AC5439" w:rsidRPr="00AF1B54" w:rsidRDefault="00AC5439" w:rsidP="005441C8">
            <w:pPr>
              <w:keepNext/>
              <w:tabs>
                <w:tab w:val="clear" w:pos="567"/>
              </w:tabs>
              <w:spacing w:after="0" w:line="240" w:lineRule="auto"/>
              <w:jc w:val="right"/>
              <w:rPr>
                <w:rFonts w:ascii="Calibri" w:eastAsia="Times New Roman" w:hAnsi="Calibri" w:cs="Times New Roman"/>
                <w:color w:val="000000"/>
                <w:sz w:val="20"/>
                <w:szCs w:val="20"/>
                <w:lang w:eastAsia="en-AU"/>
              </w:rPr>
            </w:pPr>
            <w:r w:rsidRPr="00AF1B54">
              <w:rPr>
                <w:rFonts w:ascii="Calibri" w:eastAsia="Times New Roman" w:hAnsi="Calibri" w:cs="Times New Roman"/>
                <w:color w:val="000000"/>
                <w:sz w:val="20"/>
                <w:szCs w:val="20"/>
                <w:lang w:eastAsia="en-AU"/>
              </w:rPr>
              <w:t xml:space="preserve"> 36 229</w:t>
            </w:r>
          </w:p>
        </w:tc>
        <w:tc>
          <w:tcPr>
            <w:tcW w:w="1136" w:type="dxa"/>
            <w:tcBorders>
              <w:top w:val="nil"/>
              <w:left w:val="nil"/>
              <w:bottom w:val="nil"/>
              <w:right w:val="nil"/>
            </w:tcBorders>
            <w:shd w:val="clear" w:color="auto" w:fill="auto"/>
            <w:noWrap/>
            <w:vAlign w:val="bottom"/>
            <w:hideMark/>
          </w:tcPr>
          <w:p w:rsidR="00AC5439" w:rsidRPr="00AF1B54" w:rsidRDefault="00AC5439" w:rsidP="005441C8">
            <w:pPr>
              <w:keepNext/>
              <w:tabs>
                <w:tab w:val="clear" w:pos="567"/>
              </w:tabs>
              <w:spacing w:after="0" w:line="240" w:lineRule="auto"/>
              <w:jc w:val="right"/>
              <w:rPr>
                <w:rFonts w:ascii="Calibri" w:eastAsia="Times New Roman" w:hAnsi="Calibri" w:cs="Times New Roman"/>
                <w:color w:val="000000"/>
                <w:sz w:val="20"/>
                <w:szCs w:val="20"/>
                <w:lang w:eastAsia="en-AU"/>
              </w:rPr>
            </w:pPr>
            <w:r w:rsidRPr="00AF1B54">
              <w:rPr>
                <w:rFonts w:ascii="Calibri" w:eastAsia="Times New Roman" w:hAnsi="Calibri" w:cs="Times New Roman"/>
                <w:color w:val="000000"/>
                <w:sz w:val="20"/>
                <w:szCs w:val="20"/>
                <w:lang w:eastAsia="en-AU"/>
              </w:rPr>
              <w:t xml:space="preserve"> 3 317</w:t>
            </w:r>
          </w:p>
        </w:tc>
      </w:tr>
      <w:tr w:rsidR="00AC5439" w:rsidRPr="00AF1B54" w:rsidTr="005441C8">
        <w:trPr>
          <w:trHeight w:val="315"/>
        </w:trPr>
        <w:tc>
          <w:tcPr>
            <w:tcW w:w="5116" w:type="dxa"/>
            <w:tcBorders>
              <w:top w:val="nil"/>
              <w:left w:val="nil"/>
              <w:bottom w:val="nil"/>
              <w:right w:val="nil"/>
            </w:tcBorders>
            <w:shd w:val="clear" w:color="auto" w:fill="auto"/>
            <w:noWrap/>
            <w:vAlign w:val="bottom"/>
            <w:hideMark/>
          </w:tcPr>
          <w:p w:rsidR="00AC5439" w:rsidRPr="00AF1B54" w:rsidRDefault="00AC5439" w:rsidP="005441C8">
            <w:pPr>
              <w:keepNext/>
              <w:tabs>
                <w:tab w:val="clear" w:pos="567"/>
              </w:tabs>
              <w:spacing w:after="0" w:line="240" w:lineRule="auto"/>
              <w:rPr>
                <w:rFonts w:ascii="Calibri" w:eastAsia="Times New Roman" w:hAnsi="Calibri" w:cs="Times New Roman"/>
                <w:color w:val="000000"/>
                <w:sz w:val="20"/>
                <w:szCs w:val="20"/>
                <w:lang w:eastAsia="en-AU"/>
              </w:rPr>
            </w:pPr>
            <w:r w:rsidRPr="00AF1B54">
              <w:rPr>
                <w:rFonts w:ascii="Calibri" w:eastAsia="Times New Roman" w:hAnsi="Calibri" w:cs="Times New Roman"/>
                <w:color w:val="000000"/>
                <w:sz w:val="20"/>
                <w:szCs w:val="20"/>
                <w:lang w:eastAsia="en-AU"/>
              </w:rPr>
              <w:t>Protective Service Workers</w:t>
            </w:r>
          </w:p>
        </w:tc>
        <w:tc>
          <w:tcPr>
            <w:tcW w:w="1716" w:type="dxa"/>
            <w:tcBorders>
              <w:top w:val="nil"/>
              <w:left w:val="nil"/>
              <w:bottom w:val="nil"/>
              <w:right w:val="nil"/>
            </w:tcBorders>
            <w:shd w:val="clear" w:color="auto" w:fill="auto"/>
            <w:noWrap/>
            <w:vAlign w:val="bottom"/>
            <w:hideMark/>
          </w:tcPr>
          <w:p w:rsidR="00AC5439" w:rsidRPr="00AF1B54" w:rsidRDefault="00AC5439" w:rsidP="005441C8">
            <w:pPr>
              <w:keepNext/>
              <w:tabs>
                <w:tab w:val="clear" w:pos="567"/>
              </w:tabs>
              <w:spacing w:after="0" w:line="240" w:lineRule="auto"/>
              <w:jc w:val="right"/>
              <w:rPr>
                <w:rFonts w:ascii="Calibri" w:eastAsia="Times New Roman" w:hAnsi="Calibri" w:cs="Times New Roman"/>
                <w:color w:val="000000"/>
                <w:sz w:val="20"/>
                <w:szCs w:val="20"/>
                <w:lang w:eastAsia="en-AU"/>
              </w:rPr>
            </w:pPr>
            <w:r w:rsidRPr="00AF1B54">
              <w:rPr>
                <w:rFonts w:ascii="Calibri" w:eastAsia="Times New Roman" w:hAnsi="Calibri" w:cs="Times New Roman"/>
                <w:color w:val="000000"/>
                <w:sz w:val="20"/>
                <w:szCs w:val="20"/>
                <w:lang w:eastAsia="en-AU"/>
              </w:rPr>
              <w:t xml:space="preserve"> 55 811</w:t>
            </w:r>
          </w:p>
        </w:tc>
        <w:tc>
          <w:tcPr>
            <w:tcW w:w="1056" w:type="dxa"/>
            <w:tcBorders>
              <w:top w:val="nil"/>
              <w:left w:val="nil"/>
              <w:bottom w:val="nil"/>
              <w:right w:val="nil"/>
            </w:tcBorders>
            <w:shd w:val="clear" w:color="auto" w:fill="auto"/>
            <w:noWrap/>
            <w:vAlign w:val="bottom"/>
            <w:hideMark/>
          </w:tcPr>
          <w:p w:rsidR="00AC5439" w:rsidRPr="00AF1B54" w:rsidRDefault="00AC5439" w:rsidP="005441C8">
            <w:pPr>
              <w:keepNext/>
              <w:tabs>
                <w:tab w:val="clear" w:pos="567"/>
              </w:tabs>
              <w:spacing w:after="0" w:line="240" w:lineRule="auto"/>
              <w:jc w:val="right"/>
              <w:rPr>
                <w:rFonts w:ascii="Calibri" w:eastAsia="Times New Roman" w:hAnsi="Calibri" w:cs="Times New Roman"/>
                <w:color w:val="000000"/>
                <w:sz w:val="20"/>
                <w:szCs w:val="20"/>
                <w:lang w:eastAsia="en-AU"/>
              </w:rPr>
            </w:pPr>
            <w:r w:rsidRPr="00AF1B54">
              <w:rPr>
                <w:rFonts w:ascii="Calibri" w:eastAsia="Times New Roman" w:hAnsi="Calibri" w:cs="Times New Roman"/>
                <w:color w:val="000000"/>
                <w:sz w:val="20"/>
                <w:szCs w:val="20"/>
                <w:lang w:eastAsia="en-AU"/>
              </w:rPr>
              <w:t xml:space="preserve"> 47 151</w:t>
            </w:r>
          </w:p>
        </w:tc>
        <w:tc>
          <w:tcPr>
            <w:tcW w:w="1136" w:type="dxa"/>
            <w:tcBorders>
              <w:top w:val="nil"/>
              <w:left w:val="nil"/>
              <w:bottom w:val="nil"/>
              <w:right w:val="nil"/>
            </w:tcBorders>
            <w:shd w:val="clear" w:color="auto" w:fill="auto"/>
            <w:noWrap/>
            <w:vAlign w:val="bottom"/>
            <w:hideMark/>
          </w:tcPr>
          <w:p w:rsidR="00AC5439" w:rsidRPr="00AF1B54" w:rsidRDefault="00AC5439" w:rsidP="005441C8">
            <w:pPr>
              <w:keepNext/>
              <w:tabs>
                <w:tab w:val="clear" w:pos="567"/>
              </w:tabs>
              <w:spacing w:after="0" w:line="240" w:lineRule="auto"/>
              <w:jc w:val="right"/>
              <w:rPr>
                <w:rFonts w:ascii="Calibri" w:eastAsia="Times New Roman" w:hAnsi="Calibri" w:cs="Times New Roman"/>
                <w:color w:val="000000"/>
                <w:sz w:val="20"/>
                <w:szCs w:val="20"/>
                <w:lang w:eastAsia="en-AU"/>
              </w:rPr>
            </w:pPr>
            <w:r w:rsidRPr="00AF1B54">
              <w:rPr>
                <w:rFonts w:ascii="Calibri" w:eastAsia="Times New Roman" w:hAnsi="Calibri" w:cs="Times New Roman"/>
                <w:color w:val="000000"/>
                <w:sz w:val="20"/>
                <w:szCs w:val="20"/>
                <w:lang w:eastAsia="en-AU"/>
              </w:rPr>
              <w:t xml:space="preserve"> 8 660</w:t>
            </w:r>
          </w:p>
        </w:tc>
      </w:tr>
      <w:tr w:rsidR="00AC5439" w:rsidRPr="00AF1B54" w:rsidTr="005441C8">
        <w:trPr>
          <w:trHeight w:val="315"/>
        </w:trPr>
        <w:tc>
          <w:tcPr>
            <w:tcW w:w="5116" w:type="dxa"/>
            <w:tcBorders>
              <w:top w:val="nil"/>
              <w:left w:val="nil"/>
              <w:bottom w:val="nil"/>
              <w:right w:val="nil"/>
            </w:tcBorders>
            <w:shd w:val="clear" w:color="auto" w:fill="auto"/>
            <w:noWrap/>
            <w:vAlign w:val="bottom"/>
            <w:hideMark/>
          </w:tcPr>
          <w:p w:rsidR="00AC5439" w:rsidRPr="00AF1B54" w:rsidRDefault="00AC5439" w:rsidP="005441C8">
            <w:pPr>
              <w:keepNext/>
              <w:tabs>
                <w:tab w:val="clear" w:pos="567"/>
              </w:tabs>
              <w:spacing w:after="0" w:line="240" w:lineRule="auto"/>
              <w:rPr>
                <w:rFonts w:ascii="Calibri" w:eastAsia="Times New Roman" w:hAnsi="Calibri" w:cs="Times New Roman"/>
                <w:color w:val="000000"/>
                <w:sz w:val="20"/>
                <w:szCs w:val="20"/>
                <w:lang w:eastAsia="en-AU"/>
              </w:rPr>
            </w:pPr>
            <w:r w:rsidRPr="00AF1B54">
              <w:rPr>
                <w:rFonts w:ascii="Calibri" w:eastAsia="Times New Roman" w:hAnsi="Calibri" w:cs="Times New Roman"/>
                <w:color w:val="000000"/>
                <w:sz w:val="20"/>
                <w:szCs w:val="20"/>
                <w:lang w:eastAsia="en-AU"/>
              </w:rPr>
              <w:t>Construction and Mining Labourers</w:t>
            </w:r>
          </w:p>
        </w:tc>
        <w:tc>
          <w:tcPr>
            <w:tcW w:w="1716" w:type="dxa"/>
            <w:tcBorders>
              <w:top w:val="nil"/>
              <w:left w:val="nil"/>
              <w:bottom w:val="nil"/>
              <w:right w:val="nil"/>
            </w:tcBorders>
            <w:shd w:val="clear" w:color="auto" w:fill="auto"/>
            <w:noWrap/>
            <w:vAlign w:val="bottom"/>
            <w:hideMark/>
          </w:tcPr>
          <w:p w:rsidR="00AC5439" w:rsidRPr="00AF1B54" w:rsidRDefault="00AC5439" w:rsidP="005441C8">
            <w:pPr>
              <w:keepNext/>
              <w:tabs>
                <w:tab w:val="clear" w:pos="567"/>
              </w:tabs>
              <w:spacing w:after="0" w:line="240" w:lineRule="auto"/>
              <w:jc w:val="right"/>
              <w:rPr>
                <w:rFonts w:ascii="Calibri" w:eastAsia="Times New Roman" w:hAnsi="Calibri" w:cs="Times New Roman"/>
                <w:color w:val="000000"/>
                <w:sz w:val="20"/>
                <w:szCs w:val="20"/>
                <w:lang w:eastAsia="en-AU"/>
              </w:rPr>
            </w:pPr>
            <w:r w:rsidRPr="00AF1B54">
              <w:rPr>
                <w:rFonts w:ascii="Calibri" w:eastAsia="Times New Roman" w:hAnsi="Calibri" w:cs="Times New Roman"/>
                <w:color w:val="000000"/>
                <w:sz w:val="20"/>
                <w:szCs w:val="20"/>
                <w:lang w:eastAsia="en-AU"/>
              </w:rPr>
              <w:t xml:space="preserve"> 69 165</w:t>
            </w:r>
          </w:p>
        </w:tc>
        <w:tc>
          <w:tcPr>
            <w:tcW w:w="1056" w:type="dxa"/>
            <w:tcBorders>
              <w:top w:val="nil"/>
              <w:left w:val="nil"/>
              <w:bottom w:val="nil"/>
              <w:right w:val="nil"/>
            </w:tcBorders>
            <w:shd w:val="clear" w:color="auto" w:fill="auto"/>
            <w:noWrap/>
            <w:vAlign w:val="bottom"/>
            <w:hideMark/>
          </w:tcPr>
          <w:p w:rsidR="00AC5439" w:rsidRPr="00AF1B54" w:rsidRDefault="00AC5439" w:rsidP="005441C8">
            <w:pPr>
              <w:keepNext/>
              <w:tabs>
                <w:tab w:val="clear" w:pos="567"/>
              </w:tabs>
              <w:spacing w:after="0" w:line="240" w:lineRule="auto"/>
              <w:jc w:val="right"/>
              <w:rPr>
                <w:rFonts w:ascii="Calibri" w:eastAsia="Times New Roman" w:hAnsi="Calibri" w:cs="Times New Roman"/>
                <w:color w:val="000000"/>
                <w:sz w:val="20"/>
                <w:szCs w:val="20"/>
                <w:lang w:eastAsia="en-AU"/>
              </w:rPr>
            </w:pPr>
            <w:r w:rsidRPr="00AF1B54">
              <w:rPr>
                <w:rFonts w:ascii="Calibri" w:eastAsia="Times New Roman" w:hAnsi="Calibri" w:cs="Times New Roman"/>
                <w:color w:val="000000"/>
                <w:sz w:val="20"/>
                <w:szCs w:val="20"/>
                <w:lang w:eastAsia="en-AU"/>
              </w:rPr>
              <w:t xml:space="preserve"> 55 476</w:t>
            </w:r>
          </w:p>
        </w:tc>
        <w:tc>
          <w:tcPr>
            <w:tcW w:w="1136" w:type="dxa"/>
            <w:tcBorders>
              <w:top w:val="nil"/>
              <w:left w:val="nil"/>
              <w:bottom w:val="nil"/>
              <w:right w:val="nil"/>
            </w:tcBorders>
            <w:shd w:val="clear" w:color="auto" w:fill="auto"/>
            <w:noWrap/>
            <w:vAlign w:val="bottom"/>
            <w:hideMark/>
          </w:tcPr>
          <w:p w:rsidR="00AC5439" w:rsidRPr="00AF1B54" w:rsidRDefault="00AC5439" w:rsidP="005441C8">
            <w:pPr>
              <w:keepNext/>
              <w:tabs>
                <w:tab w:val="clear" w:pos="567"/>
              </w:tabs>
              <w:spacing w:after="0" w:line="240" w:lineRule="auto"/>
              <w:jc w:val="right"/>
              <w:rPr>
                <w:rFonts w:ascii="Calibri" w:eastAsia="Times New Roman" w:hAnsi="Calibri" w:cs="Times New Roman"/>
                <w:color w:val="000000"/>
                <w:sz w:val="20"/>
                <w:szCs w:val="20"/>
                <w:lang w:eastAsia="en-AU"/>
              </w:rPr>
            </w:pPr>
            <w:r w:rsidRPr="00AF1B54">
              <w:rPr>
                <w:rFonts w:ascii="Calibri" w:eastAsia="Times New Roman" w:hAnsi="Calibri" w:cs="Times New Roman"/>
                <w:color w:val="000000"/>
                <w:sz w:val="20"/>
                <w:szCs w:val="20"/>
                <w:lang w:eastAsia="en-AU"/>
              </w:rPr>
              <w:t xml:space="preserve"> 13 689</w:t>
            </w:r>
          </w:p>
        </w:tc>
      </w:tr>
      <w:tr w:rsidR="00AC5439" w:rsidRPr="00AF1B54" w:rsidTr="005441C8">
        <w:trPr>
          <w:trHeight w:val="315"/>
        </w:trPr>
        <w:tc>
          <w:tcPr>
            <w:tcW w:w="5116" w:type="dxa"/>
            <w:tcBorders>
              <w:top w:val="nil"/>
              <w:left w:val="nil"/>
              <w:bottom w:val="single" w:sz="4" w:space="0" w:color="auto"/>
              <w:right w:val="nil"/>
            </w:tcBorders>
            <w:shd w:val="clear" w:color="auto" w:fill="auto"/>
            <w:noWrap/>
            <w:vAlign w:val="bottom"/>
            <w:hideMark/>
          </w:tcPr>
          <w:p w:rsidR="00AC5439" w:rsidRPr="00AF1B54" w:rsidRDefault="00AC5439" w:rsidP="005441C8">
            <w:pPr>
              <w:keepNext/>
              <w:tabs>
                <w:tab w:val="clear" w:pos="567"/>
              </w:tabs>
              <w:spacing w:after="0" w:line="240" w:lineRule="auto"/>
              <w:rPr>
                <w:rFonts w:ascii="Calibri" w:eastAsia="Times New Roman" w:hAnsi="Calibri" w:cs="Times New Roman"/>
                <w:color w:val="000000"/>
                <w:sz w:val="20"/>
                <w:szCs w:val="20"/>
                <w:lang w:eastAsia="en-AU"/>
              </w:rPr>
            </w:pPr>
            <w:r w:rsidRPr="00AF1B54">
              <w:rPr>
                <w:rFonts w:ascii="Calibri" w:eastAsia="Times New Roman" w:hAnsi="Calibri" w:cs="Times New Roman"/>
                <w:color w:val="000000"/>
                <w:sz w:val="20"/>
                <w:szCs w:val="20"/>
                <w:lang w:eastAsia="en-AU"/>
              </w:rPr>
              <w:t>Other Clerical and Administrative Workers</w:t>
            </w:r>
          </w:p>
        </w:tc>
        <w:tc>
          <w:tcPr>
            <w:tcW w:w="1716" w:type="dxa"/>
            <w:tcBorders>
              <w:top w:val="nil"/>
              <w:left w:val="nil"/>
              <w:bottom w:val="single" w:sz="4" w:space="0" w:color="auto"/>
              <w:right w:val="nil"/>
            </w:tcBorders>
            <w:shd w:val="clear" w:color="auto" w:fill="auto"/>
            <w:noWrap/>
            <w:vAlign w:val="bottom"/>
            <w:hideMark/>
          </w:tcPr>
          <w:p w:rsidR="00AC5439" w:rsidRPr="00AF1B54" w:rsidRDefault="00AC5439" w:rsidP="005441C8">
            <w:pPr>
              <w:keepNext/>
              <w:tabs>
                <w:tab w:val="clear" w:pos="567"/>
              </w:tabs>
              <w:spacing w:after="0" w:line="240" w:lineRule="auto"/>
              <w:jc w:val="right"/>
              <w:rPr>
                <w:rFonts w:ascii="Calibri" w:eastAsia="Times New Roman" w:hAnsi="Calibri" w:cs="Times New Roman"/>
                <w:color w:val="000000"/>
                <w:sz w:val="20"/>
                <w:szCs w:val="20"/>
                <w:lang w:eastAsia="en-AU"/>
              </w:rPr>
            </w:pPr>
            <w:r w:rsidRPr="00AF1B54">
              <w:rPr>
                <w:rFonts w:ascii="Calibri" w:eastAsia="Times New Roman" w:hAnsi="Calibri" w:cs="Times New Roman"/>
                <w:color w:val="000000"/>
                <w:sz w:val="20"/>
                <w:szCs w:val="20"/>
                <w:lang w:eastAsia="en-AU"/>
              </w:rPr>
              <w:t xml:space="preserve"> 60 095</w:t>
            </w:r>
          </w:p>
        </w:tc>
        <w:tc>
          <w:tcPr>
            <w:tcW w:w="1056" w:type="dxa"/>
            <w:tcBorders>
              <w:top w:val="nil"/>
              <w:left w:val="nil"/>
              <w:bottom w:val="single" w:sz="4" w:space="0" w:color="auto"/>
              <w:right w:val="nil"/>
            </w:tcBorders>
            <w:shd w:val="clear" w:color="auto" w:fill="auto"/>
            <w:noWrap/>
            <w:vAlign w:val="bottom"/>
            <w:hideMark/>
          </w:tcPr>
          <w:p w:rsidR="00AC5439" w:rsidRPr="00AF1B54" w:rsidRDefault="00AC5439" w:rsidP="005441C8">
            <w:pPr>
              <w:keepNext/>
              <w:tabs>
                <w:tab w:val="clear" w:pos="567"/>
              </w:tabs>
              <w:spacing w:after="0" w:line="240" w:lineRule="auto"/>
              <w:jc w:val="right"/>
              <w:rPr>
                <w:rFonts w:ascii="Calibri" w:eastAsia="Times New Roman" w:hAnsi="Calibri" w:cs="Times New Roman"/>
                <w:color w:val="000000"/>
                <w:sz w:val="20"/>
                <w:szCs w:val="20"/>
                <w:lang w:eastAsia="en-AU"/>
              </w:rPr>
            </w:pPr>
            <w:r w:rsidRPr="00AF1B54">
              <w:rPr>
                <w:rFonts w:ascii="Calibri" w:eastAsia="Times New Roman" w:hAnsi="Calibri" w:cs="Times New Roman"/>
                <w:color w:val="000000"/>
                <w:sz w:val="20"/>
                <w:szCs w:val="20"/>
                <w:lang w:eastAsia="en-AU"/>
              </w:rPr>
              <w:t xml:space="preserve"> 52 805</w:t>
            </w:r>
          </w:p>
        </w:tc>
        <w:tc>
          <w:tcPr>
            <w:tcW w:w="1136" w:type="dxa"/>
            <w:tcBorders>
              <w:top w:val="nil"/>
              <w:left w:val="nil"/>
              <w:bottom w:val="single" w:sz="4" w:space="0" w:color="auto"/>
              <w:right w:val="nil"/>
            </w:tcBorders>
            <w:shd w:val="clear" w:color="auto" w:fill="auto"/>
            <w:noWrap/>
            <w:vAlign w:val="bottom"/>
            <w:hideMark/>
          </w:tcPr>
          <w:p w:rsidR="00AC5439" w:rsidRPr="00AF1B54" w:rsidRDefault="00AC5439" w:rsidP="005441C8">
            <w:pPr>
              <w:keepNext/>
              <w:tabs>
                <w:tab w:val="clear" w:pos="567"/>
              </w:tabs>
              <w:spacing w:after="0" w:line="240" w:lineRule="auto"/>
              <w:jc w:val="right"/>
              <w:rPr>
                <w:rFonts w:ascii="Calibri" w:eastAsia="Times New Roman" w:hAnsi="Calibri" w:cs="Times New Roman"/>
                <w:color w:val="000000"/>
                <w:sz w:val="20"/>
                <w:szCs w:val="20"/>
                <w:lang w:eastAsia="en-AU"/>
              </w:rPr>
            </w:pPr>
            <w:r w:rsidRPr="00AF1B54">
              <w:rPr>
                <w:rFonts w:ascii="Calibri" w:eastAsia="Times New Roman" w:hAnsi="Calibri" w:cs="Times New Roman"/>
                <w:color w:val="000000"/>
                <w:sz w:val="20"/>
                <w:szCs w:val="20"/>
                <w:lang w:eastAsia="en-AU"/>
              </w:rPr>
              <w:t xml:space="preserve"> 7 290</w:t>
            </w:r>
          </w:p>
        </w:tc>
      </w:tr>
    </w:tbl>
    <w:p w:rsidR="00AC5439" w:rsidRPr="00AF1B54" w:rsidRDefault="00AC5439" w:rsidP="00AC5439">
      <w:pPr>
        <w:pStyle w:val="CGCTableFootnote"/>
        <w:keepNext/>
        <w:ind w:left="0" w:firstLine="0"/>
      </w:pPr>
      <w:r w:rsidRPr="00AF1B54">
        <w:t>Source:</w:t>
      </w:r>
      <w:r w:rsidRPr="00AF1B54">
        <w:tab/>
        <w:t>Commission analysis of 2011 Census data.</w:t>
      </w:r>
    </w:p>
    <w:p w:rsidR="00642A3C" w:rsidRPr="00240AF2" w:rsidRDefault="00642A3C" w:rsidP="00AC5439">
      <w:pPr>
        <w:pStyle w:val="CGCNumberedPara"/>
      </w:pPr>
      <w:r w:rsidRPr="00240AF2">
        <w:t>While there may be productivity differences between States in certain occupations or industries, it seems unlikely that there would be similar productivity differences across virtually all industries.</w:t>
      </w:r>
      <w:r w:rsidR="00AC5439" w:rsidRPr="00240AF2">
        <w:t xml:space="preserve"> </w:t>
      </w:r>
      <w:proofErr w:type="gramStart"/>
      <w:r w:rsidR="00AC5439" w:rsidRPr="00240AF2">
        <w:t>Staff acknowledge</w:t>
      </w:r>
      <w:proofErr w:type="gramEnd"/>
      <w:r w:rsidR="00AC5439" w:rsidRPr="00240AF2">
        <w:t xml:space="preserve"> that productivity differences may be reflected to some extent in our measured wage differentials, but we are not of the view that productivity is the sole or even a major explanation for the observed differences.</w:t>
      </w:r>
    </w:p>
    <w:p w:rsidR="00642A3C" w:rsidRPr="00240AF2" w:rsidRDefault="00642A3C" w:rsidP="00642A3C">
      <w:pPr>
        <w:pStyle w:val="CGCNumberedPara"/>
        <w:numPr>
          <w:ilvl w:val="1"/>
          <w:numId w:val="3"/>
        </w:numPr>
      </w:pPr>
      <w:r w:rsidRPr="00240AF2">
        <w:t xml:space="preserve">Private sector productivity </w:t>
      </w:r>
      <w:r w:rsidR="00A118BF">
        <w:t>may</w:t>
      </w:r>
      <w:r w:rsidR="00A118BF" w:rsidRPr="00240AF2">
        <w:t xml:space="preserve"> </w:t>
      </w:r>
      <w:r w:rsidRPr="00240AF2">
        <w:t xml:space="preserve">vary among States in two </w:t>
      </w:r>
      <w:r w:rsidR="00AC5439" w:rsidRPr="00240AF2">
        <w:t>ways:</w:t>
      </w:r>
    </w:p>
    <w:p w:rsidR="00642A3C" w:rsidRPr="00240AF2" w:rsidRDefault="00642A3C" w:rsidP="00642A3C">
      <w:pPr>
        <w:pStyle w:val="CGCBulletlist"/>
        <w:numPr>
          <w:ilvl w:val="0"/>
          <w:numId w:val="1"/>
        </w:numPr>
        <w:tabs>
          <w:tab w:val="clear" w:pos="927"/>
        </w:tabs>
        <w:ind w:left="1134" w:hanging="567"/>
      </w:pPr>
      <w:r w:rsidRPr="00240AF2">
        <w:t>Different industries have different average productivity levels, and because States have different industry mixes, their aggregate productivity levels will vary.</w:t>
      </w:r>
    </w:p>
    <w:p w:rsidR="00642A3C" w:rsidRPr="00240AF2" w:rsidRDefault="00642A3C" w:rsidP="00642A3C">
      <w:pPr>
        <w:pStyle w:val="CGCBulletlist"/>
        <w:numPr>
          <w:ilvl w:val="0"/>
          <w:numId w:val="1"/>
        </w:numPr>
        <w:tabs>
          <w:tab w:val="clear" w:pos="927"/>
        </w:tabs>
        <w:ind w:left="1134" w:hanging="567"/>
      </w:pPr>
      <w:r w:rsidRPr="00240AF2">
        <w:t xml:space="preserve">An industry within a State can be more or less productive </w:t>
      </w:r>
      <w:r w:rsidR="00A118BF" w:rsidRPr="00240AF2">
        <w:t>tha</w:t>
      </w:r>
      <w:r w:rsidR="00A118BF">
        <w:t>n</w:t>
      </w:r>
      <w:r w:rsidR="00A118BF" w:rsidRPr="00240AF2">
        <w:t xml:space="preserve"> </w:t>
      </w:r>
      <w:r w:rsidRPr="00240AF2">
        <w:t>the average</w:t>
      </w:r>
      <w:r w:rsidR="00A118BF">
        <w:t xml:space="preserve"> for that industry</w:t>
      </w:r>
      <w:r w:rsidRPr="00240AF2">
        <w:t xml:space="preserve">, </w:t>
      </w:r>
      <w:r w:rsidR="00A118BF">
        <w:t>for example</w:t>
      </w:r>
      <w:r w:rsidRPr="00240AF2">
        <w:t xml:space="preserve"> mining output per employee could be higher or lower than the national average</w:t>
      </w:r>
      <w:r w:rsidR="00A118BF">
        <w:t xml:space="preserve"> for mining</w:t>
      </w:r>
      <w:r w:rsidRPr="00240AF2">
        <w:t>.</w:t>
      </w:r>
    </w:p>
    <w:p w:rsidR="00AC5439" w:rsidRDefault="00AC5439" w:rsidP="00AC5439">
      <w:pPr>
        <w:pStyle w:val="CGCNumberedPara"/>
        <w:numPr>
          <w:ilvl w:val="1"/>
          <w:numId w:val="3"/>
        </w:numPr>
      </w:pPr>
      <w:r>
        <w:t>We readily accept that productivity differences can influence wage differences in the private sector</w:t>
      </w:r>
      <w:r w:rsidR="005441C8">
        <w:t xml:space="preserve"> </w:t>
      </w:r>
      <w:r>
        <w:t>so that the productivity determined wage component would vary between industries and could vary among States within an industry.</w:t>
      </w:r>
    </w:p>
    <w:p w:rsidR="000B60AB" w:rsidRDefault="00AC5439" w:rsidP="00AC5439">
      <w:pPr>
        <w:pStyle w:val="CGCNumberedPara"/>
        <w:numPr>
          <w:ilvl w:val="1"/>
          <w:numId w:val="3"/>
        </w:numPr>
      </w:pPr>
      <w:r>
        <w:t>The current indicator of the private sector wage differential for a State excludes that part of productivity determined wage differences due to differences in the average wage of different industries (and for different occupations, and so on). However, it does capture that part due to a State’s industry having above or below average wages because its productivity varied from the national average.</w:t>
      </w:r>
    </w:p>
    <w:p w:rsidR="00AC5439" w:rsidRDefault="000B60AB" w:rsidP="000B60AB">
      <w:pPr>
        <w:pStyle w:val="CGCNumberedPara"/>
        <w:numPr>
          <w:ilvl w:val="1"/>
          <w:numId w:val="3"/>
        </w:numPr>
      </w:pPr>
      <w:r w:rsidRPr="000B60AB">
        <w:t>We</w:t>
      </w:r>
      <w:r>
        <w:t xml:space="preserve"> consider this is appropriate because it is a regional impact. Similarly, if for example, mining wages in a State are above the average mining wage for other non</w:t>
      </w:r>
      <w:r>
        <w:noBreakHyphen/>
        <w:t xml:space="preserve">State policy related </w:t>
      </w:r>
      <w:proofErr w:type="gramStart"/>
      <w:r>
        <w:t>reasons, that</w:t>
      </w:r>
      <w:proofErr w:type="gramEnd"/>
      <w:r>
        <w:t xml:space="preserve"> too will, and should be, included in our measure. In any case,</w:t>
      </w:r>
      <w:r w:rsidR="00AC5439">
        <w:t xml:space="preserve"> we cannot separate out </w:t>
      </w:r>
      <w:r>
        <w:t xml:space="preserve">any </w:t>
      </w:r>
      <w:r w:rsidR="00AC5439">
        <w:t>part due to higher productivity.</w:t>
      </w:r>
    </w:p>
    <w:p w:rsidR="00AC5439" w:rsidRDefault="00AC5439" w:rsidP="00AC5439">
      <w:pPr>
        <w:pStyle w:val="CGCNumberedPara"/>
        <w:numPr>
          <w:ilvl w:val="1"/>
          <w:numId w:val="3"/>
        </w:numPr>
      </w:pPr>
      <w:r>
        <w:t>While some States might consider that a comparable employee, by definition, should have the same productivity in each State, for our assessment purposes</w:t>
      </w:r>
      <w:r w:rsidR="000B60AB">
        <w:t>,</w:t>
      </w:r>
      <w:r>
        <w:t xml:space="preserve"> comparability is not so encompassing and their productivity and wages differentials can and should differ for region specific reasons.</w:t>
      </w:r>
    </w:p>
    <w:p w:rsidR="00AC5439" w:rsidRPr="00240AF2" w:rsidRDefault="00AC5439" w:rsidP="00AC5439">
      <w:pPr>
        <w:pStyle w:val="CGCNumberedPara"/>
        <w:numPr>
          <w:ilvl w:val="1"/>
          <w:numId w:val="3"/>
        </w:numPr>
      </w:pPr>
      <w:r>
        <w:t>Some States consider that region specific wage differences based on productivity should be excluded because those productivity differences also affect the public sector. Not to do so would, in their view, over compensate States with above average productivity based wages. (They would be assessed as requiring the average staff level and be r</w:t>
      </w:r>
      <w:r w:rsidR="00240AF2">
        <w:t>ecognised as requiring a higher productivity-</w:t>
      </w:r>
      <w:r>
        <w:t>based</w:t>
      </w:r>
      <w:r w:rsidR="00240AF2">
        <w:t xml:space="preserve"> </w:t>
      </w:r>
      <w:r>
        <w:t xml:space="preserve">wage – but should </w:t>
      </w:r>
      <w:r w:rsidR="00240AF2">
        <w:t>not need both</w:t>
      </w:r>
      <w:r w:rsidRPr="00240AF2">
        <w:t>)</w:t>
      </w:r>
      <w:r w:rsidR="00240AF2">
        <w:t>.</w:t>
      </w:r>
    </w:p>
    <w:p w:rsidR="00642A3C" w:rsidRPr="00240AF2" w:rsidRDefault="00AC5439" w:rsidP="00AC5439">
      <w:pPr>
        <w:pStyle w:val="CGCNumberedPara"/>
      </w:pPr>
      <w:r w:rsidRPr="00240AF2">
        <w:t>While we can understand the conceptual case, we do not propose to make any productivity related adjustment to our estimates of public sector wage differentials. This is because we cannot isolate productivity effects in our estimate of State wage differentials, and we have no way of analysing public sector pro</w:t>
      </w:r>
      <w:r w:rsidR="00240AF2">
        <w:t>ductivity free of policy choice</w:t>
      </w:r>
      <w:r w:rsidRPr="00240AF2">
        <w:t xml:space="preserve"> to see if it is related to that in the private sector.</w:t>
      </w:r>
    </w:p>
    <w:p w:rsidR="004B7478" w:rsidRDefault="004B7478" w:rsidP="007364D6">
      <w:pPr>
        <w:pStyle w:val="Heading4"/>
      </w:pPr>
      <w:bookmarkStart w:id="70" w:name="_Toc423962571"/>
      <w:r>
        <w:t>Omitted variable</w:t>
      </w:r>
      <w:r w:rsidR="00677565">
        <w:t xml:space="preserve"> bias</w:t>
      </w:r>
      <w:bookmarkEnd w:id="65"/>
      <w:bookmarkEnd w:id="66"/>
      <w:bookmarkEnd w:id="70"/>
      <w:r w:rsidR="004B31A0">
        <w:t xml:space="preserve"> </w:t>
      </w:r>
      <w:bookmarkEnd w:id="67"/>
    </w:p>
    <w:p w:rsidR="00E3750B" w:rsidRDefault="00204DAF" w:rsidP="00E3750B">
      <w:pPr>
        <w:pStyle w:val="CGCNumberedPara"/>
      </w:pPr>
      <w:r>
        <w:t xml:space="preserve">As with any analytical method, there are likely to be omitted variables which </w:t>
      </w:r>
      <w:r w:rsidR="00E3750B">
        <w:t>can explain variation</w:t>
      </w:r>
      <w:r w:rsidR="00D87197">
        <w:t>s</w:t>
      </w:r>
      <w:r w:rsidR="00E3750B">
        <w:t xml:space="preserve"> in wages between individuals. In terms of our regression approach, such omissions are only problematic if they are systematically related to State of residence</w:t>
      </w:r>
      <w:r w:rsidR="00D87197">
        <w:t>.</w:t>
      </w:r>
      <w:r w:rsidR="00E3750B">
        <w:t xml:space="preserve"> </w:t>
      </w:r>
      <w:r w:rsidR="00D87197">
        <w:t xml:space="preserve">In this </w:t>
      </w:r>
      <w:r w:rsidR="00E3750B">
        <w:t>case</w:t>
      </w:r>
      <w:r w:rsidR="00D87197">
        <w:t>,</w:t>
      </w:r>
      <w:r w:rsidR="00E3750B">
        <w:t xml:space="preserve"> our measurement of State effects would be systematically biased.</w:t>
      </w:r>
    </w:p>
    <w:p w:rsidR="004A2149" w:rsidRDefault="00E3750B">
      <w:pPr>
        <w:pStyle w:val="CGCNumberedPara"/>
      </w:pPr>
      <w:r>
        <w:t>South Australia has argued that there are likely to be such unobserved attributes that mean workers relocate to certain States that favour or reward these abilities. This is more generally known as worker sorting in the economic literature</w:t>
      </w:r>
      <w:r>
        <w:rPr>
          <w:rStyle w:val="FootnoteReference"/>
        </w:rPr>
        <w:footnoteReference w:id="5"/>
      </w:r>
      <w:r>
        <w:t>. They argue that such effects lead to an overstatement of South Australia’s disability. Western Australia argues the same influences must lead to an understatement of its disability.</w:t>
      </w:r>
    </w:p>
    <w:p w:rsidR="0006290D" w:rsidRDefault="00B70C15">
      <w:pPr>
        <w:pStyle w:val="CGCNumberedPara"/>
      </w:pPr>
      <w:r>
        <w:t xml:space="preserve">If the unobserved </w:t>
      </w:r>
      <w:r w:rsidR="006A083D">
        <w:t>attribute</w:t>
      </w:r>
      <w:r>
        <w:t xml:space="preserve"> were ambition, and South Australians with ambition tend to move interstate </w:t>
      </w:r>
      <w:r w:rsidR="009D1864">
        <w:t xml:space="preserve">to the same job, because </w:t>
      </w:r>
      <w:r>
        <w:t xml:space="preserve">career opportunities are greater, then the </w:t>
      </w:r>
      <w:r w:rsidR="0006290D">
        <w:t>average quality of a South Austr</w:t>
      </w:r>
      <w:r w:rsidR="006A083D">
        <w:t>a</w:t>
      </w:r>
      <w:r w:rsidR="0006290D">
        <w:t xml:space="preserve">lian would be lower than it appeared in our regression. This could explain some of the differences in wages. </w:t>
      </w:r>
    </w:p>
    <w:p w:rsidR="00E3750B" w:rsidRDefault="0006290D">
      <w:pPr>
        <w:pStyle w:val="CGCNumberedPara"/>
      </w:pPr>
      <w:r>
        <w:t>Western Australia contend</w:t>
      </w:r>
      <w:r w:rsidR="00D87197">
        <w:t>s</w:t>
      </w:r>
      <w:r>
        <w:t xml:space="preserve"> that in a State with labour shortages, people are recruited or promoted to jobs they would not be qualified for in other States. The wage required to attract a person of national average standard would be higher than the wage measured in the regression model. </w:t>
      </w:r>
    </w:p>
    <w:p w:rsidR="000C37C4" w:rsidRDefault="000C37C4" w:rsidP="0058796C">
      <w:pPr>
        <w:pStyle w:val="CGCNumberedPara"/>
      </w:pPr>
      <w:proofErr w:type="gramStart"/>
      <w:r>
        <w:t>Staff consider</w:t>
      </w:r>
      <w:proofErr w:type="gramEnd"/>
      <w:r>
        <w:t xml:space="preserve"> that either </w:t>
      </w:r>
      <w:r w:rsidR="00E3750B">
        <w:t xml:space="preserve">impact </w:t>
      </w:r>
      <w:r>
        <w:t xml:space="preserve">is </w:t>
      </w:r>
      <w:r w:rsidR="00431364">
        <w:t>plausible</w:t>
      </w:r>
      <w:r>
        <w:t xml:space="preserve">, </w:t>
      </w:r>
      <w:r w:rsidR="005D0728">
        <w:t xml:space="preserve">and </w:t>
      </w:r>
      <w:r w:rsidR="000D4F9F">
        <w:t>both phenome</w:t>
      </w:r>
      <w:r w:rsidR="00984FCF">
        <w:t>na</w:t>
      </w:r>
      <w:r w:rsidR="000D4F9F">
        <w:t xml:space="preserve"> probably occur to a</w:t>
      </w:r>
      <w:r w:rsidR="005D0728">
        <w:t xml:space="preserve"> certain extent. However, we </w:t>
      </w:r>
      <w:r>
        <w:t xml:space="preserve">cannot assign a higher </w:t>
      </w:r>
      <w:r w:rsidR="005D0728">
        <w:t xml:space="preserve">prevalence </w:t>
      </w:r>
      <w:r>
        <w:t>to one or the other. Given no evidence</w:t>
      </w:r>
      <w:r w:rsidR="005D0728">
        <w:t xml:space="preserve"> that either gross effect is large, let alone the net effect</w:t>
      </w:r>
      <w:r>
        <w:t xml:space="preserve">, we have no basis to consider that such </w:t>
      </w:r>
      <w:r w:rsidR="00D2310E">
        <w:t>dynamics cause</w:t>
      </w:r>
      <w:r>
        <w:t xml:space="preserve"> a significant bias in either direction.</w:t>
      </w:r>
    </w:p>
    <w:p w:rsidR="000458AE" w:rsidRDefault="00C1286A" w:rsidP="000458AE">
      <w:pPr>
        <w:pStyle w:val="Heading4"/>
      </w:pPr>
      <w:bookmarkStart w:id="71" w:name="_Toc421616766"/>
      <w:bookmarkStart w:id="72" w:name="_Toc422130911"/>
      <w:bookmarkStart w:id="73" w:name="_Toc423962572"/>
      <w:r>
        <w:t>Wage pressures from labour market structure</w:t>
      </w:r>
      <w:bookmarkEnd w:id="71"/>
      <w:bookmarkEnd w:id="72"/>
      <w:bookmarkEnd w:id="73"/>
    </w:p>
    <w:p w:rsidR="006B4506" w:rsidRPr="00872E68" w:rsidRDefault="006C37EA" w:rsidP="005D0728">
      <w:pPr>
        <w:pStyle w:val="CGCNumberedPara"/>
      </w:pPr>
      <w:bookmarkStart w:id="74" w:name="_Ref422232363"/>
      <w:r>
        <w:t>New South Wales</w:t>
      </w:r>
      <w:r w:rsidR="00F40D25">
        <w:t xml:space="preserve"> and Western Australia</w:t>
      </w:r>
      <w:r>
        <w:t xml:space="preserve"> ha</w:t>
      </w:r>
      <w:r w:rsidR="00F40D25">
        <w:t>ve</w:t>
      </w:r>
      <w:r>
        <w:t xml:space="preserve"> suggested that not all variables need to be standardised for, arguing that differences in labour market structure may simply represent unavoidable </w:t>
      </w:r>
      <w:r w:rsidR="000B60AB">
        <w:t xml:space="preserve">wage </w:t>
      </w:r>
      <w:r w:rsidRPr="00872E68">
        <w:t>differences between States, and hence unavoidable costs.</w:t>
      </w:r>
      <w:bookmarkEnd w:id="74"/>
      <w:r w:rsidR="00860FAC">
        <w:t xml:space="preserve"> </w:t>
      </w:r>
    </w:p>
    <w:p w:rsidR="006B4506" w:rsidRDefault="00860FAC" w:rsidP="006B4506">
      <w:pPr>
        <w:pStyle w:val="CGCNumberedPara"/>
      </w:pPr>
      <w:bookmarkStart w:id="75" w:name="_Ref423940854"/>
      <w:proofErr w:type="gramStart"/>
      <w:r>
        <w:t>Staff accept</w:t>
      </w:r>
      <w:proofErr w:type="gramEnd"/>
      <w:r>
        <w:t xml:space="preserve"> that differences in industry structure between regions are likely to impact the community wage level. However, to the extent that they do, this will be reflected across many industries and occupations and hence </w:t>
      </w:r>
      <w:r w:rsidR="004A2149">
        <w:t xml:space="preserve">captured </w:t>
      </w:r>
      <w:r>
        <w:t xml:space="preserve">by our current </w:t>
      </w:r>
      <w:r w:rsidR="004A2149">
        <w:t>approach</w:t>
      </w:r>
      <w:r>
        <w:t xml:space="preserve">. States making this argument would need to explain how a high cost industry is not able to impact the community wage level, but </w:t>
      </w:r>
      <w:r w:rsidR="000A3620">
        <w:t>can nonetheless</w:t>
      </w:r>
      <w:r>
        <w:t xml:space="preserve"> impact the wages of the public sector.</w:t>
      </w:r>
      <w:bookmarkStart w:id="76" w:name="_Toc420942594"/>
      <w:bookmarkEnd w:id="75"/>
    </w:p>
    <w:p w:rsidR="00947EC7" w:rsidRDefault="00463248" w:rsidP="000458AE">
      <w:pPr>
        <w:pStyle w:val="Heading4"/>
      </w:pPr>
      <w:bookmarkStart w:id="77" w:name="_Toc421616767"/>
      <w:bookmarkStart w:id="78" w:name="_Toc422130912"/>
      <w:bookmarkStart w:id="79" w:name="_Toc423962573"/>
      <w:r>
        <w:t>Policy influence</w:t>
      </w:r>
      <w:r w:rsidR="0006290D">
        <w:t xml:space="preserve"> on private sector wages</w:t>
      </w:r>
      <w:bookmarkEnd w:id="76"/>
      <w:bookmarkEnd w:id="77"/>
      <w:bookmarkEnd w:id="78"/>
      <w:bookmarkEnd w:id="79"/>
    </w:p>
    <w:p w:rsidR="005D1B20" w:rsidRDefault="00371D27" w:rsidP="00371D27">
      <w:pPr>
        <w:pStyle w:val="CGCNumberedPara"/>
      </w:pPr>
      <w:r>
        <w:t xml:space="preserve">Some States have argued that </w:t>
      </w:r>
      <w:r w:rsidR="0006290D">
        <w:t xml:space="preserve">differences in </w:t>
      </w:r>
      <w:r>
        <w:t xml:space="preserve">State policy </w:t>
      </w:r>
      <w:r w:rsidR="0006290D">
        <w:t>influence differences in private sector wages</w:t>
      </w:r>
      <w:r w:rsidR="004A2149">
        <w:t>.</w:t>
      </w:r>
      <w:r>
        <w:t xml:space="preserve"> </w:t>
      </w:r>
      <w:r w:rsidR="00F81008">
        <w:t>For instance:</w:t>
      </w:r>
    </w:p>
    <w:p w:rsidR="005D1B20" w:rsidRDefault="009D7BE7" w:rsidP="004A2149">
      <w:pPr>
        <w:pStyle w:val="CGCBulletlist"/>
      </w:pPr>
      <w:r>
        <w:t xml:space="preserve">State governments </w:t>
      </w:r>
      <w:r w:rsidR="00371D27">
        <w:t>can</w:t>
      </w:r>
      <w:r>
        <w:t xml:space="preserve"> </w:t>
      </w:r>
      <w:r w:rsidR="00371D27">
        <w:t>impact the amenity of areas, which may cause workers to accept higher or lower nominal wages</w:t>
      </w:r>
      <w:r w:rsidR="004A2149">
        <w:t>.</w:t>
      </w:r>
    </w:p>
    <w:p w:rsidR="005D1B20" w:rsidRDefault="005D1B20" w:rsidP="004A2149">
      <w:pPr>
        <w:pStyle w:val="CGCBulletlist"/>
      </w:pPr>
      <w:r>
        <w:t xml:space="preserve">Planning and land release policies </w:t>
      </w:r>
      <w:r w:rsidR="00F81008">
        <w:t xml:space="preserve">may </w:t>
      </w:r>
      <w:r>
        <w:t>affect land prices</w:t>
      </w:r>
      <w:r w:rsidR="004A2149">
        <w:t>.</w:t>
      </w:r>
    </w:p>
    <w:p w:rsidR="00371D27" w:rsidRDefault="00371D27" w:rsidP="004A2149">
      <w:pPr>
        <w:pStyle w:val="CGCBulletlist"/>
      </w:pPr>
      <w:r>
        <w:t xml:space="preserve">State governments, through </w:t>
      </w:r>
      <w:r w:rsidR="009C40F5">
        <w:t>industry or environmental policy, may be able to impact the macroeconomic conditions in their State over the longer term</w:t>
      </w:r>
      <w:r>
        <w:t>.</w:t>
      </w:r>
    </w:p>
    <w:p w:rsidR="005D1B20" w:rsidRDefault="005D1B20" w:rsidP="004A2149">
      <w:pPr>
        <w:pStyle w:val="CGCBulletlist"/>
      </w:pPr>
      <w:r>
        <w:t>States still have some role, although smaller than in the past, in wage setting and industrial relations in their State.</w:t>
      </w:r>
    </w:p>
    <w:p w:rsidR="007A748E" w:rsidRDefault="001C74BC" w:rsidP="00240AF2">
      <w:pPr>
        <w:pStyle w:val="CGCNumberedPara"/>
      </w:pPr>
      <w:r>
        <w:t>Therefore, in an indirect sense, the relative wage level of a State may to varying degrees be impacted by the policy choices of</w:t>
      </w:r>
      <w:r w:rsidR="00AB2851">
        <w:t xml:space="preserve"> current and</w:t>
      </w:r>
      <w:r w:rsidR="00240AF2">
        <w:t xml:space="preserve"> previous governments. </w:t>
      </w:r>
      <w:r w:rsidR="00BD1727">
        <w:t>It is well beyond our capacity to calculate the wage rate that would prevail if all States had followed average policy</w:t>
      </w:r>
      <w:r w:rsidR="00D87197">
        <w:t xml:space="preserve"> throughout time</w:t>
      </w:r>
      <w:r w:rsidR="00BD1727">
        <w:t xml:space="preserve">. There is no reason to believe that </w:t>
      </w:r>
      <w:r w:rsidR="00F77867">
        <w:t>policy and non-policy influences would work in the same direction</w:t>
      </w:r>
      <w:r w:rsidR="00D87197">
        <w:t xml:space="preserve"> for all States.</w:t>
      </w:r>
      <w:r w:rsidR="00F77867">
        <w:t xml:space="preserve"> </w:t>
      </w:r>
      <w:r w:rsidR="00D87197">
        <w:t>T</w:t>
      </w:r>
      <w:r w:rsidR="00F77867">
        <w:t>herefore</w:t>
      </w:r>
      <w:r w:rsidR="00D87197">
        <w:t>,</w:t>
      </w:r>
      <w:r w:rsidR="00F77867">
        <w:t xml:space="preserve"> </w:t>
      </w:r>
      <w:r w:rsidR="00BD1727">
        <w:t xml:space="preserve">discounting is </w:t>
      </w:r>
      <w:r w:rsidR="00F77867">
        <w:t>un</w:t>
      </w:r>
      <w:r w:rsidR="00BD1727">
        <w:t xml:space="preserve">likely to achieve a result closer to HFE. </w:t>
      </w:r>
      <w:r w:rsidR="00D87197">
        <w:t>T</w:t>
      </w:r>
      <w:r w:rsidR="00F77867">
        <w:t xml:space="preserve">he Commission </w:t>
      </w:r>
      <w:r w:rsidR="00D87197">
        <w:t xml:space="preserve">will </w:t>
      </w:r>
      <w:r w:rsidR="00F77867">
        <w:t xml:space="preserve">need to decide whether it considers the policy or non-policy reasons to be more significant. </w:t>
      </w:r>
      <w:r w:rsidR="005D1B20">
        <w:t>Staff would recommend that</w:t>
      </w:r>
      <w:r w:rsidR="00D87197">
        <w:t>,</w:t>
      </w:r>
      <w:r w:rsidR="005D1B20">
        <w:t xml:space="preserve"> if the Commission </w:t>
      </w:r>
      <w:r w:rsidR="00F77867">
        <w:t xml:space="preserve">concluded that differences in </w:t>
      </w:r>
      <w:r w:rsidR="005D1B20">
        <w:t xml:space="preserve">private sector wages </w:t>
      </w:r>
      <w:r w:rsidR="00F77867">
        <w:t xml:space="preserve">are primarily driven by non-policy differences, it </w:t>
      </w:r>
      <w:r w:rsidR="00D87197">
        <w:t xml:space="preserve">should </w:t>
      </w:r>
      <w:r w:rsidR="00F77867">
        <w:t xml:space="preserve">retain the assessment. If it considered that policy reasons predominate, it </w:t>
      </w:r>
      <w:r w:rsidR="00D87197">
        <w:t xml:space="preserve">should </w:t>
      </w:r>
      <w:r w:rsidR="00F77867">
        <w:t>discontinue the assessment</w:t>
      </w:r>
      <w:r w:rsidR="000C7439">
        <w:t>.</w:t>
      </w:r>
    </w:p>
    <w:p w:rsidR="00947EC7" w:rsidRDefault="00947EC7" w:rsidP="00EA701C">
      <w:pPr>
        <w:pStyle w:val="Heading4"/>
      </w:pPr>
      <w:bookmarkStart w:id="80" w:name="_Toc420942595"/>
      <w:bookmarkStart w:id="81" w:name="_Toc421616768"/>
      <w:bookmarkStart w:id="82" w:name="_Toc422130913"/>
      <w:bookmarkStart w:id="83" w:name="_Toc423962574"/>
      <w:r>
        <w:t>Alternative</w:t>
      </w:r>
      <w:r w:rsidR="007E256E">
        <w:t>s to the regression approach</w:t>
      </w:r>
      <w:bookmarkEnd w:id="80"/>
      <w:bookmarkEnd w:id="81"/>
      <w:bookmarkEnd w:id="82"/>
      <w:bookmarkEnd w:id="83"/>
    </w:p>
    <w:p w:rsidR="00846F69" w:rsidRDefault="00846F69" w:rsidP="003A2DAA">
      <w:pPr>
        <w:pStyle w:val="CGCNumberedPara"/>
      </w:pPr>
      <w:r>
        <w:t xml:space="preserve">Victoria has argued that differences in public sector wages are driven by differences in cost of living between areas over the longer term, and that using private sector wages is not an appropriate proxy to measure this influence. </w:t>
      </w:r>
      <w:r w:rsidR="00FD4954">
        <w:t>It has</w:t>
      </w:r>
      <w:r>
        <w:t xml:space="preserve"> proposed </w:t>
      </w:r>
      <w:r w:rsidR="00D87197">
        <w:t>‘</w:t>
      </w:r>
      <w:r>
        <w:t>The Commission</w:t>
      </w:r>
      <w:r w:rsidR="007B7057">
        <w:t xml:space="preserve"> </w:t>
      </w:r>
      <w:r>
        <w:t>…</w:t>
      </w:r>
      <w:r w:rsidR="007B7057">
        <w:t xml:space="preserve"> </w:t>
      </w:r>
      <w:proofErr w:type="gramStart"/>
      <w:r>
        <w:t>investigate</w:t>
      </w:r>
      <w:proofErr w:type="gramEnd"/>
      <w:r>
        <w:t xml:space="preserve"> the use of a broad spatial cost of living indicator to provide a simple, transparent proxy measure for the underlying wage differentials between States.</w:t>
      </w:r>
      <w:r w:rsidR="00D87197">
        <w:t>’</w:t>
      </w:r>
      <w:r>
        <w:rPr>
          <w:rStyle w:val="FootnoteReference"/>
        </w:rPr>
        <w:footnoteReference w:id="6"/>
      </w:r>
    </w:p>
    <w:p w:rsidR="00846F69" w:rsidRDefault="00846F69" w:rsidP="00947EC7">
      <w:pPr>
        <w:pStyle w:val="CGCNumberedPara"/>
      </w:pPr>
      <w:r>
        <w:t xml:space="preserve">While </w:t>
      </w:r>
      <w:r w:rsidR="00F77867">
        <w:t xml:space="preserve">we are </w:t>
      </w:r>
      <w:r>
        <w:t xml:space="preserve">attracted to the idea of a simpler measure of the wage cost disability, </w:t>
      </w:r>
      <w:proofErr w:type="gramStart"/>
      <w:r w:rsidR="00FD4954">
        <w:t>s</w:t>
      </w:r>
      <w:r w:rsidR="009828B8">
        <w:t>taff do</w:t>
      </w:r>
      <w:proofErr w:type="gramEnd"/>
      <w:r>
        <w:t xml:space="preserve"> not</w:t>
      </w:r>
      <w:r w:rsidR="00FC69AF">
        <w:t xml:space="preserve"> at present</w:t>
      </w:r>
      <w:r>
        <w:t xml:space="preserve"> consider that an assessment focused on only one of the </w:t>
      </w:r>
      <w:r w:rsidR="00F81008">
        <w:t xml:space="preserve">possible </w:t>
      </w:r>
      <w:r>
        <w:t xml:space="preserve">drivers of location costs (cost of living) would deliver a more robust outcome. </w:t>
      </w:r>
      <w:r w:rsidR="009828B8">
        <w:t xml:space="preserve">We </w:t>
      </w:r>
      <w:r w:rsidR="006B2029">
        <w:t>consider the current approach provides for a more appropriate proxy for the m</w:t>
      </w:r>
      <w:r w:rsidR="00A86050">
        <w:t>any</w:t>
      </w:r>
      <w:r w:rsidR="006B2029">
        <w:t xml:space="preserve"> channels through which location </w:t>
      </w:r>
      <w:r w:rsidR="00F81008">
        <w:t xml:space="preserve">may </w:t>
      </w:r>
      <w:r w:rsidR="006B2029">
        <w:t xml:space="preserve">impact wages. Additionally, </w:t>
      </w:r>
      <w:r w:rsidR="00760919">
        <w:t>we are no</w:t>
      </w:r>
      <w:r w:rsidR="006B2029">
        <w:t>t currently aware of a reliable spatial cost of living measure for Australia.</w:t>
      </w:r>
      <w:r>
        <w:t xml:space="preserve"> </w:t>
      </w:r>
    </w:p>
    <w:p w:rsidR="003A2DAA" w:rsidRPr="00872E68" w:rsidRDefault="00A642FE" w:rsidP="00EA701C">
      <w:pPr>
        <w:pStyle w:val="Heading4"/>
      </w:pPr>
      <w:bookmarkStart w:id="84" w:name="_Toc420942597"/>
      <w:bookmarkStart w:id="85" w:name="_Toc421616770"/>
      <w:bookmarkStart w:id="86" w:name="_Toc422130915"/>
      <w:bookmarkStart w:id="87" w:name="_Toc423962575"/>
      <w:r>
        <w:t xml:space="preserve">Greater </w:t>
      </w:r>
      <w:r w:rsidRPr="00872E68">
        <w:t>variance in private than public sector wages</w:t>
      </w:r>
      <w:bookmarkEnd w:id="84"/>
      <w:bookmarkEnd w:id="85"/>
      <w:bookmarkEnd w:id="86"/>
      <w:bookmarkEnd w:id="87"/>
    </w:p>
    <w:p w:rsidR="00AD6C12" w:rsidRDefault="006B2029" w:rsidP="00A51BEC">
      <w:pPr>
        <w:pStyle w:val="CGCNumberedPara"/>
      </w:pPr>
      <w:bookmarkStart w:id="88" w:name="_Ref421794802"/>
      <w:r w:rsidRPr="00872E68">
        <w:t xml:space="preserve">Victoria has also argued that the current measurement approach may overstate interstate differences in wages, as average weekly earnings data show greater interstate variance for the private sector than for the public sector. </w:t>
      </w:r>
      <w:proofErr w:type="gramStart"/>
      <w:r w:rsidR="00100A64">
        <w:t>Staff note</w:t>
      </w:r>
      <w:proofErr w:type="gramEnd"/>
      <w:r w:rsidR="00100A64">
        <w:t xml:space="preserve"> that the assessment does not consider average wages between regions, but relative wages for comparable employees. </w:t>
      </w:r>
      <w:r w:rsidR="00E00488">
        <w:t xml:space="preserve">Figure </w:t>
      </w:r>
      <w:r w:rsidR="00E00488">
        <w:rPr>
          <w:noProof/>
        </w:rPr>
        <w:t>1</w:t>
      </w:r>
      <w:r w:rsidR="00005EEE" w:rsidRPr="00872E68">
        <w:t xml:space="preserve"> </w:t>
      </w:r>
      <w:r w:rsidR="00D732EA" w:rsidRPr="00872E68">
        <w:t>illustrates</w:t>
      </w:r>
      <w:r w:rsidR="00005EEE" w:rsidRPr="00872E68">
        <w:t xml:space="preserve"> </w:t>
      </w:r>
      <w:r w:rsidR="000F6D42" w:rsidRPr="00872E68">
        <w:t>that</w:t>
      </w:r>
      <w:r w:rsidR="00D732EA" w:rsidRPr="00872E68">
        <w:t xml:space="preserve"> </w:t>
      </w:r>
      <w:r w:rsidR="00005EEE" w:rsidRPr="00872E68">
        <w:t xml:space="preserve">variance in </w:t>
      </w:r>
      <w:r w:rsidR="00100A64">
        <w:t xml:space="preserve">relative </w:t>
      </w:r>
      <w:r w:rsidR="00005EEE" w:rsidRPr="00872E68">
        <w:t>private sector wages is generally similar to that of the public sector</w:t>
      </w:r>
      <w:r w:rsidR="00162A82" w:rsidRPr="00872E68">
        <w:t xml:space="preserve"> once differences in worker characteristics are controlled for.</w:t>
      </w:r>
      <w:r w:rsidR="00005EEE" w:rsidRPr="00872E68">
        <w:t xml:space="preserve"> </w:t>
      </w:r>
      <w:bookmarkEnd w:id="88"/>
    </w:p>
    <w:p w:rsidR="007E256E" w:rsidRPr="00032009" w:rsidRDefault="00A4634D" w:rsidP="00A4634D">
      <w:pPr>
        <w:pStyle w:val="Heading3"/>
      </w:pPr>
      <w:bookmarkStart w:id="89" w:name="_Toc420942599"/>
      <w:bookmarkStart w:id="90" w:name="_Toc421616772"/>
      <w:bookmarkStart w:id="91" w:name="_Toc422130917"/>
      <w:bookmarkStart w:id="92" w:name="_Toc423962576"/>
      <w:r w:rsidRPr="00AF1B54">
        <w:t xml:space="preserve">State specific </w:t>
      </w:r>
      <w:r w:rsidR="007E256E" w:rsidRPr="00AF1B54">
        <w:t>Adjustments</w:t>
      </w:r>
      <w:bookmarkEnd w:id="89"/>
      <w:bookmarkEnd w:id="90"/>
      <w:bookmarkEnd w:id="91"/>
      <w:bookmarkEnd w:id="92"/>
    </w:p>
    <w:p w:rsidR="00947EC7" w:rsidRPr="00032009" w:rsidRDefault="00947EC7" w:rsidP="00A4634D">
      <w:pPr>
        <w:pStyle w:val="Heading4"/>
      </w:pPr>
      <w:bookmarkStart w:id="93" w:name="_Toc420942600"/>
      <w:bookmarkStart w:id="94" w:name="_Toc421616773"/>
      <w:bookmarkStart w:id="95" w:name="_Toc422130918"/>
      <w:bookmarkStart w:id="96" w:name="_Toc423962577"/>
      <w:r w:rsidRPr="00032009">
        <w:t>Private sector in Tasmania</w:t>
      </w:r>
      <w:bookmarkEnd w:id="93"/>
      <w:bookmarkEnd w:id="94"/>
      <w:bookmarkEnd w:id="95"/>
      <w:bookmarkEnd w:id="96"/>
    </w:p>
    <w:p w:rsidR="00DB6D17" w:rsidRDefault="00A342DF" w:rsidP="00A342DF">
      <w:pPr>
        <w:pStyle w:val="CGCNumberedPara"/>
      </w:pPr>
      <w:r w:rsidRPr="00032009">
        <w:t>Tasmania has for many years argued that the private sector</w:t>
      </w:r>
      <w:r>
        <w:t xml:space="preserve"> is not an appropriate proxy for the wage pressures faced by the Tasmanian </w:t>
      </w:r>
      <w:r w:rsidR="0093587F">
        <w:t>G</w:t>
      </w:r>
      <w:r>
        <w:t xml:space="preserve">overnment. </w:t>
      </w:r>
      <w:r w:rsidR="0093587F">
        <w:t xml:space="preserve">It </w:t>
      </w:r>
      <w:r w:rsidR="00DB6D17">
        <w:t>argue</w:t>
      </w:r>
      <w:r w:rsidR="0093587F">
        <w:t>s</w:t>
      </w:r>
      <w:r w:rsidR="00DB6D17">
        <w:t xml:space="preserve"> that the conditions faced by the</w:t>
      </w:r>
      <w:r w:rsidR="00A86050">
        <w:t xml:space="preserve"> Tasmanian</w:t>
      </w:r>
      <w:r w:rsidR="00DB6D17">
        <w:t xml:space="preserve"> private sector are so different from those faced by the public sector that Tasmania must set wages at levels high enough to attract and retain qualified employees from similar occupations interstate. Effectively, Tasmania argues that it operates in a national market for public sector labour</w:t>
      </w:r>
      <w:r w:rsidR="00A4634D">
        <w:t>, even if other States do not</w:t>
      </w:r>
      <w:r w:rsidR="00DB6D17">
        <w:t xml:space="preserve">. </w:t>
      </w:r>
    </w:p>
    <w:p w:rsidR="00A342DF" w:rsidRDefault="00DB6D17" w:rsidP="00DB6D17">
      <w:pPr>
        <w:pStyle w:val="CGCNumberedPara"/>
      </w:pPr>
      <w:r>
        <w:t xml:space="preserve">The Commission has since the 2011 Update not accepted Tasmania’s case, as </w:t>
      </w:r>
      <w:r w:rsidR="00A4634D">
        <w:t xml:space="preserve">the 2009 SET </w:t>
      </w:r>
      <w:r>
        <w:t xml:space="preserve">data </w:t>
      </w:r>
      <w:r w:rsidR="00A4634D">
        <w:t xml:space="preserve">showed </w:t>
      </w:r>
      <w:r>
        <w:t xml:space="preserve">that relative public sector wage levels could fall as low as the relative private sector wage levels in a State. The Commission considers the current estimate a reasonable approximation of the wage pressure faced by the Tasmanian </w:t>
      </w:r>
      <w:r w:rsidR="000B60AB">
        <w:t>G</w:t>
      </w:r>
      <w:r>
        <w:t>overnment.</w:t>
      </w:r>
    </w:p>
    <w:p w:rsidR="00613868" w:rsidRDefault="00613868" w:rsidP="003F1D43">
      <w:pPr>
        <w:pStyle w:val="CGCNumberedPara"/>
      </w:pPr>
      <w:proofErr w:type="gramStart"/>
      <w:r>
        <w:t>Staff also note</w:t>
      </w:r>
      <w:proofErr w:type="gramEnd"/>
      <w:r>
        <w:t xml:space="preserve"> that reweighting the regression to reflect the public sector education profile lowers Tasmania’s relative wages (</w:t>
      </w:r>
      <w:r w:rsidR="00E00488">
        <w:t xml:space="preserve">Figure </w:t>
      </w:r>
      <w:r w:rsidR="00E00488">
        <w:rPr>
          <w:noProof/>
        </w:rPr>
        <w:t>5</w:t>
      </w:r>
      <w:r>
        <w:t xml:space="preserve">). This indicates that </w:t>
      </w:r>
      <w:r w:rsidR="00D52D1D">
        <w:t xml:space="preserve">private sector workers </w:t>
      </w:r>
      <w:r>
        <w:t xml:space="preserve">with similar levels of qualifications to public servants are paid </w:t>
      </w:r>
      <w:r w:rsidR="00D52D1D">
        <w:t xml:space="preserve">even </w:t>
      </w:r>
      <w:r>
        <w:t xml:space="preserve">lower </w:t>
      </w:r>
      <w:r w:rsidR="00316B1D">
        <w:t xml:space="preserve">relative </w:t>
      </w:r>
      <w:r w:rsidR="00D52D1D">
        <w:t xml:space="preserve">wages in Tasmania. We note that </w:t>
      </w:r>
      <w:r w:rsidR="00316B1D">
        <w:t xml:space="preserve">while </w:t>
      </w:r>
      <w:r w:rsidR="00D52D1D">
        <w:t>the results are not significantly different</w:t>
      </w:r>
      <w:r w:rsidR="000B60AB">
        <w:t xml:space="preserve"> to the results including those workers</w:t>
      </w:r>
      <w:r w:rsidR="00D52D1D">
        <w:t xml:space="preserve">, </w:t>
      </w:r>
      <w:r w:rsidR="00316B1D">
        <w:t xml:space="preserve">they nonetheless do </w:t>
      </w:r>
      <w:r w:rsidR="00D52D1D">
        <w:t xml:space="preserve">not offer support for the theory that </w:t>
      </w:r>
      <w:r>
        <w:t xml:space="preserve">Tasmania </w:t>
      </w:r>
      <w:r w:rsidR="00D52D1D">
        <w:t xml:space="preserve">is </w:t>
      </w:r>
      <w:r>
        <w:t>operating in a national labour market for public sector type employees.</w:t>
      </w:r>
    </w:p>
    <w:p w:rsidR="00760919" w:rsidRDefault="00760919" w:rsidP="00760919">
      <w:pPr>
        <w:pStyle w:val="Caption"/>
        <w:ind w:left="0" w:firstLine="0"/>
      </w:pPr>
      <w:bookmarkStart w:id="97" w:name="_Ref421185438"/>
      <w:r>
        <w:t xml:space="preserve">Figure </w:t>
      </w:r>
      <w:fldSimple w:instr=" SEQ Figure \* ARABIC ">
        <w:r w:rsidR="00495218">
          <w:rPr>
            <w:noProof/>
          </w:rPr>
          <w:t>5</w:t>
        </w:r>
      </w:fldSimple>
      <w:bookmarkEnd w:id="97"/>
      <w:r>
        <w:tab/>
        <w:t xml:space="preserve"> </w:t>
      </w:r>
      <w:r w:rsidRPr="00743E60">
        <w:t xml:space="preserve">Original and qualification reweighted </w:t>
      </w:r>
      <w:r w:rsidR="00D52D1D">
        <w:t xml:space="preserve">(a) </w:t>
      </w:r>
      <w:r w:rsidRPr="00743E60">
        <w:t>SET estimates, private sector</w:t>
      </w:r>
    </w:p>
    <w:p w:rsidR="00760919" w:rsidRPr="002922AF" w:rsidRDefault="00760919" w:rsidP="00760919">
      <w:pPr>
        <w:pStyle w:val="CGCNumberedPara"/>
        <w:keepNext/>
        <w:numPr>
          <w:ilvl w:val="0"/>
          <w:numId w:val="0"/>
        </w:numPr>
        <w:rPr>
          <w:color w:val="FF0000"/>
        </w:rPr>
      </w:pPr>
      <w:r>
        <w:rPr>
          <w:noProof/>
          <w:lang w:eastAsia="en-AU"/>
        </w:rPr>
        <w:drawing>
          <wp:inline distT="0" distB="0" distL="0" distR="0" wp14:anchorId="71BE0996" wp14:editId="2282C398">
            <wp:extent cx="5652000" cy="3564000"/>
            <wp:effectExtent l="0" t="0" r="25400" b="1778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52D1D" w:rsidRPr="00AF1B54" w:rsidRDefault="00D52D1D" w:rsidP="00D52D1D">
      <w:pPr>
        <w:pStyle w:val="CGCTableFootnote"/>
      </w:pPr>
      <w:r>
        <w:t>(a)</w:t>
      </w:r>
      <w:r>
        <w:tab/>
        <w:t xml:space="preserve">Survey sample weighted to represent the public sector distribution of different levels of </w:t>
      </w:r>
      <w:r w:rsidRPr="00AF1B54">
        <w:t>qualification in each State.</w:t>
      </w:r>
    </w:p>
    <w:p w:rsidR="00760919" w:rsidRPr="00AF1B54" w:rsidRDefault="00760919" w:rsidP="00760919">
      <w:pPr>
        <w:pStyle w:val="CGCTableFootnote"/>
        <w:keepNext/>
        <w:ind w:left="0" w:firstLine="0"/>
      </w:pPr>
      <w:r w:rsidRPr="00AF1B54">
        <w:t>Source:</w:t>
      </w:r>
      <w:r w:rsidRPr="00AF1B54">
        <w:tab/>
        <w:t>Commission analysis of SET 2009.</w:t>
      </w:r>
    </w:p>
    <w:p w:rsidR="00DD3071" w:rsidRPr="00AF1B54" w:rsidRDefault="003F1D43" w:rsidP="00613868">
      <w:pPr>
        <w:pStyle w:val="CGCNumberedPara"/>
      </w:pPr>
      <w:r w:rsidRPr="00AF1B54">
        <w:t xml:space="preserve">In past </w:t>
      </w:r>
      <w:r w:rsidR="007B7057">
        <w:t>r</w:t>
      </w:r>
      <w:r w:rsidRPr="00AF1B54">
        <w:t>eview</w:t>
      </w:r>
      <w:r w:rsidR="00334115" w:rsidRPr="00AF1B54">
        <w:t>s</w:t>
      </w:r>
      <w:r w:rsidRPr="00AF1B54">
        <w:t xml:space="preserve"> however, the Commission has considered</w:t>
      </w:r>
      <w:r w:rsidR="00FD77B4" w:rsidRPr="00AF1B54">
        <w:t xml:space="preserve"> there may be a floor to wage relativities, below which relative public sector wages cannot reasonably fall. This issue could affect</w:t>
      </w:r>
      <w:r w:rsidR="00D87197">
        <w:t xml:space="preserve"> any</w:t>
      </w:r>
      <w:r w:rsidR="00FD77B4" w:rsidRPr="00AF1B54">
        <w:t xml:space="preserve"> State in the new data. </w:t>
      </w:r>
      <w:r w:rsidR="00353096" w:rsidRPr="00AF1B54">
        <w:t xml:space="preserve">We are asking for academic </w:t>
      </w:r>
      <w:r w:rsidR="00D87197">
        <w:t>comment on</w:t>
      </w:r>
      <w:r w:rsidR="00353096" w:rsidRPr="00AF1B54">
        <w:t xml:space="preserve"> </w:t>
      </w:r>
      <w:r w:rsidR="00686EDA" w:rsidRPr="00AF1B54">
        <w:t>whether any State would be fully or partially exempt from any pressures</w:t>
      </w:r>
      <w:r w:rsidR="00353096" w:rsidRPr="00AF1B54">
        <w:t xml:space="preserve">, but </w:t>
      </w:r>
      <w:r w:rsidR="00FD77B4" w:rsidRPr="00AF1B54">
        <w:t xml:space="preserve">State views on the merits of this </w:t>
      </w:r>
      <w:r w:rsidR="006D2631">
        <w:t>argument</w:t>
      </w:r>
      <w:r w:rsidR="006D2631" w:rsidRPr="00AF1B54">
        <w:t xml:space="preserve"> </w:t>
      </w:r>
      <w:r w:rsidR="00FD77B4" w:rsidRPr="00AF1B54">
        <w:t xml:space="preserve">would </w:t>
      </w:r>
      <w:r w:rsidR="00353096" w:rsidRPr="00AF1B54">
        <w:t xml:space="preserve">also </w:t>
      </w:r>
      <w:r w:rsidR="00FD77B4" w:rsidRPr="00AF1B54">
        <w:t xml:space="preserve">be appreciated. </w:t>
      </w:r>
    </w:p>
    <w:p w:rsidR="00DB6D17" w:rsidRDefault="00947EC7" w:rsidP="00A4634D">
      <w:pPr>
        <w:pStyle w:val="Heading4"/>
      </w:pPr>
      <w:bookmarkStart w:id="98" w:name="_Toc420942601"/>
      <w:bookmarkStart w:id="99" w:name="_Toc421616774"/>
      <w:bookmarkStart w:id="100" w:name="_Toc422130919"/>
      <w:bookmarkStart w:id="101" w:name="_Toc423962578"/>
      <w:r w:rsidRPr="00AF1B54">
        <w:t>Commonwealth sector in</w:t>
      </w:r>
      <w:r w:rsidR="00DB6D17" w:rsidRPr="00AF1B54">
        <w:t>fluence on the</w:t>
      </w:r>
      <w:r>
        <w:t xml:space="preserve"> </w:t>
      </w:r>
      <w:r w:rsidR="004B7478">
        <w:t>ACT</w:t>
      </w:r>
      <w:bookmarkEnd w:id="98"/>
      <w:bookmarkEnd w:id="99"/>
      <w:bookmarkEnd w:id="100"/>
      <w:bookmarkEnd w:id="101"/>
    </w:p>
    <w:p w:rsidR="0084644F" w:rsidRDefault="00DB6D17" w:rsidP="00DB6D17">
      <w:pPr>
        <w:pStyle w:val="CGCNumberedPara"/>
      </w:pPr>
      <w:r>
        <w:t>The ACT has at times argued that the influence of the Commonwealth government is the greatest driver of wages in the national capital.</w:t>
      </w:r>
      <w:r w:rsidR="00947EC7">
        <w:t xml:space="preserve"> </w:t>
      </w:r>
      <w:r w:rsidR="0084644F">
        <w:t xml:space="preserve">Prior to the introduction of SET data in 2004, the Commission used the entire non-State sector as the policy neutral benchmark for the wages assessment. However, limitations in the SET data mean that Commonwealth workers </w:t>
      </w:r>
      <w:r w:rsidR="0093587F">
        <w:t>could not be differentiated from</w:t>
      </w:r>
      <w:r w:rsidR="0084644F">
        <w:t xml:space="preserve"> State government workers</w:t>
      </w:r>
      <w:r w:rsidR="0093587F">
        <w:t>.</w:t>
      </w:r>
      <w:r w:rsidR="0084644F">
        <w:t xml:space="preserve"> </w:t>
      </w:r>
      <w:r w:rsidR="0093587F">
        <w:t>T</w:t>
      </w:r>
      <w:r w:rsidR="0084644F">
        <w:t>herefore</w:t>
      </w:r>
      <w:r w:rsidR="0093587F">
        <w:t>,</w:t>
      </w:r>
      <w:r w:rsidR="0084644F">
        <w:t xml:space="preserve"> since 2004</w:t>
      </w:r>
      <w:r w:rsidR="0093587F">
        <w:t>,</w:t>
      </w:r>
      <w:r w:rsidR="0084644F">
        <w:t xml:space="preserve"> private sector wages have </w:t>
      </w:r>
      <w:r w:rsidR="00A86050">
        <w:t>served</w:t>
      </w:r>
      <w:r w:rsidR="0084644F">
        <w:t xml:space="preserve"> as the policy neutral benchmark. </w:t>
      </w:r>
      <w:r w:rsidR="00A4634D">
        <w:t>T</w:t>
      </w:r>
      <w:r w:rsidR="0084644F">
        <w:t xml:space="preserve">he </w:t>
      </w:r>
      <w:r w:rsidR="006D2631">
        <w:t xml:space="preserve">CoE </w:t>
      </w:r>
      <w:r w:rsidR="0084644F">
        <w:t xml:space="preserve">survey </w:t>
      </w:r>
      <w:r w:rsidR="00A4634D">
        <w:t xml:space="preserve">will also </w:t>
      </w:r>
      <w:r w:rsidR="00334115">
        <w:t>not identify Commonwealth employees separately.</w:t>
      </w:r>
    </w:p>
    <w:p w:rsidR="00340DBB" w:rsidRDefault="0084644F" w:rsidP="00DB6D17">
      <w:pPr>
        <w:pStyle w:val="CGCNumberedPara"/>
      </w:pPr>
      <w:r>
        <w:t>The Commission accepted the ACT’s case until the 2011 Update</w:t>
      </w:r>
      <w:r w:rsidR="0093587F">
        <w:t>.</w:t>
      </w:r>
      <w:r>
        <w:t xml:space="preserve"> </w:t>
      </w:r>
      <w:r w:rsidR="0093587F">
        <w:t>I</w:t>
      </w:r>
      <w:r>
        <w:t xml:space="preserve">t decided </w:t>
      </w:r>
      <w:r w:rsidR="000B60AB">
        <w:t xml:space="preserve">then </w:t>
      </w:r>
      <w:r>
        <w:t xml:space="preserve">that the private sector wage level was an appropriate proxy for the ACT, </w:t>
      </w:r>
      <w:r w:rsidR="005F1BA0">
        <w:t>as the public and private relativities were sufficiently similar. T</w:t>
      </w:r>
      <w:r>
        <w:t xml:space="preserve">he judgment based adjustment was discontinued. </w:t>
      </w:r>
    </w:p>
    <w:p w:rsidR="005F1BA0" w:rsidRDefault="00533738" w:rsidP="00DB6D17">
      <w:pPr>
        <w:pStyle w:val="CGCNumberedPara"/>
      </w:pPr>
      <w:r>
        <w:t xml:space="preserve">The impact of the Commonwealth on our wages assessment is only a potential issue in the ACT. If we were to find that </w:t>
      </w:r>
      <w:r w:rsidR="001F5D69">
        <w:t xml:space="preserve">this, or future, </w:t>
      </w:r>
      <w:r>
        <w:t xml:space="preserve">CoE </w:t>
      </w:r>
      <w:r w:rsidR="001F5D69">
        <w:t xml:space="preserve">surveys </w:t>
      </w:r>
      <w:r>
        <w:t xml:space="preserve">showed </w:t>
      </w:r>
      <w:r w:rsidR="006D2631">
        <w:t xml:space="preserve">the ACT’s relative </w:t>
      </w:r>
      <w:r>
        <w:t xml:space="preserve">public sector wages (primarily Commonwealth public servants) were significantly higher than </w:t>
      </w:r>
      <w:r w:rsidR="006D2631">
        <w:t xml:space="preserve">its relative </w:t>
      </w:r>
      <w:r>
        <w:t xml:space="preserve">private sector wages, there could be an argument that wage pressures facing the ACT government would be higher than those measured by the private sector. </w:t>
      </w:r>
      <w:r w:rsidR="001F5D69">
        <w:t>We would like to consider the appropriate response to such a result.</w:t>
      </w:r>
      <w:r w:rsidR="007D3115">
        <w:t xml:space="preserve"> </w:t>
      </w:r>
      <w:r w:rsidR="006D2631">
        <w:t>However</w:t>
      </w:r>
      <w:r w:rsidR="007D3115">
        <w:t xml:space="preserve">, as discussed in paragraph </w:t>
      </w:r>
      <w:r w:rsidR="00E00488">
        <w:t>71</w:t>
      </w:r>
      <w:r w:rsidR="007D3115">
        <w:t>, the ACT would need to explain why Commonwealth wages would not exert an influence on the wider community wage but would affect the public sector.</w:t>
      </w:r>
      <w:r w:rsidR="001F5D69">
        <w:t xml:space="preserve"> </w:t>
      </w:r>
    </w:p>
    <w:p w:rsidR="00745097" w:rsidRDefault="00745097" w:rsidP="00745097">
      <w:pPr>
        <w:pStyle w:val="Heading3"/>
      </w:pPr>
      <w:bookmarkStart w:id="102" w:name="_Toc421616775"/>
      <w:bookmarkStart w:id="103" w:name="_Toc422130920"/>
      <w:bookmarkStart w:id="104" w:name="_Toc423962579"/>
      <w:bookmarkStart w:id="105" w:name="_Toc420942602"/>
      <w:r>
        <w:t>Improving the model</w:t>
      </w:r>
      <w:bookmarkEnd w:id="102"/>
      <w:bookmarkEnd w:id="103"/>
      <w:bookmarkEnd w:id="104"/>
    </w:p>
    <w:p w:rsidR="00AF2A64" w:rsidRDefault="0012199D" w:rsidP="00334115">
      <w:pPr>
        <w:pStyle w:val="Heading4"/>
      </w:pPr>
      <w:bookmarkStart w:id="106" w:name="_Toc421616776"/>
      <w:bookmarkStart w:id="107" w:name="_Toc422130921"/>
      <w:bookmarkStart w:id="108" w:name="_Toc423962580"/>
      <w:r>
        <w:t>Capital city and regional loadings</w:t>
      </w:r>
      <w:bookmarkEnd w:id="105"/>
      <w:bookmarkEnd w:id="106"/>
      <w:bookmarkEnd w:id="107"/>
      <w:bookmarkEnd w:id="108"/>
    </w:p>
    <w:p w:rsidR="00836637" w:rsidRPr="0038280E" w:rsidRDefault="0060775F" w:rsidP="002E1BF2">
      <w:pPr>
        <w:pStyle w:val="CGCNumberedPara"/>
      </w:pPr>
      <w:r w:rsidRPr="0038280E">
        <w:t xml:space="preserve">The use of </w:t>
      </w:r>
      <w:r w:rsidR="0092511C" w:rsidRPr="0038280E">
        <w:t xml:space="preserve">State average private sector wages provides the capacity for States to pay more (less) than average in those areas where private sector wages are </w:t>
      </w:r>
      <w:r w:rsidR="00A86050" w:rsidRPr="0038280E">
        <w:t>above</w:t>
      </w:r>
      <w:r w:rsidR="0092511C" w:rsidRPr="0038280E">
        <w:t xml:space="preserve"> (below) average. For example, this could allow New South Wales to pay teachers above average salaries in Sydney and below average salaries in</w:t>
      </w:r>
      <w:r w:rsidR="00836637" w:rsidRPr="0038280E">
        <w:t xml:space="preserve"> some</w:t>
      </w:r>
      <w:r w:rsidR="0092511C" w:rsidRPr="0038280E">
        <w:t xml:space="preserve"> regional areas. However, this is not necessarily what States do. </w:t>
      </w:r>
      <w:r w:rsidR="001F5D69" w:rsidRPr="0038280E">
        <w:t xml:space="preserve">We observe that </w:t>
      </w:r>
      <w:r w:rsidR="0092511C" w:rsidRPr="0038280E">
        <w:t>State governments generall</w:t>
      </w:r>
      <w:r w:rsidR="00F01510">
        <w:t>y negotiate and set wages on a S</w:t>
      </w:r>
      <w:r w:rsidR="0092511C" w:rsidRPr="0038280E">
        <w:t>tate-wide basis, so a Sydney teacher and a</w:t>
      </w:r>
      <w:r w:rsidR="00836637" w:rsidRPr="0038280E">
        <w:t>n equivalent</w:t>
      </w:r>
      <w:r w:rsidR="0092511C" w:rsidRPr="0038280E">
        <w:t xml:space="preserve"> regional teacher </w:t>
      </w:r>
      <w:r w:rsidR="001F5D69" w:rsidRPr="0038280E">
        <w:t xml:space="preserve">generally </w:t>
      </w:r>
      <w:r w:rsidR="0092511C" w:rsidRPr="0038280E">
        <w:t xml:space="preserve">earn the same salary (location loadings notwithstanding). </w:t>
      </w:r>
      <w:r w:rsidR="00DA3058" w:rsidRPr="0038280E">
        <w:t xml:space="preserve">If private sector wages vary within a State, but public sector wages do not, it is worth considering whether the private sector wage level for the entire </w:t>
      </w:r>
      <w:r w:rsidR="00984FCF" w:rsidRPr="0038280E">
        <w:t>State</w:t>
      </w:r>
      <w:r w:rsidR="00DA3058" w:rsidRPr="0038280E">
        <w:t xml:space="preserve"> or for some subset of the State best reflects the pressure on the public sector wage levels. </w:t>
      </w:r>
    </w:p>
    <w:p w:rsidR="0092511C" w:rsidRPr="0038280E" w:rsidRDefault="0092511C" w:rsidP="002E1BF2">
      <w:pPr>
        <w:pStyle w:val="CGCNumberedPara"/>
      </w:pPr>
      <w:r w:rsidRPr="0038280E">
        <w:t xml:space="preserve">States presumably set their wages at a level which allows them to recruit and retain staff in most locations. Setting wages at a level lower than the capital city level is likely to mean a State will face difficulty recruiting staff in </w:t>
      </w:r>
      <w:r w:rsidR="00307289" w:rsidRPr="0038280E">
        <w:t>the capital</w:t>
      </w:r>
      <w:r w:rsidRPr="0038280E">
        <w:t>, although it may still be eas</w:t>
      </w:r>
      <w:r w:rsidR="0055749C" w:rsidRPr="0038280E">
        <w:t>y</w:t>
      </w:r>
      <w:r w:rsidRPr="0038280E">
        <w:t xml:space="preserve"> to attract staff in lower wage areas.</w:t>
      </w:r>
    </w:p>
    <w:p w:rsidR="009B4B66" w:rsidRPr="0038280E" w:rsidRDefault="009B4B66" w:rsidP="002E1BF2">
      <w:pPr>
        <w:pStyle w:val="CGCNumberedPara"/>
      </w:pPr>
      <w:r w:rsidRPr="0038280E">
        <w:t xml:space="preserve">In cases where regional wages are much higher than capital city wages, a State may again have trouble retaining staff, and so may pay a regional loading above what would normally be expected. In such instances, the Commission </w:t>
      </w:r>
      <w:r w:rsidR="00D87197">
        <w:t>could</w:t>
      </w:r>
      <w:r w:rsidR="00D87197" w:rsidRPr="0038280E">
        <w:t xml:space="preserve"> </w:t>
      </w:r>
      <w:r w:rsidRPr="0038280E">
        <w:t>assess an additional State specific regional wage loading.</w:t>
      </w:r>
      <w:r w:rsidR="00DA3058" w:rsidRPr="0038280E">
        <w:t xml:space="preserve"> </w:t>
      </w:r>
      <w:r w:rsidR="00D87197">
        <w:t>Staff</w:t>
      </w:r>
      <w:r w:rsidR="00DA3058" w:rsidRPr="0038280E">
        <w:t xml:space="preserve"> provided a discussion paper covering this issue during the 2015 Review (CGC-</w:t>
      </w:r>
      <w:r w:rsidR="00316B1D" w:rsidRPr="0038280E">
        <w:t>2013-07</w:t>
      </w:r>
      <w:r w:rsidR="00DA3058" w:rsidRPr="0038280E">
        <w:t xml:space="preserve">-S). The relevant section of that paper is included in </w:t>
      </w:r>
      <w:r w:rsidR="00E00488" w:rsidRPr="00F021C8">
        <w:t>Attachment</w:t>
      </w:r>
      <w:r w:rsidR="00E00488">
        <w:t xml:space="preserve"> A</w:t>
      </w:r>
      <w:r w:rsidR="00DA3058" w:rsidRPr="0038280E">
        <w:t>.</w:t>
      </w:r>
    </w:p>
    <w:p w:rsidR="00DA3058" w:rsidRPr="0038280E" w:rsidRDefault="00836637" w:rsidP="002E1BF2">
      <w:pPr>
        <w:pStyle w:val="CGCNumberedPara"/>
      </w:pPr>
      <w:r w:rsidRPr="0038280E">
        <w:t>New South Wales, Victoria</w:t>
      </w:r>
      <w:r w:rsidR="008A4D6B" w:rsidRPr="0038280E">
        <w:t xml:space="preserve"> and</w:t>
      </w:r>
      <w:r w:rsidRPr="0038280E">
        <w:t xml:space="preserve"> Tasmania</w:t>
      </w:r>
      <w:r w:rsidR="009B4B66" w:rsidRPr="0038280E">
        <w:t xml:space="preserve"> support th</w:t>
      </w:r>
      <w:r w:rsidR="008A4D6B" w:rsidRPr="0038280E">
        <w:t>e concept of a capital-city based assessment, arguing it is closer to what States do in setting wages. Queensland, Western Australia, South Australia and the ACT are opposed to the proposal. Queensland and the ACT argue that the conceptual case is unconvincing and that such an approach would serve only to reduce sample size and decrease the reliability of the assessment.</w:t>
      </w:r>
      <w:r w:rsidR="00307289" w:rsidRPr="0038280E">
        <w:t xml:space="preserve"> </w:t>
      </w:r>
    </w:p>
    <w:p w:rsidR="008A4D6B" w:rsidRPr="0038280E" w:rsidRDefault="00307289" w:rsidP="002E1BF2">
      <w:pPr>
        <w:pStyle w:val="CGCNumberedPara"/>
      </w:pPr>
      <w:r w:rsidRPr="0038280E">
        <w:t>Queensla</w:t>
      </w:r>
      <w:r w:rsidR="00F01510">
        <w:t>nd has in the past argued that S</w:t>
      </w:r>
      <w:r w:rsidRPr="0038280E">
        <w:t xml:space="preserve">tate-wide wage agreements support ‘uneconomic’ wages in some areas, citing the example of different wages being paid in Albury-Wodonga by the New South Wales and Victorian </w:t>
      </w:r>
      <w:r w:rsidR="000B60AB">
        <w:t>G</w:t>
      </w:r>
      <w:r w:rsidRPr="0038280E">
        <w:t xml:space="preserve">overnments in the same labour market. </w:t>
      </w:r>
      <w:r w:rsidR="003F1D43" w:rsidRPr="0038280E">
        <w:t>Staff</w:t>
      </w:r>
      <w:r w:rsidRPr="0038280E">
        <w:t xml:space="preserve"> note that </w:t>
      </w:r>
      <w:r w:rsidR="00DA3058" w:rsidRPr="0038280E">
        <w:t>while there may be some wage savings associated with paying regional wages, there may be offsetting costs associated with a decentralised wage setting system. However, regardless of whether centralised or decentralised wage setting is more efficient, we observe</w:t>
      </w:r>
      <w:r w:rsidR="00772B95" w:rsidRPr="0038280E">
        <w:t xml:space="preserve"> that</w:t>
      </w:r>
      <w:r w:rsidR="00DA3058" w:rsidRPr="0038280E">
        <w:t xml:space="preserve"> what States do is to have centralised wage setting</w:t>
      </w:r>
      <w:r w:rsidR="00DF1A93">
        <w:t xml:space="preserve"> for their public servants</w:t>
      </w:r>
      <w:r w:rsidR="00DA3058" w:rsidRPr="0038280E">
        <w:t xml:space="preserve">. </w:t>
      </w:r>
    </w:p>
    <w:p w:rsidR="001F5D69" w:rsidRPr="00032009" w:rsidRDefault="001F5D69" w:rsidP="002E1BF2">
      <w:pPr>
        <w:pStyle w:val="CGCNumberedPara"/>
      </w:pPr>
      <w:bookmarkStart w:id="109" w:name="_Ref421703479"/>
      <w:r w:rsidRPr="0038280E">
        <w:t>Western Australia consider</w:t>
      </w:r>
      <w:r w:rsidR="00DF1A93">
        <w:t>s</w:t>
      </w:r>
      <w:r w:rsidRPr="0038280E">
        <w:t xml:space="preserve"> that to use capital city wage levels would mean that we would give States with high regional wages the capacity to recruit average quality staff (as we would assess their wage level </w:t>
      </w:r>
      <w:r w:rsidR="00C47AD6" w:rsidRPr="0038280E">
        <w:t xml:space="preserve">both in and out of the capital city </w:t>
      </w:r>
      <w:r w:rsidRPr="0038280E">
        <w:t xml:space="preserve">at its measured level). However, States with low regional wages would be given the capacity to recruit higher quality staff, (as we would assess their wage level </w:t>
      </w:r>
      <w:r w:rsidR="00C47AD6" w:rsidRPr="0038280E">
        <w:t xml:space="preserve">outside the capital </w:t>
      </w:r>
      <w:r w:rsidRPr="0038280E">
        <w:t xml:space="preserve">at above its measured level). Western Australia </w:t>
      </w:r>
      <w:r w:rsidR="00984FCF" w:rsidRPr="0038280E">
        <w:t>contends</w:t>
      </w:r>
      <w:r w:rsidRPr="0038280E">
        <w:t xml:space="preserve"> that this is </w:t>
      </w:r>
      <w:r w:rsidRPr="00032009">
        <w:t xml:space="preserve">contrary to the HFE objective. </w:t>
      </w:r>
      <w:r w:rsidR="00C47AD6" w:rsidRPr="00032009">
        <w:t>I</w:t>
      </w:r>
      <w:r w:rsidR="00085FB3" w:rsidRPr="00032009">
        <w:t>t contends</w:t>
      </w:r>
      <w:r w:rsidRPr="00032009">
        <w:t xml:space="preserve"> we should give all States the capacity to recruit average level staff everywhere, and how States implement their own policies is their own concern.</w:t>
      </w:r>
      <w:bookmarkEnd w:id="109"/>
      <w:r w:rsidRPr="00032009">
        <w:t xml:space="preserve"> </w:t>
      </w:r>
    </w:p>
    <w:p w:rsidR="00C47AD6" w:rsidRPr="00032009" w:rsidRDefault="00971E42" w:rsidP="003D7CC1">
      <w:pPr>
        <w:pStyle w:val="CGCNumberedPara"/>
      </w:pPr>
      <w:bookmarkStart w:id="110" w:name="_Ref421703494"/>
      <w:r w:rsidRPr="00032009">
        <w:t xml:space="preserve">The Western Australian solution, of assuming that States can recruit average staff everywhere is in conflict with our ‘what States do’ principle. </w:t>
      </w:r>
      <w:r w:rsidR="003D7CC1" w:rsidRPr="00032009">
        <w:t xml:space="preserve">We accept that in providing </w:t>
      </w:r>
      <w:r w:rsidRPr="00032009">
        <w:t xml:space="preserve">for </w:t>
      </w:r>
      <w:r w:rsidR="003D7CC1" w:rsidRPr="00032009">
        <w:t>high capital city wages to staff in low wage regional areas, we are providing certain States with an above average capacity</w:t>
      </w:r>
      <w:r w:rsidRPr="00032009">
        <w:t xml:space="preserve"> in their regional areas</w:t>
      </w:r>
      <w:r w:rsidR="003D7CC1" w:rsidRPr="00032009">
        <w:t>. However, we consider that to not do so, would not provide them with the capacity to provide the average standard of service.</w:t>
      </w:r>
      <w:r w:rsidR="00AA2C7B" w:rsidRPr="00032009">
        <w:t xml:space="preserve"> </w:t>
      </w:r>
      <w:r w:rsidR="003D7CC1" w:rsidRPr="00032009">
        <w:t>We consider that equalising their fiscal capacity if they follow average policy is the key to our definition. We acknowledge that this may provide windfall gains to certain States.</w:t>
      </w:r>
      <w:bookmarkEnd w:id="110"/>
      <w:r w:rsidRPr="00032009">
        <w:t xml:space="preserve"> </w:t>
      </w:r>
    </w:p>
    <w:p w:rsidR="00975B8E" w:rsidRDefault="008A4D6B" w:rsidP="00307289">
      <w:pPr>
        <w:pStyle w:val="CGCNumberedPara"/>
      </w:pPr>
      <w:r w:rsidRPr="0038280E">
        <w:t xml:space="preserve">The Northern Territory supports the application of a regional loading, but notes that current data limitations do not support the calculation of such a loading for the Northern Territory. </w:t>
      </w:r>
      <w:r w:rsidR="00AA2C7B">
        <w:t>It</w:t>
      </w:r>
      <w:r w:rsidR="00AA2C7B" w:rsidRPr="0038280E">
        <w:t xml:space="preserve"> </w:t>
      </w:r>
      <w:r w:rsidRPr="0038280E">
        <w:t>provided a submission using 2011 Census data that suggested that wages are considerably higher outside of Darwin, warrant</w:t>
      </w:r>
      <w:r w:rsidR="00AA2C7B">
        <w:t>ing</w:t>
      </w:r>
      <w:r w:rsidRPr="0038280E">
        <w:t xml:space="preserve"> a regional loading. However, </w:t>
      </w:r>
      <w:r w:rsidR="00747207" w:rsidRPr="0038280E">
        <w:t xml:space="preserve">we note that for States with higher regional than capital city wages, we would calculate the same wage level using a whole of State estimate, as using separate capital city and balance of State estimates. This is because we would assess such a State as needing the prevailing wages in </w:t>
      </w:r>
      <w:r w:rsidR="00706F43" w:rsidRPr="0038280E">
        <w:t xml:space="preserve">both </w:t>
      </w:r>
      <w:r w:rsidR="00747207" w:rsidRPr="0038280E">
        <w:t>capital cities and in regional areas</w:t>
      </w:r>
      <w:r w:rsidR="00706F43" w:rsidRPr="0038280E">
        <w:t xml:space="preserve"> (which is equivalent to needing prevailing wages across the State)</w:t>
      </w:r>
      <w:r w:rsidR="00747207" w:rsidRPr="0038280E">
        <w:t xml:space="preserve">. It is only for States with low regional wages that a difference emerges. We also note that the CoE may be able to provide more fine level geographic analysis than the SET was able to provide. </w:t>
      </w:r>
    </w:p>
    <w:p w:rsidR="0076250E" w:rsidRPr="0038280E" w:rsidRDefault="0076250E" w:rsidP="00307289">
      <w:pPr>
        <w:pStyle w:val="CGCNumberedPara"/>
      </w:pPr>
      <w:r>
        <w:t xml:space="preserve">Queensland has also suggested that if States do set capital city wage levels, that the appropriate benchmark level is the Major Cities classification of </w:t>
      </w:r>
      <w:r w:rsidR="00240AF2">
        <w:t>the Accessibility/Remoteness Index for Australia (</w:t>
      </w:r>
      <w:r>
        <w:t>ARIA</w:t>
      </w:r>
      <w:r w:rsidR="00240AF2">
        <w:t>)</w:t>
      </w:r>
      <w:r>
        <w:t xml:space="preserve">. This would mean that the Gold and Sunshine Coasts are included with Brisbane, and Newcastle and Wollongong included with Sydney. Queensland argues that these areas are likely to comprise a single labour market and thus be subject to the same wage pressures. </w:t>
      </w:r>
      <w:proofErr w:type="gramStart"/>
      <w:r>
        <w:t>Staff are</w:t>
      </w:r>
      <w:proofErr w:type="gramEnd"/>
      <w:r>
        <w:t xml:space="preserve"> currently inclined to</w:t>
      </w:r>
      <w:r w:rsidR="00133175">
        <w:t>ward</w:t>
      </w:r>
      <w:r>
        <w:t xml:space="preserve"> us</w:t>
      </w:r>
      <w:r w:rsidR="00133175">
        <w:t>ing</w:t>
      </w:r>
      <w:r>
        <w:t xml:space="preserve"> the Greater Capital City Statistical Areas as defined by the ABS</w:t>
      </w:r>
      <w:r w:rsidR="00133175">
        <w:t>, which are agglomerations of SA4 regions. SA4s are designed to encompass local labour markets</w:t>
      </w:r>
      <w:r w:rsidR="00133175">
        <w:rPr>
          <w:rStyle w:val="FootnoteReference"/>
        </w:rPr>
        <w:footnoteReference w:id="7"/>
      </w:r>
      <w:r w:rsidR="00133175">
        <w:t>. We welcome State views on the correct labour market area to use if such an assessment were to be performed.</w:t>
      </w:r>
    </w:p>
    <w:p w:rsidR="00037637" w:rsidRDefault="00772B95" w:rsidP="00037637">
      <w:pPr>
        <w:pStyle w:val="Heading4"/>
      </w:pPr>
      <w:bookmarkStart w:id="111" w:name="_Toc421616777"/>
      <w:bookmarkStart w:id="112" w:name="_Toc422130922"/>
      <w:bookmarkStart w:id="113" w:name="_Toc423962581"/>
      <w:r>
        <w:t>Dominant employer effects (p</w:t>
      </w:r>
      <w:r w:rsidR="00037637">
        <w:t xml:space="preserve">olicy </w:t>
      </w:r>
      <w:r>
        <w:t>n</w:t>
      </w:r>
      <w:r w:rsidR="00037637">
        <w:t>eutrality)</w:t>
      </w:r>
      <w:bookmarkEnd w:id="111"/>
      <w:bookmarkEnd w:id="112"/>
      <w:bookmarkEnd w:id="113"/>
    </w:p>
    <w:p w:rsidR="00037637" w:rsidRDefault="00037637" w:rsidP="00037637">
      <w:pPr>
        <w:pStyle w:val="CGCNumberedPara"/>
      </w:pPr>
      <w:r>
        <w:t xml:space="preserve">Some States, in particular South Australia, have argued that for particular occupations, such as nurses, teachers and police, private sector wages cannot be a policy neutral measure of the disability. They argue that because the public sector is a </w:t>
      </w:r>
      <w:r w:rsidR="00003705">
        <w:t xml:space="preserve">dominant </w:t>
      </w:r>
      <w:r>
        <w:t>employer in certain occupations</w:t>
      </w:r>
      <w:r w:rsidR="00003705">
        <w:t xml:space="preserve"> and that </w:t>
      </w:r>
      <w:r>
        <w:t xml:space="preserve">private sector employers of those occupations </w:t>
      </w:r>
      <w:r w:rsidR="00003705">
        <w:t xml:space="preserve">are likely to </w:t>
      </w:r>
      <w:r>
        <w:t>follow the wages set by the State employers</w:t>
      </w:r>
      <w:r w:rsidR="00003705">
        <w:t>, that there is a level of policy contamination in private sector wages</w:t>
      </w:r>
      <w:r>
        <w:t>.</w:t>
      </w:r>
    </w:p>
    <w:p w:rsidR="00037637" w:rsidRPr="00975B8E" w:rsidRDefault="00003705" w:rsidP="00037637">
      <w:pPr>
        <w:pStyle w:val="CGCNumberedPara"/>
      </w:pPr>
      <w:r>
        <w:t xml:space="preserve">The wages paid to private sector health and education professionals may reflect both State policy contamination as well as </w:t>
      </w:r>
      <w:r w:rsidR="00B9133F">
        <w:t xml:space="preserve">the same wage pressures as the rest of the private sector. It is possible to remove the </w:t>
      </w:r>
      <w:r w:rsidR="0060032B">
        <w:t>4</w:t>
      </w:r>
      <w:r w:rsidR="00B9133F">
        <w:t xml:space="preserve">% of private sector workers in these two groups from our sample. Using the 2009 SET, the </w:t>
      </w:r>
      <w:r w:rsidR="00F3366D">
        <w:t>results were not material at the $30</w:t>
      </w:r>
      <w:r w:rsidR="00DF1A93">
        <w:t xml:space="preserve"> </w:t>
      </w:r>
      <w:r w:rsidR="00F3366D">
        <w:t>p</w:t>
      </w:r>
      <w:r w:rsidR="00F01510">
        <w:t>er capita</w:t>
      </w:r>
      <w:r w:rsidR="00F3366D">
        <w:t xml:space="preserve"> level, but were material for some States at the $10</w:t>
      </w:r>
      <w:r w:rsidR="00DF1A93">
        <w:t xml:space="preserve"> </w:t>
      </w:r>
      <w:r w:rsidR="00F3366D">
        <w:t>p</w:t>
      </w:r>
      <w:r w:rsidR="00F01510">
        <w:t>er capita</w:t>
      </w:r>
      <w:r w:rsidR="00F3366D">
        <w:t xml:space="preserve"> level. </w:t>
      </w:r>
    </w:p>
    <w:p w:rsidR="00670ACD" w:rsidRDefault="00670ACD" w:rsidP="00670ACD">
      <w:pPr>
        <w:pStyle w:val="Heading4"/>
      </w:pPr>
      <w:bookmarkStart w:id="114" w:name="_Toc420942590"/>
      <w:bookmarkStart w:id="115" w:name="_Toc421616778"/>
      <w:bookmarkStart w:id="116" w:name="_Toc422130923"/>
      <w:bookmarkStart w:id="117" w:name="_Toc423962582"/>
      <w:bookmarkStart w:id="118" w:name="_Toc420916567"/>
      <w:bookmarkStart w:id="119" w:name="_Toc420940572"/>
      <w:bookmarkStart w:id="120" w:name="_Toc420942604"/>
      <w:r>
        <w:t>Simplification</w:t>
      </w:r>
      <w:bookmarkEnd w:id="114"/>
      <w:bookmarkEnd w:id="115"/>
      <w:bookmarkEnd w:id="116"/>
      <w:bookmarkEnd w:id="117"/>
    </w:p>
    <w:p w:rsidR="003F1D43" w:rsidRDefault="003F1D43" w:rsidP="00670ACD">
      <w:pPr>
        <w:pStyle w:val="CGCNumberedPara"/>
      </w:pPr>
      <w:r>
        <w:t>Some States have expressed concern that the model is difficult to interpret and would prefer it greatly simplified, while other States have argued that the removal of variables may lead to the size of the disabilities assessed being overstated.</w:t>
      </w:r>
    </w:p>
    <w:p w:rsidR="00043491" w:rsidRDefault="00670ACD" w:rsidP="00670ACD">
      <w:pPr>
        <w:pStyle w:val="CGCNumberedPara"/>
      </w:pPr>
      <w:r>
        <w:t xml:space="preserve">The disability estimates currently in use are created by an econometric model which accounts for 15 dimensions of observable employee characteristics, as well as interactions, comprising 219 variables in total. </w:t>
      </w:r>
    </w:p>
    <w:p w:rsidR="00670ACD" w:rsidRDefault="00670ACD" w:rsidP="00670ACD">
      <w:pPr>
        <w:pStyle w:val="CGCNumberedPara"/>
      </w:pPr>
      <w:r>
        <w:t xml:space="preserve">Queensland </w:t>
      </w:r>
      <w:r w:rsidR="00984FCF">
        <w:t>considers</w:t>
      </w:r>
      <w:r>
        <w:t xml:space="preserve"> there are additional variables available in the SET data which are likely to be significant determinants of wages</w:t>
      </w:r>
      <w:r w:rsidR="00D87197">
        <w:t>, such as self-assessed health status.</w:t>
      </w:r>
    </w:p>
    <w:p w:rsidR="00670ACD" w:rsidRDefault="00670ACD" w:rsidP="00670ACD">
      <w:pPr>
        <w:pStyle w:val="CGCNumberedPara"/>
      </w:pPr>
      <w:r>
        <w:t xml:space="preserve">While the State location effects are not particularly sensitive in a statistical sense to the addition or removal of variables beyond a certain point of complexity, very small movements in relative disabilities can produce material impacts on the GST distribution. Early discussions with the ABS concerning the </w:t>
      </w:r>
      <w:r w:rsidR="006D2631">
        <w:t xml:space="preserve">CoE </w:t>
      </w:r>
      <w:r>
        <w:t>survey suggest that a similar number of variables will be available in that dataset, which is slated to replace the SET.</w:t>
      </w:r>
    </w:p>
    <w:p w:rsidR="00043491" w:rsidRDefault="00043491" w:rsidP="00043491">
      <w:pPr>
        <w:pStyle w:val="CGCNumberedPara"/>
      </w:pPr>
      <w:r>
        <w:t>Queensland considers that minor arbitrary adjustments are not warranted. The Northern Territory considers that removing variables that are material and significant is not justified.</w:t>
      </w:r>
    </w:p>
    <w:p w:rsidR="00043491" w:rsidRDefault="000B60AB" w:rsidP="00F61922">
      <w:pPr>
        <w:pStyle w:val="CGCNumberedPara"/>
      </w:pPr>
      <w:r>
        <w:t xml:space="preserve">After considering these views, </w:t>
      </w:r>
      <w:proofErr w:type="gramStart"/>
      <w:r w:rsidR="006D2631">
        <w:t>s</w:t>
      </w:r>
      <w:r w:rsidR="00043491">
        <w:t>taff now consider</w:t>
      </w:r>
      <w:proofErr w:type="gramEnd"/>
      <w:r w:rsidR="00043491">
        <w:t xml:space="preserve"> that any simplification is not warranted, as it does not</w:t>
      </w:r>
      <w:r w:rsidR="0049475C">
        <w:t xml:space="preserve"> significantly</w:t>
      </w:r>
      <w:r w:rsidR="00043491">
        <w:t xml:space="preserve"> improve the quality of the regression, it does not significantly assist in the transparency of the assessment, and </w:t>
      </w:r>
      <w:r w:rsidR="0049475C">
        <w:t>complicates comparison of results over time.</w:t>
      </w:r>
      <w:r w:rsidR="00043491">
        <w:t xml:space="preserve"> As such, we no longer propose to simplify the </w:t>
      </w:r>
      <w:r w:rsidR="00D87197">
        <w:t>regression</w:t>
      </w:r>
      <w:r w:rsidR="00043491">
        <w:t xml:space="preserve">. </w:t>
      </w:r>
    </w:p>
    <w:p w:rsidR="00670ACD" w:rsidRDefault="00EB62C4" w:rsidP="00F61922">
      <w:pPr>
        <w:pStyle w:val="CGCNumberedPara"/>
      </w:pPr>
      <w:r>
        <w:t>Staff</w:t>
      </w:r>
      <w:r w:rsidR="00020374">
        <w:t xml:space="preserve"> preference is that the model control for any employee characteristic that could reasonably impact on wages, provided that impact is significant, and provided the information is available in the </w:t>
      </w:r>
      <w:r w:rsidR="006D2631">
        <w:t xml:space="preserve">CoE </w:t>
      </w:r>
      <w:r w:rsidR="00020374">
        <w:t xml:space="preserve">data. Interpretation of the model outside of the location coefficients is </w:t>
      </w:r>
      <w:r w:rsidR="00C73937">
        <w:t xml:space="preserve">of </w:t>
      </w:r>
      <w:r w:rsidR="00020374">
        <w:t xml:space="preserve">secondary concern. </w:t>
      </w:r>
      <w:proofErr w:type="gramStart"/>
      <w:r>
        <w:t>Staff</w:t>
      </w:r>
      <w:r w:rsidR="00020374">
        <w:t xml:space="preserve"> feel</w:t>
      </w:r>
      <w:proofErr w:type="gramEnd"/>
      <w:r w:rsidR="00020374">
        <w:t xml:space="preserve"> this provides for both accuracy and simplicity.</w:t>
      </w:r>
      <w:r w:rsidR="008750EE">
        <w:t xml:space="preserve"> Therefore, if those variables suggested by Queensland are still found to be significant, </w:t>
      </w:r>
      <w:proofErr w:type="gramStart"/>
      <w:r w:rsidR="00FD4954">
        <w:t>s</w:t>
      </w:r>
      <w:r w:rsidR="008750EE">
        <w:t>taff are</w:t>
      </w:r>
      <w:proofErr w:type="gramEnd"/>
      <w:r w:rsidR="008750EE">
        <w:t xml:space="preserve"> inclined to include them in the model.</w:t>
      </w:r>
    </w:p>
    <w:p w:rsidR="00543D07" w:rsidRDefault="00EB62C4" w:rsidP="00F021C8">
      <w:pPr>
        <w:pStyle w:val="Heading4"/>
      </w:pPr>
      <w:bookmarkStart w:id="121" w:name="_Toc421616779"/>
      <w:bookmarkStart w:id="122" w:name="_Toc422130924"/>
      <w:bookmarkStart w:id="123" w:name="_Toc423962583"/>
      <w:r>
        <w:t>Staff</w:t>
      </w:r>
      <w:r w:rsidR="00F16EFA">
        <w:t xml:space="preserve"> </w:t>
      </w:r>
      <w:r w:rsidR="00043491" w:rsidRPr="00F021C8">
        <w:t>conclusions</w:t>
      </w:r>
      <w:r w:rsidR="00043491">
        <w:t xml:space="preserve"> </w:t>
      </w:r>
      <w:r w:rsidR="00946864">
        <w:t>on measurement</w:t>
      </w:r>
      <w:r w:rsidR="00F16EFA">
        <w:t xml:space="preserve"> approach</w:t>
      </w:r>
      <w:bookmarkEnd w:id="118"/>
      <w:bookmarkEnd w:id="119"/>
      <w:bookmarkEnd w:id="120"/>
      <w:bookmarkEnd w:id="121"/>
      <w:bookmarkEnd w:id="122"/>
      <w:bookmarkEnd w:id="123"/>
    </w:p>
    <w:p w:rsidR="00010742" w:rsidRDefault="00EB62C4" w:rsidP="00085FB3">
      <w:pPr>
        <w:pStyle w:val="CGCNumberedPara"/>
      </w:pPr>
      <w:proofErr w:type="gramStart"/>
      <w:r>
        <w:t>Staff</w:t>
      </w:r>
      <w:r w:rsidR="00833E64">
        <w:t xml:space="preserve"> currently</w:t>
      </w:r>
      <w:r w:rsidR="0048195E">
        <w:t xml:space="preserve"> consider</w:t>
      </w:r>
      <w:proofErr w:type="gramEnd"/>
      <w:r w:rsidR="0048195E">
        <w:t xml:space="preserve"> that the private sector is sufficiently free of the influence of State governments to be an appropriate way to measure a wage costs disability without compromising the condition of policy neutrality. </w:t>
      </w:r>
    </w:p>
    <w:p w:rsidR="00946864" w:rsidRDefault="00946864" w:rsidP="00946864">
      <w:pPr>
        <w:pStyle w:val="CGCNumberedPara"/>
      </w:pPr>
      <w:r>
        <w:t xml:space="preserve">It is our current preference that the disability be measured by the application of an econometric model of private sector wages to ABS </w:t>
      </w:r>
      <w:proofErr w:type="spellStart"/>
      <w:r>
        <w:t>microdata</w:t>
      </w:r>
      <w:proofErr w:type="spellEnd"/>
      <w:r>
        <w:t xml:space="preserve"> from the upcoming Characteristics of Employees survey, provided the data </w:t>
      </w:r>
      <w:r w:rsidR="00AA2C7B">
        <w:t xml:space="preserve">are </w:t>
      </w:r>
      <w:r>
        <w:t>of sufficient quality and meet our requirements.</w:t>
      </w:r>
      <w:r w:rsidR="00F01510">
        <w:t xml:space="preserve"> It is our expectation that these</w:t>
      </w:r>
      <w:r>
        <w:t xml:space="preserve"> data will be available on an annual basis, and so the current method of indexing the results annually by the </w:t>
      </w:r>
      <w:r w:rsidR="00887C40">
        <w:t>W</w:t>
      </w:r>
      <w:r w:rsidR="00F01510">
        <w:t xml:space="preserve">age </w:t>
      </w:r>
      <w:r w:rsidR="00887C40">
        <w:t>P</w:t>
      </w:r>
      <w:r w:rsidR="00F01510">
        <w:t xml:space="preserve">rice </w:t>
      </w:r>
      <w:r w:rsidR="00887C40">
        <w:t>I</w:t>
      </w:r>
      <w:r w:rsidR="00F01510">
        <w:t>ndex</w:t>
      </w:r>
      <w:r>
        <w:t xml:space="preserve"> will no longer be required. </w:t>
      </w:r>
    </w:p>
    <w:p w:rsidR="00213468" w:rsidRPr="007A62E6" w:rsidRDefault="00946864" w:rsidP="0057687D">
      <w:pPr>
        <w:pStyle w:val="CGCNumberedPara"/>
        <w:rPr>
          <w:b/>
        </w:rPr>
      </w:pPr>
      <w:r>
        <w:t xml:space="preserve">How the factors produced will be applied, and the level of discounting </w:t>
      </w:r>
      <w:r w:rsidR="00DF1A93">
        <w:t xml:space="preserve">that may be </w:t>
      </w:r>
      <w:r>
        <w:t>required will be best considered in light of the quality of the data source</w:t>
      </w:r>
      <w:r w:rsidR="001F5514">
        <w:t>, and any State views forthcoming</w:t>
      </w:r>
      <w:r>
        <w:t>.</w:t>
      </w:r>
      <w:r w:rsidR="001F5514">
        <w:t xml:space="preserve"> As signalled in the 2015 Review Report, we consider it unnecessary to update the proportion of wages expenses in each category, as these proportions have been relatively stable over tim</w:t>
      </w:r>
      <w:r w:rsidR="00012ABE">
        <w:t>e.</w:t>
      </w:r>
    </w:p>
    <w:p w:rsidR="00F61922" w:rsidRDefault="00F61922" w:rsidP="00EB67BB">
      <w:pPr>
        <w:pStyle w:val="CGCNumberedPara"/>
        <w:numPr>
          <w:ilvl w:val="0"/>
          <w:numId w:val="37"/>
        </w:numPr>
        <w:sectPr w:rsidR="00F61922" w:rsidSect="0004123E">
          <w:footerReference w:type="default" r:id="rId15"/>
          <w:pgSz w:w="11899" w:h="16838" w:code="9"/>
          <w:pgMar w:top="1701" w:right="1474" w:bottom="1701" w:left="1474" w:header="709" w:footer="709" w:gutter="0"/>
          <w:cols w:space="708"/>
          <w:titlePg/>
          <w:docGrid w:linePitch="299"/>
        </w:sectPr>
      </w:pPr>
    </w:p>
    <w:p w:rsidR="00213468" w:rsidRDefault="00213468" w:rsidP="00A205A7">
      <w:pPr>
        <w:pStyle w:val="Heading1"/>
      </w:pPr>
      <w:bookmarkStart w:id="124" w:name="_Toc420916569"/>
      <w:bookmarkStart w:id="125" w:name="_Toc420940574"/>
      <w:bookmarkStart w:id="126" w:name="_Toc420942605"/>
      <w:bookmarkStart w:id="127" w:name="_Toc421616780"/>
      <w:bookmarkStart w:id="128" w:name="_Toc423962584"/>
      <w:r>
        <w:t>References</w:t>
      </w:r>
      <w:bookmarkEnd w:id="124"/>
      <w:bookmarkEnd w:id="125"/>
      <w:bookmarkEnd w:id="126"/>
      <w:bookmarkEnd w:id="127"/>
      <w:bookmarkEnd w:id="128"/>
    </w:p>
    <w:tbl>
      <w:tblPr>
        <w:tblW w:w="9684" w:type="dxa"/>
        <w:tblInd w:w="108" w:type="dxa"/>
        <w:tblLook w:val="04A0" w:firstRow="1" w:lastRow="0" w:firstColumn="1" w:lastColumn="0" w:noHBand="0" w:noVBand="1"/>
      </w:tblPr>
      <w:tblGrid>
        <w:gridCol w:w="9684"/>
      </w:tblGrid>
      <w:tr w:rsidR="00213468" w:rsidRPr="00213468" w:rsidTr="00316B1D">
        <w:trPr>
          <w:trHeight w:val="255"/>
        </w:trPr>
        <w:tc>
          <w:tcPr>
            <w:tcW w:w="9684" w:type="dxa"/>
            <w:tcBorders>
              <w:top w:val="nil"/>
              <w:left w:val="nil"/>
              <w:bottom w:val="nil"/>
              <w:right w:val="nil"/>
            </w:tcBorders>
            <w:shd w:val="clear" w:color="auto" w:fill="auto"/>
            <w:noWrap/>
            <w:vAlign w:val="center"/>
            <w:hideMark/>
          </w:tcPr>
          <w:p w:rsidR="00F61922" w:rsidRDefault="00F61922" w:rsidP="00100DE8">
            <w:pPr>
              <w:rPr>
                <w:lang w:eastAsia="en-AU"/>
              </w:rPr>
            </w:pPr>
          </w:p>
          <w:p w:rsidR="00213468" w:rsidRPr="00213468" w:rsidRDefault="00213468" w:rsidP="00100DE8">
            <w:pPr>
              <w:rPr>
                <w:lang w:eastAsia="en-AU"/>
              </w:rPr>
            </w:pPr>
            <w:r w:rsidRPr="00213468">
              <w:rPr>
                <w:lang w:eastAsia="en-AU"/>
              </w:rPr>
              <w:t xml:space="preserve">Combes, P. P., </w:t>
            </w:r>
            <w:proofErr w:type="spellStart"/>
            <w:r w:rsidRPr="00213468">
              <w:rPr>
                <w:lang w:eastAsia="en-AU"/>
              </w:rPr>
              <w:t>Duranton</w:t>
            </w:r>
            <w:proofErr w:type="spellEnd"/>
            <w:r w:rsidRPr="00213468">
              <w:rPr>
                <w:lang w:eastAsia="en-AU"/>
              </w:rPr>
              <w:t xml:space="preserve">, G., &amp; </w:t>
            </w:r>
            <w:proofErr w:type="spellStart"/>
            <w:r w:rsidRPr="00213468">
              <w:rPr>
                <w:lang w:eastAsia="en-AU"/>
              </w:rPr>
              <w:t>Gobillon</w:t>
            </w:r>
            <w:proofErr w:type="spellEnd"/>
            <w:r w:rsidRPr="00213468">
              <w:rPr>
                <w:lang w:eastAsia="en-AU"/>
              </w:rPr>
              <w:t>, L. (2008). Spatial wag</w:t>
            </w:r>
            <w:r w:rsidR="00100DE8">
              <w:rPr>
                <w:lang w:eastAsia="en-AU"/>
              </w:rPr>
              <w:t>e disparities: Sorting matters!</w:t>
            </w:r>
            <w:r w:rsidRPr="00213468">
              <w:rPr>
                <w:lang w:eastAsia="en-AU"/>
              </w:rPr>
              <w:t xml:space="preserve"> </w:t>
            </w:r>
            <w:r w:rsidRPr="00213468">
              <w:rPr>
                <w:i/>
                <w:iCs/>
                <w:lang w:eastAsia="en-AU"/>
              </w:rPr>
              <w:t>Journal of Urban Economics</w:t>
            </w:r>
            <w:r w:rsidRPr="00213468">
              <w:rPr>
                <w:lang w:eastAsia="en-AU"/>
              </w:rPr>
              <w:t xml:space="preserve">, </w:t>
            </w:r>
            <w:r w:rsidRPr="00213468">
              <w:rPr>
                <w:i/>
                <w:iCs/>
                <w:lang w:eastAsia="en-AU"/>
              </w:rPr>
              <w:t>63</w:t>
            </w:r>
            <w:r w:rsidRPr="00213468">
              <w:rPr>
                <w:lang w:eastAsia="en-AU"/>
              </w:rPr>
              <w:t>(2), 723-742.</w:t>
            </w:r>
          </w:p>
        </w:tc>
      </w:tr>
      <w:tr w:rsidR="00213468" w:rsidRPr="00213468" w:rsidTr="00316B1D">
        <w:trPr>
          <w:trHeight w:val="255"/>
        </w:trPr>
        <w:tc>
          <w:tcPr>
            <w:tcW w:w="9684" w:type="dxa"/>
            <w:tcBorders>
              <w:top w:val="nil"/>
              <w:left w:val="nil"/>
              <w:bottom w:val="nil"/>
              <w:right w:val="nil"/>
            </w:tcBorders>
            <w:shd w:val="clear" w:color="auto" w:fill="auto"/>
            <w:noWrap/>
            <w:vAlign w:val="center"/>
            <w:hideMark/>
          </w:tcPr>
          <w:p w:rsidR="00213468" w:rsidRDefault="00213468" w:rsidP="00100DE8">
            <w:pPr>
              <w:rPr>
                <w:lang w:eastAsia="en-AU"/>
              </w:rPr>
            </w:pPr>
            <w:r w:rsidRPr="00213468">
              <w:rPr>
                <w:lang w:eastAsia="en-AU"/>
              </w:rPr>
              <w:t xml:space="preserve">Gabriel, S. A., </w:t>
            </w:r>
            <w:proofErr w:type="spellStart"/>
            <w:r w:rsidRPr="00213468">
              <w:rPr>
                <w:lang w:eastAsia="en-AU"/>
              </w:rPr>
              <w:t>Mattey</w:t>
            </w:r>
            <w:proofErr w:type="spellEnd"/>
            <w:r w:rsidRPr="00213468">
              <w:rPr>
                <w:lang w:eastAsia="en-AU"/>
              </w:rPr>
              <w:t xml:space="preserve">, J. P., &amp; </w:t>
            </w:r>
            <w:proofErr w:type="spellStart"/>
            <w:r w:rsidRPr="00213468">
              <w:rPr>
                <w:lang w:eastAsia="en-AU"/>
              </w:rPr>
              <w:t>Wascher</w:t>
            </w:r>
            <w:proofErr w:type="spellEnd"/>
            <w:r w:rsidRPr="00213468">
              <w:rPr>
                <w:lang w:eastAsia="en-AU"/>
              </w:rPr>
              <w:t xml:space="preserve">, W. L. (2003). Compensating differentials and evolution in the quality-of-life among US states. </w:t>
            </w:r>
            <w:r w:rsidRPr="00213468">
              <w:rPr>
                <w:i/>
                <w:iCs/>
                <w:lang w:eastAsia="en-AU"/>
              </w:rPr>
              <w:t>Regional Science and Urban Economics</w:t>
            </w:r>
            <w:r w:rsidRPr="00213468">
              <w:rPr>
                <w:lang w:eastAsia="en-AU"/>
              </w:rPr>
              <w:t xml:space="preserve">, </w:t>
            </w:r>
            <w:r w:rsidRPr="00213468">
              <w:rPr>
                <w:i/>
                <w:iCs/>
                <w:lang w:eastAsia="en-AU"/>
              </w:rPr>
              <w:t>33</w:t>
            </w:r>
            <w:r w:rsidRPr="00213468">
              <w:rPr>
                <w:lang w:eastAsia="en-AU"/>
              </w:rPr>
              <w:t>(5), 619-649.</w:t>
            </w:r>
          </w:p>
          <w:p w:rsidR="00C570FF" w:rsidRPr="00213468" w:rsidRDefault="00C570FF" w:rsidP="00100DE8">
            <w:pPr>
              <w:rPr>
                <w:lang w:eastAsia="en-AU"/>
              </w:rPr>
            </w:pPr>
            <w:proofErr w:type="spellStart"/>
            <w:r w:rsidRPr="004A125A">
              <w:rPr>
                <w:rFonts w:ascii="Calibri" w:hAnsi="Calibri" w:cs="Times New Roman"/>
                <w:color w:val="000000"/>
                <w:szCs w:val="24"/>
                <w:lang w:eastAsia="en-AU"/>
              </w:rPr>
              <w:t>Heuermann</w:t>
            </w:r>
            <w:proofErr w:type="spellEnd"/>
            <w:r w:rsidRPr="004A125A">
              <w:rPr>
                <w:rFonts w:ascii="Calibri" w:hAnsi="Calibri" w:cs="Times New Roman"/>
                <w:color w:val="000000"/>
                <w:szCs w:val="24"/>
                <w:lang w:eastAsia="en-AU"/>
              </w:rPr>
              <w:t xml:space="preserve">, D., </w:t>
            </w:r>
            <w:proofErr w:type="spellStart"/>
            <w:r w:rsidRPr="004A125A">
              <w:rPr>
                <w:rFonts w:ascii="Calibri" w:hAnsi="Calibri" w:cs="Times New Roman"/>
                <w:color w:val="000000"/>
                <w:szCs w:val="24"/>
                <w:lang w:eastAsia="en-AU"/>
              </w:rPr>
              <w:t>Halfdanarson</w:t>
            </w:r>
            <w:proofErr w:type="spellEnd"/>
            <w:r w:rsidRPr="004A125A">
              <w:rPr>
                <w:rFonts w:ascii="Calibri" w:hAnsi="Calibri" w:cs="Times New Roman"/>
                <w:color w:val="000000"/>
                <w:szCs w:val="24"/>
                <w:lang w:eastAsia="en-AU"/>
              </w:rPr>
              <w:t xml:space="preserve">, B., &amp; </w:t>
            </w:r>
            <w:proofErr w:type="spellStart"/>
            <w:r w:rsidRPr="004A125A">
              <w:rPr>
                <w:rFonts w:ascii="Calibri" w:hAnsi="Calibri" w:cs="Times New Roman"/>
                <w:color w:val="000000"/>
                <w:szCs w:val="24"/>
                <w:lang w:eastAsia="en-AU"/>
              </w:rPr>
              <w:t>Suedekum</w:t>
            </w:r>
            <w:proofErr w:type="spellEnd"/>
            <w:r w:rsidRPr="004A125A">
              <w:rPr>
                <w:rFonts w:ascii="Calibri" w:hAnsi="Calibri" w:cs="Times New Roman"/>
                <w:color w:val="000000"/>
                <w:szCs w:val="24"/>
                <w:lang w:eastAsia="en-AU"/>
              </w:rPr>
              <w:t xml:space="preserve">, J. (2010). Human capital externalities and the urban wage premium: Two literatures and their interrelations. </w:t>
            </w:r>
            <w:r w:rsidRPr="004A125A">
              <w:rPr>
                <w:rFonts w:ascii="Calibri" w:hAnsi="Calibri" w:cs="Times New Roman"/>
                <w:i/>
                <w:color w:val="000000"/>
                <w:szCs w:val="24"/>
                <w:lang w:eastAsia="en-AU"/>
              </w:rPr>
              <w:t>Urban Studies</w:t>
            </w:r>
            <w:r w:rsidRPr="004A125A">
              <w:rPr>
                <w:rFonts w:ascii="Calibri" w:hAnsi="Calibri" w:cs="Times New Roman"/>
                <w:color w:val="000000"/>
                <w:szCs w:val="24"/>
                <w:lang w:eastAsia="en-AU"/>
              </w:rPr>
              <w:t>, 47(4), 749-767.</w:t>
            </w:r>
          </w:p>
        </w:tc>
      </w:tr>
      <w:tr w:rsidR="00213468" w:rsidRPr="00213468" w:rsidTr="00316B1D">
        <w:trPr>
          <w:trHeight w:val="315"/>
        </w:trPr>
        <w:tc>
          <w:tcPr>
            <w:tcW w:w="9684" w:type="dxa"/>
            <w:tcBorders>
              <w:top w:val="nil"/>
              <w:left w:val="nil"/>
              <w:bottom w:val="nil"/>
              <w:right w:val="nil"/>
            </w:tcBorders>
            <w:shd w:val="clear" w:color="auto" w:fill="auto"/>
            <w:noWrap/>
            <w:vAlign w:val="center"/>
            <w:hideMark/>
          </w:tcPr>
          <w:p w:rsidR="00213468" w:rsidRPr="00213468" w:rsidRDefault="00213468" w:rsidP="00100DE8">
            <w:pPr>
              <w:rPr>
                <w:rFonts w:ascii="Calibri" w:hAnsi="Calibri" w:cs="Times New Roman"/>
                <w:color w:val="000000"/>
                <w:szCs w:val="24"/>
                <w:lang w:eastAsia="en-AU"/>
              </w:rPr>
            </w:pPr>
            <w:r w:rsidRPr="00213468">
              <w:rPr>
                <w:rFonts w:ascii="Calibri" w:hAnsi="Calibri" w:cs="Times New Roman"/>
                <w:color w:val="000000"/>
                <w:szCs w:val="24"/>
                <w:lang w:eastAsia="en-AU"/>
              </w:rPr>
              <w:t xml:space="preserve">Kenny, L. W., &amp; </w:t>
            </w:r>
            <w:proofErr w:type="spellStart"/>
            <w:r w:rsidRPr="00213468">
              <w:rPr>
                <w:rFonts w:ascii="Calibri" w:hAnsi="Calibri" w:cs="Times New Roman"/>
                <w:color w:val="000000"/>
                <w:szCs w:val="24"/>
                <w:lang w:eastAsia="en-AU"/>
              </w:rPr>
              <w:t>Denslow</w:t>
            </w:r>
            <w:proofErr w:type="spellEnd"/>
            <w:r w:rsidRPr="00213468">
              <w:rPr>
                <w:rFonts w:ascii="Calibri" w:hAnsi="Calibri" w:cs="Times New Roman"/>
                <w:color w:val="000000"/>
                <w:szCs w:val="24"/>
                <w:lang w:eastAsia="en-AU"/>
              </w:rPr>
              <w:t xml:space="preserve">, D. A. (1980). Compensating differentials in teachers' salaries. </w:t>
            </w:r>
            <w:r w:rsidRPr="00F61922">
              <w:rPr>
                <w:rFonts w:ascii="Calibri" w:hAnsi="Calibri" w:cs="Times New Roman"/>
                <w:i/>
                <w:color w:val="000000"/>
                <w:szCs w:val="24"/>
                <w:lang w:eastAsia="en-AU"/>
              </w:rPr>
              <w:t>Journal of Urban Economics</w:t>
            </w:r>
            <w:r w:rsidRPr="00213468">
              <w:rPr>
                <w:rFonts w:ascii="Calibri" w:hAnsi="Calibri" w:cs="Times New Roman"/>
                <w:color w:val="000000"/>
                <w:szCs w:val="24"/>
                <w:lang w:eastAsia="en-AU"/>
              </w:rPr>
              <w:t>, 7(2), 198-207.</w:t>
            </w:r>
          </w:p>
        </w:tc>
      </w:tr>
      <w:tr w:rsidR="00213468" w:rsidRPr="00213468" w:rsidTr="00316B1D">
        <w:trPr>
          <w:trHeight w:val="315"/>
        </w:trPr>
        <w:tc>
          <w:tcPr>
            <w:tcW w:w="9684" w:type="dxa"/>
            <w:tcBorders>
              <w:top w:val="nil"/>
              <w:left w:val="nil"/>
              <w:bottom w:val="nil"/>
              <w:right w:val="nil"/>
            </w:tcBorders>
            <w:shd w:val="clear" w:color="auto" w:fill="auto"/>
            <w:noWrap/>
            <w:vAlign w:val="center"/>
            <w:hideMark/>
          </w:tcPr>
          <w:p w:rsidR="00213468" w:rsidRPr="00213468" w:rsidRDefault="00213468" w:rsidP="00100DE8">
            <w:pPr>
              <w:rPr>
                <w:rFonts w:ascii="Calibri" w:hAnsi="Calibri" w:cs="Times New Roman"/>
                <w:color w:val="000000"/>
                <w:szCs w:val="24"/>
                <w:lang w:eastAsia="en-AU"/>
              </w:rPr>
            </w:pPr>
            <w:r w:rsidRPr="00213468">
              <w:rPr>
                <w:rFonts w:ascii="Calibri" w:hAnsi="Calibri" w:cs="Times New Roman"/>
                <w:color w:val="000000"/>
                <w:szCs w:val="24"/>
                <w:lang w:eastAsia="en-AU"/>
              </w:rPr>
              <w:t xml:space="preserve">Mishra, A., &amp; Ray, R. (2014). Spatial variation in prices and expenditure inequalities in Australia. </w:t>
            </w:r>
            <w:r w:rsidRPr="00F61922">
              <w:rPr>
                <w:rFonts w:ascii="Calibri" w:hAnsi="Calibri" w:cs="Times New Roman"/>
                <w:i/>
                <w:color w:val="000000"/>
                <w:szCs w:val="24"/>
                <w:lang w:eastAsia="en-AU"/>
              </w:rPr>
              <w:t>Economic Record</w:t>
            </w:r>
            <w:r w:rsidRPr="00213468">
              <w:rPr>
                <w:rFonts w:ascii="Calibri" w:hAnsi="Calibri" w:cs="Times New Roman"/>
                <w:color w:val="000000"/>
                <w:szCs w:val="24"/>
                <w:lang w:eastAsia="en-AU"/>
              </w:rPr>
              <w:t>, 90(289), 137-159.</w:t>
            </w:r>
          </w:p>
        </w:tc>
      </w:tr>
      <w:tr w:rsidR="00213468" w:rsidRPr="00213468" w:rsidTr="00316B1D">
        <w:trPr>
          <w:trHeight w:val="315"/>
        </w:trPr>
        <w:tc>
          <w:tcPr>
            <w:tcW w:w="9684" w:type="dxa"/>
            <w:tcBorders>
              <w:top w:val="nil"/>
              <w:left w:val="nil"/>
              <w:bottom w:val="nil"/>
              <w:right w:val="nil"/>
            </w:tcBorders>
            <w:shd w:val="clear" w:color="auto" w:fill="auto"/>
            <w:noWrap/>
            <w:vAlign w:val="center"/>
            <w:hideMark/>
          </w:tcPr>
          <w:p w:rsidR="00213468" w:rsidRPr="00213468" w:rsidRDefault="00213468" w:rsidP="00F61922">
            <w:pPr>
              <w:rPr>
                <w:rFonts w:ascii="Calibri" w:hAnsi="Calibri" w:cs="Times New Roman"/>
                <w:color w:val="000000"/>
                <w:szCs w:val="24"/>
                <w:lang w:eastAsia="en-AU"/>
              </w:rPr>
            </w:pPr>
            <w:r w:rsidRPr="00213468">
              <w:rPr>
                <w:rFonts w:ascii="Calibri" w:hAnsi="Calibri" w:cs="Times New Roman"/>
                <w:color w:val="000000"/>
                <w:szCs w:val="24"/>
                <w:lang w:eastAsia="en-AU"/>
              </w:rPr>
              <w:t xml:space="preserve">Moretti, E. (2004). Estimating the social return to higher education: evidence from longitudinal and repeated cross-sectional data. </w:t>
            </w:r>
            <w:r w:rsidRPr="00F61922">
              <w:rPr>
                <w:rFonts w:ascii="Calibri" w:hAnsi="Calibri" w:cs="Times New Roman"/>
                <w:i/>
                <w:color w:val="000000"/>
                <w:szCs w:val="24"/>
                <w:lang w:eastAsia="en-AU"/>
              </w:rPr>
              <w:t xml:space="preserve">Journal of </w:t>
            </w:r>
            <w:r w:rsidR="00F61922">
              <w:rPr>
                <w:rFonts w:ascii="Calibri" w:hAnsi="Calibri" w:cs="Times New Roman"/>
                <w:i/>
                <w:color w:val="000000"/>
                <w:szCs w:val="24"/>
                <w:lang w:eastAsia="en-AU"/>
              </w:rPr>
              <w:t>E</w:t>
            </w:r>
            <w:r w:rsidRPr="00F61922">
              <w:rPr>
                <w:rFonts w:ascii="Calibri" w:hAnsi="Calibri" w:cs="Times New Roman"/>
                <w:i/>
                <w:color w:val="000000"/>
                <w:szCs w:val="24"/>
                <w:lang w:eastAsia="en-AU"/>
              </w:rPr>
              <w:t>conometrics</w:t>
            </w:r>
            <w:r w:rsidRPr="00213468">
              <w:rPr>
                <w:rFonts w:ascii="Calibri" w:hAnsi="Calibri" w:cs="Times New Roman"/>
                <w:color w:val="000000"/>
                <w:szCs w:val="24"/>
                <w:lang w:eastAsia="en-AU"/>
              </w:rPr>
              <w:t>, 121(1), 175-212.</w:t>
            </w:r>
          </w:p>
        </w:tc>
      </w:tr>
      <w:tr w:rsidR="00213468" w:rsidRPr="00213468" w:rsidTr="00316B1D">
        <w:trPr>
          <w:trHeight w:val="315"/>
        </w:trPr>
        <w:tc>
          <w:tcPr>
            <w:tcW w:w="9684" w:type="dxa"/>
            <w:tcBorders>
              <w:top w:val="nil"/>
              <w:left w:val="nil"/>
              <w:bottom w:val="nil"/>
              <w:right w:val="nil"/>
            </w:tcBorders>
            <w:shd w:val="clear" w:color="auto" w:fill="auto"/>
            <w:noWrap/>
            <w:vAlign w:val="center"/>
            <w:hideMark/>
          </w:tcPr>
          <w:p w:rsidR="00213468" w:rsidRDefault="00213468" w:rsidP="00100DE8">
            <w:pPr>
              <w:rPr>
                <w:rFonts w:ascii="Calibri" w:hAnsi="Calibri" w:cs="Times New Roman"/>
                <w:color w:val="000000"/>
                <w:szCs w:val="24"/>
                <w:lang w:eastAsia="en-AU"/>
              </w:rPr>
            </w:pPr>
            <w:r w:rsidRPr="00213468">
              <w:rPr>
                <w:rFonts w:ascii="Calibri" w:hAnsi="Calibri" w:cs="Times New Roman"/>
                <w:color w:val="000000"/>
                <w:szCs w:val="24"/>
                <w:lang w:eastAsia="en-AU"/>
              </w:rPr>
              <w:t xml:space="preserve">Otto, G. (2007). The growth of house prices in Australian capital cities: What do economic fundamentals explain? </w:t>
            </w:r>
            <w:r w:rsidRPr="00F61922">
              <w:rPr>
                <w:rFonts w:ascii="Calibri" w:hAnsi="Calibri" w:cs="Times New Roman"/>
                <w:i/>
                <w:color w:val="000000"/>
                <w:szCs w:val="24"/>
                <w:lang w:eastAsia="en-AU"/>
              </w:rPr>
              <w:t>Australian Economic Review</w:t>
            </w:r>
            <w:r w:rsidRPr="00213468">
              <w:rPr>
                <w:rFonts w:ascii="Calibri" w:hAnsi="Calibri" w:cs="Times New Roman"/>
                <w:color w:val="000000"/>
                <w:szCs w:val="24"/>
                <w:lang w:eastAsia="en-AU"/>
              </w:rPr>
              <w:t>, 40(3), 225-238.</w:t>
            </w:r>
          </w:p>
          <w:p w:rsidR="00D11D39" w:rsidRDefault="00D11D39" w:rsidP="00D11D39">
            <w:pPr>
              <w:rPr>
                <w:rFonts w:ascii="Calibri" w:hAnsi="Calibri" w:cs="Times New Roman"/>
                <w:color w:val="000000"/>
                <w:szCs w:val="24"/>
                <w:lang w:eastAsia="en-AU"/>
              </w:rPr>
            </w:pPr>
            <w:r w:rsidRPr="00213468">
              <w:rPr>
                <w:rFonts w:ascii="Calibri" w:hAnsi="Calibri" w:cs="Times New Roman"/>
                <w:color w:val="000000"/>
                <w:szCs w:val="24"/>
                <w:lang w:eastAsia="en-AU"/>
              </w:rPr>
              <w:t xml:space="preserve">Rosenthal, S. S., &amp; Strange, W. C. (2004). Evidence on the nature and sources of agglomeration economies. </w:t>
            </w:r>
            <w:r w:rsidRPr="00F61922">
              <w:rPr>
                <w:rFonts w:ascii="Calibri" w:hAnsi="Calibri" w:cs="Times New Roman"/>
                <w:i/>
                <w:color w:val="000000"/>
                <w:szCs w:val="24"/>
                <w:lang w:eastAsia="en-AU"/>
              </w:rPr>
              <w:t>Handbook of regional and urban economics</w:t>
            </w:r>
            <w:r w:rsidRPr="00213468">
              <w:rPr>
                <w:rFonts w:ascii="Calibri" w:hAnsi="Calibri" w:cs="Times New Roman"/>
                <w:color w:val="000000"/>
                <w:szCs w:val="24"/>
                <w:lang w:eastAsia="en-AU"/>
              </w:rPr>
              <w:t>, 4, 2119-2171.</w:t>
            </w:r>
            <w:r>
              <w:rPr>
                <w:rFonts w:ascii="Calibri" w:hAnsi="Calibri" w:cs="Times New Roman"/>
                <w:color w:val="000000"/>
                <w:szCs w:val="24"/>
                <w:lang w:eastAsia="en-AU"/>
              </w:rPr>
              <w:t xml:space="preserve"> </w:t>
            </w:r>
          </w:p>
          <w:p w:rsidR="00D11D39" w:rsidRPr="00213468" w:rsidRDefault="00D11D39" w:rsidP="00100DE8">
            <w:pPr>
              <w:rPr>
                <w:rFonts w:ascii="Calibri" w:hAnsi="Calibri" w:cs="Times New Roman"/>
                <w:color w:val="000000"/>
                <w:szCs w:val="24"/>
                <w:lang w:eastAsia="en-AU"/>
              </w:rPr>
            </w:pPr>
          </w:p>
        </w:tc>
      </w:tr>
    </w:tbl>
    <w:p w:rsidR="00D11D39" w:rsidRDefault="00D11D39" w:rsidP="00100DE8">
      <w:pPr>
        <w:rPr>
          <w:rFonts w:ascii="Calibri" w:hAnsi="Calibri" w:cs="Times New Roman"/>
          <w:color w:val="000000"/>
          <w:szCs w:val="24"/>
          <w:lang w:eastAsia="en-AU"/>
        </w:rPr>
        <w:sectPr w:rsidR="00D11D39" w:rsidSect="0004123E">
          <w:pgSz w:w="11899" w:h="16838" w:code="9"/>
          <w:pgMar w:top="1701" w:right="1474" w:bottom="1701" w:left="1474" w:header="709" w:footer="709" w:gutter="0"/>
          <w:cols w:space="708"/>
          <w:titlePg/>
          <w:docGrid w:linePitch="299"/>
        </w:sectPr>
      </w:pPr>
    </w:p>
    <w:tbl>
      <w:tblPr>
        <w:tblW w:w="9684" w:type="dxa"/>
        <w:tblInd w:w="108" w:type="dxa"/>
        <w:tblLook w:val="04A0" w:firstRow="1" w:lastRow="0" w:firstColumn="1" w:lastColumn="0" w:noHBand="0" w:noVBand="1"/>
      </w:tblPr>
      <w:tblGrid>
        <w:gridCol w:w="9684"/>
      </w:tblGrid>
      <w:tr w:rsidR="00213468" w:rsidRPr="00213468" w:rsidTr="00316B1D">
        <w:trPr>
          <w:trHeight w:val="315"/>
        </w:trPr>
        <w:tc>
          <w:tcPr>
            <w:tcW w:w="9684" w:type="dxa"/>
            <w:tcBorders>
              <w:top w:val="nil"/>
              <w:left w:val="nil"/>
              <w:bottom w:val="nil"/>
              <w:right w:val="nil"/>
            </w:tcBorders>
            <w:shd w:val="clear" w:color="auto" w:fill="auto"/>
            <w:noWrap/>
            <w:vAlign w:val="center"/>
            <w:hideMark/>
          </w:tcPr>
          <w:p w:rsidR="00316B1D" w:rsidRDefault="00316B1D" w:rsidP="00F021C8">
            <w:pPr>
              <w:pStyle w:val="Heading1"/>
            </w:pPr>
            <w:bookmarkStart w:id="129" w:name="_Ref421611583"/>
            <w:bookmarkStart w:id="130" w:name="_Toc421616781"/>
            <w:bookmarkStart w:id="131" w:name="_Toc423962585"/>
            <w:r w:rsidRPr="00F021C8">
              <w:t>Attachment</w:t>
            </w:r>
            <w:r>
              <w:t xml:space="preserve"> A</w:t>
            </w:r>
            <w:bookmarkEnd w:id="129"/>
            <w:r w:rsidR="0038280E">
              <w:t>: Capital city wages</w:t>
            </w:r>
            <w:bookmarkEnd w:id="130"/>
            <w:r w:rsidR="007D3115">
              <w:rPr>
                <w:rStyle w:val="FootnoteReference"/>
              </w:rPr>
              <w:footnoteReference w:id="8"/>
            </w:r>
            <w:bookmarkEnd w:id="131"/>
          </w:p>
          <w:tbl>
            <w:tblPr>
              <w:tblW w:w="9360" w:type="dxa"/>
              <w:tblInd w:w="108" w:type="dxa"/>
              <w:tblLook w:val="04A0" w:firstRow="1" w:lastRow="0" w:firstColumn="1" w:lastColumn="0" w:noHBand="0" w:noVBand="1"/>
            </w:tblPr>
            <w:tblGrid>
              <w:gridCol w:w="9360"/>
            </w:tblGrid>
            <w:tr w:rsidR="00316B1D" w:rsidRPr="00213468" w:rsidTr="00060C46">
              <w:trPr>
                <w:trHeight w:val="255"/>
              </w:trPr>
              <w:tc>
                <w:tcPr>
                  <w:tcW w:w="9360" w:type="dxa"/>
                  <w:tcBorders>
                    <w:top w:val="nil"/>
                    <w:left w:val="nil"/>
                    <w:bottom w:val="nil"/>
                    <w:right w:val="nil"/>
                  </w:tcBorders>
                  <w:shd w:val="clear" w:color="auto" w:fill="auto"/>
                  <w:noWrap/>
                  <w:vAlign w:val="center"/>
                  <w:hideMark/>
                </w:tcPr>
                <w:p w:rsidR="00316B1D" w:rsidRPr="00213468" w:rsidRDefault="00316B1D" w:rsidP="00060C46">
                  <w:pPr>
                    <w:rPr>
                      <w:lang w:eastAsia="en-AU"/>
                    </w:rPr>
                  </w:pPr>
                </w:p>
              </w:tc>
            </w:tr>
          </w:tbl>
          <w:p w:rsidR="00C570FF" w:rsidRPr="00213468" w:rsidRDefault="00C570FF" w:rsidP="00100DE8">
            <w:pPr>
              <w:rPr>
                <w:rFonts w:ascii="Calibri" w:hAnsi="Calibri" w:cs="Times New Roman"/>
                <w:color w:val="000000"/>
                <w:szCs w:val="24"/>
                <w:lang w:eastAsia="en-AU"/>
              </w:rPr>
            </w:pPr>
          </w:p>
        </w:tc>
      </w:tr>
    </w:tbl>
    <w:p w:rsidR="00316B1D" w:rsidRPr="00741FF2" w:rsidRDefault="00316B1D" w:rsidP="00085FB3">
      <w:pPr>
        <w:pStyle w:val="CGCNumberedPara"/>
        <w:numPr>
          <w:ilvl w:val="1"/>
          <w:numId w:val="48"/>
        </w:numPr>
      </w:pPr>
      <w:r w:rsidRPr="00741FF2">
        <w:t xml:space="preserve">The interstate wages assessment in the 2010 Review used the private sector wage level of comparable employees in each State to measure the relative wage levels at which States could employ staff. The purpose of this section is to consider whether using the average private sector wage level for the whole State is the most appropriate benchmark for estimating public sector wages. </w:t>
      </w:r>
      <w:bookmarkStart w:id="132" w:name="_Toc351992357"/>
      <w:r w:rsidRPr="00741FF2">
        <w:t>No State has raised this as an issue.</w:t>
      </w:r>
    </w:p>
    <w:bookmarkEnd w:id="132"/>
    <w:p w:rsidR="00316B1D" w:rsidRPr="00741FF2" w:rsidRDefault="00316B1D" w:rsidP="00316B1D">
      <w:pPr>
        <w:pStyle w:val="CGCNumberedPara"/>
        <w:numPr>
          <w:ilvl w:val="1"/>
          <w:numId w:val="3"/>
        </w:numPr>
      </w:pPr>
      <w:r w:rsidRPr="00741FF2">
        <w:t>Using State average private sector wage relativities as a proxy for State average public sector wage relativities gives States the capacity to pay wages at the same difference from the national average as the private sector pays in different regions.</w:t>
      </w:r>
      <w:r w:rsidRPr="00741FF2">
        <w:rPr>
          <w:rStyle w:val="FootnoteReference"/>
        </w:rPr>
        <w:footnoteReference w:id="9"/>
      </w:r>
      <w:r w:rsidRPr="00741FF2">
        <w:t xml:space="preserve"> That is, States can pay public servants more than average in regions where private sector workers are paid more than average such as Sydney and regional Western Australia; and States can pay public servants less than average in regions where private sector workers are paid less than average. </w:t>
      </w:r>
    </w:p>
    <w:p w:rsidR="00316B1D" w:rsidRPr="00741FF2" w:rsidRDefault="00316B1D" w:rsidP="00316B1D">
      <w:pPr>
        <w:pStyle w:val="CGCNumberedPara"/>
        <w:numPr>
          <w:ilvl w:val="1"/>
          <w:numId w:val="3"/>
        </w:numPr>
      </w:pPr>
      <w:r w:rsidRPr="00741FF2">
        <w:t xml:space="preserve">However, this is not necessarily what States do. States generally pay comparable public servants a single wage set in a State-wide agreement. A State may have some regions where private sector wages are below the national average and other regions where private sector wages are above the national average. However, it negotiates a constant wage across the State. Whether it does this at the State average private sector level, as the current assessment assumes, or at some other level is worth considering. </w:t>
      </w:r>
    </w:p>
    <w:p w:rsidR="00316B1D" w:rsidRPr="00741FF2" w:rsidRDefault="00316B1D" w:rsidP="00316B1D">
      <w:pPr>
        <w:pStyle w:val="CGCNumberedPara"/>
        <w:numPr>
          <w:ilvl w:val="1"/>
          <w:numId w:val="3"/>
        </w:numPr>
      </w:pPr>
      <w:r w:rsidRPr="00741FF2">
        <w:t xml:space="preserve">While it is a policy choice for a State to negotiate constant wages across the State, it appears to be one shared by most States. What States appear to do is to negotiate State-wide agreements with their staff, and set a wage level for the entire </w:t>
      </w:r>
      <w:proofErr w:type="gramStart"/>
      <w:r w:rsidRPr="00741FF2">
        <w:t>State.</w:t>
      </w:r>
      <w:proofErr w:type="gramEnd"/>
    </w:p>
    <w:p w:rsidR="00316B1D" w:rsidRPr="00741FF2" w:rsidRDefault="00316B1D" w:rsidP="00316B1D">
      <w:pPr>
        <w:pStyle w:val="CGCNumberedPara"/>
        <w:numPr>
          <w:ilvl w:val="1"/>
          <w:numId w:val="3"/>
        </w:numPr>
      </w:pPr>
      <w:r w:rsidRPr="00741FF2">
        <w:t>The level at which States set their wages is, presumably, one at which they can recruit and retain staff in most locations. During the 2010 Review, we found that the Australian Government has national wage rates for some jobs, paying the same wage for the same position everywhere in the country. For example, Centrelink said it sets its wage rates at levels that enable it to recruit staff in most areas. In some areas, Centrelink could fill all available positions at a lower wage, but it chooses to have a national wage rate. In some regions, it is easier to fill positions than in other regions. This has some impact on where it locates services. For example, Centrelink chose to relocate one of its national call centres from Western Australia to Tasmania. This relocation did not lower its wages bill, but did make it easier to fill positions. In order to recruit and retain staff in most areas Centrelink presumably sets a wage at, or close to, that of the highest wage region. By doing so, Centrelink has competitive or attractive wages in most areas. We presume States follow a similar process to determine and maintain State-wide wages.</w:t>
      </w:r>
    </w:p>
    <w:p w:rsidR="00316B1D" w:rsidRPr="00741FF2" w:rsidRDefault="00316B1D" w:rsidP="00316B1D">
      <w:pPr>
        <w:pStyle w:val="CGCNumberedPara"/>
        <w:numPr>
          <w:ilvl w:val="1"/>
          <w:numId w:val="3"/>
        </w:numPr>
      </w:pPr>
      <w:r w:rsidRPr="00741FF2">
        <w:t>If States pay wages based on State-wide agreements, then assessing public sector wage differences based on the State-wide average private sector wage level is not consistent with how public sector wages are determined. Rather, public sector wage differences might be more accurately assessed against private sector wages where they are the highest in each State. In most States, this is in the capital cities.</w:t>
      </w:r>
    </w:p>
    <w:p w:rsidR="00316B1D" w:rsidRPr="00741FF2" w:rsidRDefault="00316B1D" w:rsidP="00316B1D">
      <w:pPr>
        <w:pStyle w:val="Heading4"/>
      </w:pPr>
      <w:bookmarkStart w:id="133" w:name="_Toc351992358"/>
      <w:bookmarkStart w:id="134" w:name="_Toc361221719"/>
      <w:bookmarkStart w:id="135" w:name="_Toc365882698"/>
      <w:bookmarkStart w:id="136" w:name="_Toc421616782"/>
      <w:bookmarkStart w:id="137" w:name="_Toc422130925"/>
      <w:bookmarkStart w:id="138" w:name="_Toc422307726"/>
      <w:bookmarkStart w:id="139" w:name="_Toc423962586"/>
      <w:r w:rsidRPr="00741FF2">
        <w:t>Do States pay the same wage throughout the State?</w:t>
      </w:r>
      <w:bookmarkEnd w:id="133"/>
      <w:bookmarkEnd w:id="134"/>
      <w:bookmarkEnd w:id="135"/>
      <w:bookmarkEnd w:id="136"/>
      <w:bookmarkEnd w:id="137"/>
      <w:bookmarkEnd w:id="138"/>
      <w:bookmarkEnd w:id="139"/>
    </w:p>
    <w:p w:rsidR="00316B1D" w:rsidRPr="00741FF2" w:rsidRDefault="00316B1D" w:rsidP="00316B1D">
      <w:pPr>
        <w:pStyle w:val="CGCNumberedPara"/>
        <w:numPr>
          <w:ilvl w:val="1"/>
          <w:numId w:val="3"/>
        </w:numPr>
      </w:pPr>
      <w:r w:rsidRPr="00741FF2">
        <w:t xml:space="preserve">Our research of State policies has shown, at least for teachers and nurses, State-wide agreements set a single wage for the entire State. If New South Wales’ State-wide agreements set teachers or nurses wages at 1% above the national average (its average difference from the national average), New South Wales would not be able to compete for staff in the Sydney labour market where private sector wages are 4% above the national average, as shown in </w:t>
      </w:r>
      <w:r w:rsidR="00E00488">
        <w:t xml:space="preserve">Figure A- </w:t>
      </w:r>
      <w:r w:rsidR="00E00488">
        <w:rPr>
          <w:noProof/>
        </w:rPr>
        <w:t>1</w:t>
      </w:r>
      <w:r w:rsidRPr="00741FF2">
        <w:t xml:space="preserve">. </w:t>
      </w:r>
    </w:p>
    <w:p w:rsidR="00316B1D" w:rsidRPr="00741FF2" w:rsidRDefault="00E00488" w:rsidP="00316B1D">
      <w:pPr>
        <w:pStyle w:val="CGCNumberedPara"/>
        <w:numPr>
          <w:ilvl w:val="1"/>
          <w:numId w:val="3"/>
        </w:numPr>
      </w:pPr>
      <w:r>
        <w:t xml:space="preserve">Figure A- </w:t>
      </w:r>
      <w:r>
        <w:rPr>
          <w:noProof/>
        </w:rPr>
        <w:t>1</w:t>
      </w:r>
      <w:r w:rsidR="00F01510">
        <w:t xml:space="preserve"> </w:t>
      </w:r>
      <w:r w:rsidR="00316B1D" w:rsidRPr="00741FF2">
        <w:t xml:space="preserve">shows 2009 private sector SET results for capital cities and the remainder of the State. It shows that there are significant differences between the private sector wage levels in capital cities and those in the rest of the State, with private sector wages generally higher in capital cities than in regional areas. </w:t>
      </w:r>
    </w:p>
    <w:p w:rsidR="00316B1D" w:rsidRPr="00741FF2" w:rsidRDefault="007447B1" w:rsidP="007447B1">
      <w:pPr>
        <w:pStyle w:val="Caption"/>
      </w:pPr>
      <w:bookmarkStart w:id="140" w:name="_Ref423941344"/>
      <w:r>
        <w:t xml:space="preserve">Figure A- </w:t>
      </w:r>
      <w:fldSimple w:instr=" SEQ Figure_A- \* ARABIC ">
        <w:r w:rsidR="00495218">
          <w:rPr>
            <w:noProof/>
          </w:rPr>
          <w:t>1</w:t>
        </w:r>
      </w:fldSimple>
      <w:bookmarkEnd w:id="140"/>
      <w:r w:rsidRPr="00741FF2">
        <w:tab/>
        <w:t>Relative private sector wages for comparable employees by region, 2009</w:t>
      </w:r>
    </w:p>
    <w:p w:rsidR="00316B1D" w:rsidRPr="00741FF2" w:rsidRDefault="00316B1D" w:rsidP="00316B1D">
      <w:pPr>
        <w:pStyle w:val="NoSpacing"/>
      </w:pPr>
      <w:r w:rsidRPr="00741FF2">
        <w:rPr>
          <w:noProof/>
          <w:lang w:eastAsia="en-AU"/>
        </w:rPr>
        <w:drawing>
          <wp:inline distT="0" distB="0" distL="0" distR="0" wp14:anchorId="0D965AB0" wp14:editId="5C21DBD1">
            <wp:extent cx="5667375" cy="3572510"/>
            <wp:effectExtent l="0" t="0" r="9525"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67375" cy="3572510"/>
                    </a:xfrm>
                    <a:prstGeom prst="rect">
                      <a:avLst/>
                    </a:prstGeom>
                    <a:noFill/>
                    <a:ln>
                      <a:noFill/>
                    </a:ln>
                  </pic:spPr>
                </pic:pic>
              </a:graphicData>
            </a:graphic>
          </wp:inline>
        </w:drawing>
      </w:r>
    </w:p>
    <w:p w:rsidR="00316B1D" w:rsidRPr="00741FF2" w:rsidRDefault="00316B1D" w:rsidP="00316B1D">
      <w:pPr>
        <w:pStyle w:val="CGCTableFootnote"/>
      </w:pPr>
      <w:r w:rsidRPr="00741FF2">
        <w:t xml:space="preserve">Note: </w:t>
      </w:r>
      <w:r w:rsidRPr="00741FF2">
        <w:tab/>
        <w:t>Data are not available to split the ACT and the Northern Territory, so capital city estimates for these States reflects the whole of State wage levels.</w:t>
      </w:r>
    </w:p>
    <w:p w:rsidR="00316B1D" w:rsidRPr="00741FF2" w:rsidRDefault="00316B1D" w:rsidP="00316B1D">
      <w:pPr>
        <w:pStyle w:val="CGCTableFootnote"/>
      </w:pPr>
      <w:r w:rsidRPr="00741FF2">
        <w:t xml:space="preserve">Source: </w:t>
      </w:r>
      <w:r w:rsidRPr="00741FF2">
        <w:tab/>
        <w:t>2009 SET.</w:t>
      </w:r>
    </w:p>
    <w:p w:rsidR="00316B1D" w:rsidRPr="00741FF2" w:rsidRDefault="00316B1D" w:rsidP="00316B1D">
      <w:pPr>
        <w:pStyle w:val="CGCNumberedPara"/>
        <w:numPr>
          <w:ilvl w:val="0"/>
          <w:numId w:val="0"/>
        </w:numPr>
        <w:ind w:left="567"/>
      </w:pPr>
    </w:p>
    <w:p w:rsidR="00316B1D" w:rsidRPr="00741FF2" w:rsidRDefault="00E00488" w:rsidP="00316B1D">
      <w:pPr>
        <w:pStyle w:val="CGCNumberedPara"/>
        <w:numPr>
          <w:ilvl w:val="1"/>
          <w:numId w:val="3"/>
        </w:numPr>
      </w:pPr>
      <w:r>
        <w:t xml:space="preserve">Figure A- </w:t>
      </w:r>
      <w:r>
        <w:rPr>
          <w:noProof/>
        </w:rPr>
        <w:t>2</w:t>
      </w:r>
      <w:r w:rsidR="00316B1D" w:rsidRPr="00741FF2">
        <w:t xml:space="preserve"> shows 2009 public sector SET results for capital cities and the remainder of the State. It shows that the differences in wages between capital city and rest of State are not as large in the public sector as in the private sector. In fact in most States, the differences between capital city and regional public sector wages are not statistically significant. </w:t>
      </w:r>
    </w:p>
    <w:p w:rsidR="00316B1D" w:rsidRPr="00741FF2" w:rsidRDefault="00316B1D" w:rsidP="00316B1D">
      <w:pPr>
        <w:pStyle w:val="CGCNumberedPara"/>
        <w:numPr>
          <w:ilvl w:val="1"/>
          <w:numId w:val="3"/>
        </w:numPr>
      </w:pPr>
      <w:r w:rsidRPr="00741FF2">
        <w:t>While private sector wages differ in capital cities to the rest of State, this difference is not significant in the public sector. Public sector wages are more homogenous between capital cities and the remainder of the State than private sector wages, suggesting that States do use whole of State agreements considerably more than the private sector does.</w:t>
      </w:r>
    </w:p>
    <w:p w:rsidR="00316B1D" w:rsidRPr="00741FF2" w:rsidRDefault="00F01510" w:rsidP="00F01510">
      <w:pPr>
        <w:pStyle w:val="Caption"/>
      </w:pPr>
      <w:bookmarkStart w:id="141" w:name="_Ref422319429"/>
      <w:r>
        <w:t xml:space="preserve">Figure A- </w:t>
      </w:r>
      <w:fldSimple w:instr=" SEQ Figure_A- \* ARABIC ">
        <w:r w:rsidR="00495218">
          <w:rPr>
            <w:noProof/>
          </w:rPr>
          <w:t>2</w:t>
        </w:r>
      </w:fldSimple>
      <w:bookmarkEnd w:id="141"/>
      <w:r w:rsidR="00316B1D" w:rsidRPr="00741FF2">
        <w:tab/>
        <w:t>Relative public sector wages for comparable employees by region, 2009</w:t>
      </w:r>
    </w:p>
    <w:p w:rsidR="00316B1D" w:rsidRPr="00741FF2" w:rsidRDefault="00316B1D" w:rsidP="00316B1D">
      <w:r w:rsidRPr="00741FF2">
        <w:rPr>
          <w:noProof/>
          <w:lang w:eastAsia="en-AU"/>
        </w:rPr>
        <w:drawing>
          <wp:inline distT="0" distB="0" distL="0" distR="0" wp14:anchorId="19FABE84" wp14:editId="436B7C69">
            <wp:extent cx="5624830" cy="356171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24830" cy="3561715"/>
                    </a:xfrm>
                    <a:prstGeom prst="rect">
                      <a:avLst/>
                    </a:prstGeom>
                    <a:noFill/>
                    <a:ln>
                      <a:noFill/>
                    </a:ln>
                  </pic:spPr>
                </pic:pic>
              </a:graphicData>
            </a:graphic>
          </wp:inline>
        </w:drawing>
      </w:r>
    </w:p>
    <w:p w:rsidR="00316B1D" w:rsidRPr="00741FF2" w:rsidRDefault="00316B1D" w:rsidP="00316B1D">
      <w:pPr>
        <w:pStyle w:val="CGCTableFootnote"/>
      </w:pPr>
      <w:r w:rsidRPr="00741FF2">
        <w:t xml:space="preserve">Note: </w:t>
      </w:r>
      <w:r w:rsidRPr="00741FF2">
        <w:tab/>
        <w:t>Data are not available to split the ACT and the Northern Territory, so capital city estimates for these States reflects the whole of State wage levels.</w:t>
      </w:r>
    </w:p>
    <w:p w:rsidR="00316B1D" w:rsidRPr="00741FF2" w:rsidRDefault="00316B1D" w:rsidP="00316B1D">
      <w:pPr>
        <w:pStyle w:val="CGCTableFootnote"/>
      </w:pPr>
      <w:r w:rsidRPr="00741FF2">
        <w:t xml:space="preserve">Source: </w:t>
      </w:r>
      <w:r w:rsidRPr="00741FF2">
        <w:tab/>
        <w:t>2009 SET</w:t>
      </w:r>
    </w:p>
    <w:p w:rsidR="00316B1D" w:rsidRPr="00741FF2" w:rsidRDefault="00316B1D" w:rsidP="00316B1D">
      <w:pPr>
        <w:pStyle w:val="Heading4"/>
      </w:pPr>
      <w:bookmarkStart w:id="142" w:name="_Toc351992360"/>
      <w:bookmarkStart w:id="143" w:name="_Toc361221721"/>
      <w:bookmarkStart w:id="144" w:name="_Toc365882699"/>
      <w:bookmarkStart w:id="145" w:name="_Toc421616783"/>
      <w:bookmarkStart w:id="146" w:name="_Toc422130926"/>
      <w:bookmarkStart w:id="147" w:name="_Toc422307727"/>
      <w:bookmarkStart w:id="148" w:name="_Toc423962587"/>
      <w:r w:rsidRPr="00741FF2">
        <w:t>Proposed assessment</w:t>
      </w:r>
      <w:bookmarkEnd w:id="142"/>
      <w:bookmarkEnd w:id="143"/>
      <w:bookmarkEnd w:id="144"/>
      <w:bookmarkEnd w:id="145"/>
      <w:bookmarkEnd w:id="146"/>
      <w:bookmarkEnd w:id="147"/>
      <w:bookmarkEnd w:id="148"/>
      <w:r w:rsidRPr="00741FF2">
        <w:t xml:space="preserve"> </w:t>
      </w:r>
    </w:p>
    <w:p w:rsidR="00316B1D" w:rsidRPr="00741FF2" w:rsidRDefault="00316B1D" w:rsidP="00316B1D">
      <w:pPr>
        <w:pStyle w:val="CGCNumberedPara"/>
        <w:numPr>
          <w:ilvl w:val="1"/>
          <w:numId w:val="3"/>
        </w:numPr>
      </w:pPr>
      <w:r w:rsidRPr="00741FF2">
        <w:t xml:space="preserve">In determining wage levels, a State must consider the wage level which will allow it to recruit staff in most areas of the State. In most States, the capital cities have the highest private sector wage level. In States where regional private sector wages are high (Western Australia), public sector employees are offered regional loadings. </w:t>
      </w:r>
    </w:p>
    <w:p w:rsidR="00316B1D" w:rsidRPr="00741FF2" w:rsidRDefault="00E00488" w:rsidP="00316B1D">
      <w:pPr>
        <w:pStyle w:val="CGCNumberedPara"/>
        <w:numPr>
          <w:ilvl w:val="1"/>
          <w:numId w:val="3"/>
        </w:numPr>
      </w:pPr>
      <w:r>
        <w:t xml:space="preserve">Figure A- </w:t>
      </w:r>
      <w:r>
        <w:rPr>
          <w:noProof/>
        </w:rPr>
        <w:t>3</w:t>
      </w:r>
      <w:r w:rsidR="00316B1D" w:rsidRPr="00741FF2">
        <w:t xml:space="preserve"> shows analysis of New South Wales’ and Western Australia’s teacher certified agreements that shows that is what at least some States do. This suggests the State-wide agreement wage level is likely to reflect the private sector wage level prevailing in the capital cities while additional regional allowances may be offered to remote employees.</w:t>
      </w:r>
    </w:p>
    <w:p w:rsidR="00316B1D" w:rsidRPr="00741FF2" w:rsidRDefault="00316B1D" w:rsidP="00316B1D">
      <w:pPr>
        <w:pStyle w:val="CGCNumberedPara"/>
        <w:numPr>
          <w:ilvl w:val="1"/>
          <w:numId w:val="3"/>
        </w:numPr>
      </w:pPr>
      <w:r w:rsidRPr="00741FF2">
        <w:t>Because Western Australia’s private sector wages in regional areas are considerably higher than in Perth, offering regional Western Australian staff Perth wages may mean that it may not be able to retain staff in these areas. In this case, staff consider it would most likely offer a regional loading in more areas, or at higher levels, than other States do, to ensure that regional wages were competitive with local private sector wages (as shown in</w:t>
      </w:r>
      <w:r w:rsidR="00F01510">
        <w:t xml:space="preserve"> </w:t>
      </w:r>
      <w:r w:rsidR="00E00488">
        <w:t xml:space="preserve">Figure A- </w:t>
      </w:r>
      <w:r w:rsidR="00E00488">
        <w:rPr>
          <w:noProof/>
        </w:rPr>
        <w:t>3</w:t>
      </w:r>
      <w:r w:rsidRPr="00741FF2">
        <w:t>). This would mean Western Australia would offer Perth wages in Perth and regional wages in regional areas.</w:t>
      </w:r>
    </w:p>
    <w:p w:rsidR="00316B1D" w:rsidRPr="00741FF2" w:rsidRDefault="00316B1D" w:rsidP="00316B1D">
      <w:pPr>
        <w:pStyle w:val="CGCNumberedPara"/>
        <w:numPr>
          <w:ilvl w:val="1"/>
          <w:numId w:val="3"/>
        </w:numPr>
      </w:pPr>
      <w:r w:rsidRPr="00741FF2">
        <w:t>While it would be possible for New South Wales to set its wages at regional levels, and offer regional allowances in Sydney, that does not seem to be what States do.</w:t>
      </w:r>
    </w:p>
    <w:p w:rsidR="00316B1D" w:rsidRPr="00741FF2" w:rsidRDefault="00F01510" w:rsidP="00F01510">
      <w:pPr>
        <w:pStyle w:val="Caption"/>
      </w:pPr>
      <w:bookmarkStart w:id="149" w:name="_Ref422319468"/>
      <w:r>
        <w:t xml:space="preserve">Figure A- </w:t>
      </w:r>
      <w:fldSimple w:instr=" SEQ Figure_A- \* ARABIC ">
        <w:r w:rsidR="00495218">
          <w:rPr>
            <w:noProof/>
          </w:rPr>
          <w:t>3</w:t>
        </w:r>
      </w:fldSimple>
      <w:bookmarkEnd w:id="149"/>
      <w:r w:rsidR="00316B1D" w:rsidRPr="00741FF2">
        <w:tab/>
        <w:t xml:space="preserve">Average location related loadings paid to teachers in New South Wales and Western Australia, 2012 </w:t>
      </w:r>
    </w:p>
    <w:p w:rsidR="00316B1D" w:rsidRPr="00741FF2" w:rsidRDefault="00316B1D" w:rsidP="00316B1D">
      <w:r w:rsidRPr="00741FF2">
        <w:rPr>
          <w:noProof/>
          <w:lang w:eastAsia="en-AU"/>
        </w:rPr>
        <w:drawing>
          <wp:inline distT="0" distB="0" distL="0" distR="0" wp14:anchorId="0D90934D" wp14:editId="7E6FAB90">
            <wp:extent cx="5657850" cy="35623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57850" cy="3562350"/>
                    </a:xfrm>
                    <a:prstGeom prst="rect">
                      <a:avLst/>
                    </a:prstGeom>
                    <a:noFill/>
                    <a:ln>
                      <a:noFill/>
                    </a:ln>
                  </pic:spPr>
                </pic:pic>
              </a:graphicData>
            </a:graphic>
          </wp:inline>
        </w:drawing>
      </w:r>
    </w:p>
    <w:p w:rsidR="00316B1D" w:rsidRPr="00741FF2" w:rsidRDefault="00316B1D" w:rsidP="00316B1D">
      <w:pPr>
        <w:pStyle w:val="CGCTableFootnote"/>
      </w:pPr>
      <w:r w:rsidRPr="00741FF2">
        <w:t xml:space="preserve">Note: </w:t>
      </w:r>
      <w:r w:rsidRPr="00741FF2">
        <w:tab/>
        <w:t>Loadings only relate to remoteness or similar allowances. Career progression opportunities, subsidised housing and other in-kind support are excluded.</w:t>
      </w:r>
    </w:p>
    <w:p w:rsidR="00316B1D" w:rsidRPr="00741FF2" w:rsidRDefault="00316B1D" w:rsidP="00316B1D">
      <w:pPr>
        <w:pStyle w:val="CGCTableFootnote"/>
      </w:pPr>
      <w:r w:rsidRPr="00741FF2">
        <w:t>Source:</w:t>
      </w:r>
      <w:r w:rsidRPr="00741FF2">
        <w:tab/>
        <w:t xml:space="preserve">New South Wales and Western Australia teachers’ enterprise agreements. New South Wales: </w:t>
      </w:r>
      <w:hyperlink r:id="rId19" w:history="1">
        <w:r w:rsidRPr="00741FF2">
          <w:rPr>
            <w:rStyle w:val="Hyperlink"/>
          </w:rPr>
          <w:t>http://www.dec.nsw.gov.au/about-us/careers-centre/school-careers/teaching/our-programs-and-initiatives/explore-your-future/teaching-in-rural-nsw/incentive-schools</w:t>
        </w:r>
      </w:hyperlink>
    </w:p>
    <w:p w:rsidR="00316B1D" w:rsidRPr="00741FF2" w:rsidRDefault="00316B1D" w:rsidP="00316B1D">
      <w:pPr>
        <w:pStyle w:val="CGCTableFootnote"/>
        <w:rPr>
          <w:rStyle w:val="Hyperlink"/>
        </w:rPr>
      </w:pPr>
      <w:r w:rsidRPr="00741FF2">
        <w:tab/>
        <w:t xml:space="preserve">Western Australia: </w:t>
      </w:r>
      <w:hyperlink r:id="rId20" w:history="1">
        <w:r w:rsidRPr="00741FF2">
          <w:rPr>
            <w:rStyle w:val="Hyperlink"/>
          </w:rPr>
          <w:t>http://det.wa.edu.au/labourrelations/detcms/navigation/awards-and-general-agreements/?oid=MultiPartArticle-id-2757333</w:t>
        </w:r>
      </w:hyperlink>
    </w:p>
    <w:p w:rsidR="00316B1D" w:rsidRPr="00741FF2" w:rsidRDefault="00316B1D" w:rsidP="00316B1D">
      <w:pPr>
        <w:pStyle w:val="NoSpacing"/>
      </w:pPr>
    </w:p>
    <w:p w:rsidR="00316B1D" w:rsidRPr="00741FF2" w:rsidRDefault="00316B1D" w:rsidP="00316B1D">
      <w:pPr>
        <w:pStyle w:val="CGCNumberedPara"/>
        <w:numPr>
          <w:ilvl w:val="1"/>
          <w:numId w:val="3"/>
        </w:numPr>
      </w:pPr>
      <w:r w:rsidRPr="00741FF2">
        <w:t>This suggests we should give each State an interstate wage factor based on capital city wages. Outside of capital cities, we recognise that States with high private sector wages in regional areas, in particular Western Australia, pay loadings above this base wage rate. This State specific regional wage loading is in addition to the national average based regional cost assessment.</w:t>
      </w:r>
      <w:bookmarkStart w:id="150" w:name="_Toc358363161"/>
    </w:p>
    <w:p w:rsidR="00316B1D" w:rsidRPr="007649D2" w:rsidRDefault="00316B1D" w:rsidP="007649D2">
      <w:pPr>
        <w:pStyle w:val="Heading4"/>
      </w:pPr>
      <w:bookmarkStart w:id="151" w:name="_Toc361221722"/>
      <w:bookmarkStart w:id="152" w:name="_Toc365882700"/>
      <w:bookmarkStart w:id="153" w:name="_Toc421616784"/>
      <w:bookmarkStart w:id="154" w:name="_Toc422130927"/>
      <w:bookmarkStart w:id="155" w:name="_Toc422307728"/>
      <w:bookmarkStart w:id="156" w:name="_Toc423962588"/>
      <w:r w:rsidRPr="007649D2">
        <w:rPr>
          <w:rStyle w:val="Heading5Char"/>
          <w:b/>
          <w:i w:val="0"/>
          <w:sz w:val="32"/>
        </w:rPr>
        <w:t>State specific regional wage loadings</w:t>
      </w:r>
      <w:bookmarkEnd w:id="150"/>
      <w:bookmarkEnd w:id="151"/>
      <w:bookmarkEnd w:id="152"/>
      <w:bookmarkEnd w:id="153"/>
      <w:bookmarkEnd w:id="154"/>
      <w:bookmarkEnd w:id="155"/>
      <w:bookmarkEnd w:id="156"/>
    </w:p>
    <w:p w:rsidR="00316B1D" w:rsidRPr="00741FF2" w:rsidRDefault="00316B1D" w:rsidP="00316B1D">
      <w:pPr>
        <w:pStyle w:val="CGCNumberedPara"/>
        <w:numPr>
          <w:ilvl w:val="1"/>
          <w:numId w:val="3"/>
        </w:numPr>
      </w:pPr>
      <w:bookmarkStart w:id="157" w:name="_Ref356391657"/>
      <w:r w:rsidRPr="00741FF2">
        <w:t xml:space="preserve">A State specific regional cost gradient is an issue raised in the context of the Regional costs assessment, and is an idea proposed by Western Australia. The merits of this assessment are briefly considered in the Regional costs chapter. However, because of interaction with staff’s proposal to change from a whole of State to a capital city basis for the wages assessment the mechanics of our proposed State specific regional wage loading assessment is considered here. </w:t>
      </w:r>
    </w:p>
    <w:p w:rsidR="00316B1D" w:rsidRPr="00741FF2" w:rsidRDefault="00316B1D" w:rsidP="00316B1D">
      <w:pPr>
        <w:pStyle w:val="CGCNumberedPara"/>
        <w:numPr>
          <w:ilvl w:val="1"/>
          <w:numId w:val="3"/>
        </w:numPr>
      </w:pPr>
      <w:r w:rsidRPr="00741FF2">
        <w:t xml:space="preserve">We consider that the capital city private sector wage level reflects the relative wage levels at which States would (under policy neutral settings) set their base wage levels. Outside of capital cities, we consider that States would pay loadings above the base wage rate to public sector employees in regional areas. These loadings are assessed in the Regional cost assessment. For most States, this means that in regional areas public sector wages are higher than private sector wages. For States with high regional private sector wages, we assume that under average policy States would pay regional loadings plus an additional allowance to compete with high regional private sector wages. For these States we consider that they require additional State specific regional loadings. </w:t>
      </w:r>
    </w:p>
    <w:p w:rsidR="00316B1D" w:rsidRPr="00741FF2" w:rsidRDefault="00316B1D" w:rsidP="00316B1D">
      <w:pPr>
        <w:pStyle w:val="CGCNumberedPara"/>
        <w:numPr>
          <w:ilvl w:val="1"/>
          <w:numId w:val="3"/>
        </w:numPr>
      </w:pPr>
      <w:proofErr w:type="gramStart"/>
      <w:r w:rsidRPr="00741FF2">
        <w:t>Staff propose</w:t>
      </w:r>
      <w:proofErr w:type="gramEnd"/>
      <w:r w:rsidRPr="00741FF2">
        <w:t xml:space="preserve"> that a State specific regional loading be assessed for States with high regional wages based on the difference between the rest of State private sector wage level and the capital city private sector wage level. From the 2009 SET, such an assessment would affect Western Australia and, to a significantly lesser extent, Queensland.</w:t>
      </w:r>
      <w:bookmarkEnd w:id="157"/>
      <w:r w:rsidRPr="00741FF2">
        <w:t xml:space="preserve"> </w:t>
      </w:r>
    </w:p>
    <w:p w:rsidR="00316B1D" w:rsidRPr="00741FF2" w:rsidRDefault="00E00488" w:rsidP="00316B1D">
      <w:pPr>
        <w:pStyle w:val="CGCNumberedPara"/>
        <w:numPr>
          <w:ilvl w:val="1"/>
          <w:numId w:val="3"/>
        </w:numPr>
      </w:pPr>
      <w:bookmarkStart w:id="158" w:name="_Ref356391660"/>
      <w:r>
        <w:t xml:space="preserve">Figure A- </w:t>
      </w:r>
      <w:r>
        <w:rPr>
          <w:noProof/>
        </w:rPr>
        <w:t>1</w:t>
      </w:r>
      <w:r w:rsidR="00F65EA1">
        <w:t xml:space="preserve"> </w:t>
      </w:r>
      <w:r w:rsidR="00316B1D" w:rsidRPr="00741FF2">
        <w:t xml:space="preserve">indicates, in a policy neutral setting, Western Australia needs to pay higher regional loadings than other States. Western Australia’s higher than average regional private sector wages increase the regional wage levels calculated through the regression of Australia Curriculum, Assessment and Reporting Authority (ACARA) data in the Regional cost assessment. To assess Western Australia as needing both a State specific regional loading and a national average regional loading that includes its actual loading could result in double counting. </w:t>
      </w:r>
    </w:p>
    <w:p w:rsidR="00316B1D" w:rsidRPr="00741FF2" w:rsidRDefault="00316B1D" w:rsidP="00316B1D">
      <w:pPr>
        <w:pStyle w:val="CGCNumberedPara"/>
        <w:numPr>
          <w:ilvl w:val="1"/>
          <w:numId w:val="3"/>
        </w:numPr>
      </w:pPr>
      <w:r w:rsidRPr="00741FF2">
        <w:t xml:space="preserve">As </w:t>
      </w:r>
      <w:r w:rsidR="00E00488">
        <w:t xml:space="preserve">Figure A- </w:t>
      </w:r>
      <w:r w:rsidR="00E00488">
        <w:rPr>
          <w:noProof/>
        </w:rPr>
        <w:t>1</w:t>
      </w:r>
      <w:r w:rsidR="007447B1">
        <w:t xml:space="preserve"> </w:t>
      </w:r>
      <w:r w:rsidRPr="00741FF2">
        <w:t xml:space="preserve">shows, Western Australian wages outside of Perth are 7% higher than in Perth itself. Applying the regional cost gradient to Western Australia in addition to this adjustment would provide the State with an additional weighting for remote areas. However, Western Australia only contributes around 10% of the sample to the overall regional cost model and it does not materially affect the coefficients for remoteness. Ideally, we would like to use only one model to produce estimates of regional costs, service delivery scale, Indigeneity and SES. This model is discussed in </w:t>
      </w:r>
      <w:r w:rsidRPr="00741FF2">
        <w:rPr>
          <w:i/>
        </w:rPr>
        <w:t>Technical appendix 1: Deriving cost weights from ACARA data.</w:t>
      </w:r>
      <w:r w:rsidRPr="00741FF2">
        <w:t xml:space="preserve"> As including Western Australia in the regional costs model is not likely to result in material double counting, we recommend that, in the interests of simplicity, the model include all States.</w:t>
      </w:r>
    </w:p>
    <w:bookmarkEnd w:id="158"/>
    <w:p w:rsidR="00316B1D" w:rsidRPr="00741FF2" w:rsidRDefault="00316B1D" w:rsidP="00316B1D">
      <w:pPr>
        <w:pStyle w:val="CGCNumberedPara"/>
        <w:numPr>
          <w:ilvl w:val="1"/>
          <w:numId w:val="3"/>
        </w:numPr>
      </w:pPr>
      <w:r w:rsidRPr="00741FF2">
        <w:t xml:space="preserve">The State specific regional loadings will result in a different regional costs curve for Western Australia and Queensland. </w:t>
      </w:r>
      <w:r w:rsidR="00E00488">
        <w:t xml:space="preserve">Figure A- </w:t>
      </w:r>
      <w:r w:rsidR="00E00488">
        <w:rPr>
          <w:noProof/>
        </w:rPr>
        <w:t>4</w:t>
      </w:r>
      <w:r w:rsidRPr="00741FF2">
        <w:t xml:space="preserve"> shows how these two impacts fit together to make this adjustment. The State specific loading is applied only to the wage component of State costs.</w:t>
      </w:r>
    </w:p>
    <w:p w:rsidR="00316B1D" w:rsidRPr="00741FF2" w:rsidRDefault="00F01510" w:rsidP="00F01510">
      <w:pPr>
        <w:pStyle w:val="Caption"/>
      </w:pPr>
      <w:bookmarkStart w:id="159" w:name="_Ref422319551"/>
      <w:r>
        <w:t xml:space="preserve">Figure A- </w:t>
      </w:r>
      <w:fldSimple w:instr=" SEQ Figure_A- \* ARABIC ">
        <w:r w:rsidR="00495218">
          <w:rPr>
            <w:noProof/>
          </w:rPr>
          <w:t>4</w:t>
        </w:r>
      </w:fldSimple>
      <w:bookmarkEnd w:id="159"/>
      <w:r w:rsidR="00316B1D" w:rsidRPr="00741FF2">
        <w:tab/>
        <w:t>Interaction between regional costs gradient and State specific wage loading</w:t>
      </w:r>
    </w:p>
    <w:p w:rsidR="00316B1D" w:rsidRPr="00741FF2" w:rsidRDefault="00316B1D" w:rsidP="00316B1D">
      <w:pPr>
        <w:pStyle w:val="NoSpacing"/>
      </w:pPr>
      <w:r w:rsidRPr="00741FF2">
        <w:rPr>
          <w:noProof/>
          <w:lang w:eastAsia="en-AU"/>
        </w:rPr>
        <w:drawing>
          <wp:inline distT="0" distB="0" distL="0" distR="0" wp14:anchorId="1D15B52A" wp14:editId="64D3DDDA">
            <wp:extent cx="5657850" cy="35661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57850" cy="3566160"/>
                    </a:xfrm>
                    <a:prstGeom prst="rect">
                      <a:avLst/>
                    </a:prstGeom>
                    <a:noFill/>
                  </pic:spPr>
                </pic:pic>
              </a:graphicData>
            </a:graphic>
          </wp:inline>
        </w:drawing>
      </w:r>
    </w:p>
    <w:p w:rsidR="00316B1D" w:rsidRPr="00741FF2" w:rsidRDefault="00316B1D" w:rsidP="00316B1D">
      <w:pPr>
        <w:pStyle w:val="CGCTableFootnote"/>
      </w:pPr>
      <w:r w:rsidRPr="00741FF2">
        <w:t>Source:</w:t>
      </w:r>
      <w:r w:rsidRPr="00741FF2">
        <w:tab/>
        <w:t xml:space="preserve">Commission calculation. </w:t>
      </w:r>
    </w:p>
    <w:p w:rsidR="00316B1D" w:rsidRPr="00741FF2" w:rsidRDefault="00316B1D" w:rsidP="00316B1D">
      <w:pPr>
        <w:pStyle w:val="NoSpacing"/>
      </w:pPr>
    </w:p>
    <w:p w:rsidR="00316B1D" w:rsidRPr="00741FF2" w:rsidRDefault="00316B1D" w:rsidP="00316B1D">
      <w:pPr>
        <w:pStyle w:val="CGCNumberedPara"/>
        <w:numPr>
          <w:ilvl w:val="1"/>
          <w:numId w:val="3"/>
        </w:numPr>
      </w:pPr>
      <w:bookmarkStart w:id="160" w:name="_Toc351992361"/>
      <w:bookmarkStart w:id="161" w:name="_Toc361221723"/>
      <w:r w:rsidRPr="00741FF2">
        <w:t>Western Australia made a case in its submission that median rents are higher in remote Western Australia than in remote areas of other States. We consider that the private sector, which usually does not provide employee housing, would have to offer wages that reflect the cost of living in remote Western Australia to attract staff. As such, the State specific regional wage loading will generally incorporate the higher cost of housing in Western Australia. To use it as a measure of the costs State governments would face seems appropriate.</w:t>
      </w:r>
    </w:p>
    <w:p w:rsidR="00316B1D" w:rsidRPr="00741FF2" w:rsidRDefault="00316B1D" w:rsidP="00316B1D">
      <w:pPr>
        <w:pStyle w:val="Heading4"/>
      </w:pPr>
      <w:bookmarkStart w:id="162" w:name="_Toc365882701"/>
      <w:bookmarkStart w:id="163" w:name="_Toc421616785"/>
      <w:bookmarkStart w:id="164" w:name="_Toc422130928"/>
      <w:bookmarkStart w:id="165" w:name="_Toc422307729"/>
      <w:bookmarkStart w:id="166" w:name="_Toc423962589"/>
      <w:r w:rsidRPr="00741FF2">
        <w:t>Data quality</w:t>
      </w:r>
      <w:bookmarkEnd w:id="160"/>
      <w:bookmarkEnd w:id="161"/>
      <w:bookmarkEnd w:id="162"/>
      <w:bookmarkEnd w:id="163"/>
      <w:bookmarkEnd w:id="164"/>
      <w:bookmarkEnd w:id="165"/>
      <w:bookmarkEnd w:id="166"/>
    </w:p>
    <w:p w:rsidR="00316B1D" w:rsidRPr="00741FF2" w:rsidRDefault="00316B1D" w:rsidP="00316B1D">
      <w:pPr>
        <w:pStyle w:val="CGCNumberedPara"/>
        <w:numPr>
          <w:ilvl w:val="1"/>
          <w:numId w:val="3"/>
        </w:numPr>
      </w:pPr>
      <w:proofErr w:type="gramStart"/>
      <w:r w:rsidRPr="00741FF2">
        <w:t>Staff consider</w:t>
      </w:r>
      <w:proofErr w:type="gramEnd"/>
      <w:r w:rsidRPr="00741FF2">
        <w:t xml:space="preserve"> an assessment based on a capital city based factor (combined with a State specific regional loading included in the regional cost assessment) best reflects the policy neutral pressure on wage costs. However, in developing an assessment, we must also consider the data available to model what States do.</w:t>
      </w:r>
    </w:p>
    <w:p w:rsidR="00316B1D" w:rsidRPr="00741FF2" w:rsidRDefault="00E00488" w:rsidP="00316B1D">
      <w:pPr>
        <w:pStyle w:val="CGCNumberedPara"/>
        <w:numPr>
          <w:ilvl w:val="1"/>
          <w:numId w:val="3"/>
        </w:numPr>
      </w:pPr>
      <w:r>
        <w:t xml:space="preserve">Figure A- </w:t>
      </w:r>
      <w:r>
        <w:rPr>
          <w:noProof/>
        </w:rPr>
        <w:t>5</w:t>
      </w:r>
      <w:r w:rsidR="00F01510">
        <w:t xml:space="preserve"> </w:t>
      </w:r>
      <w:r w:rsidR="00316B1D" w:rsidRPr="00741FF2">
        <w:t xml:space="preserve">shows that the sampling error associated with measuring capital city wages is slightly greater than that associated with measuring whole of State wages. </w:t>
      </w:r>
    </w:p>
    <w:p w:rsidR="00316B1D" w:rsidRPr="00741FF2" w:rsidRDefault="00316B1D" w:rsidP="00316B1D">
      <w:pPr>
        <w:pStyle w:val="CGCNumberedPara"/>
        <w:numPr>
          <w:ilvl w:val="1"/>
          <w:numId w:val="3"/>
        </w:numPr>
      </w:pPr>
      <w:r w:rsidRPr="00741FF2">
        <w:t xml:space="preserve">However, as a result of the SET being discontinued, </w:t>
      </w:r>
      <w:proofErr w:type="gramStart"/>
      <w:r w:rsidRPr="00741FF2">
        <w:t>staff intend</w:t>
      </w:r>
      <w:proofErr w:type="gramEnd"/>
      <w:r w:rsidRPr="00741FF2">
        <w:t xml:space="preserve"> to use the </w:t>
      </w:r>
      <w:r w:rsidR="006D2631" w:rsidRPr="00741FF2">
        <w:t>C</w:t>
      </w:r>
      <w:r w:rsidR="006D2631">
        <w:t>o</w:t>
      </w:r>
      <w:r w:rsidR="006D2631" w:rsidRPr="00741FF2">
        <w:t xml:space="preserve">E </w:t>
      </w:r>
      <w:r w:rsidRPr="00741FF2">
        <w:t xml:space="preserve">as its replacement for the wages assessment. The </w:t>
      </w:r>
      <w:r w:rsidR="006D2631" w:rsidRPr="00741FF2">
        <w:t>C</w:t>
      </w:r>
      <w:r w:rsidR="006D2631">
        <w:t>o</w:t>
      </w:r>
      <w:r w:rsidR="006D2631" w:rsidRPr="00741FF2">
        <w:t xml:space="preserve">E </w:t>
      </w:r>
      <w:r w:rsidRPr="00741FF2">
        <w:t xml:space="preserve">will have a substantially larger sample size than the SET and will be conducted annually. These two improvements should more than offset the increased volatility from limiting the wages regression to include only private sector employees in capital cities. </w:t>
      </w:r>
    </w:p>
    <w:p w:rsidR="00316B1D" w:rsidRPr="00741FF2" w:rsidRDefault="00F01510" w:rsidP="00F01510">
      <w:pPr>
        <w:pStyle w:val="Caption"/>
      </w:pPr>
      <w:bookmarkStart w:id="167" w:name="_Ref422319573"/>
      <w:r>
        <w:t xml:space="preserve">Figure A- </w:t>
      </w:r>
      <w:fldSimple w:instr=" SEQ Figure_A- \* ARABIC ">
        <w:r w:rsidR="00495218">
          <w:rPr>
            <w:noProof/>
          </w:rPr>
          <w:t>5</w:t>
        </w:r>
      </w:fldSimple>
      <w:bookmarkEnd w:id="167"/>
      <w:r w:rsidR="00316B1D" w:rsidRPr="00741FF2">
        <w:tab/>
        <w:t>Relative private sector wages for comparable employees by region, 2009</w:t>
      </w:r>
    </w:p>
    <w:p w:rsidR="00316B1D" w:rsidRPr="00741FF2" w:rsidRDefault="00316B1D" w:rsidP="00316B1D">
      <w:pPr>
        <w:pStyle w:val="CGCTableFootnote"/>
      </w:pPr>
      <w:r w:rsidRPr="00741FF2">
        <w:rPr>
          <w:noProof/>
          <w:lang w:eastAsia="en-AU"/>
        </w:rPr>
        <w:drawing>
          <wp:inline distT="0" distB="0" distL="0" distR="0" wp14:anchorId="2EF2ECFB" wp14:editId="387A2B88">
            <wp:extent cx="5657850" cy="3572510"/>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57850" cy="3572510"/>
                    </a:xfrm>
                    <a:prstGeom prst="rect">
                      <a:avLst/>
                    </a:prstGeom>
                    <a:noFill/>
                  </pic:spPr>
                </pic:pic>
              </a:graphicData>
            </a:graphic>
          </wp:inline>
        </w:drawing>
      </w:r>
    </w:p>
    <w:p w:rsidR="00316B1D" w:rsidRPr="00741FF2" w:rsidRDefault="00316B1D" w:rsidP="00316B1D">
      <w:pPr>
        <w:pStyle w:val="CGCTableFootnote"/>
      </w:pPr>
      <w:r w:rsidRPr="00741FF2">
        <w:t xml:space="preserve">Note: </w:t>
      </w:r>
      <w:r w:rsidRPr="00741FF2">
        <w:tab/>
        <w:t xml:space="preserve">Capital city estimates are relative to the weighted average of capital cities. Whole of State estimates are relative to the national average. Data are not available to split the ACT and the Northern Territory, so capital city estimates for these States reflects the whole of State wage levels. </w:t>
      </w:r>
    </w:p>
    <w:p w:rsidR="00316B1D" w:rsidRPr="00741FF2" w:rsidRDefault="00316B1D" w:rsidP="00316B1D">
      <w:pPr>
        <w:pStyle w:val="CGCTableFootnote"/>
      </w:pPr>
      <w:r w:rsidRPr="00741FF2">
        <w:tab/>
        <w:t>The bars represent 95% confidence intervals.</w:t>
      </w:r>
    </w:p>
    <w:p w:rsidR="00316B1D" w:rsidRPr="00741FF2" w:rsidRDefault="00316B1D" w:rsidP="00316B1D">
      <w:pPr>
        <w:pStyle w:val="CGCTableFootnote"/>
      </w:pPr>
      <w:r w:rsidRPr="00741FF2">
        <w:t xml:space="preserve">Source: </w:t>
      </w:r>
      <w:r w:rsidRPr="00741FF2">
        <w:tab/>
        <w:t>2009 SET.</w:t>
      </w:r>
    </w:p>
    <w:p w:rsidR="00316B1D" w:rsidRPr="00741FF2" w:rsidRDefault="00316B1D" w:rsidP="00316B1D">
      <w:pPr>
        <w:pStyle w:val="Heading4"/>
      </w:pPr>
      <w:bookmarkStart w:id="168" w:name="_Toc365882702"/>
      <w:bookmarkStart w:id="169" w:name="_Toc421616786"/>
      <w:bookmarkStart w:id="170" w:name="_Toc422130929"/>
      <w:bookmarkStart w:id="171" w:name="_Toc422307730"/>
      <w:bookmarkStart w:id="172" w:name="_Toc423962590"/>
      <w:r w:rsidRPr="00741FF2">
        <w:t>Impact of proposed changes to assessment</w:t>
      </w:r>
      <w:bookmarkEnd w:id="168"/>
      <w:bookmarkEnd w:id="169"/>
      <w:bookmarkEnd w:id="170"/>
      <w:bookmarkEnd w:id="171"/>
      <w:bookmarkEnd w:id="172"/>
    </w:p>
    <w:p w:rsidR="00316B1D" w:rsidRPr="00741FF2" w:rsidRDefault="00316B1D" w:rsidP="00316B1D">
      <w:pPr>
        <w:pStyle w:val="CGCNumberedPara"/>
        <w:numPr>
          <w:ilvl w:val="1"/>
          <w:numId w:val="3"/>
        </w:numPr>
      </w:pPr>
      <w:r w:rsidRPr="00741FF2">
        <w:t>The proposed changes to the interstate wages and regional costs assessments are likely to have a relatively large redistributive impact, as can be seen in</w:t>
      </w:r>
      <w:r w:rsidR="007447B1">
        <w:t xml:space="preserve"> </w:t>
      </w:r>
      <w:r w:rsidR="00E00488">
        <w:t xml:space="preserve">Table A- </w:t>
      </w:r>
      <w:r w:rsidR="00E00488">
        <w:rPr>
          <w:noProof/>
        </w:rPr>
        <w:t>1</w:t>
      </w:r>
      <w:r w:rsidRPr="00741FF2">
        <w:t xml:space="preserve">. Western Australia will be assessed as needing to pay Perth wages in Perth, and regional Western Australian wages in regional areas. This is the equivalent of what it is assessed as needing to spend under the current approach. However, New South Wales and Victoria will be assessed as needing to spend Sydney and Melbourne wages not only in Sydney and Melbourne, but also in the regional areas of those States. This would lead to a significant increase in the assessed needs of those States. </w:t>
      </w:r>
      <w:r w:rsidR="00E00488">
        <w:t xml:space="preserve">Table A- </w:t>
      </w:r>
      <w:r w:rsidR="00E00488">
        <w:rPr>
          <w:noProof/>
        </w:rPr>
        <w:t>1</w:t>
      </w:r>
      <w:r w:rsidR="007447B1">
        <w:t xml:space="preserve"> </w:t>
      </w:r>
      <w:r w:rsidRPr="00741FF2">
        <w:t xml:space="preserve">shows that the proposed changes lead to </w:t>
      </w:r>
      <w:proofErr w:type="gramStart"/>
      <w:r w:rsidRPr="00741FF2">
        <w:t>a redistribution</w:t>
      </w:r>
      <w:proofErr w:type="gramEnd"/>
      <w:r w:rsidRPr="00741FF2">
        <w:t xml:space="preserve"> toward States with capital city wages considerably higher than their regional wages, and away from other States. </w:t>
      </w:r>
    </w:p>
    <w:p w:rsidR="00316B1D" w:rsidRPr="00741FF2" w:rsidRDefault="007447B1" w:rsidP="007447B1">
      <w:pPr>
        <w:pStyle w:val="Caption"/>
      </w:pPr>
      <w:bookmarkStart w:id="173" w:name="_Ref423941538"/>
      <w:bookmarkStart w:id="174" w:name="_Ref422319633"/>
      <w:bookmarkStart w:id="175" w:name="_Ref422319630"/>
      <w:r>
        <w:t xml:space="preserve">Table A- </w:t>
      </w:r>
      <w:fldSimple w:instr=" SEQ Table_A- \* ARABIC ">
        <w:r w:rsidR="00495218">
          <w:rPr>
            <w:noProof/>
          </w:rPr>
          <w:t>1</w:t>
        </w:r>
      </w:fldSimple>
      <w:bookmarkEnd w:id="173"/>
      <w:r w:rsidRPr="00E66793">
        <w:tab/>
        <w:t>GST impact of use of SET regression data</w:t>
      </w:r>
      <w:bookmarkEnd w:id="174"/>
      <w:bookmarkEnd w:id="175"/>
    </w:p>
    <w:tbl>
      <w:tblPr>
        <w:tblW w:w="0" w:type="auto"/>
        <w:tblCellMar>
          <w:left w:w="0" w:type="dxa"/>
          <w:right w:w="0" w:type="dxa"/>
        </w:tblCellMar>
        <w:tblLook w:val="0000" w:firstRow="0" w:lastRow="0" w:firstColumn="0" w:lastColumn="0" w:noHBand="0" w:noVBand="0"/>
      </w:tblPr>
      <w:tblGrid>
        <w:gridCol w:w="3195"/>
        <w:gridCol w:w="548"/>
        <w:gridCol w:w="651"/>
        <w:gridCol w:w="651"/>
        <w:gridCol w:w="651"/>
        <w:gridCol w:w="651"/>
        <w:gridCol w:w="651"/>
        <w:gridCol w:w="650"/>
        <w:gridCol w:w="651"/>
        <w:gridCol w:w="652"/>
      </w:tblGrid>
      <w:tr w:rsidR="00316B1D" w:rsidRPr="00741FF2" w:rsidTr="00060C46">
        <w:trPr>
          <w:trHeight w:val="312"/>
        </w:trPr>
        <w:tc>
          <w:tcPr>
            <w:tcW w:w="3206" w:type="dxa"/>
            <w:tcBorders>
              <w:top w:val="single" w:sz="6" w:space="0" w:color="auto"/>
              <w:left w:val="nil"/>
              <w:bottom w:val="single" w:sz="6" w:space="0" w:color="auto"/>
              <w:right w:val="nil"/>
            </w:tcBorders>
            <w:vAlign w:val="center"/>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p>
        </w:tc>
        <w:tc>
          <w:tcPr>
            <w:tcW w:w="548" w:type="dxa"/>
            <w:tcBorders>
              <w:top w:val="single" w:sz="6" w:space="0" w:color="auto"/>
              <w:left w:val="nil"/>
              <w:bottom w:val="single" w:sz="6" w:space="0" w:color="auto"/>
              <w:right w:val="nil"/>
            </w:tcBorders>
            <w:vAlign w:val="center"/>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NSW</w:t>
            </w:r>
          </w:p>
        </w:tc>
        <w:tc>
          <w:tcPr>
            <w:tcW w:w="652" w:type="dxa"/>
            <w:tcBorders>
              <w:top w:val="single" w:sz="6" w:space="0" w:color="auto"/>
              <w:left w:val="nil"/>
              <w:bottom w:val="single" w:sz="6" w:space="0" w:color="auto"/>
              <w:right w:val="nil"/>
            </w:tcBorders>
            <w:vAlign w:val="center"/>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Vic</w:t>
            </w:r>
          </w:p>
        </w:tc>
        <w:tc>
          <w:tcPr>
            <w:tcW w:w="653" w:type="dxa"/>
            <w:tcBorders>
              <w:top w:val="single" w:sz="6" w:space="0" w:color="auto"/>
              <w:left w:val="nil"/>
              <w:bottom w:val="single" w:sz="6" w:space="0" w:color="auto"/>
              <w:right w:val="nil"/>
            </w:tcBorders>
            <w:vAlign w:val="center"/>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Qld</w:t>
            </w:r>
          </w:p>
        </w:tc>
        <w:tc>
          <w:tcPr>
            <w:tcW w:w="653" w:type="dxa"/>
            <w:tcBorders>
              <w:top w:val="single" w:sz="6" w:space="0" w:color="auto"/>
              <w:left w:val="nil"/>
              <w:bottom w:val="single" w:sz="6" w:space="0" w:color="auto"/>
              <w:right w:val="nil"/>
            </w:tcBorders>
            <w:vAlign w:val="center"/>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WA</w:t>
            </w:r>
          </w:p>
        </w:tc>
        <w:tc>
          <w:tcPr>
            <w:tcW w:w="653" w:type="dxa"/>
            <w:tcBorders>
              <w:top w:val="single" w:sz="6" w:space="0" w:color="auto"/>
              <w:left w:val="nil"/>
              <w:bottom w:val="single" w:sz="6" w:space="0" w:color="auto"/>
              <w:right w:val="nil"/>
            </w:tcBorders>
            <w:vAlign w:val="center"/>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SA</w:t>
            </w:r>
          </w:p>
        </w:tc>
        <w:tc>
          <w:tcPr>
            <w:tcW w:w="653" w:type="dxa"/>
            <w:tcBorders>
              <w:top w:val="single" w:sz="6" w:space="0" w:color="auto"/>
              <w:left w:val="nil"/>
              <w:bottom w:val="single" w:sz="6" w:space="0" w:color="auto"/>
              <w:right w:val="nil"/>
            </w:tcBorders>
            <w:vAlign w:val="center"/>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Tas</w:t>
            </w:r>
          </w:p>
        </w:tc>
        <w:tc>
          <w:tcPr>
            <w:tcW w:w="652" w:type="dxa"/>
            <w:tcBorders>
              <w:top w:val="single" w:sz="6" w:space="0" w:color="auto"/>
              <w:left w:val="nil"/>
              <w:bottom w:val="single" w:sz="6" w:space="0" w:color="auto"/>
              <w:right w:val="nil"/>
            </w:tcBorders>
            <w:vAlign w:val="center"/>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ACT</w:t>
            </w:r>
          </w:p>
        </w:tc>
        <w:tc>
          <w:tcPr>
            <w:tcW w:w="653" w:type="dxa"/>
            <w:tcBorders>
              <w:top w:val="single" w:sz="6" w:space="0" w:color="auto"/>
              <w:left w:val="nil"/>
              <w:bottom w:val="single" w:sz="6" w:space="0" w:color="auto"/>
              <w:right w:val="nil"/>
            </w:tcBorders>
            <w:vAlign w:val="center"/>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NT</w:t>
            </w:r>
          </w:p>
        </w:tc>
        <w:tc>
          <w:tcPr>
            <w:tcW w:w="653" w:type="dxa"/>
            <w:tcBorders>
              <w:top w:val="single" w:sz="6" w:space="0" w:color="auto"/>
              <w:left w:val="nil"/>
              <w:bottom w:val="single" w:sz="6" w:space="0" w:color="auto"/>
              <w:right w:val="nil"/>
            </w:tcBorders>
            <w:vAlign w:val="center"/>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proofErr w:type="spellStart"/>
            <w:r w:rsidRPr="00741FF2">
              <w:rPr>
                <w:rFonts w:ascii="Calibri" w:hAnsi="Calibri" w:cs="Calibri"/>
                <w:color w:val="000000"/>
                <w:sz w:val="20"/>
                <w:szCs w:val="20"/>
              </w:rPr>
              <w:t>Redist</w:t>
            </w:r>
            <w:proofErr w:type="spellEnd"/>
          </w:p>
        </w:tc>
      </w:tr>
      <w:tr w:rsidR="00316B1D" w:rsidRPr="00741FF2" w:rsidTr="00060C46">
        <w:trPr>
          <w:trHeight w:val="254"/>
        </w:trPr>
        <w:tc>
          <w:tcPr>
            <w:tcW w:w="3206" w:type="dxa"/>
            <w:tcBorders>
              <w:top w:val="single" w:sz="6" w:space="0" w:color="auto"/>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p>
        </w:tc>
        <w:tc>
          <w:tcPr>
            <w:tcW w:w="548" w:type="dxa"/>
            <w:tcBorders>
              <w:top w:val="single" w:sz="6" w:space="0" w:color="auto"/>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$m</w:t>
            </w:r>
          </w:p>
        </w:tc>
        <w:tc>
          <w:tcPr>
            <w:tcW w:w="652" w:type="dxa"/>
            <w:tcBorders>
              <w:top w:val="single" w:sz="6" w:space="0" w:color="auto"/>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$m</w:t>
            </w:r>
          </w:p>
        </w:tc>
        <w:tc>
          <w:tcPr>
            <w:tcW w:w="653" w:type="dxa"/>
            <w:tcBorders>
              <w:top w:val="single" w:sz="6" w:space="0" w:color="auto"/>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$m</w:t>
            </w:r>
          </w:p>
        </w:tc>
        <w:tc>
          <w:tcPr>
            <w:tcW w:w="653" w:type="dxa"/>
            <w:tcBorders>
              <w:top w:val="single" w:sz="6" w:space="0" w:color="auto"/>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$m</w:t>
            </w:r>
          </w:p>
        </w:tc>
        <w:tc>
          <w:tcPr>
            <w:tcW w:w="653" w:type="dxa"/>
            <w:tcBorders>
              <w:top w:val="single" w:sz="6" w:space="0" w:color="auto"/>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$m</w:t>
            </w:r>
          </w:p>
        </w:tc>
        <w:tc>
          <w:tcPr>
            <w:tcW w:w="653" w:type="dxa"/>
            <w:tcBorders>
              <w:top w:val="single" w:sz="6" w:space="0" w:color="auto"/>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$m</w:t>
            </w:r>
          </w:p>
        </w:tc>
        <w:tc>
          <w:tcPr>
            <w:tcW w:w="652" w:type="dxa"/>
            <w:tcBorders>
              <w:top w:val="single" w:sz="6" w:space="0" w:color="auto"/>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$m</w:t>
            </w:r>
          </w:p>
        </w:tc>
        <w:tc>
          <w:tcPr>
            <w:tcW w:w="653" w:type="dxa"/>
            <w:tcBorders>
              <w:top w:val="single" w:sz="6" w:space="0" w:color="auto"/>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$m</w:t>
            </w:r>
          </w:p>
        </w:tc>
        <w:tc>
          <w:tcPr>
            <w:tcW w:w="653" w:type="dxa"/>
            <w:tcBorders>
              <w:top w:val="single" w:sz="6" w:space="0" w:color="auto"/>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$m</w:t>
            </w:r>
          </w:p>
        </w:tc>
      </w:tr>
      <w:tr w:rsidR="00316B1D" w:rsidRPr="00741FF2" w:rsidTr="00060C46">
        <w:trPr>
          <w:trHeight w:val="312"/>
        </w:trPr>
        <w:tc>
          <w:tcPr>
            <w:tcW w:w="3206"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rPr>
                <w:rFonts w:ascii="Calibri" w:hAnsi="Calibri" w:cs="Calibri"/>
                <w:color w:val="000000"/>
                <w:sz w:val="20"/>
                <w:szCs w:val="20"/>
              </w:rPr>
            </w:pPr>
            <w:r w:rsidRPr="00741FF2">
              <w:rPr>
                <w:rFonts w:ascii="Calibri" w:hAnsi="Calibri" w:cs="Calibri"/>
                <w:color w:val="000000"/>
                <w:sz w:val="20"/>
                <w:szCs w:val="20"/>
              </w:rPr>
              <w:t>2010 Review approach</w:t>
            </w:r>
          </w:p>
        </w:tc>
        <w:tc>
          <w:tcPr>
            <w:tcW w:w="548"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p>
        </w:tc>
        <w:tc>
          <w:tcPr>
            <w:tcW w:w="652"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p>
        </w:tc>
        <w:tc>
          <w:tcPr>
            <w:tcW w:w="652"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p>
        </w:tc>
      </w:tr>
      <w:tr w:rsidR="00316B1D" w:rsidRPr="00741FF2" w:rsidTr="00060C46">
        <w:trPr>
          <w:trHeight w:val="312"/>
        </w:trPr>
        <w:tc>
          <w:tcPr>
            <w:tcW w:w="3206"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rPr>
                <w:rFonts w:ascii="Calibri" w:hAnsi="Calibri" w:cs="Calibri"/>
                <w:color w:val="000000"/>
                <w:sz w:val="20"/>
                <w:szCs w:val="20"/>
              </w:rPr>
            </w:pPr>
            <w:r w:rsidRPr="00741FF2">
              <w:rPr>
                <w:rFonts w:ascii="Calibri" w:hAnsi="Calibri" w:cs="Calibri"/>
                <w:color w:val="000000"/>
                <w:sz w:val="20"/>
                <w:szCs w:val="20"/>
              </w:rPr>
              <w:t xml:space="preserve">  Interstate wages (whole of State)</w:t>
            </w:r>
          </w:p>
        </w:tc>
        <w:tc>
          <w:tcPr>
            <w:tcW w:w="548"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427</w:t>
            </w:r>
          </w:p>
        </w:tc>
        <w:tc>
          <w:tcPr>
            <w:tcW w:w="652"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-601</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-423</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674</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-157</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-99</w:t>
            </w:r>
          </w:p>
        </w:tc>
        <w:tc>
          <w:tcPr>
            <w:tcW w:w="652"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92</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87</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1 280</w:t>
            </w:r>
          </w:p>
        </w:tc>
      </w:tr>
      <w:tr w:rsidR="00316B1D" w:rsidRPr="00741FF2" w:rsidTr="00060C46">
        <w:trPr>
          <w:trHeight w:val="312"/>
        </w:trPr>
        <w:tc>
          <w:tcPr>
            <w:tcW w:w="3206"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rPr>
                <w:rFonts w:ascii="Calibri" w:hAnsi="Calibri" w:cs="Calibri"/>
                <w:color w:val="000000"/>
                <w:sz w:val="20"/>
                <w:szCs w:val="20"/>
              </w:rPr>
            </w:pPr>
            <w:r w:rsidRPr="00741FF2">
              <w:rPr>
                <w:rFonts w:ascii="Calibri" w:hAnsi="Calibri" w:cs="Calibri"/>
                <w:color w:val="000000"/>
                <w:sz w:val="20"/>
                <w:szCs w:val="20"/>
              </w:rPr>
              <w:t>2015 Review approach</w:t>
            </w:r>
          </w:p>
        </w:tc>
        <w:tc>
          <w:tcPr>
            <w:tcW w:w="548"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p>
        </w:tc>
        <w:tc>
          <w:tcPr>
            <w:tcW w:w="652"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p>
        </w:tc>
        <w:tc>
          <w:tcPr>
            <w:tcW w:w="652"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p>
        </w:tc>
      </w:tr>
      <w:tr w:rsidR="00316B1D" w:rsidRPr="00741FF2" w:rsidTr="00060C46">
        <w:trPr>
          <w:trHeight w:val="312"/>
        </w:trPr>
        <w:tc>
          <w:tcPr>
            <w:tcW w:w="3206"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rPr>
                <w:rFonts w:ascii="Calibri" w:hAnsi="Calibri" w:cs="Calibri"/>
                <w:color w:val="000000"/>
                <w:sz w:val="20"/>
                <w:szCs w:val="20"/>
              </w:rPr>
            </w:pPr>
            <w:r w:rsidRPr="00741FF2">
              <w:rPr>
                <w:rFonts w:ascii="Calibri" w:hAnsi="Calibri" w:cs="Calibri"/>
                <w:color w:val="000000"/>
                <w:sz w:val="20"/>
                <w:szCs w:val="20"/>
              </w:rPr>
              <w:t xml:space="preserve">  Interstate wages (capital city)</w:t>
            </w:r>
          </w:p>
        </w:tc>
        <w:tc>
          <w:tcPr>
            <w:tcW w:w="548"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800</w:t>
            </w:r>
          </w:p>
        </w:tc>
        <w:tc>
          <w:tcPr>
            <w:tcW w:w="652"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-288</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-699</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372</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-245</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-91</w:t>
            </w:r>
          </w:p>
        </w:tc>
        <w:tc>
          <w:tcPr>
            <w:tcW w:w="652"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75</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75</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1 322</w:t>
            </w:r>
          </w:p>
        </w:tc>
      </w:tr>
      <w:tr w:rsidR="00316B1D" w:rsidRPr="00741FF2" w:rsidTr="00060C46">
        <w:trPr>
          <w:trHeight w:val="312"/>
        </w:trPr>
        <w:tc>
          <w:tcPr>
            <w:tcW w:w="3206"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rPr>
                <w:rFonts w:ascii="Calibri" w:hAnsi="Calibri" w:cs="Calibri"/>
                <w:color w:val="000000"/>
                <w:sz w:val="20"/>
                <w:szCs w:val="20"/>
              </w:rPr>
            </w:pPr>
            <w:r w:rsidRPr="00741FF2">
              <w:rPr>
                <w:rFonts w:ascii="Calibri" w:hAnsi="Calibri" w:cs="Calibri"/>
                <w:color w:val="000000"/>
                <w:sz w:val="20"/>
                <w:szCs w:val="20"/>
              </w:rPr>
              <w:t xml:space="preserve">  State specific regional costs</w:t>
            </w:r>
          </w:p>
        </w:tc>
        <w:tc>
          <w:tcPr>
            <w:tcW w:w="548"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-55</w:t>
            </w:r>
          </w:p>
        </w:tc>
        <w:tc>
          <w:tcPr>
            <w:tcW w:w="652"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-42</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-16</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133</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-12</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-4</w:t>
            </w:r>
          </w:p>
        </w:tc>
        <w:tc>
          <w:tcPr>
            <w:tcW w:w="652"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-3</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-2</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133</w:t>
            </w:r>
          </w:p>
        </w:tc>
      </w:tr>
      <w:tr w:rsidR="00316B1D" w:rsidRPr="00741FF2" w:rsidTr="00060C46">
        <w:trPr>
          <w:trHeight w:val="312"/>
        </w:trPr>
        <w:tc>
          <w:tcPr>
            <w:tcW w:w="3206"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rPr>
                <w:rFonts w:ascii="Calibri" w:hAnsi="Calibri" w:cs="Calibri"/>
                <w:color w:val="000000"/>
                <w:sz w:val="20"/>
                <w:szCs w:val="20"/>
              </w:rPr>
            </w:pPr>
            <w:r w:rsidRPr="00741FF2">
              <w:rPr>
                <w:rFonts w:ascii="Calibri" w:hAnsi="Calibri" w:cs="Calibri"/>
                <w:color w:val="000000"/>
                <w:sz w:val="20"/>
                <w:szCs w:val="20"/>
              </w:rPr>
              <w:t xml:space="preserve">  Total impact from SET regression</w:t>
            </w:r>
          </w:p>
        </w:tc>
        <w:tc>
          <w:tcPr>
            <w:tcW w:w="548" w:type="dxa"/>
            <w:tcBorders>
              <w:top w:val="nil"/>
              <w:left w:val="nil"/>
              <w:bottom w:val="single" w:sz="6" w:space="0" w:color="auto"/>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746</w:t>
            </w:r>
          </w:p>
        </w:tc>
        <w:tc>
          <w:tcPr>
            <w:tcW w:w="652" w:type="dxa"/>
            <w:tcBorders>
              <w:top w:val="nil"/>
              <w:left w:val="nil"/>
              <w:bottom w:val="single" w:sz="6" w:space="0" w:color="auto"/>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-330</w:t>
            </w:r>
          </w:p>
        </w:tc>
        <w:tc>
          <w:tcPr>
            <w:tcW w:w="653" w:type="dxa"/>
            <w:tcBorders>
              <w:top w:val="nil"/>
              <w:left w:val="nil"/>
              <w:bottom w:val="single" w:sz="6" w:space="0" w:color="auto"/>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-714</w:t>
            </w:r>
          </w:p>
        </w:tc>
        <w:tc>
          <w:tcPr>
            <w:tcW w:w="653" w:type="dxa"/>
            <w:tcBorders>
              <w:top w:val="nil"/>
              <w:left w:val="nil"/>
              <w:bottom w:val="single" w:sz="6" w:space="0" w:color="auto"/>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504</w:t>
            </w:r>
          </w:p>
        </w:tc>
        <w:tc>
          <w:tcPr>
            <w:tcW w:w="653" w:type="dxa"/>
            <w:tcBorders>
              <w:top w:val="nil"/>
              <w:left w:val="nil"/>
              <w:bottom w:val="single" w:sz="6" w:space="0" w:color="auto"/>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-257</w:t>
            </w:r>
          </w:p>
        </w:tc>
        <w:tc>
          <w:tcPr>
            <w:tcW w:w="653" w:type="dxa"/>
            <w:tcBorders>
              <w:top w:val="nil"/>
              <w:left w:val="nil"/>
              <w:bottom w:val="single" w:sz="6" w:space="0" w:color="auto"/>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-95</w:t>
            </w:r>
          </w:p>
        </w:tc>
        <w:tc>
          <w:tcPr>
            <w:tcW w:w="652" w:type="dxa"/>
            <w:tcBorders>
              <w:top w:val="nil"/>
              <w:left w:val="nil"/>
              <w:bottom w:val="single" w:sz="6" w:space="0" w:color="auto"/>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73</w:t>
            </w:r>
          </w:p>
        </w:tc>
        <w:tc>
          <w:tcPr>
            <w:tcW w:w="653" w:type="dxa"/>
            <w:tcBorders>
              <w:top w:val="nil"/>
              <w:left w:val="nil"/>
              <w:bottom w:val="single" w:sz="6" w:space="0" w:color="auto"/>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73</w:t>
            </w:r>
          </w:p>
        </w:tc>
        <w:tc>
          <w:tcPr>
            <w:tcW w:w="653" w:type="dxa"/>
            <w:tcBorders>
              <w:top w:val="nil"/>
              <w:left w:val="nil"/>
              <w:bottom w:val="single" w:sz="6" w:space="0" w:color="auto"/>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1 455</w:t>
            </w:r>
          </w:p>
        </w:tc>
      </w:tr>
      <w:tr w:rsidR="00316B1D" w:rsidRPr="00741FF2" w:rsidTr="00060C46">
        <w:trPr>
          <w:trHeight w:val="312"/>
        </w:trPr>
        <w:tc>
          <w:tcPr>
            <w:tcW w:w="3206"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rPr>
                <w:rFonts w:ascii="Calibri" w:hAnsi="Calibri" w:cs="Calibri"/>
                <w:color w:val="000000"/>
                <w:sz w:val="20"/>
                <w:szCs w:val="20"/>
              </w:rPr>
            </w:pPr>
            <w:r w:rsidRPr="00741FF2">
              <w:rPr>
                <w:rFonts w:ascii="Calibri" w:hAnsi="Calibri" w:cs="Calibri"/>
                <w:color w:val="000000"/>
                <w:sz w:val="20"/>
                <w:szCs w:val="20"/>
              </w:rPr>
              <w:t>Difference</w:t>
            </w:r>
          </w:p>
        </w:tc>
        <w:tc>
          <w:tcPr>
            <w:tcW w:w="548"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319</w:t>
            </w:r>
          </w:p>
        </w:tc>
        <w:tc>
          <w:tcPr>
            <w:tcW w:w="652"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271</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-291</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-170</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-100</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4</w:t>
            </w:r>
          </w:p>
        </w:tc>
        <w:tc>
          <w:tcPr>
            <w:tcW w:w="652"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-19</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-15</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175</w:t>
            </w:r>
          </w:p>
        </w:tc>
      </w:tr>
      <w:tr w:rsidR="00316B1D" w:rsidRPr="00741FF2" w:rsidTr="00060C46">
        <w:trPr>
          <w:trHeight w:val="252"/>
        </w:trPr>
        <w:tc>
          <w:tcPr>
            <w:tcW w:w="3206"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p>
        </w:tc>
        <w:tc>
          <w:tcPr>
            <w:tcW w:w="548"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$pc</w:t>
            </w:r>
          </w:p>
        </w:tc>
        <w:tc>
          <w:tcPr>
            <w:tcW w:w="652"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$pc</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$pc</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$pc</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$pc</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$pc</w:t>
            </w:r>
          </w:p>
        </w:tc>
        <w:tc>
          <w:tcPr>
            <w:tcW w:w="652"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$pc</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$pc</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$pc</w:t>
            </w:r>
          </w:p>
        </w:tc>
      </w:tr>
      <w:tr w:rsidR="00316B1D" w:rsidRPr="00741FF2" w:rsidTr="00060C46">
        <w:trPr>
          <w:trHeight w:val="312"/>
        </w:trPr>
        <w:tc>
          <w:tcPr>
            <w:tcW w:w="3206"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rPr>
                <w:rFonts w:ascii="Calibri" w:hAnsi="Calibri" w:cs="Calibri"/>
                <w:color w:val="000000"/>
                <w:sz w:val="20"/>
                <w:szCs w:val="20"/>
              </w:rPr>
            </w:pPr>
            <w:r w:rsidRPr="00741FF2">
              <w:rPr>
                <w:rFonts w:ascii="Calibri" w:hAnsi="Calibri" w:cs="Calibri"/>
                <w:color w:val="000000"/>
                <w:sz w:val="20"/>
                <w:szCs w:val="20"/>
              </w:rPr>
              <w:t>2010 Review approach</w:t>
            </w:r>
          </w:p>
        </w:tc>
        <w:tc>
          <w:tcPr>
            <w:tcW w:w="548"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p>
        </w:tc>
        <w:tc>
          <w:tcPr>
            <w:tcW w:w="652"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p>
        </w:tc>
        <w:tc>
          <w:tcPr>
            <w:tcW w:w="652"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p>
        </w:tc>
      </w:tr>
      <w:tr w:rsidR="00316B1D" w:rsidRPr="00741FF2" w:rsidTr="00060C46">
        <w:trPr>
          <w:trHeight w:val="312"/>
        </w:trPr>
        <w:tc>
          <w:tcPr>
            <w:tcW w:w="3206"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rPr>
                <w:rFonts w:ascii="Calibri" w:hAnsi="Calibri" w:cs="Calibri"/>
                <w:color w:val="000000"/>
                <w:sz w:val="20"/>
                <w:szCs w:val="20"/>
              </w:rPr>
            </w:pPr>
            <w:r w:rsidRPr="00741FF2">
              <w:rPr>
                <w:rFonts w:ascii="Calibri" w:hAnsi="Calibri" w:cs="Calibri"/>
                <w:color w:val="000000"/>
                <w:sz w:val="20"/>
                <w:szCs w:val="20"/>
              </w:rPr>
              <w:t xml:space="preserve">  Interstate wages (whole of State)</w:t>
            </w:r>
          </w:p>
        </w:tc>
        <w:tc>
          <w:tcPr>
            <w:tcW w:w="548"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58</w:t>
            </w:r>
          </w:p>
        </w:tc>
        <w:tc>
          <w:tcPr>
            <w:tcW w:w="652"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-106</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-92</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274</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-95</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-192</w:t>
            </w:r>
          </w:p>
        </w:tc>
        <w:tc>
          <w:tcPr>
            <w:tcW w:w="652"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243</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373</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 xml:space="preserve"> 56</w:t>
            </w:r>
          </w:p>
        </w:tc>
      </w:tr>
      <w:tr w:rsidR="00316B1D" w:rsidRPr="00741FF2" w:rsidTr="00060C46">
        <w:trPr>
          <w:trHeight w:val="312"/>
        </w:trPr>
        <w:tc>
          <w:tcPr>
            <w:tcW w:w="3206"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rPr>
                <w:rFonts w:ascii="Calibri" w:hAnsi="Calibri" w:cs="Calibri"/>
                <w:color w:val="000000"/>
                <w:sz w:val="20"/>
                <w:szCs w:val="20"/>
              </w:rPr>
            </w:pPr>
            <w:r w:rsidRPr="00741FF2">
              <w:rPr>
                <w:rFonts w:ascii="Calibri" w:hAnsi="Calibri" w:cs="Calibri"/>
                <w:color w:val="000000"/>
                <w:sz w:val="20"/>
                <w:szCs w:val="20"/>
              </w:rPr>
              <w:t>2015 Review approach</w:t>
            </w:r>
          </w:p>
        </w:tc>
        <w:tc>
          <w:tcPr>
            <w:tcW w:w="548"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p>
        </w:tc>
        <w:tc>
          <w:tcPr>
            <w:tcW w:w="652"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p>
        </w:tc>
        <w:tc>
          <w:tcPr>
            <w:tcW w:w="652"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p>
        </w:tc>
      </w:tr>
      <w:tr w:rsidR="00316B1D" w:rsidRPr="00741FF2" w:rsidTr="00060C46">
        <w:trPr>
          <w:trHeight w:val="312"/>
        </w:trPr>
        <w:tc>
          <w:tcPr>
            <w:tcW w:w="3206"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rPr>
                <w:rFonts w:ascii="Calibri" w:hAnsi="Calibri" w:cs="Calibri"/>
                <w:color w:val="000000"/>
                <w:sz w:val="20"/>
                <w:szCs w:val="20"/>
              </w:rPr>
            </w:pPr>
            <w:r w:rsidRPr="00741FF2">
              <w:rPr>
                <w:rFonts w:ascii="Calibri" w:hAnsi="Calibri" w:cs="Calibri"/>
                <w:color w:val="000000"/>
                <w:sz w:val="20"/>
                <w:szCs w:val="20"/>
              </w:rPr>
              <w:t xml:space="preserve">  Interstate wages (capital city)</w:t>
            </w:r>
          </w:p>
        </w:tc>
        <w:tc>
          <w:tcPr>
            <w:tcW w:w="548"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109</w:t>
            </w:r>
          </w:p>
        </w:tc>
        <w:tc>
          <w:tcPr>
            <w:tcW w:w="652"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-51</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-152</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151</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-147</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-177</w:t>
            </w:r>
          </w:p>
        </w:tc>
        <w:tc>
          <w:tcPr>
            <w:tcW w:w="652"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199</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319</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 xml:space="preserve"> 58</w:t>
            </w:r>
          </w:p>
        </w:tc>
      </w:tr>
      <w:tr w:rsidR="00316B1D" w:rsidRPr="00741FF2" w:rsidTr="00060C46">
        <w:trPr>
          <w:trHeight w:val="312"/>
        </w:trPr>
        <w:tc>
          <w:tcPr>
            <w:tcW w:w="3206"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rPr>
                <w:rFonts w:ascii="Calibri" w:hAnsi="Calibri" w:cs="Calibri"/>
                <w:color w:val="000000"/>
                <w:sz w:val="20"/>
                <w:szCs w:val="20"/>
              </w:rPr>
            </w:pPr>
            <w:r w:rsidRPr="00741FF2">
              <w:rPr>
                <w:rFonts w:ascii="Calibri" w:hAnsi="Calibri" w:cs="Calibri"/>
                <w:color w:val="000000"/>
                <w:sz w:val="20"/>
                <w:szCs w:val="20"/>
              </w:rPr>
              <w:t xml:space="preserve">  State specific regional costs</w:t>
            </w:r>
          </w:p>
        </w:tc>
        <w:tc>
          <w:tcPr>
            <w:tcW w:w="548"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-7</w:t>
            </w:r>
          </w:p>
        </w:tc>
        <w:tc>
          <w:tcPr>
            <w:tcW w:w="652"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-7</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-3</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54</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-7</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-7</w:t>
            </w:r>
          </w:p>
        </w:tc>
        <w:tc>
          <w:tcPr>
            <w:tcW w:w="652"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-7</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-9</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 xml:space="preserve"> 6</w:t>
            </w:r>
          </w:p>
        </w:tc>
      </w:tr>
      <w:tr w:rsidR="00316B1D" w:rsidRPr="00741FF2" w:rsidTr="00060C46">
        <w:trPr>
          <w:trHeight w:val="312"/>
        </w:trPr>
        <w:tc>
          <w:tcPr>
            <w:tcW w:w="3206"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rPr>
                <w:rFonts w:ascii="Calibri" w:hAnsi="Calibri" w:cs="Calibri"/>
                <w:color w:val="000000"/>
                <w:sz w:val="20"/>
                <w:szCs w:val="20"/>
              </w:rPr>
            </w:pPr>
            <w:r w:rsidRPr="00741FF2">
              <w:rPr>
                <w:rFonts w:ascii="Calibri" w:hAnsi="Calibri" w:cs="Calibri"/>
                <w:color w:val="000000"/>
                <w:sz w:val="20"/>
                <w:szCs w:val="20"/>
              </w:rPr>
              <w:t xml:space="preserve">  Total impact from SET regression</w:t>
            </w:r>
          </w:p>
        </w:tc>
        <w:tc>
          <w:tcPr>
            <w:tcW w:w="548"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102</w:t>
            </w:r>
          </w:p>
        </w:tc>
        <w:tc>
          <w:tcPr>
            <w:tcW w:w="652"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-58</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-155</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205</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-155</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-184</w:t>
            </w:r>
          </w:p>
        </w:tc>
        <w:tc>
          <w:tcPr>
            <w:tcW w:w="652"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192</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311</w:t>
            </w:r>
          </w:p>
        </w:tc>
        <w:tc>
          <w:tcPr>
            <w:tcW w:w="653" w:type="dxa"/>
            <w:tcBorders>
              <w:top w:val="nil"/>
              <w:left w:val="nil"/>
              <w:bottom w:val="nil"/>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 xml:space="preserve"> 64</w:t>
            </w:r>
          </w:p>
        </w:tc>
      </w:tr>
      <w:tr w:rsidR="00316B1D" w:rsidRPr="00741FF2" w:rsidTr="00060C46">
        <w:trPr>
          <w:trHeight w:val="312"/>
        </w:trPr>
        <w:tc>
          <w:tcPr>
            <w:tcW w:w="3206" w:type="dxa"/>
            <w:tcBorders>
              <w:top w:val="nil"/>
              <w:left w:val="nil"/>
              <w:bottom w:val="single" w:sz="6" w:space="0" w:color="auto"/>
              <w:right w:val="nil"/>
            </w:tcBorders>
          </w:tcPr>
          <w:p w:rsidR="00316B1D" w:rsidRPr="00741FF2" w:rsidRDefault="00316B1D" w:rsidP="007447B1">
            <w:pPr>
              <w:keepNext/>
              <w:keepLines/>
              <w:tabs>
                <w:tab w:val="clear" w:pos="567"/>
              </w:tabs>
              <w:autoSpaceDE w:val="0"/>
              <w:autoSpaceDN w:val="0"/>
              <w:adjustRightInd w:val="0"/>
              <w:spacing w:after="0" w:line="240" w:lineRule="auto"/>
              <w:rPr>
                <w:rFonts w:ascii="Calibri" w:hAnsi="Calibri" w:cs="Calibri"/>
                <w:color w:val="000000"/>
                <w:sz w:val="20"/>
                <w:szCs w:val="20"/>
              </w:rPr>
            </w:pPr>
            <w:r w:rsidRPr="00741FF2">
              <w:rPr>
                <w:rFonts w:ascii="Calibri" w:hAnsi="Calibri" w:cs="Calibri"/>
                <w:color w:val="000000"/>
                <w:sz w:val="20"/>
                <w:szCs w:val="20"/>
              </w:rPr>
              <w:t>Difference</w:t>
            </w:r>
          </w:p>
        </w:tc>
        <w:tc>
          <w:tcPr>
            <w:tcW w:w="548" w:type="dxa"/>
            <w:tcBorders>
              <w:top w:val="single" w:sz="6" w:space="0" w:color="auto"/>
              <w:left w:val="nil"/>
              <w:bottom w:val="single" w:sz="6" w:space="0" w:color="auto"/>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44</w:t>
            </w:r>
          </w:p>
        </w:tc>
        <w:tc>
          <w:tcPr>
            <w:tcW w:w="652" w:type="dxa"/>
            <w:tcBorders>
              <w:top w:val="single" w:sz="6" w:space="0" w:color="auto"/>
              <w:left w:val="nil"/>
              <w:bottom w:val="single" w:sz="6" w:space="0" w:color="auto"/>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48</w:t>
            </w:r>
          </w:p>
        </w:tc>
        <w:tc>
          <w:tcPr>
            <w:tcW w:w="653" w:type="dxa"/>
            <w:tcBorders>
              <w:top w:val="single" w:sz="6" w:space="0" w:color="auto"/>
              <w:left w:val="nil"/>
              <w:bottom w:val="single" w:sz="6" w:space="0" w:color="auto"/>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-63</w:t>
            </w:r>
          </w:p>
        </w:tc>
        <w:tc>
          <w:tcPr>
            <w:tcW w:w="653" w:type="dxa"/>
            <w:tcBorders>
              <w:top w:val="single" w:sz="6" w:space="0" w:color="auto"/>
              <w:left w:val="nil"/>
              <w:bottom w:val="single" w:sz="6" w:space="0" w:color="auto"/>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-69</w:t>
            </w:r>
          </w:p>
        </w:tc>
        <w:tc>
          <w:tcPr>
            <w:tcW w:w="653" w:type="dxa"/>
            <w:tcBorders>
              <w:top w:val="single" w:sz="6" w:space="0" w:color="auto"/>
              <w:left w:val="nil"/>
              <w:bottom w:val="single" w:sz="6" w:space="0" w:color="auto"/>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-60</w:t>
            </w:r>
          </w:p>
        </w:tc>
        <w:tc>
          <w:tcPr>
            <w:tcW w:w="653" w:type="dxa"/>
            <w:tcBorders>
              <w:top w:val="single" w:sz="6" w:space="0" w:color="auto"/>
              <w:left w:val="nil"/>
              <w:bottom w:val="single" w:sz="6" w:space="0" w:color="auto"/>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8</w:t>
            </w:r>
          </w:p>
        </w:tc>
        <w:tc>
          <w:tcPr>
            <w:tcW w:w="652" w:type="dxa"/>
            <w:tcBorders>
              <w:top w:val="single" w:sz="6" w:space="0" w:color="auto"/>
              <w:left w:val="nil"/>
              <w:bottom w:val="single" w:sz="6" w:space="0" w:color="auto"/>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-51</w:t>
            </w:r>
          </w:p>
        </w:tc>
        <w:tc>
          <w:tcPr>
            <w:tcW w:w="653" w:type="dxa"/>
            <w:tcBorders>
              <w:top w:val="single" w:sz="6" w:space="0" w:color="auto"/>
              <w:left w:val="nil"/>
              <w:bottom w:val="single" w:sz="6" w:space="0" w:color="auto"/>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-63</w:t>
            </w:r>
          </w:p>
        </w:tc>
        <w:tc>
          <w:tcPr>
            <w:tcW w:w="653" w:type="dxa"/>
            <w:tcBorders>
              <w:top w:val="single" w:sz="6" w:space="0" w:color="auto"/>
              <w:left w:val="nil"/>
              <w:bottom w:val="single" w:sz="6" w:space="0" w:color="auto"/>
              <w:right w:val="nil"/>
            </w:tcBorders>
          </w:tcPr>
          <w:p w:rsidR="00316B1D" w:rsidRPr="00741FF2" w:rsidRDefault="00316B1D" w:rsidP="007447B1">
            <w:pPr>
              <w:keepNext/>
              <w:keepLines/>
              <w:tabs>
                <w:tab w:val="clear" w:pos="567"/>
              </w:tabs>
              <w:autoSpaceDE w:val="0"/>
              <w:autoSpaceDN w:val="0"/>
              <w:adjustRightInd w:val="0"/>
              <w:spacing w:after="0" w:line="240" w:lineRule="auto"/>
              <w:jc w:val="right"/>
              <w:rPr>
                <w:rFonts w:ascii="Calibri" w:hAnsi="Calibri" w:cs="Calibri"/>
                <w:color w:val="000000"/>
                <w:sz w:val="20"/>
                <w:szCs w:val="20"/>
              </w:rPr>
            </w:pPr>
            <w:r w:rsidRPr="00741FF2">
              <w:rPr>
                <w:rFonts w:ascii="Calibri" w:hAnsi="Calibri" w:cs="Calibri"/>
                <w:color w:val="000000"/>
                <w:sz w:val="20"/>
                <w:szCs w:val="20"/>
              </w:rPr>
              <w:t>8</w:t>
            </w:r>
          </w:p>
        </w:tc>
      </w:tr>
    </w:tbl>
    <w:p w:rsidR="00316B1D" w:rsidRPr="00741FF2" w:rsidRDefault="00316B1D" w:rsidP="007447B1">
      <w:pPr>
        <w:pStyle w:val="CGCTableFootnote"/>
        <w:keepNext/>
      </w:pPr>
      <w:r w:rsidRPr="00741FF2">
        <w:t xml:space="preserve">Source: </w:t>
      </w:r>
      <w:r w:rsidRPr="00741FF2">
        <w:tab/>
        <w:t>Commission calculation.</w:t>
      </w:r>
    </w:p>
    <w:p w:rsidR="00316B1D" w:rsidRPr="00741FF2" w:rsidRDefault="00316B1D" w:rsidP="00316B1D">
      <w:pPr>
        <w:pStyle w:val="Heading4"/>
      </w:pPr>
      <w:bookmarkStart w:id="176" w:name="_Toc361221724"/>
      <w:bookmarkStart w:id="177" w:name="_Toc365882704"/>
      <w:bookmarkStart w:id="178" w:name="_Toc421616787"/>
      <w:bookmarkStart w:id="179" w:name="_Toc422130930"/>
      <w:bookmarkStart w:id="180" w:name="_Toc422307731"/>
      <w:bookmarkStart w:id="181" w:name="_Toc423962591"/>
      <w:r w:rsidRPr="00741FF2">
        <w:t>Conclusions</w:t>
      </w:r>
      <w:bookmarkEnd w:id="176"/>
      <w:bookmarkEnd w:id="177"/>
      <w:bookmarkEnd w:id="178"/>
      <w:bookmarkEnd w:id="179"/>
      <w:bookmarkEnd w:id="180"/>
      <w:bookmarkEnd w:id="181"/>
    </w:p>
    <w:p w:rsidR="00316B1D" w:rsidRPr="00741FF2" w:rsidRDefault="00316B1D" w:rsidP="00316B1D">
      <w:pPr>
        <w:pStyle w:val="CGCNumberedPara"/>
        <w:numPr>
          <w:ilvl w:val="1"/>
          <w:numId w:val="3"/>
        </w:numPr>
      </w:pPr>
      <w:r w:rsidRPr="00741FF2">
        <w:t xml:space="preserve">We have found that, at least for some parts of the public sector, States set wages through the negotiation of State-wide agreements. Our analysis of SET results is consistent with this finding. This is not consistent with the current wages assessment. Therefore, </w:t>
      </w:r>
      <w:proofErr w:type="gramStart"/>
      <w:r w:rsidRPr="00741FF2">
        <w:t>staff consider</w:t>
      </w:r>
      <w:proofErr w:type="gramEnd"/>
      <w:r w:rsidRPr="00741FF2">
        <w:t xml:space="preserve"> a wages assessment based on capital city wages is more consistent with how States set wages.</w:t>
      </w:r>
    </w:p>
    <w:p w:rsidR="00213468" w:rsidRPr="00213468" w:rsidRDefault="00213468" w:rsidP="00213468"/>
    <w:p w:rsidR="00360904" w:rsidRPr="00C21EF9" w:rsidRDefault="00360904" w:rsidP="00C21EF9"/>
    <w:sectPr w:rsidR="00360904" w:rsidRPr="00C21EF9" w:rsidSect="0004123E">
      <w:pgSz w:w="11899" w:h="16838" w:code="9"/>
      <w:pgMar w:top="1701" w:right="1474" w:bottom="1701" w:left="1474"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72E" w:rsidRDefault="009B272E">
      <w:r>
        <w:separator/>
      </w:r>
    </w:p>
  </w:endnote>
  <w:endnote w:type="continuationSeparator" w:id="0">
    <w:p w:rsidR="009B272E" w:rsidRDefault="009B2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72E" w:rsidRPr="0011178C" w:rsidRDefault="009B272E" w:rsidP="003929D2">
    <w:pPr>
      <w:pStyle w:val="Footer"/>
      <w:jc w:val="right"/>
    </w:pPr>
    <w:r>
      <w:fldChar w:fldCharType="begin"/>
    </w:r>
    <w:r>
      <w:instrText xml:space="preserve"> PAGE  \* Arabic  \* MERGEFORMAT </w:instrText>
    </w:r>
    <w:r>
      <w:fldChar w:fldCharType="separate"/>
    </w:r>
    <w:r w:rsidR="00495218">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72E" w:rsidRDefault="009B272E">
      <w:r>
        <w:separator/>
      </w:r>
    </w:p>
  </w:footnote>
  <w:footnote w:type="continuationSeparator" w:id="0">
    <w:p w:rsidR="009B272E" w:rsidRDefault="009B272E">
      <w:r>
        <w:continuationSeparator/>
      </w:r>
    </w:p>
  </w:footnote>
  <w:footnote w:id="1">
    <w:p w:rsidR="009B272E" w:rsidRDefault="009B272E">
      <w:pPr>
        <w:pStyle w:val="FootnoteText"/>
      </w:pPr>
      <w:r>
        <w:rPr>
          <w:rStyle w:val="FootnoteReference"/>
        </w:rPr>
        <w:footnoteRef/>
      </w:r>
      <w:r>
        <w:t xml:space="preserve"> </w:t>
      </w:r>
      <w:r>
        <w:tab/>
        <w:t>From South Australia’s first submission to the 2015 Review (July 2013).</w:t>
      </w:r>
    </w:p>
  </w:footnote>
  <w:footnote w:id="2">
    <w:p w:rsidR="009B272E" w:rsidRDefault="009B272E" w:rsidP="00D40BC2">
      <w:pPr>
        <w:pStyle w:val="FootnoteText"/>
      </w:pPr>
      <w:r w:rsidRPr="009C25F7">
        <w:rPr>
          <w:rStyle w:val="FootnoteReference"/>
          <w:sz w:val="24"/>
          <w:szCs w:val="24"/>
        </w:rPr>
        <w:footnoteRef/>
      </w:r>
      <w:r>
        <w:t xml:space="preserve"> </w:t>
      </w:r>
      <w:r>
        <w:tab/>
      </w:r>
      <w:proofErr w:type="gramStart"/>
      <w:r>
        <w:t>Presentation by Peter Crossman, Queensland Statistician, 2008.</w:t>
      </w:r>
      <w:proofErr w:type="gramEnd"/>
    </w:p>
  </w:footnote>
  <w:footnote w:id="3">
    <w:p w:rsidR="009B272E" w:rsidRPr="000A34E3" w:rsidRDefault="009B272E" w:rsidP="00D40BC2">
      <w:pPr>
        <w:ind w:left="142" w:hanging="142"/>
        <w:rPr>
          <w:sz w:val="20"/>
          <w:szCs w:val="20"/>
        </w:rPr>
      </w:pPr>
      <w:r w:rsidRPr="009C25F7">
        <w:rPr>
          <w:rStyle w:val="FootnoteReference"/>
          <w:szCs w:val="24"/>
        </w:rPr>
        <w:footnoteRef/>
      </w:r>
      <w:r w:rsidRPr="009C25F7">
        <w:rPr>
          <w:szCs w:val="24"/>
          <w:vertAlign w:val="superscript"/>
        </w:rPr>
        <w:t xml:space="preserve"> </w:t>
      </w:r>
      <w:r w:rsidRPr="009C25F7">
        <w:rPr>
          <w:sz w:val="20"/>
          <w:szCs w:val="20"/>
          <w:vertAlign w:val="superscript"/>
        </w:rPr>
        <w:tab/>
      </w:r>
      <w:r>
        <w:rPr>
          <w:vertAlign w:val="superscript"/>
        </w:rPr>
        <w:tab/>
      </w:r>
      <w:r>
        <w:rPr>
          <w:sz w:val="20"/>
          <w:szCs w:val="20"/>
        </w:rPr>
        <w:t>See:</w:t>
      </w:r>
      <w:r w:rsidRPr="004F608D">
        <w:rPr>
          <w:sz w:val="20"/>
          <w:szCs w:val="20"/>
        </w:rPr>
        <w:t xml:space="preserve"> Mishra &amp; Ray (2014)</w:t>
      </w:r>
      <w:r>
        <w:rPr>
          <w:sz w:val="20"/>
          <w:szCs w:val="20"/>
        </w:rPr>
        <w:t>.</w:t>
      </w:r>
    </w:p>
  </w:footnote>
  <w:footnote w:id="4">
    <w:p w:rsidR="009B272E" w:rsidRPr="000A34E3" w:rsidRDefault="009B272E" w:rsidP="00D40BC2">
      <w:pPr>
        <w:ind w:left="142" w:hanging="142"/>
        <w:rPr>
          <w:sz w:val="20"/>
          <w:szCs w:val="20"/>
        </w:rPr>
      </w:pPr>
      <w:r w:rsidRPr="009C25F7">
        <w:rPr>
          <w:rStyle w:val="FootnoteReference"/>
          <w:szCs w:val="24"/>
        </w:rPr>
        <w:footnoteRef/>
      </w:r>
      <w:r w:rsidRPr="009C25F7">
        <w:rPr>
          <w:rStyle w:val="FootnoteReference"/>
          <w:szCs w:val="24"/>
        </w:rPr>
        <w:t xml:space="preserve"> </w:t>
      </w:r>
      <w:r w:rsidRPr="009C25F7">
        <w:rPr>
          <w:szCs w:val="24"/>
        </w:rPr>
        <w:tab/>
      </w:r>
      <w:r>
        <w:tab/>
      </w:r>
      <w:r w:rsidRPr="000A34E3">
        <w:rPr>
          <w:sz w:val="20"/>
          <w:szCs w:val="20"/>
        </w:rPr>
        <w:t>See: Otto (2007)</w:t>
      </w:r>
      <w:r>
        <w:rPr>
          <w:sz w:val="20"/>
          <w:szCs w:val="20"/>
        </w:rPr>
        <w:t>.</w:t>
      </w:r>
    </w:p>
    <w:p w:rsidR="009B272E" w:rsidRDefault="009B272E" w:rsidP="00D40BC2">
      <w:pPr>
        <w:pStyle w:val="FootnoteText"/>
      </w:pPr>
    </w:p>
  </w:footnote>
  <w:footnote w:id="5">
    <w:p w:rsidR="009B272E" w:rsidRDefault="009B272E" w:rsidP="00E3750B">
      <w:pPr>
        <w:pStyle w:val="FootnoteText"/>
      </w:pPr>
      <w:r>
        <w:rPr>
          <w:rStyle w:val="FootnoteReference"/>
        </w:rPr>
        <w:footnoteRef/>
      </w:r>
      <w:r>
        <w:t xml:space="preserve"> </w:t>
      </w:r>
      <w:r>
        <w:tab/>
        <w:t xml:space="preserve">For instance see </w:t>
      </w:r>
      <w:r w:rsidRPr="00CA035C">
        <w:t>Combes</w:t>
      </w:r>
      <w:r>
        <w:t xml:space="preserve"> et al</w:t>
      </w:r>
      <w:r w:rsidRPr="00CA035C">
        <w:t xml:space="preserve"> (2008)</w:t>
      </w:r>
      <w:r>
        <w:t>.</w:t>
      </w:r>
    </w:p>
  </w:footnote>
  <w:footnote w:id="6">
    <w:p w:rsidR="009B272E" w:rsidRDefault="009B272E">
      <w:pPr>
        <w:pStyle w:val="FootnoteText"/>
      </w:pPr>
      <w:r>
        <w:rPr>
          <w:rStyle w:val="FootnoteReference"/>
        </w:rPr>
        <w:footnoteRef/>
      </w:r>
      <w:r>
        <w:t xml:space="preserve"> </w:t>
      </w:r>
      <w:r>
        <w:tab/>
        <w:t>From Victoria’s first submission to the 2015 Review (July 2013).</w:t>
      </w:r>
    </w:p>
  </w:footnote>
  <w:footnote w:id="7">
    <w:p w:rsidR="009B272E" w:rsidRDefault="009B272E">
      <w:pPr>
        <w:pStyle w:val="FootnoteText"/>
      </w:pPr>
      <w:r>
        <w:rPr>
          <w:rStyle w:val="FootnoteReference"/>
        </w:rPr>
        <w:footnoteRef/>
      </w:r>
      <w:r>
        <w:t xml:space="preserve"> </w:t>
      </w:r>
      <w:r>
        <w:tab/>
        <w:t xml:space="preserve">From ABS </w:t>
      </w:r>
      <w:r>
        <w:rPr>
          <w:i/>
        </w:rPr>
        <w:t>Australian Statistical Geography Standard (ASGS): Volume 1 – Main Structure and Greater Capital City Statistical Areas,</w:t>
      </w:r>
      <w:r>
        <w:t xml:space="preserve"> Australia, July 2011, pg. 27.</w:t>
      </w:r>
    </w:p>
  </w:footnote>
  <w:footnote w:id="8">
    <w:p w:rsidR="009B272E" w:rsidRDefault="009B272E" w:rsidP="00927842">
      <w:pPr>
        <w:pStyle w:val="FootnoteText"/>
      </w:pPr>
      <w:r>
        <w:rPr>
          <w:rStyle w:val="FootnoteReference"/>
        </w:rPr>
        <w:footnoteRef/>
      </w:r>
      <w:r>
        <w:t xml:space="preserve"> </w:t>
      </w:r>
      <w:r>
        <w:tab/>
        <w:t xml:space="preserve">This section is reproduced from Staff Discussion Paper </w:t>
      </w:r>
      <w:r w:rsidRPr="0038280E">
        <w:t>CGC-2013-07-S</w:t>
      </w:r>
      <w:r>
        <w:t>, p. 244-252, paragraphs 81-107, sent to States October 2013.</w:t>
      </w:r>
    </w:p>
  </w:footnote>
  <w:footnote w:id="9">
    <w:p w:rsidR="009B272E" w:rsidRDefault="009B272E" w:rsidP="00316B1D">
      <w:pPr>
        <w:pStyle w:val="FootnoteText"/>
      </w:pPr>
      <w:r>
        <w:rPr>
          <w:rStyle w:val="FootnoteReference"/>
        </w:rPr>
        <w:footnoteRef/>
      </w:r>
      <w:r>
        <w:t xml:space="preserve"> </w:t>
      </w:r>
      <w:r>
        <w:tab/>
        <w:t>Assuming that the proportion of workers in the public sector is comparable across different regions in each State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FA18FC"/>
    <w:multiLevelType w:val="hybridMultilevel"/>
    <w:tmpl w:val="7CB46692"/>
    <w:lvl w:ilvl="0" w:tplc="968C0B58">
      <w:numFmt w:val="bullet"/>
      <w:lvlText w:val="-"/>
      <w:lvlJc w:val="left"/>
      <w:pPr>
        <w:ind w:left="1800" w:hanging="360"/>
      </w:pPr>
      <w:rPr>
        <w:rFonts w:ascii="Calibri" w:eastAsiaTheme="minorHAnsi" w:hAnsi="Calibri" w:cstheme="minorBid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nsid w:val="153D7BB4"/>
    <w:multiLevelType w:val="multilevel"/>
    <w:tmpl w:val="8A80F396"/>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b w: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6">
    <w:nsid w:val="310A1348"/>
    <w:multiLevelType w:val="hybridMultilevel"/>
    <w:tmpl w:val="7E3AE5D0"/>
    <w:lvl w:ilvl="0" w:tplc="D6725146">
      <w:start w:val="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35A53C3"/>
    <w:multiLevelType w:val="hybridMultilevel"/>
    <w:tmpl w:val="61DC9AD2"/>
    <w:lvl w:ilvl="0" w:tplc="14EADB8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A865CE1"/>
    <w:multiLevelType w:val="hybridMultilevel"/>
    <w:tmpl w:val="7248D366"/>
    <w:lvl w:ilvl="0" w:tplc="88E66282">
      <w:numFmt w:val="bullet"/>
      <w:lvlText w:val="-"/>
      <w:lvlJc w:val="left"/>
      <w:pPr>
        <w:ind w:left="1800" w:hanging="360"/>
      </w:pPr>
      <w:rPr>
        <w:rFonts w:ascii="Calibri" w:eastAsiaTheme="minorHAnsi" w:hAnsi="Calibri" w:cstheme="minorBid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D517EA6"/>
    <w:multiLevelType w:val="multilevel"/>
    <w:tmpl w:val="64E8716A"/>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9">
    <w:nsid w:val="70AA7FD6"/>
    <w:multiLevelType w:val="hybridMultilevel"/>
    <w:tmpl w:val="AAF88C2C"/>
    <w:lvl w:ilvl="0" w:tplc="A2BC84F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7"/>
  </w:num>
  <w:num w:numId="3">
    <w:abstractNumId w:val="2"/>
  </w:num>
  <w:num w:numId="4">
    <w:abstractNumId w:val="20"/>
  </w:num>
  <w:num w:numId="5">
    <w:abstractNumId w:val="20"/>
  </w:num>
  <w:num w:numId="6">
    <w:abstractNumId w:val="5"/>
  </w:num>
  <w:num w:numId="7">
    <w:abstractNumId w:val="5"/>
  </w:num>
  <w:num w:numId="8">
    <w:abstractNumId w:val="5"/>
  </w:num>
  <w:num w:numId="9">
    <w:abstractNumId w:val="5"/>
  </w:num>
  <w:num w:numId="10">
    <w:abstractNumId w:val="18"/>
  </w:num>
  <w:num w:numId="11">
    <w:abstractNumId w:val="7"/>
  </w:num>
  <w:num w:numId="12">
    <w:abstractNumId w:val="2"/>
  </w:num>
  <w:num w:numId="13">
    <w:abstractNumId w:val="20"/>
  </w:num>
  <w:num w:numId="14">
    <w:abstractNumId w:val="5"/>
  </w:num>
  <w:num w:numId="15">
    <w:abstractNumId w:val="5"/>
  </w:num>
  <w:num w:numId="16">
    <w:abstractNumId w:val="5"/>
  </w:num>
  <w:num w:numId="17">
    <w:abstractNumId w:val="5"/>
  </w:num>
  <w:num w:numId="18">
    <w:abstractNumId w:val="0"/>
  </w:num>
  <w:num w:numId="19">
    <w:abstractNumId w:val="13"/>
  </w:num>
  <w:num w:numId="20">
    <w:abstractNumId w:val="14"/>
  </w:num>
  <w:num w:numId="21">
    <w:abstractNumId w:val="3"/>
  </w:num>
  <w:num w:numId="22">
    <w:abstractNumId w:val="11"/>
  </w:num>
  <w:num w:numId="23">
    <w:abstractNumId w:val="17"/>
  </w:num>
  <w:num w:numId="24">
    <w:abstractNumId w:val="4"/>
  </w:num>
  <w:num w:numId="25">
    <w:abstractNumId w:val="15"/>
  </w:num>
  <w:num w:numId="26">
    <w:abstractNumId w:val="2"/>
  </w:num>
  <w:num w:numId="27">
    <w:abstractNumId w:val="12"/>
  </w:num>
  <w:num w:numId="28">
    <w:abstractNumId w:val="16"/>
  </w:num>
  <w:num w:numId="29">
    <w:abstractNumId w:val="9"/>
  </w:num>
  <w:num w:numId="30">
    <w:abstractNumId w:val="7"/>
    <w:lvlOverride w:ilvl="0">
      <w:startOverride w:val="1"/>
    </w:lvlOverride>
  </w:num>
  <w:num w:numId="31">
    <w:abstractNumId w:val="18"/>
  </w:num>
  <w:num w:numId="32">
    <w:abstractNumId w:val="2"/>
  </w:num>
  <w:num w:numId="33">
    <w:abstractNumId w:val="7"/>
  </w:num>
  <w:num w:numId="34">
    <w:abstractNumId w:val="20"/>
  </w:num>
  <w:num w:numId="35">
    <w:abstractNumId w:val="13"/>
  </w:num>
  <w:num w:numId="36">
    <w:abstractNumId w:val="18"/>
  </w:num>
  <w:num w:numId="37">
    <w:abstractNumId w:val="2"/>
  </w:num>
  <w:num w:numId="38">
    <w:abstractNumId w:val="7"/>
  </w:num>
  <w:num w:numId="39">
    <w:abstractNumId w:val="20"/>
  </w:num>
  <w:num w:numId="40">
    <w:abstractNumId w:val="13"/>
  </w:num>
  <w:num w:numId="41">
    <w:abstractNumId w:val="10"/>
  </w:num>
  <w:num w:numId="42">
    <w:abstractNumId w:val="8"/>
  </w:num>
  <w:num w:numId="43">
    <w:abstractNumId w:val="1"/>
  </w:num>
  <w:num w:numId="44">
    <w:abstractNumId w:val="6"/>
  </w:num>
  <w:num w:numId="45">
    <w:abstractNumId w:val="19"/>
  </w:num>
  <w:num w:numId="46">
    <w:abstractNumId w:val="2"/>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563"/>
    <w:rsid w:val="00003705"/>
    <w:rsid w:val="00005EEE"/>
    <w:rsid w:val="00006863"/>
    <w:rsid w:val="00010742"/>
    <w:rsid w:val="00012ABE"/>
    <w:rsid w:val="000151CF"/>
    <w:rsid w:val="00015229"/>
    <w:rsid w:val="00016FE0"/>
    <w:rsid w:val="00020374"/>
    <w:rsid w:val="00022EA9"/>
    <w:rsid w:val="00024745"/>
    <w:rsid w:val="00025F47"/>
    <w:rsid w:val="00031E4E"/>
    <w:rsid w:val="00031F5E"/>
    <w:rsid w:val="00032009"/>
    <w:rsid w:val="00032F41"/>
    <w:rsid w:val="000352C8"/>
    <w:rsid w:val="00036D63"/>
    <w:rsid w:val="00037637"/>
    <w:rsid w:val="000401AB"/>
    <w:rsid w:val="0004123E"/>
    <w:rsid w:val="00041748"/>
    <w:rsid w:val="00041E84"/>
    <w:rsid w:val="000424EA"/>
    <w:rsid w:val="00043321"/>
    <w:rsid w:val="00043491"/>
    <w:rsid w:val="000458AE"/>
    <w:rsid w:val="00050498"/>
    <w:rsid w:val="00053954"/>
    <w:rsid w:val="00053F88"/>
    <w:rsid w:val="00056373"/>
    <w:rsid w:val="00056627"/>
    <w:rsid w:val="00056B67"/>
    <w:rsid w:val="000570A4"/>
    <w:rsid w:val="00060C46"/>
    <w:rsid w:val="00061111"/>
    <w:rsid w:val="000624BB"/>
    <w:rsid w:val="0006290D"/>
    <w:rsid w:val="000648E8"/>
    <w:rsid w:val="000724EC"/>
    <w:rsid w:val="00083FA9"/>
    <w:rsid w:val="0008452D"/>
    <w:rsid w:val="00085FB3"/>
    <w:rsid w:val="000863B0"/>
    <w:rsid w:val="00086E78"/>
    <w:rsid w:val="00086F7A"/>
    <w:rsid w:val="00087B23"/>
    <w:rsid w:val="0009007B"/>
    <w:rsid w:val="00093796"/>
    <w:rsid w:val="00095743"/>
    <w:rsid w:val="000979B9"/>
    <w:rsid w:val="000A1358"/>
    <w:rsid w:val="000A34E3"/>
    <w:rsid w:val="000A3620"/>
    <w:rsid w:val="000A3898"/>
    <w:rsid w:val="000A52A1"/>
    <w:rsid w:val="000B2942"/>
    <w:rsid w:val="000B3557"/>
    <w:rsid w:val="000B5BFA"/>
    <w:rsid w:val="000B60AB"/>
    <w:rsid w:val="000B64E3"/>
    <w:rsid w:val="000C29B7"/>
    <w:rsid w:val="000C37C4"/>
    <w:rsid w:val="000C7439"/>
    <w:rsid w:val="000D01D2"/>
    <w:rsid w:val="000D1354"/>
    <w:rsid w:val="000D4710"/>
    <w:rsid w:val="000D4F9F"/>
    <w:rsid w:val="000D7C54"/>
    <w:rsid w:val="000E0210"/>
    <w:rsid w:val="000E55FA"/>
    <w:rsid w:val="000E6AA5"/>
    <w:rsid w:val="000E7F56"/>
    <w:rsid w:val="000F1CDA"/>
    <w:rsid w:val="000F39CB"/>
    <w:rsid w:val="000F3D25"/>
    <w:rsid w:val="000F4189"/>
    <w:rsid w:val="000F6D42"/>
    <w:rsid w:val="00100A64"/>
    <w:rsid w:val="00100DE8"/>
    <w:rsid w:val="001039C2"/>
    <w:rsid w:val="001040AD"/>
    <w:rsid w:val="0010428B"/>
    <w:rsid w:val="0011178C"/>
    <w:rsid w:val="00112CF0"/>
    <w:rsid w:val="0011332B"/>
    <w:rsid w:val="001157A7"/>
    <w:rsid w:val="001211AB"/>
    <w:rsid w:val="001218B8"/>
    <w:rsid w:val="0012199D"/>
    <w:rsid w:val="00124ED1"/>
    <w:rsid w:val="00131B92"/>
    <w:rsid w:val="001321DC"/>
    <w:rsid w:val="00133175"/>
    <w:rsid w:val="00133C40"/>
    <w:rsid w:val="00136497"/>
    <w:rsid w:val="00136C75"/>
    <w:rsid w:val="0014029A"/>
    <w:rsid w:val="00140425"/>
    <w:rsid w:val="00141BD1"/>
    <w:rsid w:val="00143AEA"/>
    <w:rsid w:val="00143CE6"/>
    <w:rsid w:val="001456B1"/>
    <w:rsid w:val="001456F4"/>
    <w:rsid w:val="00147115"/>
    <w:rsid w:val="0014741E"/>
    <w:rsid w:val="001477CE"/>
    <w:rsid w:val="00153344"/>
    <w:rsid w:val="001572F9"/>
    <w:rsid w:val="00161DD0"/>
    <w:rsid w:val="00162A82"/>
    <w:rsid w:val="00162F39"/>
    <w:rsid w:val="0016481D"/>
    <w:rsid w:val="00166E7D"/>
    <w:rsid w:val="0016723A"/>
    <w:rsid w:val="00171A05"/>
    <w:rsid w:val="00172208"/>
    <w:rsid w:val="00172329"/>
    <w:rsid w:val="00172F3A"/>
    <w:rsid w:val="001730FD"/>
    <w:rsid w:val="00173798"/>
    <w:rsid w:val="00173BE6"/>
    <w:rsid w:val="00173E72"/>
    <w:rsid w:val="00175231"/>
    <w:rsid w:val="00175236"/>
    <w:rsid w:val="001807C0"/>
    <w:rsid w:val="001811DE"/>
    <w:rsid w:val="00182D67"/>
    <w:rsid w:val="001837AC"/>
    <w:rsid w:val="00184026"/>
    <w:rsid w:val="00185967"/>
    <w:rsid w:val="00187145"/>
    <w:rsid w:val="00187D46"/>
    <w:rsid w:val="00192A91"/>
    <w:rsid w:val="0019344F"/>
    <w:rsid w:val="001A404E"/>
    <w:rsid w:val="001B0110"/>
    <w:rsid w:val="001B3048"/>
    <w:rsid w:val="001B358E"/>
    <w:rsid w:val="001B3ED8"/>
    <w:rsid w:val="001B5492"/>
    <w:rsid w:val="001B5A44"/>
    <w:rsid w:val="001B696E"/>
    <w:rsid w:val="001B6A56"/>
    <w:rsid w:val="001C469B"/>
    <w:rsid w:val="001C6A71"/>
    <w:rsid w:val="001C74BC"/>
    <w:rsid w:val="001D047D"/>
    <w:rsid w:val="001D0DA6"/>
    <w:rsid w:val="001D638B"/>
    <w:rsid w:val="001D6DFA"/>
    <w:rsid w:val="001E00ED"/>
    <w:rsid w:val="001E0E30"/>
    <w:rsid w:val="001E11D6"/>
    <w:rsid w:val="001E6180"/>
    <w:rsid w:val="001E674B"/>
    <w:rsid w:val="001E68FC"/>
    <w:rsid w:val="001F0DC5"/>
    <w:rsid w:val="001F5514"/>
    <w:rsid w:val="001F5D69"/>
    <w:rsid w:val="00204026"/>
    <w:rsid w:val="00204DAF"/>
    <w:rsid w:val="00205F70"/>
    <w:rsid w:val="00212948"/>
    <w:rsid w:val="00213468"/>
    <w:rsid w:val="00217839"/>
    <w:rsid w:val="0022337F"/>
    <w:rsid w:val="0022492C"/>
    <w:rsid w:val="00225A3B"/>
    <w:rsid w:val="00226F6C"/>
    <w:rsid w:val="00230415"/>
    <w:rsid w:val="0023049E"/>
    <w:rsid w:val="0023081D"/>
    <w:rsid w:val="0023329C"/>
    <w:rsid w:val="00236DC0"/>
    <w:rsid w:val="002373A2"/>
    <w:rsid w:val="00240AF2"/>
    <w:rsid w:val="00241DD2"/>
    <w:rsid w:val="00242517"/>
    <w:rsid w:val="0024260B"/>
    <w:rsid w:val="0024401F"/>
    <w:rsid w:val="0024569B"/>
    <w:rsid w:val="0024780F"/>
    <w:rsid w:val="0025132B"/>
    <w:rsid w:val="0025168A"/>
    <w:rsid w:val="00255B5A"/>
    <w:rsid w:val="00260CC9"/>
    <w:rsid w:val="0026174E"/>
    <w:rsid w:val="002641D8"/>
    <w:rsid w:val="002671A2"/>
    <w:rsid w:val="00267496"/>
    <w:rsid w:val="00270A79"/>
    <w:rsid w:val="002752D4"/>
    <w:rsid w:val="00275B68"/>
    <w:rsid w:val="00282EE5"/>
    <w:rsid w:val="002845EA"/>
    <w:rsid w:val="00286354"/>
    <w:rsid w:val="00286EBE"/>
    <w:rsid w:val="002922AF"/>
    <w:rsid w:val="00293A2D"/>
    <w:rsid w:val="00294FC0"/>
    <w:rsid w:val="00295B70"/>
    <w:rsid w:val="00295C1F"/>
    <w:rsid w:val="0029789A"/>
    <w:rsid w:val="002A26BC"/>
    <w:rsid w:val="002A2A08"/>
    <w:rsid w:val="002A2D93"/>
    <w:rsid w:val="002A38D2"/>
    <w:rsid w:val="002A4E42"/>
    <w:rsid w:val="002A7404"/>
    <w:rsid w:val="002A746C"/>
    <w:rsid w:val="002A77C3"/>
    <w:rsid w:val="002B10B0"/>
    <w:rsid w:val="002B169C"/>
    <w:rsid w:val="002B5CC3"/>
    <w:rsid w:val="002B6EFD"/>
    <w:rsid w:val="002B6F33"/>
    <w:rsid w:val="002B79F0"/>
    <w:rsid w:val="002B7F3E"/>
    <w:rsid w:val="002C1D9C"/>
    <w:rsid w:val="002C2391"/>
    <w:rsid w:val="002C2FC3"/>
    <w:rsid w:val="002C366F"/>
    <w:rsid w:val="002C49B9"/>
    <w:rsid w:val="002C4CA9"/>
    <w:rsid w:val="002D20EB"/>
    <w:rsid w:val="002D2270"/>
    <w:rsid w:val="002D30C2"/>
    <w:rsid w:val="002D364F"/>
    <w:rsid w:val="002D5817"/>
    <w:rsid w:val="002D616D"/>
    <w:rsid w:val="002D6C87"/>
    <w:rsid w:val="002E1BF2"/>
    <w:rsid w:val="002E25A8"/>
    <w:rsid w:val="002E2AEC"/>
    <w:rsid w:val="002E46A8"/>
    <w:rsid w:val="002E6879"/>
    <w:rsid w:val="002F04DE"/>
    <w:rsid w:val="002F1CD3"/>
    <w:rsid w:val="002F1E14"/>
    <w:rsid w:val="002F3DDE"/>
    <w:rsid w:val="002F6325"/>
    <w:rsid w:val="002F6E28"/>
    <w:rsid w:val="002F7D58"/>
    <w:rsid w:val="002F7E68"/>
    <w:rsid w:val="0030127C"/>
    <w:rsid w:val="00302E5E"/>
    <w:rsid w:val="00305109"/>
    <w:rsid w:val="00305A82"/>
    <w:rsid w:val="00305EA5"/>
    <w:rsid w:val="00307289"/>
    <w:rsid w:val="00307DEF"/>
    <w:rsid w:val="00310E96"/>
    <w:rsid w:val="00311D33"/>
    <w:rsid w:val="00313664"/>
    <w:rsid w:val="00314F90"/>
    <w:rsid w:val="00316B1D"/>
    <w:rsid w:val="00323F8D"/>
    <w:rsid w:val="0033102E"/>
    <w:rsid w:val="00331401"/>
    <w:rsid w:val="00333234"/>
    <w:rsid w:val="00334115"/>
    <w:rsid w:val="00335ED1"/>
    <w:rsid w:val="00337589"/>
    <w:rsid w:val="00337EF8"/>
    <w:rsid w:val="00340DBB"/>
    <w:rsid w:val="00342A60"/>
    <w:rsid w:val="0034379D"/>
    <w:rsid w:val="00345BDA"/>
    <w:rsid w:val="0034646D"/>
    <w:rsid w:val="00347BE5"/>
    <w:rsid w:val="00347ED6"/>
    <w:rsid w:val="0035053E"/>
    <w:rsid w:val="003522E0"/>
    <w:rsid w:val="0035267F"/>
    <w:rsid w:val="00353096"/>
    <w:rsid w:val="003547F8"/>
    <w:rsid w:val="0035580D"/>
    <w:rsid w:val="00355DBC"/>
    <w:rsid w:val="00357657"/>
    <w:rsid w:val="00360904"/>
    <w:rsid w:val="003639FB"/>
    <w:rsid w:val="00363BF7"/>
    <w:rsid w:val="00363C69"/>
    <w:rsid w:val="00367EB8"/>
    <w:rsid w:val="00371D27"/>
    <w:rsid w:val="0037580B"/>
    <w:rsid w:val="003773C9"/>
    <w:rsid w:val="0038139C"/>
    <w:rsid w:val="003822F0"/>
    <w:rsid w:val="0038280E"/>
    <w:rsid w:val="00382AE5"/>
    <w:rsid w:val="00384EE2"/>
    <w:rsid w:val="00385560"/>
    <w:rsid w:val="00386A2E"/>
    <w:rsid w:val="00387777"/>
    <w:rsid w:val="00391775"/>
    <w:rsid w:val="003929D2"/>
    <w:rsid w:val="00393FA5"/>
    <w:rsid w:val="00394C46"/>
    <w:rsid w:val="003A0E06"/>
    <w:rsid w:val="003A27BB"/>
    <w:rsid w:val="003A2DAA"/>
    <w:rsid w:val="003B585E"/>
    <w:rsid w:val="003B673D"/>
    <w:rsid w:val="003C2577"/>
    <w:rsid w:val="003C4448"/>
    <w:rsid w:val="003D0828"/>
    <w:rsid w:val="003D3D91"/>
    <w:rsid w:val="003D4708"/>
    <w:rsid w:val="003D477A"/>
    <w:rsid w:val="003D7CC1"/>
    <w:rsid w:val="003E6615"/>
    <w:rsid w:val="003E79F9"/>
    <w:rsid w:val="003F0DF3"/>
    <w:rsid w:val="003F12E9"/>
    <w:rsid w:val="003F1D43"/>
    <w:rsid w:val="003F244F"/>
    <w:rsid w:val="003F3B6A"/>
    <w:rsid w:val="003F59F4"/>
    <w:rsid w:val="003F71A4"/>
    <w:rsid w:val="003F7892"/>
    <w:rsid w:val="004020BF"/>
    <w:rsid w:val="00402F0B"/>
    <w:rsid w:val="004042DD"/>
    <w:rsid w:val="00404C99"/>
    <w:rsid w:val="00404DCD"/>
    <w:rsid w:val="004077D6"/>
    <w:rsid w:val="00407CBE"/>
    <w:rsid w:val="004121E7"/>
    <w:rsid w:val="004124EE"/>
    <w:rsid w:val="004149BE"/>
    <w:rsid w:val="00414E51"/>
    <w:rsid w:val="00416495"/>
    <w:rsid w:val="00420F04"/>
    <w:rsid w:val="0042233F"/>
    <w:rsid w:val="00423099"/>
    <w:rsid w:val="00423A6F"/>
    <w:rsid w:val="00424E79"/>
    <w:rsid w:val="0042661C"/>
    <w:rsid w:val="004274B3"/>
    <w:rsid w:val="00431364"/>
    <w:rsid w:val="00443EC1"/>
    <w:rsid w:val="0044551A"/>
    <w:rsid w:val="00447E19"/>
    <w:rsid w:val="00453264"/>
    <w:rsid w:val="004533D4"/>
    <w:rsid w:val="00453BD5"/>
    <w:rsid w:val="0045439A"/>
    <w:rsid w:val="00462B54"/>
    <w:rsid w:val="00462C39"/>
    <w:rsid w:val="00463064"/>
    <w:rsid w:val="00463248"/>
    <w:rsid w:val="004648FC"/>
    <w:rsid w:val="00465563"/>
    <w:rsid w:val="00467976"/>
    <w:rsid w:val="004704A4"/>
    <w:rsid w:val="00471514"/>
    <w:rsid w:val="00472461"/>
    <w:rsid w:val="0047297A"/>
    <w:rsid w:val="00472EC2"/>
    <w:rsid w:val="00475DDF"/>
    <w:rsid w:val="00477DA0"/>
    <w:rsid w:val="004809B8"/>
    <w:rsid w:val="0048195E"/>
    <w:rsid w:val="004821B9"/>
    <w:rsid w:val="00491D88"/>
    <w:rsid w:val="0049475C"/>
    <w:rsid w:val="00495218"/>
    <w:rsid w:val="0049605C"/>
    <w:rsid w:val="004965F7"/>
    <w:rsid w:val="004A0A45"/>
    <w:rsid w:val="004A2149"/>
    <w:rsid w:val="004A264E"/>
    <w:rsid w:val="004A62BD"/>
    <w:rsid w:val="004A7048"/>
    <w:rsid w:val="004B0A0A"/>
    <w:rsid w:val="004B1C4B"/>
    <w:rsid w:val="004B31A0"/>
    <w:rsid w:val="004B60CB"/>
    <w:rsid w:val="004B7478"/>
    <w:rsid w:val="004C1CB5"/>
    <w:rsid w:val="004D103F"/>
    <w:rsid w:val="004D318B"/>
    <w:rsid w:val="004D42C6"/>
    <w:rsid w:val="004E5FFA"/>
    <w:rsid w:val="004E769A"/>
    <w:rsid w:val="004F31BB"/>
    <w:rsid w:val="004F608D"/>
    <w:rsid w:val="00500ACD"/>
    <w:rsid w:val="00501449"/>
    <w:rsid w:val="00504061"/>
    <w:rsid w:val="00505BAE"/>
    <w:rsid w:val="00506956"/>
    <w:rsid w:val="00507330"/>
    <w:rsid w:val="00510658"/>
    <w:rsid w:val="00515380"/>
    <w:rsid w:val="005176CA"/>
    <w:rsid w:val="00523FB7"/>
    <w:rsid w:val="00526136"/>
    <w:rsid w:val="00527EF7"/>
    <w:rsid w:val="005321E2"/>
    <w:rsid w:val="00533738"/>
    <w:rsid w:val="0053450B"/>
    <w:rsid w:val="00536D25"/>
    <w:rsid w:val="005373BE"/>
    <w:rsid w:val="00537A77"/>
    <w:rsid w:val="00541A14"/>
    <w:rsid w:val="00543D07"/>
    <w:rsid w:val="00543F9C"/>
    <w:rsid w:val="005441C8"/>
    <w:rsid w:val="00546D39"/>
    <w:rsid w:val="00550E84"/>
    <w:rsid w:val="00551368"/>
    <w:rsid w:val="00555B03"/>
    <w:rsid w:val="0055749C"/>
    <w:rsid w:val="00557558"/>
    <w:rsid w:val="005577B0"/>
    <w:rsid w:val="00562084"/>
    <w:rsid w:val="00570EED"/>
    <w:rsid w:val="005716FC"/>
    <w:rsid w:val="00571763"/>
    <w:rsid w:val="0057351E"/>
    <w:rsid w:val="00575DEF"/>
    <w:rsid w:val="0057611D"/>
    <w:rsid w:val="0057687D"/>
    <w:rsid w:val="005806D4"/>
    <w:rsid w:val="00582147"/>
    <w:rsid w:val="00582D0D"/>
    <w:rsid w:val="00583352"/>
    <w:rsid w:val="00583A33"/>
    <w:rsid w:val="00583ACD"/>
    <w:rsid w:val="00585A49"/>
    <w:rsid w:val="005867D2"/>
    <w:rsid w:val="0058796C"/>
    <w:rsid w:val="00590408"/>
    <w:rsid w:val="005906B7"/>
    <w:rsid w:val="005924E4"/>
    <w:rsid w:val="00592A4D"/>
    <w:rsid w:val="005936EE"/>
    <w:rsid w:val="005963CC"/>
    <w:rsid w:val="00596E19"/>
    <w:rsid w:val="005A1FFF"/>
    <w:rsid w:val="005A241E"/>
    <w:rsid w:val="005A2A06"/>
    <w:rsid w:val="005A4AD9"/>
    <w:rsid w:val="005A4BC6"/>
    <w:rsid w:val="005A6A40"/>
    <w:rsid w:val="005A6FED"/>
    <w:rsid w:val="005A7D19"/>
    <w:rsid w:val="005B085E"/>
    <w:rsid w:val="005B1415"/>
    <w:rsid w:val="005B15B1"/>
    <w:rsid w:val="005B1BC4"/>
    <w:rsid w:val="005B2A06"/>
    <w:rsid w:val="005B2E8E"/>
    <w:rsid w:val="005B2FD4"/>
    <w:rsid w:val="005B413F"/>
    <w:rsid w:val="005B6894"/>
    <w:rsid w:val="005B6E32"/>
    <w:rsid w:val="005C0167"/>
    <w:rsid w:val="005C13B2"/>
    <w:rsid w:val="005C27E3"/>
    <w:rsid w:val="005C37CB"/>
    <w:rsid w:val="005C459C"/>
    <w:rsid w:val="005C5E75"/>
    <w:rsid w:val="005D0728"/>
    <w:rsid w:val="005D1A9F"/>
    <w:rsid w:val="005D1B20"/>
    <w:rsid w:val="005D52FA"/>
    <w:rsid w:val="005E266F"/>
    <w:rsid w:val="005E5734"/>
    <w:rsid w:val="005E7052"/>
    <w:rsid w:val="005E73CE"/>
    <w:rsid w:val="005F07DC"/>
    <w:rsid w:val="005F1A05"/>
    <w:rsid w:val="005F1AD7"/>
    <w:rsid w:val="005F1BA0"/>
    <w:rsid w:val="005F2750"/>
    <w:rsid w:val="005F4C30"/>
    <w:rsid w:val="005F64FB"/>
    <w:rsid w:val="0060032B"/>
    <w:rsid w:val="00601656"/>
    <w:rsid w:val="0060251E"/>
    <w:rsid w:val="00602DDE"/>
    <w:rsid w:val="006041E9"/>
    <w:rsid w:val="0060775F"/>
    <w:rsid w:val="00611737"/>
    <w:rsid w:val="00613868"/>
    <w:rsid w:val="00614DE8"/>
    <w:rsid w:val="00615C13"/>
    <w:rsid w:val="00622669"/>
    <w:rsid w:val="00622FE1"/>
    <w:rsid w:val="0062483F"/>
    <w:rsid w:val="00625CE5"/>
    <w:rsid w:val="0062775E"/>
    <w:rsid w:val="00627E6E"/>
    <w:rsid w:val="006303F9"/>
    <w:rsid w:val="006328C7"/>
    <w:rsid w:val="00635027"/>
    <w:rsid w:val="00635F8D"/>
    <w:rsid w:val="00640578"/>
    <w:rsid w:val="00642A3C"/>
    <w:rsid w:val="006449AD"/>
    <w:rsid w:val="00644A7B"/>
    <w:rsid w:val="00653153"/>
    <w:rsid w:val="00654603"/>
    <w:rsid w:val="006556D9"/>
    <w:rsid w:val="006611AA"/>
    <w:rsid w:val="00661C46"/>
    <w:rsid w:val="00662CFF"/>
    <w:rsid w:val="006652D3"/>
    <w:rsid w:val="00666C88"/>
    <w:rsid w:val="00667CF3"/>
    <w:rsid w:val="00670ACD"/>
    <w:rsid w:val="006712BA"/>
    <w:rsid w:val="0067564F"/>
    <w:rsid w:val="006769C4"/>
    <w:rsid w:val="00677565"/>
    <w:rsid w:val="00677627"/>
    <w:rsid w:val="00677BD5"/>
    <w:rsid w:val="0068025E"/>
    <w:rsid w:val="00680719"/>
    <w:rsid w:val="006826E4"/>
    <w:rsid w:val="0068294A"/>
    <w:rsid w:val="00686EDA"/>
    <w:rsid w:val="00690645"/>
    <w:rsid w:val="00693C87"/>
    <w:rsid w:val="00694555"/>
    <w:rsid w:val="0069684E"/>
    <w:rsid w:val="006A03A5"/>
    <w:rsid w:val="006A05C7"/>
    <w:rsid w:val="006A083D"/>
    <w:rsid w:val="006A0948"/>
    <w:rsid w:val="006A1B6F"/>
    <w:rsid w:val="006A4656"/>
    <w:rsid w:val="006A607B"/>
    <w:rsid w:val="006A6E27"/>
    <w:rsid w:val="006A719C"/>
    <w:rsid w:val="006A72B0"/>
    <w:rsid w:val="006B2029"/>
    <w:rsid w:val="006B3E4D"/>
    <w:rsid w:val="006B4297"/>
    <w:rsid w:val="006B4506"/>
    <w:rsid w:val="006C00D8"/>
    <w:rsid w:val="006C37EA"/>
    <w:rsid w:val="006C52B9"/>
    <w:rsid w:val="006D1DFE"/>
    <w:rsid w:val="006D2631"/>
    <w:rsid w:val="006D4170"/>
    <w:rsid w:val="006D4212"/>
    <w:rsid w:val="006D6CE4"/>
    <w:rsid w:val="006E04CA"/>
    <w:rsid w:val="006E0B66"/>
    <w:rsid w:val="006E226E"/>
    <w:rsid w:val="006E6BC2"/>
    <w:rsid w:val="006E77BB"/>
    <w:rsid w:val="006F5AAE"/>
    <w:rsid w:val="0070150E"/>
    <w:rsid w:val="00705DB8"/>
    <w:rsid w:val="00706F43"/>
    <w:rsid w:val="00711E53"/>
    <w:rsid w:val="00713225"/>
    <w:rsid w:val="00715F9A"/>
    <w:rsid w:val="007172A9"/>
    <w:rsid w:val="00722A02"/>
    <w:rsid w:val="00723493"/>
    <w:rsid w:val="00723E49"/>
    <w:rsid w:val="0072512A"/>
    <w:rsid w:val="00731EE6"/>
    <w:rsid w:val="0073271E"/>
    <w:rsid w:val="007355A6"/>
    <w:rsid w:val="00735A92"/>
    <w:rsid w:val="007364D6"/>
    <w:rsid w:val="00737364"/>
    <w:rsid w:val="00740A71"/>
    <w:rsid w:val="00744075"/>
    <w:rsid w:val="007447B1"/>
    <w:rsid w:val="00745097"/>
    <w:rsid w:val="00747207"/>
    <w:rsid w:val="007477C5"/>
    <w:rsid w:val="00747938"/>
    <w:rsid w:val="007511EE"/>
    <w:rsid w:val="00751EFF"/>
    <w:rsid w:val="00752C67"/>
    <w:rsid w:val="00760764"/>
    <w:rsid w:val="00760919"/>
    <w:rsid w:val="00760E36"/>
    <w:rsid w:val="00761E39"/>
    <w:rsid w:val="0076225C"/>
    <w:rsid w:val="0076250E"/>
    <w:rsid w:val="00762AFB"/>
    <w:rsid w:val="00763C5B"/>
    <w:rsid w:val="007649D2"/>
    <w:rsid w:val="00765BA8"/>
    <w:rsid w:val="00766007"/>
    <w:rsid w:val="00766801"/>
    <w:rsid w:val="0076687D"/>
    <w:rsid w:val="0076783E"/>
    <w:rsid w:val="00770A26"/>
    <w:rsid w:val="0077202B"/>
    <w:rsid w:val="00772B95"/>
    <w:rsid w:val="007927D8"/>
    <w:rsid w:val="007929F2"/>
    <w:rsid w:val="007957BD"/>
    <w:rsid w:val="00796863"/>
    <w:rsid w:val="007A0022"/>
    <w:rsid w:val="007A1364"/>
    <w:rsid w:val="007A24A0"/>
    <w:rsid w:val="007A4A60"/>
    <w:rsid w:val="007A4AB2"/>
    <w:rsid w:val="007A5984"/>
    <w:rsid w:val="007A5E68"/>
    <w:rsid w:val="007A62E6"/>
    <w:rsid w:val="007A748E"/>
    <w:rsid w:val="007A7D6B"/>
    <w:rsid w:val="007B0803"/>
    <w:rsid w:val="007B18A8"/>
    <w:rsid w:val="007B1BF7"/>
    <w:rsid w:val="007B3A76"/>
    <w:rsid w:val="007B51B6"/>
    <w:rsid w:val="007B7057"/>
    <w:rsid w:val="007C404B"/>
    <w:rsid w:val="007C4BAE"/>
    <w:rsid w:val="007C6384"/>
    <w:rsid w:val="007C7792"/>
    <w:rsid w:val="007D1D3B"/>
    <w:rsid w:val="007D3115"/>
    <w:rsid w:val="007D4B33"/>
    <w:rsid w:val="007D52B1"/>
    <w:rsid w:val="007D5960"/>
    <w:rsid w:val="007E114E"/>
    <w:rsid w:val="007E256E"/>
    <w:rsid w:val="007E3D05"/>
    <w:rsid w:val="007E487F"/>
    <w:rsid w:val="007E4B2D"/>
    <w:rsid w:val="007E587D"/>
    <w:rsid w:val="007E71E9"/>
    <w:rsid w:val="007F1D06"/>
    <w:rsid w:val="007F5341"/>
    <w:rsid w:val="008005D4"/>
    <w:rsid w:val="008010D7"/>
    <w:rsid w:val="00801702"/>
    <w:rsid w:val="00803443"/>
    <w:rsid w:val="00804232"/>
    <w:rsid w:val="008055FF"/>
    <w:rsid w:val="0080680D"/>
    <w:rsid w:val="0081038F"/>
    <w:rsid w:val="00811609"/>
    <w:rsid w:val="0081282E"/>
    <w:rsid w:val="00812C05"/>
    <w:rsid w:val="0081322A"/>
    <w:rsid w:val="00813C9E"/>
    <w:rsid w:val="00813FAD"/>
    <w:rsid w:val="00815890"/>
    <w:rsid w:val="008162AB"/>
    <w:rsid w:val="008233EA"/>
    <w:rsid w:val="00833E64"/>
    <w:rsid w:val="00835AFB"/>
    <w:rsid w:val="00836637"/>
    <w:rsid w:val="0084176E"/>
    <w:rsid w:val="00843E6F"/>
    <w:rsid w:val="0084644F"/>
    <w:rsid w:val="00846D4D"/>
    <w:rsid w:val="00846E4A"/>
    <w:rsid w:val="00846F69"/>
    <w:rsid w:val="008478D4"/>
    <w:rsid w:val="00850D23"/>
    <w:rsid w:val="00850E02"/>
    <w:rsid w:val="00851AF5"/>
    <w:rsid w:val="00851BC6"/>
    <w:rsid w:val="00851FB5"/>
    <w:rsid w:val="008533DE"/>
    <w:rsid w:val="00854FED"/>
    <w:rsid w:val="0086045A"/>
    <w:rsid w:val="008608ED"/>
    <w:rsid w:val="00860FAC"/>
    <w:rsid w:val="00861B5E"/>
    <w:rsid w:val="00863CA0"/>
    <w:rsid w:val="008647DE"/>
    <w:rsid w:val="00864B95"/>
    <w:rsid w:val="00864DA7"/>
    <w:rsid w:val="0087130C"/>
    <w:rsid w:val="00872E68"/>
    <w:rsid w:val="008750EE"/>
    <w:rsid w:val="00877805"/>
    <w:rsid w:val="00877A60"/>
    <w:rsid w:val="008800D3"/>
    <w:rsid w:val="00883655"/>
    <w:rsid w:val="00883E56"/>
    <w:rsid w:val="00886CDD"/>
    <w:rsid w:val="00887177"/>
    <w:rsid w:val="00887C40"/>
    <w:rsid w:val="0089214D"/>
    <w:rsid w:val="0089357B"/>
    <w:rsid w:val="00893C0D"/>
    <w:rsid w:val="008A0F3D"/>
    <w:rsid w:val="008A20DA"/>
    <w:rsid w:val="008A2BB8"/>
    <w:rsid w:val="008A42C8"/>
    <w:rsid w:val="008A4D6B"/>
    <w:rsid w:val="008B2FF9"/>
    <w:rsid w:val="008B5C8F"/>
    <w:rsid w:val="008B5F16"/>
    <w:rsid w:val="008B7722"/>
    <w:rsid w:val="008B7D51"/>
    <w:rsid w:val="008C0E5C"/>
    <w:rsid w:val="008C36F7"/>
    <w:rsid w:val="008C7621"/>
    <w:rsid w:val="008D1868"/>
    <w:rsid w:val="008D18D1"/>
    <w:rsid w:val="008D348B"/>
    <w:rsid w:val="008D36E8"/>
    <w:rsid w:val="008D57D6"/>
    <w:rsid w:val="008E0F9B"/>
    <w:rsid w:val="008E2BE4"/>
    <w:rsid w:val="008E628C"/>
    <w:rsid w:val="008E6B4E"/>
    <w:rsid w:val="008E7970"/>
    <w:rsid w:val="008E7C34"/>
    <w:rsid w:val="008F0C36"/>
    <w:rsid w:val="008F377B"/>
    <w:rsid w:val="00904292"/>
    <w:rsid w:val="00906585"/>
    <w:rsid w:val="00907D29"/>
    <w:rsid w:val="00912781"/>
    <w:rsid w:val="00915512"/>
    <w:rsid w:val="009233CC"/>
    <w:rsid w:val="009240D8"/>
    <w:rsid w:val="0092511C"/>
    <w:rsid w:val="009254F7"/>
    <w:rsid w:val="00927842"/>
    <w:rsid w:val="0093587F"/>
    <w:rsid w:val="009360D7"/>
    <w:rsid w:val="009362C9"/>
    <w:rsid w:val="009364A6"/>
    <w:rsid w:val="00942387"/>
    <w:rsid w:val="009433F3"/>
    <w:rsid w:val="0094626F"/>
    <w:rsid w:val="009462D2"/>
    <w:rsid w:val="00946864"/>
    <w:rsid w:val="00947A26"/>
    <w:rsid w:val="00947EC7"/>
    <w:rsid w:val="009515D8"/>
    <w:rsid w:val="00952B2F"/>
    <w:rsid w:val="00954AAF"/>
    <w:rsid w:val="00963637"/>
    <w:rsid w:val="009652D5"/>
    <w:rsid w:val="009677F8"/>
    <w:rsid w:val="00970840"/>
    <w:rsid w:val="00971146"/>
    <w:rsid w:val="00971E42"/>
    <w:rsid w:val="00972A9A"/>
    <w:rsid w:val="009743B4"/>
    <w:rsid w:val="00975B52"/>
    <w:rsid w:val="00975B8E"/>
    <w:rsid w:val="0097600C"/>
    <w:rsid w:val="00977D63"/>
    <w:rsid w:val="009828B8"/>
    <w:rsid w:val="009829B9"/>
    <w:rsid w:val="00984FCF"/>
    <w:rsid w:val="0099086A"/>
    <w:rsid w:val="00991675"/>
    <w:rsid w:val="00992008"/>
    <w:rsid w:val="00996409"/>
    <w:rsid w:val="00996D00"/>
    <w:rsid w:val="009975B8"/>
    <w:rsid w:val="009A03DC"/>
    <w:rsid w:val="009A2B31"/>
    <w:rsid w:val="009A3FD5"/>
    <w:rsid w:val="009A5C28"/>
    <w:rsid w:val="009A6CF3"/>
    <w:rsid w:val="009B272E"/>
    <w:rsid w:val="009B3E8A"/>
    <w:rsid w:val="009B43BF"/>
    <w:rsid w:val="009B4A2D"/>
    <w:rsid w:val="009B4B66"/>
    <w:rsid w:val="009B4DB3"/>
    <w:rsid w:val="009B5070"/>
    <w:rsid w:val="009C1E0B"/>
    <w:rsid w:val="009C25F7"/>
    <w:rsid w:val="009C40F5"/>
    <w:rsid w:val="009C6DD2"/>
    <w:rsid w:val="009C6FA5"/>
    <w:rsid w:val="009D1864"/>
    <w:rsid w:val="009D545A"/>
    <w:rsid w:val="009D6197"/>
    <w:rsid w:val="009D6D44"/>
    <w:rsid w:val="009D7270"/>
    <w:rsid w:val="009D7BE7"/>
    <w:rsid w:val="009E011E"/>
    <w:rsid w:val="009E22FA"/>
    <w:rsid w:val="009E4744"/>
    <w:rsid w:val="009E4EC9"/>
    <w:rsid w:val="009E5D5A"/>
    <w:rsid w:val="009E74B0"/>
    <w:rsid w:val="009F2262"/>
    <w:rsid w:val="009F284F"/>
    <w:rsid w:val="009F29C6"/>
    <w:rsid w:val="009F2B8B"/>
    <w:rsid w:val="009F4ADA"/>
    <w:rsid w:val="009F6A0D"/>
    <w:rsid w:val="00A07991"/>
    <w:rsid w:val="00A10CDE"/>
    <w:rsid w:val="00A118BF"/>
    <w:rsid w:val="00A1680D"/>
    <w:rsid w:val="00A205A7"/>
    <w:rsid w:val="00A21138"/>
    <w:rsid w:val="00A23AB0"/>
    <w:rsid w:val="00A25372"/>
    <w:rsid w:val="00A266C5"/>
    <w:rsid w:val="00A2794D"/>
    <w:rsid w:val="00A309C6"/>
    <w:rsid w:val="00A31368"/>
    <w:rsid w:val="00A32E4E"/>
    <w:rsid w:val="00A32F4D"/>
    <w:rsid w:val="00A33BC7"/>
    <w:rsid w:val="00A342DF"/>
    <w:rsid w:val="00A34FF0"/>
    <w:rsid w:val="00A37001"/>
    <w:rsid w:val="00A433FA"/>
    <w:rsid w:val="00A46210"/>
    <w:rsid w:val="00A4634D"/>
    <w:rsid w:val="00A467E8"/>
    <w:rsid w:val="00A505DE"/>
    <w:rsid w:val="00A51BEC"/>
    <w:rsid w:val="00A523F0"/>
    <w:rsid w:val="00A5327C"/>
    <w:rsid w:val="00A532D2"/>
    <w:rsid w:val="00A55B1F"/>
    <w:rsid w:val="00A55F58"/>
    <w:rsid w:val="00A563B3"/>
    <w:rsid w:val="00A5721C"/>
    <w:rsid w:val="00A61598"/>
    <w:rsid w:val="00A642FE"/>
    <w:rsid w:val="00A654B8"/>
    <w:rsid w:val="00A67913"/>
    <w:rsid w:val="00A77F9B"/>
    <w:rsid w:val="00A81A94"/>
    <w:rsid w:val="00A81E50"/>
    <w:rsid w:val="00A85A3E"/>
    <w:rsid w:val="00A86050"/>
    <w:rsid w:val="00A86CCE"/>
    <w:rsid w:val="00A91DD3"/>
    <w:rsid w:val="00A9681E"/>
    <w:rsid w:val="00AA007A"/>
    <w:rsid w:val="00AA2C7B"/>
    <w:rsid w:val="00AA41CB"/>
    <w:rsid w:val="00AB073E"/>
    <w:rsid w:val="00AB1A13"/>
    <w:rsid w:val="00AB2851"/>
    <w:rsid w:val="00AB4E9F"/>
    <w:rsid w:val="00AB6936"/>
    <w:rsid w:val="00AC210F"/>
    <w:rsid w:val="00AC319E"/>
    <w:rsid w:val="00AC5439"/>
    <w:rsid w:val="00AC64D5"/>
    <w:rsid w:val="00AD28BA"/>
    <w:rsid w:val="00AD6C12"/>
    <w:rsid w:val="00AE0671"/>
    <w:rsid w:val="00AE158C"/>
    <w:rsid w:val="00AE191A"/>
    <w:rsid w:val="00AE3A1E"/>
    <w:rsid w:val="00AE4389"/>
    <w:rsid w:val="00AE734F"/>
    <w:rsid w:val="00AF0DD7"/>
    <w:rsid w:val="00AF0F29"/>
    <w:rsid w:val="00AF1B54"/>
    <w:rsid w:val="00AF2656"/>
    <w:rsid w:val="00AF2A64"/>
    <w:rsid w:val="00AF54E9"/>
    <w:rsid w:val="00AF6110"/>
    <w:rsid w:val="00AF6AC6"/>
    <w:rsid w:val="00B00611"/>
    <w:rsid w:val="00B04354"/>
    <w:rsid w:val="00B0452A"/>
    <w:rsid w:val="00B04AF9"/>
    <w:rsid w:val="00B05264"/>
    <w:rsid w:val="00B07BDB"/>
    <w:rsid w:val="00B249FC"/>
    <w:rsid w:val="00B24F39"/>
    <w:rsid w:val="00B26AB7"/>
    <w:rsid w:val="00B317E7"/>
    <w:rsid w:val="00B3285D"/>
    <w:rsid w:val="00B33A57"/>
    <w:rsid w:val="00B34083"/>
    <w:rsid w:val="00B34AEE"/>
    <w:rsid w:val="00B351B4"/>
    <w:rsid w:val="00B37728"/>
    <w:rsid w:val="00B416DD"/>
    <w:rsid w:val="00B444A4"/>
    <w:rsid w:val="00B45450"/>
    <w:rsid w:val="00B45C64"/>
    <w:rsid w:val="00B46A32"/>
    <w:rsid w:val="00B46B29"/>
    <w:rsid w:val="00B53547"/>
    <w:rsid w:val="00B53597"/>
    <w:rsid w:val="00B55726"/>
    <w:rsid w:val="00B55D3E"/>
    <w:rsid w:val="00B60B5A"/>
    <w:rsid w:val="00B62590"/>
    <w:rsid w:val="00B62AD3"/>
    <w:rsid w:val="00B62B58"/>
    <w:rsid w:val="00B6729F"/>
    <w:rsid w:val="00B70C15"/>
    <w:rsid w:val="00B82627"/>
    <w:rsid w:val="00B84168"/>
    <w:rsid w:val="00B87239"/>
    <w:rsid w:val="00B8779A"/>
    <w:rsid w:val="00B90AA7"/>
    <w:rsid w:val="00B9133F"/>
    <w:rsid w:val="00B94335"/>
    <w:rsid w:val="00B9712E"/>
    <w:rsid w:val="00B97D97"/>
    <w:rsid w:val="00BA2C09"/>
    <w:rsid w:val="00BA3142"/>
    <w:rsid w:val="00BA31AF"/>
    <w:rsid w:val="00BA4E7E"/>
    <w:rsid w:val="00BA5206"/>
    <w:rsid w:val="00BA540F"/>
    <w:rsid w:val="00BA65E5"/>
    <w:rsid w:val="00BB09DF"/>
    <w:rsid w:val="00BB266A"/>
    <w:rsid w:val="00BB3FC5"/>
    <w:rsid w:val="00BC1385"/>
    <w:rsid w:val="00BC2B3B"/>
    <w:rsid w:val="00BC4579"/>
    <w:rsid w:val="00BC51CB"/>
    <w:rsid w:val="00BD1727"/>
    <w:rsid w:val="00BD3D24"/>
    <w:rsid w:val="00BE13B0"/>
    <w:rsid w:val="00BE5708"/>
    <w:rsid w:val="00BF46B6"/>
    <w:rsid w:val="00BF516D"/>
    <w:rsid w:val="00C0018A"/>
    <w:rsid w:val="00C00905"/>
    <w:rsid w:val="00C035B5"/>
    <w:rsid w:val="00C040DB"/>
    <w:rsid w:val="00C042F1"/>
    <w:rsid w:val="00C046CB"/>
    <w:rsid w:val="00C06285"/>
    <w:rsid w:val="00C11ABD"/>
    <w:rsid w:val="00C1286A"/>
    <w:rsid w:val="00C14FB2"/>
    <w:rsid w:val="00C176AC"/>
    <w:rsid w:val="00C20D9C"/>
    <w:rsid w:val="00C21EF9"/>
    <w:rsid w:val="00C222F7"/>
    <w:rsid w:val="00C234C8"/>
    <w:rsid w:val="00C24839"/>
    <w:rsid w:val="00C252C2"/>
    <w:rsid w:val="00C25FCB"/>
    <w:rsid w:val="00C27C23"/>
    <w:rsid w:val="00C36DF7"/>
    <w:rsid w:val="00C37CAA"/>
    <w:rsid w:val="00C41C84"/>
    <w:rsid w:val="00C47AD6"/>
    <w:rsid w:val="00C554D4"/>
    <w:rsid w:val="00C5690E"/>
    <w:rsid w:val="00C570FF"/>
    <w:rsid w:val="00C57F66"/>
    <w:rsid w:val="00C607D0"/>
    <w:rsid w:val="00C617D6"/>
    <w:rsid w:val="00C61B02"/>
    <w:rsid w:val="00C7017E"/>
    <w:rsid w:val="00C719A2"/>
    <w:rsid w:val="00C71F8A"/>
    <w:rsid w:val="00C72165"/>
    <w:rsid w:val="00C72A20"/>
    <w:rsid w:val="00C73937"/>
    <w:rsid w:val="00C753A7"/>
    <w:rsid w:val="00C75842"/>
    <w:rsid w:val="00C7672B"/>
    <w:rsid w:val="00C83041"/>
    <w:rsid w:val="00C836F4"/>
    <w:rsid w:val="00C83C60"/>
    <w:rsid w:val="00C87321"/>
    <w:rsid w:val="00C90B42"/>
    <w:rsid w:val="00C91071"/>
    <w:rsid w:val="00C920BB"/>
    <w:rsid w:val="00C9306F"/>
    <w:rsid w:val="00C9475D"/>
    <w:rsid w:val="00C95056"/>
    <w:rsid w:val="00C951FD"/>
    <w:rsid w:val="00C95D76"/>
    <w:rsid w:val="00CA035C"/>
    <w:rsid w:val="00CA2BCA"/>
    <w:rsid w:val="00CA59BC"/>
    <w:rsid w:val="00CA6489"/>
    <w:rsid w:val="00CA6B44"/>
    <w:rsid w:val="00CA7F28"/>
    <w:rsid w:val="00CB04A5"/>
    <w:rsid w:val="00CB0768"/>
    <w:rsid w:val="00CB131F"/>
    <w:rsid w:val="00CB349C"/>
    <w:rsid w:val="00CB3F67"/>
    <w:rsid w:val="00CB4DCD"/>
    <w:rsid w:val="00CB4F2D"/>
    <w:rsid w:val="00CC1690"/>
    <w:rsid w:val="00CC665A"/>
    <w:rsid w:val="00CD0104"/>
    <w:rsid w:val="00CD4C8E"/>
    <w:rsid w:val="00CD56C2"/>
    <w:rsid w:val="00CE04A0"/>
    <w:rsid w:val="00CE309D"/>
    <w:rsid w:val="00CE31CF"/>
    <w:rsid w:val="00CE34DC"/>
    <w:rsid w:val="00CE61B9"/>
    <w:rsid w:val="00CE7A5B"/>
    <w:rsid w:val="00CF3638"/>
    <w:rsid w:val="00CF431A"/>
    <w:rsid w:val="00D0193E"/>
    <w:rsid w:val="00D02E30"/>
    <w:rsid w:val="00D07FB4"/>
    <w:rsid w:val="00D11D39"/>
    <w:rsid w:val="00D12983"/>
    <w:rsid w:val="00D15236"/>
    <w:rsid w:val="00D16217"/>
    <w:rsid w:val="00D166D0"/>
    <w:rsid w:val="00D17D25"/>
    <w:rsid w:val="00D21FA8"/>
    <w:rsid w:val="00D2310E"/>
    <w:rsid w:val="00D236B7"/>
    <w:rsid w:val="00D23E48"/>
    <w:rsid w:val="00D2403C"/>
    <w:rsid w:val="00D244BE"/>
    <w:rsid w:val="00D37607"/>
    <w:rsid w:val="00D40BC2"/>
    <w:rsid w:val="00D40D95"/>
    <w:rsid w:val="00D43096"/>
    <w:rsid w:val="00D440F9"/>
    <w:rsid w:val="00D44B3E"/>
    <w:rsid w:val="00D4545E"/>
    <w:rsid w:val="00D46AB2"/>
    <w:rsid w:val="00D47815"/>
    <w:rsid w:val="00D52D1D"/>
    <w:rsid w:val="00D54AFB"/>
    <w:rsid w:val="00D57BE5"/>
    <w:rsid w:val="00D6149B"/>
    <w:rsid w:val="00D64C02"/>
    <w:rsid w:val="00D656EB"/>
    <w:rsid w:val="00D670AB"/>
    <w:rsid w:val="00D732EA"/>
    <w:rsid w:val="00D771FD"/>
    <w:rsid w:val="00D7796D"/>
    <w:rsid w:val="00D77E17"/>
    <w:rsid w:val="00D81B18"/>
    <w:rsid w:val="00D827FB"/>
    <w:rsid w:val="00D83541"/>
    <w:rsid w:val="00D83580"/>
    <w:rsid w:val="00D84402"/>
    <w:rsid w:val="00D84CBF"/>
    <w:rsid w:val="00D85176"/>
    <w:rsid w:val="00D87154"/>
    <w:rsid w:val="00D87197"/>
    <w:rsid w:val="00D91E33"/>
    <w:rsid w:val="00D93A16"/>
    <w:rsid w:val="00D93EFE"/>
    <w:rsid w:val="00D94832"/>
    <w:rsid w:val="00D9496D"/>
    <w:rsid w:val="00DA0768"/>
    <w:rsid w:val="00DA161A"/>
    <w:rsid w:val="00DA2A8E"/>
    <w:rsid w:val="00DA3058"/>
    <w:rsid w:val="00DA5A94"/>
    <w:rsid w:val="00DA7E8A"/>
    <w:rsid w:val="00DB2355"/>
    <w:rsid w:val="00DB3BB4"/>
    <w:rsid w:val="00DB6D17"/>
    <w:rsid w:val="00DB7A1C"/>
    <w:rsid w:val="00DC0338"/>
    <w:rsid w:val="00DC0F02"/>
    <w:rsid w:val="00DC0F8D"/>
    <w:rsid w:val="00DC2284"/>
    <w:rsid w:val="00DC3CA4"/>
    <w:rsid w:val="00DC63F5"/>
    <w:rsid w:val="00DC69F0"/>
    <w:rsid w:val="00DD3071"/>
    <w:rsid w:val="00DD533A"/>
    <w:rsid w:val="00DE0F8F"/>
    <w:rsid w:val="00DE289E"/>
    <w:rsid w:val="00DE4578"/>
    <w:rsid w:val="00DF04EE"/>
    <w:rsid w:val="00DF0D29"/>
    <w:rsid w:val="00DF1A93"/>
    <w:rsid w:val="00DF26DF"/>
    <w:rsid w:val="00DF3E35"/>
    <w:rsid w:val="00DF479C"/>
    <w:rsid w:val="00DF5F6B"/>
    <w:rsid w:val="00E00488"/>
    <w:rsid w:val="00E01601"/>
    <w:rsid w:val="00E03ED5"/>
    <w:rsid w:val="00E06044"/>
    <w:rsid w:val="00E06243"/>
    <w:rsid w:val="00E07169"/>
    <w:rsid w:val="00E10A5D"/>
    <w:rsid w:val="00E15654"/>
    <w:rsid w:val="00E1688C"/>
    <w:rsid w:val="00E17F51"/>
    <w:rsid w:val="00E22665"/>
    <w:rsid w:val="00E22A86"/>
    <w:rsid w:val="00E23735"/>
    <w:rsid w:val="00E30499"/>
    <w:rsid w:val="00E30B51"/>
    <w:rsid w:val="00E32299"/>
    <w:rsid w:val="00E324BB"/>
    <w:rsid w:val="00E3750B"/>
    <w:rsid w:val="00E37665"/>
    <w:rsid w:val="00E377E8"/>
    <w:rsid w:val="00E43464"/>
    <w:rsid w:val="00E43C7E"/>
    <w:rsid w:val="00E45CFD"/>
    <w:rsid w:val="00E47A69"/>
    <w:rsid w:val="00E5242F"/>
    <w:rsid w:val="00E52BC3"/>
    <w:rsid w:val="00E571BB"/>
    <w:rsid w:val="00E61B6A"/>
    <w:rsid w:val="00E621F6"/>
    <w:rsid w:val="00E74435"/>
    <w:rsid w:val="00E758AD"/>
    <w:rsid w:val="00E77D4E"/>
    <w:rsid w:val="00E81E4F"/>
    <w:rsid w:val="00E8472C"/>
    <w:rsid w:val="00E9013E"/>
    <w:rsid w:val="00E91860"/>
    <w:rsid w:val="00E954B7"/>
    <w:rsid w:val="00E96FDB"/>
    <w:rsid w:val="00EA107B"/>
    <w:rsid w:val="00EA701C"/>
    <w:rsid w:val="00EB0FFB"/>
    <w:rsid w:val="00EB62C4"/>
    <w:rsid w:val="00EB67BB"/>
    <w:rsid w:val="00EC16F1"/>
    <w:rsid w:val="00EC174B"/>
    <w:rsid w:val="00EC40B0"/>
    <w:rsid w:val="00EC7705"/>
    <w:rsid w:val="00ED05D6"/>
    <w:rsid w:val="00ED0C6F"/>
    <w:rsid w:val="00ED29E0"/>
    <w:rsid w:val="00ED2FCC"/>
    <w:rsid w:val="00EE5F75"/>
    <w:rsid w:val="00EF10B9"/>
    <w:rsid w:val="00EF1193"/>
    <w:rsid w:val="00EF2722"/>
    <w:rsid w:val="00EF6805"/>
    <w:rsid w:val="00EF7180"/>
    <w:rsid w:val="00F00508"/>
    <w:rsid w:val="00F01510"/>
    <w:rsid w:val="00F01E52"/>
    <w:rsid w:val="00F021C8"/>
    <w:rsid w:val="00F042DC"/>
    <w:rsid w:val="00F05C96"/>
    <w:rsid w:val="00F07099"/>
    <w:rsid w:val="00F105EA"/>
    <w:rsid w:val="00F11117"/>
    <w:rsid w:val="00F12541"/>
    <w:rsid w:val="00F160D3"/>
    <w:rsid w:val="00F16EFA"/>
    <w:rsid w:val="00F22035"/>
    <w:rsid w:val="00F22A97"/>
    <w:rsid w:val="00F22D18"/>
    <w:rsid w:val="00F33336"/>
    <w:rsid w:val="00F3366D"/>
    <w:rsid w:val="00F36C87"/>
    <w:rsid w:val="00F379AF"/>
    <w:rsid w:val="00F37C8F"/>
    <w:rsid w:val="00F40B4D"/>
    <w:rsid w:val="00F40D25"/>
    <w:rsid w:val="00F4256A"/>
    <w:rsid w:val="00F46927"/>
    <w:rsid w:val="00F54BBF"/>
    <w:rsid w:val="00F55854"/>
    <w:rsid w:val="00F56813"/>
    <w:rsid w:val="00F61922"/>
    <w:rsid w:val="00F631FB"/>
    <w:rsid w:val="00F6482D"/>
    <w:rsid w:val="00F65EA1"/>
    <w:rsid w:val="00F668A4"/>
    <w:rsid w:val="00F70110"/>
    <w:rsid w:val="00F72C93"/>
    <w:rsid w:val="00F748E8"/>
    <w:rsid w:val="00F77867"/>
    <w:rsid w:val="00F80473"/>
    <w:rsid w:val="00F80A88"/>
    <w:rsid w:val="00F81008"/>
    <w:rsid w:val="00F823F5"/>
    <w:rsid w:val="00F82E7F"/>
    <w:rsid w:val="00F9170D"/>
    <w:rsid w:val="00F91C2E"/>
    <w:rsid w:val="00F94368"/>
    <w:rsid w:val="00F9494C"/>
    <w:rsid w:val="00F95580"/>
    <w:rsid w:val="00FA15C8"/>
    <w:rsid w:val="00FA1D9F"/>
    <w:rsid w:val="00FA2D86"/>
    <w:rsid w:val="00FA348C"/>
    <w:rsid w:val="00FA492D"/>
    <w:rsid w:val="00FB0AD8"/>
    <w:rsid w:val="00FB112C"/>
    <w:rsid w:val="00FB3891"/>
    <w:rsid w:val="00FB47B1"/>
    <w:rsid w:val="00FB4D97"/>
    <w:rsid w:val="00FB4DBB"/>
    <w:rsid w:val="00FC69AF"/>
    <w:rsid w:val="00FC70FF"/>
    <w:rsid w:val="00FD3BA7"/>
    <w:rsid w:val="00FD4954"/>
    <w:rsid w:val="00FD4D7A"/>
    <w:rsid w:val="00FD5F84"/>
    <w:rsid w:val="00FD6C38"/>
    <w:rsid w:val="00FD77B4"/>
    <w:rsid w:val="00FE2C17"/>
    <w:rsid w:val="00FF072F"/>
    <w:rsid w:val="00FF0A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toc 1" w:uiPriority="39"/>
    <w:lsdException w:name="toc 2" w:uiPriority="39"/>
    <w:lsdException w:name="toc 3" w:uiPriority="39"/>
    <w:lsdException w:name="header" w:uiPriority="99"/>
    <w:lsdException w:name="footer" w:uiPriority="99"/>
    <w:lsdException w:name="footnote reference" w:qFormat="1"/>
    <w:lsdException w:name="Default Paragraph Font" w:uiPriority="1"/>
    <w:lsdException w:name="Hyperlink"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A0022"/>
    <w:pPr>
      <w:tabs>
        <w:tab w:val="left" w:pos="567"/>
      </w:tabs>
      <w:spacing w:after="80" w:line="320" w:lineRule="atLeast"/>
    </w:pPr>
    <w:rPr>
      <w:sz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qFormat/>
    <w:rsid w:val="00DC0F02"/>
    <w:pPr>
      <w:numPr>
        <w:numId w:val="36"/>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qFormat/>
    <w:rsid w:val="00765BA8"/>
    <w:rPr>
      <w:vertAlign w:val="superscript"/>
    </w:rPr>
  </w:style>
  <w:style w:type="paragraph" w:styleId="FootnoteText">
    <w:name w:val="footnote text"/>
    <w:basedOn w:val="Normal"/>
    <w:link w:val="FootnoteTextChar"/>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uiPriority w:val="59"/>
    <w:rsid w:val="006226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s>
      <w:spacing w:before="120" w:after="120"/>
    </w:pPr>
    <w:rPr>
      <w:b/>
      <w:bCs/>
      <w:caps/>
      <w:sz w:val="20"/>
      <w:szCs w:val="20"/>
    </w:rPr>
  </w:style>
  <w:style w:type="paragraph" w:styleId="TOC2">
    <w:name w:val="toc 2"/>
    <w:basedOn w:val="Normal"/>
    <w:next w:val="Normal"/>
    <w:uiPriority w:val="39"/>
    <w:rsid w:val="006A72B0"/>
    <w:pPr>
      <w:tabs>
        <w:tab w:val="clear" w:pos="567"/>
      </w:tabs>
      <w:spacing w:after="0"/>
      <w:ind w:left="240"/>
    </w:pPr>
    <w:rPr>
      <w:smallCaps/>
      <w:sz w:val="20"/>
      <w:szCs w:val="20"/>
    </w:rPr>
  </w:style>
  <w:style w:type="paragraph" w:styleId="TOC3">
    <w:name w:val="toc 3"/>
    <w:basedOn w:val="Normal"/>
    <w:next w:val="Normal"/>
    <w:uiPriority w:val="39"/>
    <w:rsid w:val="00996409"/>
    <w:pPr>
      <w:tabs>
        <w:tab w:val="clear" w:pos="567"/>
      </w:tabs>
      <w:spacing w:after="0"/>
      <w:ind w:left="480"/>
    </w:pPr>
    <w:rPr>
      <w:i/>
      <w:iCs/>
      <w:sz w:val="20"/>
      <w:szCs w:val="20"/>
    </w:rPr>
  </w:style>
  <w:style w:type="paragraph" w:styleId="TOC4">
    <w:name w:val="toc 4"/>
    <w:basedOn w:val="Normal"/>
    <w:next w:val="Normal"/>
    <w:rsid w:val="00996409"/>
    <w:pPr>
      <w:tabs>
        <w:tab w:val="clear" w:pos="567"/>
      </w:tabs>
      <w:spacing w:after="0"/>
      <w:ind w:left="720"/>
    </w:pPr>
    <w:rPr>
      <w:sz w:val="18"/>
      <w:szCs w:val="18"/>
    </w:rPr>
  </w:style>
  <w:style w:type="paragraph" w:styleId="TOC5">
    <w:name w:val="toc 5"/>
    <w:basedOn w:val="Normal"/>
    <w:next w:val="Normal"/>
    <w:rsid w:val="00765BA8"/>
    <w:pPr>
      <w:tabs>
        <w:tab w:val="clear" w:pos="567"/>
      </w:tabs>
      <w:spacing w:after="0"/>
      <w:ind w:left="960"/>
    </w:pPr>
    <w:rPr>
      <w:sz w:val="18"/>
      <w:szCs w:val="18"/>
    </w:rPr>
  </w:style>
  <w:style w:type="paragraph" w:styleId="TOC6">
    <w:name w:val="toc 6"/>
    <w:basedOn w:val="Normal"/>
    <w:next w:val="Normal"/>
    <w:rsid w:val="00765BA8"/>
    <w:pPr>
      <w:tabs>
        <w:tab w:val="clear" w:pos="567"/>
      </w:tabs>
      <w:spacing w:after="0"/>
      <w:ind w:left="1200"/>
    </w:pPr>
    <w:rPr>
      <w:sz w:val="18"/>
      <w:szCs w:val="18"/>
    </w:rPr>
  </w:style>
  <w:style w:type="paragraph" w:styleId="TOC7">
    <w:name w:val="toc 7"/>
    <w:basedOn w:val="Normal"/>
    <w:next w:val="Normal"/>
    <w:rsid w:val="00765BA8"/>
    <w:pPr>
      <w:tabs>
        <w:tab w:val="clear" w:pos="567"/>
      </w:tabs>
      <w:spacing w:after="0"/>
      <w:ind w:left="1440"/>
    </w:pPr>
    <w:rPr>
      <w:sz w:val="18"/>
      <w:szCs w:val="18"/>
    </w:rPr>
  </w:style>
  <w:style w:type="paragraph" w:styleId="TOC8">
    <w:name w:val="toc 8"/>
    <w:basedOn w:val="Normal"/>
    <w:next w:val="Normal"/>
    <w:rsid w:val="00765BA8"/>
    <w:pPr>
      <w:tabs>
        <w:tab w:val="clear" w:pos="567"/>
      </w:tabs>
      <w:spacing w:after="0"/>
      <w:ind w:left="1680"/>
    </w:pPr>
    <w:rPr>
      <w:sz w:val="18"/>
      <w:szCs w:val="18"/>
    </w:rPr>
  </w:style>
  <w:style w:type="paragraph" w:styleId="TOC9">
    <w:name w:val="toc 9"/>
    <w:basedOn w:val="Normal"/>
    <w:next w:val="Normal"/>
    <w:rsid w:val="00765BA8"/>
    <w:pPr>
      <w:tabs>
        <w:tab w:val="clear" w:pos="567"/>
      </w:tabs>
      <w:spacing w:after="0"/>
      <w:ind w:left="192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styleId="FollowedHyperlink">
    <w:name w:val="FollowedHyperlink"/>
    <w:basedOn w:val="DefaultParagraphFont"/>
    <w:rsid w:val="0048195E"/>
    <w:rPr>
      <w:color w:val="800080" w:themeColor="followedHyperlink"/>
      <w:u w:val="single"/>
    </w:rPr>
  </w:style>
  <w:style w:type="character" w:customStyle="1" w:styleId="CGCParaNoChar">
    <w:name w:val="CGC Para No Char"/>
    <w:aliases w:val="CGC Numbered Para Char"/>
    <w:basedOn w:val="DefaultParagraphFont"/>
    <w:link w:val="CGCNumberedPara"/>
    <w:rsid w:val="00316B1D"/>
    <w:rPr>
      <w:sz w:val="24"/>
      <w:szCs w:val="24"/>
    </w:rPr>
  </w:style>
  <w:style w:type="character" w:customStyle="1" w:styleId="CGCTableFootnoteChar">
    <w:name w:val="CGC Table Footnote Char"/>
    <w:basedOn w:val="DefaultParagraphFont"/>
    <w:link w:val="CGCTableFootnote"/>
    <w:rsid w:val="00316B1D"/>
    <w:rPr>
      <w:sz w:val="20"/>
      <w:szCs w:val="24"/>
    </w:rPr>
  </w:style>
  <w:style w:type="character" w:customStyle="1" w:styleId="CGCTableHeadingChar">
    <w:name w:val="CGC Table Heading Char"/>
    <w:basedOn w:val="DefaultParagraphFont"/>
    <w:link w:val="CGCTableHeading"/>
    <w:rsid w:val="00316B1D"/>
    <w:rPr>
      <w:b/>
      <w:sz w:val="24"/>
      <w:szCs w:val="20"/>
    </w:rPr>
  </w:style>
  <w:style w:type="character" w:customStyle="1" w:styleId="apple-converted-space">
    <w:name w:val="apple-converted-space"/>
    <w:basedOn w:val="DefaultParagraphFont"/>
    <w:rsid w:val="00EF11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toc 1" w:uiPriority="39"/>
    <w:lsdException w:name="toc 2" w:uiPriority="39"/>
    <w:lsdException w:name="toc 3" w:uiPriority="39"/>
    <w:lsdException w:name="header" w:uiPriority="99"/>
    <w:lsdException w:name="footer" w:uiPriority="99"/>
    <w:lsdException w:name="footnote reference" w:qFormat="1"/>
    <w:lsdException w:name="Default Paragraph Font" w:uiPriority="1"/>
    <w:lsdException w:name="Hyperlink"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A0022"/>
    <w:pPr>
      <w:tabs>
        <w:tab w:val="left" w:pos="567"/>
      </w:tabs>
      <w:spacing w:after="80" w:line="320" w:lineRule="atLeast"/>
    </w:pPr>
    <w:rPr>
      <w:sz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qFormat/>
    <w:rsid w:val="00DC0F02"/>
    <w:pPr>
      <w:numPr>
        <w:numId w:val="36"/>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qFormat/>
    <w:rsid w:val="00765BA8"/>
    <w:rPr>
      <w:vertAlign w:val="superscript"/>
    </w:rPr>
  </w:style>
  <w:style w:type="paragraph" w:styleId="FootnoteText">
    <w:name w:val="footnote text"/>
    <w:basedOn w:val="Normal"/>
    <w:link w:val="FootnoteTextChar"/>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uiPriority w:val="59"/>
    <w:rsid w:val="006226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s>
      <w:spacing w:before="120" w:after="120"/>
    </w:pPr>
    <w:rPr>
      <w:b/>
      <w:bCs/>
      <w:caps/>
      <w:sz w:val="20"/>
      <w:szCs w:val="20"/>
    </w:rPr>
  </w:style>
  <w:style w:type="paragraph" w:styleId="TOC2">
    <w:name w:val="toc 2"/>
    <w:basedOn w:val="Normal"/>
    <w:next w:val="Normal"/>
    <w:uiPriority w:val="39"/>
    <w:rsid w:val="006A72B0"/>
    <w:pPr>
      <w:tabs>
        <w:tab w:val="clear" w:pos="567"/>
      </w:tabs>
      <w:spacing w:after="0"/>
      <w:ind w:left="240"/>
    </w:pPr>
    <w:rPr>
      <w:smallCaps/>
      <w:sz w:val="20"/>
      <w:szCs w:val="20"/>
    </w:rPr>
  </w:style>
  <w:style w:type="paragraph" w:styleId="TOC3">
    <w:name w:val="toc 3"/>
    <w:basedOn w:val="Normal"/>
    <w:next w:val="Normal"/>
    <w:uiPriority w:val="39"/>
    <w:rsid w:val="00996409"/>
    <w:pPr>
      <w:tabs>
        <w:tab w:val="clear" w:pos="567"/>
      </w:tabs>
      <w:spacing w:after="0"/>
      <w:ind w:left="480"/>
    </w:pPr>
    <w:rPr>
      <w:i/>
      <w:iCs/>
      <w:sz w:val="20"/>
      <w:szCs w:val="20"/>
    </w:rPr>
  </w:style>
  <w:style w:type="paragraph" w:styleId="TOC4">
    <w:name w:val="toc 4"/>
    <w:basedOn w:val="Normal"/>
    <w:next w:val="Normal"/>
    <w:rsid w:val="00996409"/>
    <w:pPr>
      <w:tabs>
        <w:tab w:val="clear" w:pos="567"/>
      </w:tabs>
      <w:spacing w:after="0"/>
      <w:ind w:left="720"/>
    </w:pPr>
    <w:rPr>
      <w:sz w:val="18"/>
      <w:szCs w:val="18"/>
    </w:rPr>
  </w:style>
  <w:style w:type="paragraph" w:styleId="TOC5">
    <w:name w:val="toc 5"/>
    <w:basedOn w:val="Normal"/>
    <w:next w:val="Normal"/>
    <w:rsid w:val="00765BA8"/>
    <w:pPr>
      <w:tabs>
        <w:tab w:val="clear" w:pos="567"/>
      </w:tabs>
      <w:spacing w:after="0"/>
      <w:ind w:left="960"/>
    </w:pPr>
    <w:rPr>
      <w:sz w:val="18"/>
      <w:szCs w:val="18"/>
    </w:rPr>
  </w:style>
  <w:style w:type="paragraph" w:styleId="TOC6">
    <w:name w:val="toc 6"/>
    <w:basedOn w:val="Normal"/>
    <w:next w:val="Normal"/>
    <w:rsid w:val="00765BA8"/>
    <w:pPr>
      <w:tabs>
        <w:tab w:val="clear" w:pos="567"/>
      </w:tabs>
      <w:spacing w:after="0"/>
      <w:ind w:left="1200"/>
    </w:pPr>
    <w:rPr>
      <w:sz w:val="18"/>
      <w:szCs w:val="18"/>
    </w:rPr>
  </w:style>
  <w:style w:type="paragraph" w:styleId="TOC7">
    <w:name w:val="toc 7"/>
    <w:basedOn w:val="Normal"/>
    <w:next w:val="Normal"/>
    <w:rsid w:val="00765BA8"/>
    <w:pPr>
      <w:tabs>
        <w:tab w:val="clear" w:pos="567"/>
      </w:tabs>
      <w:spacing w:after="0"/>
      <w:ind w:left="1440"/>
    </w:pPr>
    <w:rPr>
      <w:sz w:val="18"/>
      <w:szCs w:val="18"/>
    </w:rPr>
  </w:style>
  <w:style w:type="paragraph" w:styleId="TOC8">
    <w:name w:val="toc 8"/>
    <w:basedOn w:val="Normal"/>
    <w:next w:val="Normal"/>
    <w:rsid w:val="00765BA8"/>
    <w:pPr>
      <w:tabs>
        <w:tab w:val="clear" w:pos="567"/>
      </w:tabs>
      <w:spacing w:after="0"/>
      <w:ind w:left="1680"/>
    </w:pPr>
    <w:rPr>
      <w:sz w:val="18"/>
      <w:szCs w:val="18"/>
    </w:rPr>
  </w:style>
  <w:style w:type="paragraph" w:styleId="TOC9">
    <w:name w:val="toc 9"/>
    <w:basedOn w:val="Normal"/>
    <w:next w:val="Normal"/>
    <w:rsid w:val="00765BA8"/>
    <w:pPr>
      <w:tabs>
        <w:tab w:val="clear" w:pos="567"/>
      </w:tabs>
      <w:spacing w:after="0"/>
      <w:ind w:left="192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styleId="FollowedHyperlink">
    <w:name w:val="FollowedHyperlink"/>
    <w:basedOn w:val="DefaultParagraphFont"/>
    <w:rsid w:val="0048195E"/>
    <w:rPr>
      <w:color w:val="800080" w:themeColor="followedHyperlink"/>
      <w:u w:val="single"/>
    </w:rPr>
  </w:style>
  <w:style w:type="character" w:customStyle="1" w:styleId="CGCParaNoChar">
    <w:name w:val="CGC Para No Char"/>
    <w:aliases w:val="CGC Numbered Para Char"/>
    <w:basedOn w:val="DefaultParagraphFont"/>
    <w:link w:val="CGCNumberedPara"/>
    <w:rsid w:val="00316B1D"/>
    <w:rPr>
      <w:sz w:val="24"/>
      <w:szCs w:val="24"/>
    </w:rPr>
  </w:style>
  <w:style w:type="character" w:customStyle="1" w:styleId="CGCTableFootnoteChar">
    <w:name w:val="CGC Table Footnote Char"/>
    <w:basedOn w:val="DefaultParagraphFont"/>
    <w:link w:val="CGCTableFootnote"/>
    <w:rsid w:val="00316B1D"/>
    <w:rPr>
      <w:sz w:val="20"/>
      <w:szCs w:val="24"/>
    </w:rPr>
  </w:style>
  <w:style w:type="character" w:customStyle="1" w:styleId="CGCTableHeadingChar">
    <w:name w:val="CGC Table Heading Char"/>
    <w:basedOn w:val="DefaultParagraphFont"/>
    <w:link w:val="CGCTableHeading"/>
    <w:rsid w:val="00316B1D"/>
    <w:rPr>
      <w:b/>
      <w:sz w:val="24"/>
      <w:szCs w:val="20"/>
    </w:rPr>
  </w:style>
  <w:style w:type="character" w:customStyle="1" w:styleId="apple-converted-space">
    <w:name w:val="apple-converted-space"/>
    <w:basedOn w:val="DefaultParagraphFont"/>
    <w:rsid w:val="00EF1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48326">
      <w:bodyDiv w:val="1"/>
      <w:marLeft w:val="0"/>
      <w:marRight w:val="0"/>
      <w:marTop w:val="0"/>
      <w:marBottom w:val="0"/>
      <w:divBdr>
        <w:top w:val="none" w:sz="0" w:space="0" w:color="auto"/>
        <w:left w:val="none" w:sz="0" w:space="0" w:color="auto"/>
        <w:bottom w:val="none" w:sz="0" w:space="0" w:color="auto"/>
        <w:right w:val="none" w:sz="0" w:space="0" w:color="auto"/>
      </w:divBdr>
    </w:div>
    <w:div w:id="52706842">
      <w:bodyDiv w:val="1"/>
      <w:marLeft w:val="0"/>
      <w:marRight w:val="0"/>
      <w:marTop w:val="0"/>
      <w:marBottom w:val="0"/>
      <w:divBdr>
        <w:top w:val="none" w:sz="0" w:space="0" w:color="auto"/>
        <w:left w:val="none" w:sz="0" w:space="0" w:color="auto"/>
        <w:bottom w:val="none" w:sz="0" w:space="0" w:color="auto"/>
        <w:right w:val="none" w:sz="0" w:space="0" w:color="auto"/>
      </w:divBdr>
    </w:div>
    <w:div w:id="102505681">
      <w:bodyDiv w:val="1"/>
      <w:marLeft w:val="0"/>
      <w:marRight w:val="0"/>
      <w:marTop w:val="0"/>
      <w:marBottom w:val="0"/>
      <w:divBdr>
        <w:top w:val="none" w:sz="0" w:space="0" w:color="auto"/>
        <w:left w:val="none" w:sz="0" w:space="0" w:color="auto"/>
        <w:bottom w:val="none" w:sz="0" w:space="0" w:color="auto"/>
        <w:right w:val="none" w:sz="0" w:space="0" w:color="auto"/>
      </w:divBdr>
    </w:div>
    <w:div w:id="266931412">
      <w:bodyDiv w:val="1"/>
      <w:marLeft w:val="0"/>
      <w:marRight w:val="0"/>
      <w:marTop w:val="0"/>
      <w:marBottom w:val="0"/>
      <w:divBdr>
        <w:top w:val="none" w:sz="0" w:space="0" w:color="auto"/>
        <w:left w:val="none" w:sz="0" w:space="0" w:color="auto"/>
        <w:bottom w:val="none" w:sz="0" w:space="0" w:color="auto"/>
        <w:right w:val="none" w:sz="0" w:space="0" w:color="auto"/>
      </w:divBdr>
      <w:divsChild>
        <w:div w:id="1631662821">
          <w:marLeft w:val="0"/>
          <w:marRight w:val="0"/>
          <w:marTop w:val="0"/>
          <w:marBottom w:val="0"/>
          <w:divBdr>
            <w:top w:val="none" w:sz="0" w:space="0" w:color="auto"/>
            <w:left w:val="none" w:sz="0" w:space="0" w:color="auto"/>
            <w:bottom w:val="none" w:sz="0" w:space="0" w:color="auto"/>
            <w:right w:val="none" w:sz="0" w:space="0" w:color="auto"/>
          </w:divBdr>
          <w:divsChild>
            <w:div w:id="687102221">
              <w:marLeft w:val="0"/>
              <w:marRight w:val="0"/>
              <w:marTop w:val="0"/>
              <w:marBottom w:val="0"/>
              <w:divBdr>
                <w:top w:val="none" w:sz="0" w:space="0" w:color="auto"/>
                <w:left w:val="none" w:sz="0" w:space="0" w:color="auto"/>
                <w:bottom w:val="none" w:sz="0" w:space="0" w:color="auto"/>
                <w:right w:val="none" w:sz="0" w:space="0" w:color="auto"/>
              </w:divBdr>
              <w:divsChild>
                <w:div w:id="662855537">
                  <w:marLeft w:val="0"/>
                  <w:marRight w:val="0"/>
                  <w:marTop w:val="0"/>
                  <w:marBottom w:val="0"/>
                  <w:divBdr>
                    <w:top w:val="none" w:sz="0" w:space="0" w:color="auto"/>
                    <w:left w:val="none" w:sz="0" w:space="0" w:color="auto"/>
                    <w:bottom w:val="none" w:sz="0" w:space="0" w:color="auto"/>
                    <w:right w:val="none" w:sz="0" w:space="0" w:color="auto"/>
                  </w:divBdr>
                  <w:divsChild>
                    <w:div w:id="637107160">
                      <w:marLeft w:val="0"/>
                      <w:marRight w:val="0"/>
                      <w:marTop w:val="0"/>
                      <w:marBottom w:val="0"/>
                      <w:divBdr>
                        <w:top w:val="none" w:sz="0" w:space="0" w:color="auto"/>
                        <w:left w:val="none" w:sz="0" w:space="0" w:color="auto"/>
                        <w:bottom w:val="none" w:sz="0" w:space="0" w:color="auto"/>
                        <w:right w:val="none" w:sz="0" w:space="0" w:color="auto"/>
                      </w:divBdr>
                      <w:divsChild>
                        <w:div w:id="675228883">
                          <w:marLeft w:val="0"/>
                          <w:marRight w:val="0"/>
                          <w:marTop w:val="0"/>
                          <w:marBottom w:val="0"/>
                          <w:divBdr>
                            <w:top w:val="none" w:sz="0" w:space="0" w:color="auto"/>
                            <w:left w:val="none" w:sz="0" w:space="0" w:color="auto"/>
                            <w:bottom w:val="none" w:sz="0" w:space="0" w:color="auto"/>
                            <w:right w:val="none" w:sz="0" w:space="0" w:color="auto"/>
                          </w:divBdr>
                          <w:divsChild>
                            <w:div w:id="18822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790440139">
      <w:bodyDiv w:val="1"/>
      <w:marLeft w:val="0"/>
      <w:marRight w:val="0"/>
      <w:marTop w:val="0"/>
      <w:marBottom w:val="0"/>
      <w:divBdr>
        <w:top w:val="none" w:sz="0" w:space="0" w:color="auto"/>
        <w:left w:val="none" w:sz="0" w:space="0" w:color="auto"/>
        <w:bottom w:val="none" w:sz="0" w:space="0" w:color="auto"/>
        <w:right w:val="none" w:sz="0" w:space="0" w:color="auto"/>
      </w:divBdr>
    </w:div>
    <w:div w:id="795368849">
      <w:bodyDiv w:val="1"/>
      <w:marLeft w:val="0"/>
      <w:marRight w:val="0"/>
      <w:marTop w:val="0"/>
      <w:marBottom w:val="0"/>
      <w:divBdr>
        <w:top w:val="none" w:sz="0" w:space="0" w:color="auto"/>
        <w:left w:val="none" w:sz="0" w:space="0" w:color="auto"/>
        <w:bottom w:val="none" w:sz="0" w:space="0" w:color="auto"/>
        <w:right w:val="none" w:sz="0" w:space="0" w:color="auto"/>
      </w:divBdr>
      <w:divsChild>
        <w:div w:id="1343360893">
          <w:marLeft w:val="0"/>
          <w:marRight w:val="0"/>
          <w:marTop w:val="0"/>
          <w:marBottom w:val="0"/>
          <w:divBdr>
            <w:top w:val="none" w:sz="0" w:space="0" w:color="auto"/>
            <w:left w:val="none" w:sz="0" w:space="0" w:color="auto"/>
            <w:bottom w:val="none" w:sz="0" w:space="0" w:color="auto"/>
            <w:right w:val="none" w:sz="0" w:space="0" w:color="auto"/>
          </w:divBdr>
          <w:divsChild>
            <w:div w:id="734861406">
              <w:marLeft w:val="0"/>
              <w:marRight w:val="0"/>
              <w:marTop w:val="0"/>
              <w:marBottom w:val="0"/>
              <w:divBdr>
                <w:top w:val="none" w:sz="0" w:space="0" w:color="auto"/>
                <w:left w:val="none" w:sz="0" w:space="0" w:color="auto"/>
                <w:bottom w:val="none" w:sz="0" w:space="0" w:color="auto"/>
                <w:right w:val="none" w:sz="0" w:space="0" w:color="auto"/>
              </w:divBdr>
              <w:divsChild>
                <w:div w:id="1235243709">
                  <w:marLeft w:val="0"/>
                  <w:marRight w:val="0"/>
                  <w:marTop w:val="0"/>
                  <w:marBottom w:val="0"/>
                  <w:divBdr>
                    <w:top w:val="none" w:sz="0" w:space="0" w:color="auto"/>
                    <w:left w:val="none" w:sz="0" w:space="0" w:color="auto"/>
                    <w:bottom w:val="none" w:sz="0" w:space="0" w:color="auto"/>
                    <w:right w:val="none" w:sz="0" w:space="0" w:color="auto"/>
                  </w:divBdr>
                  <w:divsChild>
                    <w:div w:id="441874662">
                      <w:marLeft w:val="0"/>
                      <w:marRight w:val="0"/>
                      <w:marTop w:val="0"/>
                      <w:marBottom w:val="0"/>
                      <w:divBdr>
                        <w:top w:val="none" w:sz="0" w:space="0" w:color="auto"/>
                        <w:left w:val="none" w:sz="0" w:space="0" w:color="auto"/>
                        <w:bottom w:val="none" w:sz="0" w:space="0" w:color="auto"/>
                        <w:right w:val="none" w:sz="0" w:space="0" w:color="auto"/>
                      </w:divBdr>
                      <w:divsChild>
                        <w:div w:id="461920356">
                          <w:marLeft w:val="0"/>
                          <w:marRight w:val="0"/>
                          <w:marTop w:val="0"/>
                          <w:marBottom w:val="0"/>
                          <w:divBdr>
                            <w:top w:val="none" w:sz="0" w:space="0" w:color="auto"/>
                            <w:left w:val="none" w:sz="0" w:space="0" w:color="auto"/>
                            <w:bottom w:val="none" w:sz="0" w:space="0" w:color="auto"/>
                            <w:right w:val="none" w:sz="0" w:space="0" w:color="auto"/>
                          </w:divBdr>
                          <w:divsChild>
                            <w:div w:id="13896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777719">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03238555">
      <w:bodyDiv w:val="1"/>
      <w:marLeft w:val="0"/>
      <w:marRight w:val="0"/>
      <w:marTop w:val="0"/>
      <w:marBottom w:val="0"/>
      <w:divBdr>
        <w:top w:val="none" w:sz="0" w:space="0" w:color="auto"/>
        <w:left w:val="none" w:sz="0" w:space="0" w:color="auto"/>
        <w:bottom w:val="none" w:sz="0" w:space="0" w:color="auto"/>
        <w:right w:val="none" w:sz="0" w:space="0" w:color="auto"/>
      </w:divBdr>
      <w:divsChild>
        <w:div w:id="2071686470">
          <w:marLeft w:val="0"/>
          <w:marRight w:val="0"/>
          <w:marTop w:val="0"/>
          <w:marBottom w:val="0"/>
          <w:divBdr>
            <w:top w:val="none" w:sz="0" w:space="0" w:color="auto"/>
            <w:left w:val="none" w:sz="0" w:space="0" w:color="auto"/>
            <w:bottom w:val="none" w:sz="0" w:space="0" w:color="auto"/>
            <w:right w:val="none" w:sz="0" w:space="0" w:color="auto"/>
          </w:divBdr>
          <w:divsChild>
            <w:div w:id="260794852">
              <w:marLeft w:val="0"/>
              <w:marRight w:val="0"/>
              <w:marTop w:val="0"/>
              <w:marBottom w:val="0"/>
              <w:divBdr>
                <w:top w:val="none" w:sz="0" w:space="0" w:color="auto"/>
                <w:left w:val="none" w:sz="0" w:space="0" w:color="auto"/>
                <w:bottom w:val="none" w:sz="0" w:space="0" w:color="auto"/>
                <w:right w:val="none" w:sz="0" w:space="0" w:color="auto"/>
              </w:divBdr>
              <w:divsChild>
                <w:div w:id="1007749458">
                  <w:marLeft w:val="0"/>
                  <w:marRight w:val="0"/>
                  <w:marTop w:val="0"/>
                  <w:marBottom w:val="0"/>
                  <w:divBdr>
                    <w:top w:val="none" w:sz="0" w:space="0" w:color="auto"/>
                    <w:left w:val="none" w:sz="0" w:space="0" w:color="auto"/>
                    <w:bottom w:val="none" w:sz="0" w:space="0" w:color="auto"/>
                    <w:right w:val="none" w:sz="0" w:space="0" w:color="auto"/>
                  </w:divBdr>
                  <w:divsChild>
                    <w:div w:id="1000816019">
                      <w:marLeft w:val="0"/>
                      <w:marRight w:val="0"/>
                      <w:marTop w:val="0"/>
                      <w:marBottom w:val="0"/>
                      <w:divBdr>
                        <w:top w:val="none" w:sz="0" w:space="0" w:color="auto"/>
                        <w:left w:val="none" w:sz="0" w:space="0" w:color="auto"/>
                        <w:bottom w:val="none" w:sz="0" w:space="0" w:color="auto"/>
                        <w:right w:val="none" w:sz="0" w:space="0" w:color="auto"/>
                      </w:divBdr>
                      <w:divsChild>
                        <w:div w:id="850071982">
                          <w:marLeft w:val="0"/>
                          <w:marRight w:val="0"/>
                          <w:marTop w:val="0"/>
                          <w:marBottom w:val="0"/>
                          <w:divBdr>
                            <w:top w:val="none" w:sz="0" w:space="0" w:color="auto"/>
                            <w:left w:val="none" w:sz="0" w:space="0" w:color="auto"/>
                            <w:bottom w:val="none" w:sz="0" w:space="0" w:color="auto"/>
                            <w:right w:val="none" w:sz="0" w:space="0" w:color="auto"/>
                          </w:divBdr>
                          <w:divsChild>
                            <w:div w:id="166011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738876">
      <w:bodyDiv w:val="1"/>
      <w:marLeft w:val="0"/>
      <w:marRight w:val="0"/>
      <w:marTop w:val="0"/>
      <w:marBottom w:val="0"/>
      <w:divBdr>
        <w:top w:val="none" w:sz="0" w:space="0" w:color="auto"/>
        <w:left w:val="none" w:sz="0" w:space="0" w:color="auto"/>
        <w:bottom w:val="none" w:sz="0" w:space="0" w:color="auto"/>
        <w:right w:val="none" w:sz="0" w:space="0" w:color="auto"/>
      </w:divBdr>
      <w:divsChild>
        <w:div w:id="944071175">
          <w:marLeft w:val="0"/>
          <w:marRight w:val="0"/>
          <w:marTop w:val="0"/>
          <w:marBottom w:val="0"/>
          <w:divBdr>
            <w:top w:val="none" w:sz="0" w:space="0" w:color="auto"/>
            <w:left w:val="none" w:sz="0" w:space="0" w:color="auto"/>
            <w:bottom w:val="none" w:sz="0" w:space="0" w:color="auto"/>
            <w:right w:val="none" w:sz="0" w:space="0" w:color="auto"/>
          </w:divBdr>
          <w:divsChild>
            <w:div w:id="208736018">
              <w:marLeft w:val="0"/>
              <w:marRight w:val="0"/>
              <w:marTop w:val="0"/>
              <w:marBottom w:val="0"/>
              <w:divBdr>
                <w:top w:val="none" w:sz="0" w:space="0" w:color="auto"/>
                <w:left w:val="none" w:sz="0" w:space="0" w:color="auto"/>
                <w:bottom w:val="none" w:sz="0" w:space="0" w:color="auto"/>
                <w:right w:val="none" w:sz="0" w:space="0" w:color="auto"/>
              </w:divBdr>
              <w:divsChild>
                <w:div w:id="1137531987">
                  <w:marLeft w:val="0"/>
                  <w:marRight w:val="0"/>
                  <w:marTop w:val="0"/>
                  <w:marBottom w:val="0"/>
                  <w:divBdr>
                    <w:top w:val="none" w:sz="0" w:space="0" w:color="auto"/>
                    <w:left w:val="none" w:sz="0" w:space="0" w:color="auto"/>
                    <w:bottom w:val="none" w:sz="0" w:space="0" w:color="auto"/>
                    <w:right w:val="none" w:sz="0" w:space="0" w:color="auto"/>
                  </w:divBdr>
                  <w:divsChild>
                    <w:div w:id="556816545">
                      <w:marLeft w:val="0"/>
                      <w:marRight w:val="0"/>
                      <w:marTop w:val="0"/>
                      <w:marBottom w:val="0"/>
                      <w:divBdr>
                        <w:top w:val="none" w:sz="0" w:space="0" w:color="auto"/>
                        <w:left w:val="none" w:sz="0" w:space="0" w:color="auto"/>
                        <w:bottom w:val="none" w:sz="0" w:space="0" w:color="auto"/>
                        <w:right w:val="none" w:sz="0" w:space="0" w:color="auto"/>
                      </w:divBdr>
                      <w:divsChild>
                        <w:div w:id="1564751443">
                          <w:marLeft w:val="0"/>
                          <w:marRight w:val="0"/>
                          <w:marTop w:val="0"/>
                          <w:marBottom w:val="0"/>
                          <w:divBdr>
                            <w:top w:val="none" w:sz="0" w:space="0" w:color="auto"/>
                            <w:left w:val="none" w:sz="0" w:space="0" w:color="auto"/>
                            <w:bottom w:val="none" w:sz="0" w:space="0" w:color="auto"/>
                            <w:right w:val="none" w:sz="0" w:space="0" w:color="auto"/>
                          </w:divBdr>
                          <w:divsChild>
                            <w:div w:id="19357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969047">
      <w:bodyDiv w:val="1"/>
      <w:marLeft w:val="0"/>
      <w:marRight w:val="0"/>
      <w:marTop w:val="0"/>
      <w:marBottom w:val="0"/>
      <w:divBdr>
        <w:top w:val="none" w:sz="0" w:space="0" w:color="auto"/>
        <w:left w:val="none" w:sz="0" w:space="0" w:color="auto"/>
        <w:bottom w:val="none" w:sz="0" w:space="0" w:color="auto"/>
        <w:right w:val="none" w:sz="0" w:space="0" w:color="auto"/>
      </w:divBdr>
    </w:div>
    <w:div w:id="1287543737">
      <w:bodyDiv w:val="1"/>
      <w:marLeft w:val="0"/>
      <w:marRight w:val="0"/>
      <w:marTop w:val="0"/>
      <w:marBottom w:val="0"/>
      <w:divBdr>
        <w:top w:val="none" w:sz="0" w:space="0" w:color="auto"/>
        <w:left w:val="none" w:sz="0" w:space="0" w:color="auto"/>
        <w:bottom w:val="none" w:sz="0" w:space="0" w:color="auto"/>
        <w:right w:val="none" w:sz="0" w:space="0" w:color="auto"/>
      </w:divBdr>
    </w:div>
    <w:div w:id="1378237128">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43727103">
      <w:bodyDiv w:val="1"/>
      <w:marLeft w:val="0"/>
      <w:marRight w:val="0"/>
      <w:marTop w:val="0"/>
      <w:marBottom w:val="0"/>
      <w:divBdr>
        <w:top w:val="none" w:sz="0" w:space="0" w:color="auto"/>
        <w:left w:val="none" w:sz="0" w:space="0" w:color="auto"/>
        <w:bottom w:val="none" w:sz="0" w:space="0" w:color="auto"/>
        <w:right w:val="none" w:sz="0" w:space="0" w:color="auto"/>
      </w:divBdr>
    </w:div>
    <w:div w:id="1748385134">
      <w:bodyDiv w:val="1"/>
      <w:marLeft w:val="0"/>
      <w:marRight w:val="0"/>
      <w:marTop w:val="0"/>
      <w:marBottom w:val="0"/>
      <w:divBdr>
        <w:top w:val="none" w:sz="0" w:space="0" w:color="auto"/>
        <w:left w:val="none" w:sz="0" w:space="0" w:color="auto"/>
        <w:bottom w:val="none" w:sz="0" w:space="0" w:color="auto"/>
        <w:right w:val="none" w:sz="0" w:space="0" w:color="auto"/>
      </w:divBdr>
      <w:divsChild>
        <w:div w:id="2010668882">
          <w:marLeft w:val="0"/>
          <w:marRight w:val="0"/>
          <w:marTop w:val="0"/>
          <w:marBottom w:val="0"/>
          <w:divBdr>
            <w:top w:val="none" w:sz="0" w:space="0" w:color="auto"/>
            <w:left w:val="none" w:sz="0" w:space="0" w:color="auto"/>
            <w:bottom w:val="none" w:sz="0" w:space="0" w:color="auto"/>
            <w:right w:val="none" w:sz="0" w:space="0" w:color="auto"/>
          </w:divBdr>
          <w:divsChild>
            <w:div w:id="67113671">
              <w:marLeft w:val="0"/>
              <w:marRight w:val="0"/>
              <w:marTop w:val="0"/>
              <w:marBottom w:val="0"/>
              <w:divBdr>
                <w:top w:val="none" w:sz="0" w:space="0" w:color="auto"/>
                <w:left w:val="none" w:sz="0" w:space="0" w:color="auto"/>
                <w:bottom w:val="none" w:sz="0" w:space="0" w:color="auto"/>
                <w:right w:val="none" w:sz="0" w:space="0" w:color="auto"/>
              </w:divBdr>
              <w:divsChild>
                <w:div w:id="1990547546">
                  <w:marLeft w:val="0"/>
                  <w:marRight w:val="0"/>
                  <w:marTop w:val="0"/>
                  <w:marBottom w:val="0"/>
                  <w:divBdr>
                    <w:top w:val="none" w:sz="0" w:space="0" w:color="auto"/>
                    <w:left w:val="none" w:sz="0" w:space="0" w:color="auto"/>
                    <w:bottom w:val="none" w:sz="0" w:space="0" w:color="auto"/>
                    <w:right w:val="none" w:sz="0" w:space="0" w:color="auto"/>
                  </w:divBdr>
                  <w:divsChild>
                    <w:div w:id="42219850">
                      <w:marLeft w:val="0"/>
                      <w:marRight w:val="0"/>
                      <w:marTop w:val="0"/>
                      <w:marBottom w:val="0"/>
                      <w:divBdr>
                        <w:top w:val="none" w:sz="0" w:space="0" w:color="auto"/>
                        <w:left w:val="none" w:sz="0" w:space="0" w:color="auto"/>
                        <w:bottom w:val="none" w:sz="0" w:space="0" w:color="auto"/>
                        <w:right w:val="none" w:sz="0" w:space="0" w:color="auto"/>
                      </w:divBdr>
                      <w:divsChild>
                        <w:div w:id="379789618">
                          <w:marLeft w:val="0"/>
                          <w:marRight w:val="0"/>
                          <w:marTop w:val="0"/>
                          <w:marBottom w:val="0"/>
                          <w:divBdr>
                            <w:top w:val="none" w:sz="0" w:space="0" w:color="auto"/>
                            <w:left w:val="none" w:sz="0" w:space="0" w:color="auto"/>
                            <w:bottom w:val="none" w:sz="0" w:space="0" w:color="auto"/>
                            <w:right w:val="none" w:sz="0" w:space="0" w:color="auto"/>
                          </w:divBdr>
                          <w:divsChild>
                            <w:div w:id="203384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19151985">
      <w:bodyDiv w:val="1"/>
      <w:marLeft w:val="0"/>
      <w:marRight w:val="0"/>
      <w:marTop w:val="0"/>
      <w:marBottom w:val="0"/>
      <w:divBdr>
        <w:top w:val="none" w:sz="0" w:space="0" w:color="auto"/>
        <w:left w:val="none" w:sz="0" w:space="0" w:color="auto"/>
        <w:bottom w:val="none" w:sz="0" w:space="0" w:color="auto"/>
        <w:right w:val="none" w:sz="0" w:space="0" w:color="auto"/>
      </w:divBdr>
    </w:div>
    <w:div w:id="1840540761">
      <w:bodyDiv w:val="1"/>
      <w:marLeft w:val="0"/>
      <w:marRight w:val="0"/>
      <w:marTop w:val="0"/>
      <w:marBottom w:val="0"/>
      <w:divBdr>
        <w:top w:val="none" w:sz="0" w:space="0" w:color="auto"/>
        <w:left w:val="none" w:sz="0" w:space="0" w:color="auto"/>
        <w:bottom w:val="none" w:sz="0" w:space="0" w:color="auto"/>
        <w:right w:val="none" w:sz="0" w:space="0" w:color="auto"/>
      </w:divBdr>
    </w:div>
    <w:div w:id="1882280414">
      <w:bodyDiv w:val="1"/>
      <w:marLeft w:val="0"/>
      <w:marRight w:val="0"/>
      <w:marTop w:val="0"/>
      <w:marBottom w:val="0"/>
      <w:divBdr>
        <w:top w:val="none" w:sz="0" w:space="0" w:color="auto"/>
        <w:left w:val="none" w:sz="0" w:space="0" w:color="auto"/>
        <w:bottom w:val="none" w:sz="0" w:space="0" w:color="auto"/>
        <w:right w:val="none" w:sz="0" w:space="0" w:color="auto"/>
      </w:divBdr>
      <w:divsChild>
        <w:div w:id="1728140290">
          <w:marLeft w:val="0"/>
          <w:marRight w:val="0"/>
          <w:marTop w:val="0"/>
          <w:marBottom w:val="0"/>
          <w:divBdr>
            <w:top w:val="none" w:sz="0" w:space="0" w:color="auto"/>
            <w:left w:val="none" w:sz="0" w:space="0" w:color="auto"/>
            <w:bottom w:val="none" w:sz="0" w:space="0" w:color="auto"/>
            <w:right w:val="none" w:sz="0" w:space="0" w:color="auto"/>
          </w:divBdr>
          <w:divsChild>
            <w:div w:id="1992325024">
              <w:marLeft w:val="0"/>
              <w:marRight w:val="0"/>
              <w:marTop w:val="0"/>
              <w:marBottom w:val="0"/>
              <w:divBdr>
                <w:top w:val="none" w:sz="0" w:space="0" w:color="auto"/>
                <w:left w:val="none" w:sz="0" w:space="0" w:color="auto"/>
                <w:bottom w:val="none" w:sz="0" w:space="0" w:color="auto"/>
                <w:right w:val="none" w:sz="0" w:space="0" w:color="auto"/>
              </w:divBdr>
              <w:divsChild>
                <w:div w:id="79067094">
                  <w:marLeft w:val="0"/>
                  <w:marRight w:val="0"/>
                  <w:marTop w:val="0"/>
                  <w:marBottom w:val="0"/>
                  <w:divBdr>
                    <w:top w:val="none" w:sz="0" w:space="0" w:color="auto"/>
                    <w:left w:val="none" w:sz="0" w:space="0" w:color="auto"/>
                    <w:bottom w:val="none" w:sz="0" w:space="0" w:color="auto"/>
                    <w:right w:val="none" w:sz="0" w:space="0" w:color="auto"/>
                  </w:divBdr>
                  <w:divsChild>
                    <w:div w:id="29916452">
                      <w:marLeft w:val="0"/>
                      <w:marRight w:val="0"/>
                      <w:marTop w:val="0"/>
                      <w:marBottom w:val="0"/>
                      <w:divBdr>
                        <w:top w:val="none" w:sz="0" w:space="0" w:color="auto"/>
                        <w:left w:val="none" w:sz="0" w:space="0" w:color="auto"/>
                        <w:bottom w:val="none" w:sz="0" w:space="0" w:color="auto"/>
                        <w:right w:val="none" w:sz="0" w:space="0" w:color="auto"/>
                      </w:divBdr>
                      <w:divsChild>
                        <w:div w:id="1120537044">
                          <w:marLeft w:val="0"/>
                          <w:marRight w:val="0"/>
                          <w:marTop w:val="0"/>
                          <w:marBottom w:val="0"/>
                          <w:divBdr>
                            <w:top w:val="none" w:sz="0" w:space="0" w:color="auto"/>
                            <w:left w:val="none" w:sz="0" w:space="0" w:color="auto"/>
                            <w:bottom w:val="none" w:sz="0" w:space="0" w:color="auto"/>
                            <w:right w:val="none" w:sz="0" w:space="0" w:color="auto"/>
                          </w:divBdr>
                          <w:divsChild>
                            <w:div w:id="1245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187828">
      <w:bodyDiv w:val="1"/>
      <w:marLeft w:val="0"/>
      <w:marRight w:val="0"/>
      <w:marTop w:val="0"/>
      <w:marBottom w:val="0"/>
      <w:divBdr>
        <w:top w:val="none" w:sz="0" w:space="0" w:color="auto"/>
        <w:left w:val="none" w:sz="0" w:space="0" w:color="auto"/>
        <w:bottom w:val="none" w:sz="0" w:space="0" w:color="auto"/>
        <w:right w:val="none" w:sz="0" w:space="0" w:color="auto"/>
      </w:divBdr>
    </w:div>
    <w:div w:id="1948082026">
      <w:bodyDiv w:val="1"/>
      <w:marLeft w:val="0"/>
      <w:marRight w:val="0"/>
      <w:marTop w:val="0"/>
      <w:marBottom w:val="0"/>
      <w:divBdr>
        <w:top w:val="none" w:sz="0" w:space="0" w:color="auto"/>
        <w:left w:val="none" w:sz="0" w:space="0" w:color="auto"/>
        <w:bottom w:val="none" w:sz="0" w:space="0" w:color="auto"/>
        <w:right w:val="none" w:sz="0" w:space="0" w:color="auto"/>
      </w:divBdr>
      <w:divsChild>
        <w:div w:id="1831487059">
          <w:marLeft w:val="0"/>
          <w:marRight w:val="0"/>
          <w:marTop w:val="0"/>
          <w:marBottom w:val="0"/>
          <w:divBdr>
            <w:top w:val="none" w:sz="0" w:space="0" w:color="auto"/>
            <w:left w:val="none" w:sz="0" w:space="0" w:color="auto"/>
            <w:bottom w:val="none" w:sz="0" w:space="0" w:color="auto"/>
            <w:right w:val="none" w:sz="0" w:space="0" w:color="auto"/>
          </w:divBdr>
          <w:divsChild>
            <w:div w:id="1424109738">
              <w:marLeft w:val="0"/>
              <w:marRight w:val="0"/>
              <w:marTop w:val="0"/>
              <w:marBottom w:val="0"/>
              <w:divBdr>
                <w:top w:val="none" w:sz="0" w:space="0" w:color="auto"/>
                <w:left w:val="none" w:sz="0" w:space="0" w:color="auto"/>
                <w:bottom w:val="none" w:sz="0" w:space="0" w:color="auto"/>
                <w:right w:val="none" w:sz="0" w:space="0" w:color="auto"/>
              </w:divBdr>
              <w:divsChild>
                <w:div w:id="626664609">
                  <w:marLeft w:val="0"/>
                  <w:marRight w:val="0"/>
                  <w:marTop w:val="0"/>
                  <w:marBottom w:val="0"/>
                  <w:divBdr>
                    <w:top w:val="none" w:sz="0" w:space="0" w:color="auto"/>
                    <w:left w:val="none" w:sz="0" w:space="0" w:color="auto"/>
                    <w:bottom w:val="none" w:sz="0" w:space="0" w:color="auto"/>
                    <w:right w:val="none" w:sz="0" w:space="0" w:color="auto"/>
                  </w:divBdr>
                  <w:divsChild>
                    <w:div w:id="1158350195">
                      <w:marLeft w:val="0"/>
                      <w:marRight w:val="0"/>
                      <w:marTop w:val="0"/>
                      <w:marBottom w:val="0"/>
                      <w:divBdr>
                        <w:top w:val="none" w:sz="0" w:space="0" w:color="auto"/>
                        <w:left w:val="none" w:sz="0" w:space="0" w:color="auto"/>
                        <w:bottom w:val="none" w:sz="0" w:space="0" w:color="auto"/>
                        <w:right w:val="none" w:sz="0" w:space="0" w:color="auto"/>
                      </w:divBdr>
                      <w:divsChild>
                        <w:div w:id="2091344037">
                          <w:marLeft w:val="0"/>
                          <w:marRight w:val="0"/>
                          <w:marTop w:val="0"/>
                          <w:marBottom w:val="0"/>
                          <w:divBdr>
                            <w:top w:val="none" w:sz="0" w:space="0" w:color="auto"/>
                            <w:left w:val="none" w:sz="0" w:space="0" w:color="auto"/>
                            <w:bottom w:val="none" w:sz="0" w:space="0" w:color="auto"/>
                            <w:right w:val="none" w:sz="0" w:space="0" w:color="auto"/>
                          </w:divBdr>
                          <w:divsChild>
                            <w:div w:id="18184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857202">
      <w:bodyDiv w:val="1"/>
      <w:marLeft w:val="0"/>
      <w:marRight w:val="0"/>
      <w:marTop w:val="0"/>
      <w:marBottom w:val="0"/>
      <w:divBdr>
        <w:top w:val="none" w:sz="0" w:space="0" w:color="auto"/>
        <w:left w:val="none" w:sz="0" w:space="0" w:color="auto"/>
        <w:bottom w:val="none" w:sz="0" w:space="0" w:color="auto"/>
        <w:right w:val="none" w:sz="0" w:space="0" w:color="auto"/>
      </w:divBdr>
      <w:divsChild>
        <w:div w:id="1501849293">
          <w:marLeft w:val="0"/>
          <w:marRight w:val="0"/>
          <w:marTop w:val="0"/>
          <w:marBottom w:val="0"/>
          <w:divBdr>
            <w:top w:val="none" w:sz="0" w:space="0" w:color="auto"/>
            <w:left w:val="none" w:sz="0" w:space="0" w:color="auto"/>
            <w:bottom w:val="none" w:sz="0" w:space="0" w:color="auto"/>
            <w:right w:val="none" w:sz="0" w:space="0" w:color="auto"/>
          </w:divBdr>
          <w:divsChild>
            <w:div w:id="88551556">
              <w:marLeft w:val="0"/>
              <w:marRight w:val="0"/>
              <w:marTop w:val="0"/>
              <w:marBottom w:val="0"/>
              <w:divBdr>
                <w:top w:val="none" w:sz="0" w:space="0" w:color="auto"/>
                <w:left w:val="none" w:sz="0" w:space="0" w:color="auto"/>
                <w:bottom w:val="none" w:sz="0" w:space="0" w:color="auto"/>
                <w:right w:val="none" w:sz="0" w:space="0" w:color="auto"/>
              </w:divBdr>
              <w:divsChild>
                <w:div w:id="1862620019">
                  <w:marLeft w:val="0"/>
                  <w:marRight w:val="0"/>
                  <w:marTop w:val="0"/>
                  <w:marBottom w:val="0"/>
                  <w:divBdr>
                    <w:top w:val="none" w:sz="0" w:space="0" w:color="auto"/>
                    <w:left w:val="none" w:sz="0" w:space="0" w:color="auto"/>
                    <w:bottom w:val="none" w:sz="0" w:space="0" w:color="auto"/>
                    <w:right w:val="none" w:sz="0" w:space="0" w:color="auto"/>
                  </w:divBdr>
                  <w:divsChild>
                    <w:div w:id="1418553948">
                      <w:marLeft w:val="0"/>
                      <w:marRight w:val="0"/>
                      <w:marTop w:val="0"/>
                      <w:marBottom w:val="0"/>
                      <w:divBdr>
                        <w:top w:val="none" w:sz="0" w:space="0" w:color="auto"/>
                        <w:left w:val="none" w:sz="0" w:space="0" w:color="auto"/>
                        <w:bottom w:val="none" w:sz="0" w:space="0" w:color="auto"/>
                        <w:right w:val="none" w:sz="0" w:space="0" w:color="auto"/>
                      </w:divBdr>
                      <w:divsChild>
                        <w:div w:id="1903634407">
                          <w:marLeft w:val="0"/>
                          <w:marRight w:val="0"/>
                          <w:marTop w:val="0"/>
                          <w:marBottom w:val="0"/>
                          <w:divBdr>
                            <w:top w:val="none" w:sz="0" w:space="0" w:color="auto"/>
                            <w:left w:val="none" w:sz="0" w:space="0" w:color="auto"/>
                            <w:bottom w:val="none" w:sz="0" w:space="0" w:color="auto"/>
                            <w:right w:val="none" w:sz="0" w:space="0" w:color="auto"/>
                          </w:divBdr>
                          <w:divsChild>
                            <w:div w:id="150624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http://det.wa.edu.au/labourrelations/detcms/navigation/awards-and-general-agreements/?oid=MultiPartArticle-id-275733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www.dec.nsw.gov.au/about-us/careers-centre/school-careers/teaching/our-programs-and-initiatives/explore-your-future/teaching-in-rural-nsw/incentive-school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image" Target="media/image10.png"/></Relationships>
</file>

<file path=word/charts/_rels/chart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'Pub Sec Edu Profile Model'!$AC$5</c:f>
              <c:strCache>
                <c:ptCount val="1"/>
                <c:pt idx="0">
                  <c:v>Original Model</c:v>
                </c:pt>
              </c:strCache>
            </c:strRef>
          </c:tx>
          <c:spPr>
            <a:solidFill>
              <a:srgbClr val="009999"/>
            </a:solidFill>
            <a:ln>
              <a:solidFill>
                <a:schemeClr val="tx1"/>
              </a:solidFill>
            </a:ln>
          </c:spPr>
          <c:invertIfNegative val="0"/>
          <c:errBars>
            <c:errBarType val="both"/>
            <c:errValType val="cust"/>
            <c:noEndCap val="0"/>
            <c:plus>
              <c:numRef>
                <c:f>'Pub Sec Edu Profile Model'!$AS$6:$AS$13</c:f>
                <c:numCache>
                  <c:formatCode>General</c:formatCode>
                  <c:ptCount val="8"/>
                  <c:pt idx="0">
                    <c:v>1.1571841505043642E-2</c:v>
                  </c:pt>
                  <c:pt idx="1">
                    <c:v>1.3388307257563039E-2</c:v>
                  </c:pt>
                  <c:pt idx="2">
                    <c:v>1.5307695551092126E-2</c:v>
                  </c:pt>
                  <c:pt idx="3">
                    <c:v>2.3289537530553333E-2</c:v>
                  </c:pt>
                  <c:pt idx="4">
                    <c:v>2.6820905171692382E-2</c:v>
                  </c:pt>
                  <c:pt idx="5">
                    <c:v>5.0143061661975005E-2</c:v>
                  </c:pt>
                  <c:pt idx="6">
                    <c:v>7.2393998651381686E-2</c:v>
                  </c:pt>
                  <c:pt idx="7">
                    <c:v>9.5489425514821327E-2</c:v>
                  </c:pt>
                </c:numCache>
              </c:numRef>
            </c:plus>
            <c:minus>
              <c:numRef>
                <c:f>'Pub Sec Edu Profile Model'!$AR$6:$AR$13</c:f>
                <c:numCache>
                  <c:formatCode>General</c:formatCode>
                  <c:ptCount val="8"/>
                  <c:pt idx="0">
                    <c:v>1.1441261954792345E-2</c:v>
                  </c:pt>
                  <c:pt idx="1">
                    <c:v>1.3207686005843433E-2</c:v>
                  </c:pt>
                  <c:pt idx="2">
                    <c:v>1.5071905970747257E-2</c:v>
                  </c:pt>
                  <c:pt idx="3">
                    <c:v>2.2786982426505956E-2</c:v>
                  </c:pt>
                  <c:pt idx="4">
                    <c:v>2.6108758354104422E-2</c:v>
                  </c:pt>
                  <c:pt idx="5">
                    <c:v>4.7638222739507394E-2</c:v>
                  </c:pt>
                  <c:pt idx="6">
                    <c:v>6.7737517849391943E-2</c:v>
                  </c:pt>
                  <c:pt idx="7">
                    <c:v>8.7678534928781013E-2</c:v>
                  </c:pt>
                </c:numCache>
              </c:numRef>
            </c:minus>
          </c:errBars>
          <c:cat>
            <c:strRef>
              <c:f>'Pub Sec Edu Profile Model'!$AC$16:$AC$23</c:f>
              <c:strCache>
                <c:ptCount val="8"/>
                <c:pt idx="0">
                  <c:v>NSW</c:v>
                </c:pt>
                <c:pt idx="1">
                  <c:v>Vic</c:v>
                </c:pt>
                <c:pt idx="2">
                  <c:v>Qld</c:v>
                </c:pt>
                <c:pt idx="3">
                  <c:v>WA</c:v>
                </c:pt>
                <c:pt idx="4">
                  <c:v>SA</c:v>
                </c:pt>
                <c:pt idx="5">
                  <c:v>Tas</c:v>
                </c:pt>
                <c:pt idx="6">
                  <c:v>ACT</c:v>
                </c:pt>
                <c:pt idx="7">
                  <c:v>NT</c:v>
                </c:pt>
              </c:strCache>
            </c:strRef>
          </c:cat>
          <c:val>
            <c:numRef>
              <c:f>'Pub Sec Edu Profile Model'!$AQ$6:$AQ$13</c:f>
              <c:numCache>
                <c:formatCode>General</c:formatCode>
                <c:ptCount val="8"/>
                <c:pt idx="0">
                  <c:v>1.3914274507153221E-2</c:v>
                </c:pt>
                <c:pt idx="1">
                  <c:v>-2.0998045776412851E-2</c:v>
                </c:pt>
                <c:pt idx="2">
                  <c:v>-2.1516779335615452E-2</c:v>
                </c:pt>
                <c:pt idx="3">
                  <c:v>5.6000184171582701E-2</c:v>
                </c:pt>
                <c:pt idx="4">
                  <c:v>-1.6690779665761421E-2</c:v>
                </c:pt>
                <c:pt idx="5">
                  <c:v>-4.6355308971049447E-2</c:v>
                </c:pt>
                <c:pt idx="6">
                  <c:v>5.3110704062456993E-2</c:v>
                </c:pt>
                <c:pt idx="7">
                  <c:v>7.1884548644595578E-2</c:v>
                </c:pt>
              </c:numCache>
            </c:numRef>
          </c:val>
        </c:ser>
        <c:ser>
          <c:idx val="1"/>
          <c:order val="1"/>
          <c:tx>
            <c:strRef>
              <c:f>'Pub Sec Edu Profile Model'!$AC$15</c:f>
              <c:strCache>
                <c:ptCount val="1"/>
                <c:pt idx="0">
                  <c:v>Reweighted Model</c:v>
                </c:pt>
              </c:strCache>
            </c:strRef>
          </c:tx>
          <c:spPr>
            <a:solidFill>
              <a:srgbClr val="C1FFE0"/>
            </a:solidFill>
            <a:ln>
              <a:solidFill>
                <a:schemeClr val="tx1"/>
              </a:solidFill>
            </a:ln>
          </c:spPr>
          <c:invertIfNegative val="0"/>
          <c:errBars>
            <c:errBarType val="both"/>
            <c:errValType val="cust"/>
            <c:noEndCap val="0"/>
            <c:plus>
              <c:numRef>
                <c:f>'Pub Sec Edu Profile Model'!$AS$16:$AS$23</c:f>
                <c:numCache>
                  <c:formatCode>General</c:formatCode>
                  <c:ptCount val="8"/>
                  <c:pt idx="0">
                    <c:v>1.2174691419794209E-2</c:v>
                  </c:pt>
                  <c:pt idx="1">
                    <c:v>1.3698085436370641E-2</c:v>
                  </c:pt>
                  <c:pt idx="2">
                    <c:v>1.5997508333696411E-2</c:v>
                  </c:pt>
                  <c:pt idx="3">
                    <c:v>2.451141147022055E-2</c:v>
                  </c:pt>
                  <c:pt idx="4">
                    <c:v>2.8661956393252395E-2</c:v>
                  </c:pt>
                  <c:pt idx="5">
                    <c:v>5.6666546671526076E-2</c:v>
                  </c:pt>
                  <c:pt idx="6">
                    <c:v>7.1669400679298612E-2</c:v>
                  </c:pt>
                  <c:pt idx="7">
                    <c:v>0.10197828113091356</c:v>
                  </c:pt>
                </c:numCache>
              </c:numRef>
            </c:plus>
            <c:minus>
              <c:numRef>
                <c:f>'Pub Sec Edu Profile Model'!$AR$16:$AR$23</c:f>
                <c:numCache>
                  <c:formatCode>General</c:formatCode>
                  <c:ptCount val="8"/>
                  <c:pt idx="0">
                    <c:v>1.2032119791707943E-2</c:v>
                  </c:pt>
                  <c:pt idx="1">
                    <c:v>1.3509577439830417E-2</c:v>
                  </c:pt>
                  <c:pt idx="2">
                    <c:v>1.5736590109207603E-2</c:v>
                  </c:pt>
                  <c:pt idx="3">
                    <c:v>2.3951955826060606E-2</c:v>
                  </c:pt>
                  <c:pt idx="4">
                    <c:v>2.7850660494202848E-2</c:v>
                  </c:pt>
                  <c:pt idx="5">
                    <c:v>5.3417043796770036E-2</c:v>
                  </c:pt>
                  <c:pt idx="6">
                    <c:v>6.7125277556832993E-2</c:v>
                  </c:pt>
                  <c:pt idx="7">
                    <c:v>9.2936332368650579E-2</c:v>
                  </c:pt>
                </c:numCache>
              </c:numRef>
            </c:minus>
          </c:errBars>
          <c:cat>
            <c:strRef>
              <c:f>'Pub Sec Edu Profile Model'!$AC$16:$AC$23</c:f>
              <c:strCache>
                <c:ptCount val="8"/>
                <c:pt idx="0">
                  <c:v>NSW</c:v>
                </c:pt>
                <c:pt idx="1">
                  <c:v>Vic</c:v>
                </c:pt>
                <c:pt idx="2">
                  <c:v>Qld</c:v>
                </c:pt>
                <c:pt idx="3">
                  <c:v>WA</c:v>
                </c:pt>
                <c:pt idx="4">
                  <c:v>SA</c:v>
                </c:pt>
                <c:pt idx="5">
                  <c:v>Tas</c:v>
                </c:pt>
                <c:pt idx="6">
                  <c:v>ACT</c:v>
                </c:pt>
                <c:pt idx="7">
                  <c:v>NT</c:v>
                </c:pt>
              </c:strCache>
            </c:strRef>
          </c:cat>
          <c:val>
            <c:numRef>
              <c:f>'Pub Sec Edu Profile Model'!$AQ$16:$AQ$23</c:f>
              <c:numCache>
                <c:formatCode>General</c:formatCode>
                <c:ptCount val="8"/>
                <c:pt idx="0">
                  <c:v>2.7464913997132356E-2</c:v>
                </c:pt>
                <c:pt idx="1">
                  <c:v>-1.8315671608577645E-2</c:v>
                </c:pt>
                <c:pt idx="2">
                  <c:v>-3.5152749834428509E-2</c:v>
                </c:pt>
                <c:pt idx="3">
                  <c:v>4.940624140201233E-2</c:v>
                </c:pt>
                <c:pt idx="4">
                  <c:v>-1.6074877805621682E-2</c:v>
                </c:pt>
                <c:pt idx="5">
                  <c:v>-6.8485389294503707E-2</c:v>
                </c:pt>
                <c:pt idx="6">
                  <c:v>5.8692355659481422E-2</c:v>
                </c:pt>
                <c:pt idx="7">
                  <c:v>4.8168672346499804E-2</c:v>
                </c:pt>
              </c:numCache>
            </c:numRef>
          </c:val>
        </c:ser>
        <c:dLbls>
          <c:showLegendKey val="0"/>
          <c:showVal val="0"/>
          <c:showCatName val="0"/>
          <c:showSerName val="0"/>
          <c:showPercent val="0"/>
          <c:showBubbleSize val="0"/>
        </c:dLbls>
        <c:gapWidth val="150"/>
        <c:axId val="38124928"/>
        <c:axId val="38130816"/>
      </c:barChart>
      <c:catAx>
        <c:axId val="38124928"/>
        <c:scaling>
          <c:orientation val="minMax"/>
        </c:scaling>
        <c:delete val="0"/>
        <c:axPos val="b"/>
        <c:majorTickMark val="out"/>
        <c:minorTickMark val="none"/>
        <c:tickLblPos val="low"/>
        <c:crossAx val="38130816"/>
        <c:crosses val="autoZero"/>
        <c:auto val="1"/>
        <c:lblAlgn val="ctr"/>
        <c:lblOffset val="100"/>
        <c:noMultiLvlLbl val="0"/>
      </c:catAx>
      <c:valAx>
        <c:axId val="38130816"/>
        <c:scaling>
          <c:orientation val="minMax"/>
          <c:max val="0.17"/>
          <c:min val="-0.13"/>
        </c:scaling>
        <c:delete val="0"/>
        <c:axPos val="l"/>
        <c:majorGridlines>
          <c:spPr>
            <a:ln>
              <a:solidFill>
                <a:schemeClr val="bg1">
                  <a:lumMod val="65000"/>
                </a:schemeClr>
              </a:solidFill>
            </a:ln>
          </c:spPr>
        </c:majorGridlines>
        <c:title>
          <c:tx>
            <c:rich>
              <a:bodyPr rot="-5400000" vert="horz"/>
              <a:lstStyle/>
              <a:p>
                <a:pPr>
                  <a:defRPr/>
                </a:pPr>
                <a:r>
                  <a:rPr lang="en-US"/>
                  <a:t>Difference from national average</a:t>
                </a:r>
              </a:p>
            </c:rich>
          </c:tx>
          <c:overlay val="0"/>
        </c:title>
        <c:numFmt formatCode="0%" sourceLinked="0"/>
        <c:majorTickMark val="out"/>
        <c:minorTickMark val="none"/>
        <c:tickLblPos val="low"/>
        <c:crossAx val="38124928"/>
        <c:crosses val="autoZero"/>
        <c:crossBetween val="between"/>
      </c:valAx>
    </c:plotArea>
    <c:legend>
      <c:legendPos val="t"/>
      <c:overlay val="0"/>
      <c:spPr>
        <a:solidFill>
          <a:sysClr val="window" lastClr="FFFFFF"/>
        </a:solidFill>
        <a:ln>
          <a:solidFill>
            <a:sysClr val="window" lastClr="FFFFFF">
              <a:lumMod val="65000"/>
            </a:sysClr>
          </a:solidFill>
        </a:ln>
      </c:spPr>
    </c:legend>
    <c:plotVisOnly val="1"/>
    <c:dispBlanksAs val="gap"/>
    <c:showDLblsOverMax val="0"/>
  </c:chart>
  <c:spPr>
    <a:ln w="3175">
      <a:solidFill>
        <a:sysClr val="windowText" lastClr="000000"/>
      </a:solidFill>
    </a:ln>
  </c:spPr>
  <c:txPr>
    <a:bodyPr/>
    <a:lstStyle/>
    <a:p>
      <a:pPr>
        <a:defRPr>
          <a:latin typeface="Calibri" pitchFamily="34"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35274-BA29-4432-979B-0A26D5F63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10303</Words>
  <Characters>58729</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2015-08-10T03:55:00Z</cp:lastPrinted>
  <dcterms:created xsi:type="dcterms:W3CDTF">2015-08-12T00:00:00Z</dcterms:created>
  <dcterms:modified xsi:type="dcterms:W3CDTF">2015-08-12T00:00:00Z</dcterms:modified>
</cp:coreProperties>
</file>