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8B8" w:rsidRDefault="00CB78B8" w:rsidP="00CB78B8">
      <w:pPr>
        <w:pStyle w:val="Heading3"/>
      </w:pPr>
      <w:r>
        <w:t>INTRODUCTION</w:t>
      </w:r>
    </w:p>
    <w:p w:rsidR="00CB78B8" w:rsidRDefault="00CB78B8" w:rsidP="00CB78B8">
      <w:pPr>
        <w:pStyle w:val="CGCNumberedPara"/>
        <w:numPr>
          <w:ilvl w:val="1"/>
          <w:numId w:val="3"/>
        </w:numPr>
      </w:pPr>
      <w:r w:rsidRPr="00294F40">
        <w:t xml:space="preserve">Since sending the Staff discussion paper </w:t>
      </w:r>
      <w:r w:rsidRPr="00CB78B8">
        <w:rPr>
          <w:i/>
        </w:rPr>
        <w:t>CGC 2015-04-S New Issues for the 2016 Update</w:t>
      </w:r>
      <w:r>
        <w:t xml:space="preserve"> </w:t>
      </w:r>
      <w:r w:rsidRPr="00294F40">
        <w:t>to States, we have become aware of two Australian Government payments which commenced in 2014-15. They are payments for Tasmanian wilderness world heritage area and Water reform — Constrain</w:t>
      </w:r>
      <w:r>
        <w:t>t</w:t>
      </w:r>
      <w:r w:rsidRPr="00294F40">
        <w:t xml:space="preserve"> measures. Staff proposal</w:t>
      </w:r>
      <w:r>
        <w:t>s</w:t>
      </w:r>
      <w:r w:rsidRPr="00294F40">
        <w:t xml:space="preserve"> on the treatment of these payments are </w:t>
      </w:r>
      <w:r>
        <w:t xml:space="preserve">set out below. </w:t>
      </w:r>
    </w:p>
    <w:p w:rsidR="00CB78B8" w:rsidRDefault="00CB78B8" w:rsidP="00CB78B8">
      <w:pPr>
        <w:pStyle w:val="CGCNumberedPara"/>
        <w:numPr>
          <w:ilvl w:val="1"/>
          <w:numId w:val="3"/>
        </w:numPr>
      </w:pPr>
      <w:r>
        <w:t xml:space="preserve">Comments should be provided by 23 November 2015 to </w:t>
      </w:r>
      <w:hyperlink r:id="rId9" w:history="1">
        <w:r w:rsidRPr="00573ED7">
          <w:rPr>
            <w:rStyle w:val="Hyperlink"/>
          </w:rPr>
          <w:t>secretary@cgc.gov.au</w:t>
        </w:r>
      </w:hyperlink>
      <w:r>
        <w:t xml:space="preserve">. If we don’t hear from you by that date, we assume you agree with staff proposals. </w:t>
      </w:r>
    </w:p>
    <w:p w:rsidR="00CB78B8" w:rsidRDefault="00CB78B8" w:rsidP="00CB78B8">
      <w:pPr>
        <w:pStyle w:val="CGCNumberedPara"/>
        <w:numPr>
          <w:ilvl w:val="1"/>
          <w:numId w:val="3"/>
        </w:numPr>
      </w:pPr>
      <w:r>
        <w:t>The contact officer for queries is Priscilla Kan (</w:t>
      </w:r>
      <w:hyperlink r:id="rId10" w:history="1">
        <w:r w:rsidRPr="00573ED7">
          <w:rPr>
            <w:rStyle w:val="Hyperlink"/>
          </w:rPr>
          <w:t>priscilla.kan@cgc.gov.au</w:t>
        </w:r>
      </w:hyperlink>
      <w:r>
        <w:t xml:space="preserve"> or 02 6229 8849).</w:t>
      </w:r>
      <w:bookmarkStart w:id="0" w:name="_GoBack"/>
      <w:bookmarkEnd w:id="0"/>
    </w:p>
    <w:p w:rsidR="00CB78B8" w:rsidRDefault="00CB78B8" w:rsidP="00B12C9B">
      <w:pPr>
        <w:pStyle w:val="Heading4"/>
      </w:pPr>
      <w:r>
        <w:t>Tasmanian Wilderness and World Heritage Area</w:t>
      </w:r>
    </w:p>
    <w:p w:rsidR="00CB78B8" w:rsidRDefault="00CB78B8" w:rsidP="00CB78B8">
      <w:pPr>
        <w:pStyle w:val="CGCNumberedPara"/>
        <w:numPr>
          <w:ilvl w:val="1"/>
          <w:numId w:val="3"/>
        </w:numPr>
      </w:pPr>
      <w:r>
        <w:t xml:space="preserve">This NPP will support the Australian Government’s responsibilities as a party to the World Heritage Convention to take appropriate measures for the protection, conservation, presentation and rehabilitation of cultural and natural heritage sites situated on its territory. The Tasmanian Wilderness World Heritage Area is one of 19 </w:t>
      </w:r>
      <w:r w:rsidR="007A67C1">
        <w:t>United Nations Educational, Scientific and Cultural Organisation (</w:t>
      </w:r>
      <w:r>
        <w:t>UNESCO</w:t>
      </w:r>
      <w:r w:rsidR="007A67C1">
        <w:t>)</w:t>
      </w:r>
      <w:r>
        <w:t xml:space="preserve"> World Heritage listed sites in Australia.</w:t>
      </w:r>
    </w:p>
    <w:p w:rsidR="00CB78B8" w:rsidRDefault="00CB78B8" w:rsidP="00CB78B8">
      <w:pPr>
        <w:pStyle w:val="CGCNumberedPara"/>
        <w:numPr>
          <w:ilvl w:val="1"/>
          <w:numId w:val="3"/>
        </w:numPr>
      </w:pPr>
      <w:r>
        <w:t>The funding will support Tasmania’s increased and ongoing management responsibilities for the additions to the Tasmanian Wilderness World Heritage Area in 2013. Specifically, the funding will be used:</w:t>
      </w:r>
    </w:p>
    <w:p w:rsidR="00CB78B8" w:rsidRDefault="00CB78B8" w:rsidP="00CB78B8">
      <w:pPr>
        <w:pStyle w:val="CGCBulletlist"/>
        <w:numPr>
          <w:ilvl w:val="0"/>
          <w:numId w:val="1"/>
        </w:numPr>
      </w:pPr>
      <w:r>
        <w:t>to address high risk biosecurity issues of immediate concern to landholders adjoining the 2013 extension</w:t>
      </w:r>
    </w:p>
    <w:p w:rsidR="00CB78B8" w:rsidRDefault="00CB78B8" w:rsidP="00CB78B8">
      <w:pPr>
        <w:pStyle w:val="CGCBulletlist"/>
        <w:numPr>
          <w:ilvl w:val="0"/>
          <w:numId w:val="1"/>
        </w:numPr>
      </w:pPr>
      <w:r>
        <w:t>to address high risk road safety issues within the 2013 extension</w:t>
      </w:r>
    </w:p>
    <w:p w:rsidR="00CB78B8" w:rsidRDefault="00CB78B8" w:rsidP="00CB78B8">
      <w:pPr>
        <w:pStyle w:val="CGCBulletlist"/>
        <w:numPr>
          <w:ilvl w:val="0"/>
          <w:numId w:val="1"/>
        </w:numPr>
      </w:pPr>
      <w:proofErr w:type="gramStart"/>
      <w:r>
        <w:t>to</w:t>
      </w:r>
      <w:proofErr w:type="gramEnd"/>
      <w:r>
        <w:t xml:space="preserve"> complete a study of the cultural heritage values of the Tasmanian Wilderness World Heritage Area.</w:t>
      </w:r>
    </w:p>
    <w:tbl>
      <w:tblPr>
        <w:tblW w:w="0" w:type="auto"/>
        <w:shd w:val="clear" w:color="auto" w:fill="D9F3E6"/>
        <w:tblLayout w:type="fixed"/>
        <w:tblLook w:val="0000" w:firstRow="0" w:lastRow="0" w:firstColumn="0" w:lastColumn="0" w:noHBand="0" w:noVBand="0"/>
      </w:tblPr>
      <w:tblGrid>
        <w:gridCol w:w="9167"/>
      </w:tblGrid>
      <w:tr w:rsidR="007A67C1" w:rsidRPr="007A67C1" w:rsidTr="007A67C1">
        <w:tc>
          <w:tcPr>
            <w:tcW w:w="9167" w:type="dxa"/>
            <w:shd w:val="clear" w:color="auto" w:fill="D9F3E6"/>
          </w:tcPr>
          <w:p w:rsidR="007A67C1" w:rsidRPr="007A67C1" w:rsidRDefault="007A67C1" w:rsidP="00C96E2A">
            <w:pPr>
              <w:pStyle w:val="CGCNumberedPara"/>
              <w:numPr>
                <w:ilvl w:val="1"/>
                <w:numId w:val="3"/>
              </w:numPr>
            </w:pPr>
            <w:r w:rsidRPr="007A67C1">
              <w:rPr>
                <w:rStyle w:val="Heading5Char"/>
                <w:i w:val="0"/>
              </w:rPr>
              <w:t>Staff recommendation.</w:t>
            </w:r>
            <w:r w:rsidRPr="007A67C1">
              <w:rPr>
                <w:rFonts w:eastAsiaTheme="majorEastAsia" w:cstheme="majorBidi"/>
                <w:b/>
                <w:bCs/>
                <w:iCs/>
                <w:color w:val="2C8558"/>
                <w:sz w:val="32"/>
              </w:rPr>
              <w:t xml:space="preserve"> </w:t>
            </w:r>
            <w:r w:rsidRPr="007A67C1">
              <w:t xml:space="preserve"> This payment is largely to assist Tasmania to fulfil Commonwealth responsibilities as a party to the World Heritage Convention. Needs have not been assessed for this activity. Therefore it should have no impact on the GST distribution. </w:t>
            </w:r>
          </w:p>
        </w:tc>
      </w:tr>
    </w:tbl>
    <w:p w:rsidR="00CB78B8" w:rsidRPr="00152259" w:rsidRDefault="00CB78B8" w:rsidP="00B12C9B">
      <w:pPr>
        <w:pStyle w:val="Heading4"/>
      </w:pPr>
      <w:r>
        <w:t>Water Reform — Constraint measures</w:t>
      </w:r>
    </w:p>
    <w:p w:rsidR="00CB78B8" w:rsidRPr="00481197" w:rsidRDefault="00CB78B8" w:rsidP="00CB78B8">
      <w:pPr>
        <w:numPr>
          <w:ilvl w:val="1"/>
          <w:numId w:val="3"/>
        </w:numPr>
        <w:tabs>
          <w:tab w:val="left" w:pos="567"/>
        </w:tabs>
        <w:spacing w:before="120"/>
        <w:rPr>
          <w:szCs w:val="24"/>
        </w:rPr>
      </w:pPr>
      <w:r w:rsidRPr="00481197">
        <w:rPr>
          <w:szCs w:val="24"/>
        </w:rPr>
        <w:t xml:space="preserve">Under the Intergovernmental Agreement on Implementing Water Reform in the Murray Darling Basin, the Commonwealth has allocated $1.77 billion to address </w:t>
      </w:r>
      <w:r w:rsidRPr="00481197">
        <w:rPr>
          <w:szCs w:val="24"/>
        </w:rPr>
        <w:lastRenderedPageBreak/>
        <w:t>physical, institutional and operational constraints that limit deliver</w:t>
      </w:r>
      <w:r>
        <w:rPr>
          <w:szCs w:val="24"/>
        </w:rPr>
        <w:t>y of</w:t>
      </w:r>
      <w:r w:rsidRPr="00481197">
        <w:rPr>
          <w:szCs w:val="24"/>
        </w:rPr>
        <w:t xml:space="preserve"> environmental water to the environmental assets of the Murray-Darling Basin.</w:t>
      </w:r>
    </w:p>
    <w:p w:rsidR="00CB78B8" w:rsidRPr="00481197" w:rsidRDefault="00CB78B8" w:rsidP="00CB78B8">
      <w:pPr>
        <w:numPr>
          <w:ilvl w:val="1"/>
          <w:numId w:val="3"/>
        </w:numPr>
        <w:tabs>
          <w:tab w:val="left" w:pos="567"/>
        </w:tabs>
        <w:spacing w:before="120"/>
        <w:rPr>
          <w:szCs w:val="24"/>
        </w:rPr>
      </w:pPr>
      <w:r w:rsidRPr="00481197">
        <w:rPr>
          <w:szCs w:val="24"/>
        </w:rPr>
        <w:t>In 2014</w:t>
      </w:r>
      <w:r>
        <w:rPr>
          <w:szCs w:val="24"/>
        </w:rPr>
        <w:t>-</w:t>
      </w:r>
      <w:r w:rsidRPr="00481197">
        <w:rPr>
          <w:szCs w:val="24"/>
        </w:rPr>
        <w:t xml:space="preserve">15, as part of this agreement, South Australia received a payment of $420 000 towards the South Australian Murray key focus area project which will be used to investigate opportunities to address physical and policy constraints </w:t>
      </w:r>
      <w:r>
        <w:rPr>
          <w:szCs w:val="24"/>
        </w:rPr>
        <w:t>on</w:t>
      </w:r>
      <w:r w:rsidRPr="00481197">
        <w:rPr>
          <w:szCs w:val="24"/>
        </w:rPr>
        <w:t xml:space="preserve"> the delivery of higher regulated flows at the South Australian border.</w:t>
      </w:r>
    </w:p>
    <w:tbl>
      <w:tblPr>
        <w:tblW w:w="0" w:type="auto"/>
        <w:shd w:val="clear" w:color="auto" w:fill="D9F3E6"/>
        <w:tblLayout w:type="fixed"/>
        <w:tblLook w:val="0000" w:firstRow="0" w:lastRow="0" w:firstColumn="0" w:lastColumn="0" w:noHBand="0" w:noVBand="0"/>
      </w:tblPr>
      <w:tblGrid>
        <w:gridCol w:w="9167"/>
      </w:tblGrid>
      <w:tr w:rsidR="007A67C1" w:rsidRPr="007A67C1" w:rsidTr="007A67C1">
        <w:tc>
          <w:tcPr>
            <w:tcW w:w="9167" w:type="dxa"/>
            <w:shd w:val="clear" w:color="auto" w:fill="D9F3E6"/>
          </w:tcPr>
          <w:p w:rsidR="007A67C1" w:rsidRPr="007A67C1" w:rsidRDefault="007A67C1" w:rsidP="002515A3">
            <w:pPr>
              <w:numPr>
                <w:ilvl w:val="1"/>
                <w:numId w:val="3"/>
              </w:numPr>
              <w:tabs>
                <w:tab w:val="left" w:pos="567"/>
              </w:tabs>
              <w:spacing w:before="120"/>
              <w:rPr>
                <w:szCs w:val="24"/>
              </w:rPr>
            </w:pPr>
            <w:r w:rsidRPr="007A67C1">
              <w:rPr>
                <w:rStyle w:val="Heading6Char"/>
                <w:i w:val="0"/>
              </w:rPr>
              <w:t>Staff recommendation.</w:t>
            </w:r>
            <w:r w:rsidRPr="007A67C1">
              <w:rPr>
                <w:i/>
              </w:rPr>
              <w:t xml:space="preserve"> </w:t>
            </w:r>
            <w:r w:rsidRPr="007A67C1">
              <w:rPr>
                <w:szCs w:val="24"/>
              </w:rPr>
              <w:t>This payment is part of the Intergovernmental Agreement on Implementing Water Reform in the Murray</w:t>
            </w:r>
            <w:r w:rsidRPr="007A67C1">
              <w:rPr>
                <w:rFonts w:ascii="MS Gothic" w:eastAsia="MS Gothic" w:hAnsi="MS Gothic" w:cs="MS Gothic"/>
                <w:szCs w:val="24"/>
              </w:rPr>
              <w:t>-</w:t>
            </w:r>
            <w:r w:rsidRPr="007A67C1">
              <w:rPr>
                <w:szCs w:val="24"/>
              </w:rPr>
              <w:t xml:space="preserve">Darling Basin which relates to the protection of the environment. As needs are not assessed, a no impact treatment should be adopted. </w:t>
            </w:r>
          </w:p>
        </w:tc>
      </w:tr>
    </w:tbl>
    <w:p w:rsidR="00DC0F02" w:rsidRPr="00C21EF9" w:rsidRDefault="00DC0F02" w:rsidP="007A67C1"/>
    <w:sectPr w:rsidR="00DC0F02" w:rsidRPr="00C21EF9" w:rsidSect="0004123E">
      <w:footerReference w:type="default" r:id="rId11"/>
      <w:footerReference w:type="first" r:id="rId12"/>
      <w:pgSz w:w="11899" w:h="16838" w:code="9"/>
      <w:pgMar w:top="1701" w:right="1474" w:bottom="1701" w:left="1474"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8B8" w:rsidRDefault="00CB78B8">
      <w:r>
        <w:separator/>
      </w:r>
    </w:p>
  </w:endnote>
  <w:endnote w:type="continuationSeparator" w:id="0">
    <w:p w:rsidR="00CB78B8" w:rsidRDefault="00CB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13" w:rsidRPr="0011178C" w:rsidRDefault="00F56813" w:rsidP="003929D2">
    <w:pPr>
      <w:pStyle w:val="Footer"/>
      <w:jc w:val="right"/>
    </w:pPr>
    <w:r>
      <w:fldChar w:fldCharType="begin"/>
    </w:r>
    <w:r>
      <w:instrText xml:space="preserve"> PAGE  \* Arabic  \* MERGEFORMAT </w:instrText>
    </w:r>
    <w:r>
      <w:fldChar w:fldCharType="separate"/>
    </w:r>
    <w:r w:rsidR="00155372">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13" w:rsidRPr="007E487F" w:rsidRDefault="00C719A2" w:rsidP="00DC0F02">
    <w:pPr>
      <w:pStyle w:val="Footer"/>
      <w:tabs>
        <w:tab w:val="right" w:pos="8931"/>
      </w:tabs>
      <w:rPr>
        <w:sz w:val="20"/>
        <w:szCs w:val="20"/>
      </w:rPr>
    </w:pPr>
    <w:r>
      <w:rPr>
        <w:sz w:val="20"/>
        <w:szCs w:val="20"/>
      </w:rPr>
      <w:fldChar w:fldCharType="begin"/>
    </w:r>
    <w:r>
      <w:rPr>
        <w:sz w:val="20"/>
        <w:szCs w:val="20"/>
      </w:rPr>
      <w:instrText xml:space="preserve"> FILENAME \p </w:instrText>
    </w:r>
    <w:r>
      <w:rPr>
        <w:sz w:val="20"/>
        <w:szCs w:val="20"/>
      </w:rPr>
      <w:fldChar w:fldCharType="separate"/>
    </w:r>
    <w:r w:rsidR="00B12C9B">
      <w:rPr>
        <w:noProof/>
        <w:sz w:val="20"/>
        <w:szCs w:val="20"/>
      </w:rPr>
      <w:t>\\cgcna01\I_drive\U2016\Discussion Papers\Final\U2016 New issues - treatment of two additional Commonwealth payments.docx</w:t>
    </w:r>
    <w:r>
      <w:rPr>
        <w:sz w:val="20"/>
        <w:szCs w:val="20"/>
      </w:rPr>
      <w:fldChar w:fldCharType="end"/>
    </w:r>
    <w:r w:rsidR="00AB1A13">
      <w:rPr>
        <w:sz w:val="20"/>
        <w:szCs w:val="20"/>
      </w:rPr>
      <w:tab/>
    </w:r>
    <w:r w:rsidR="00DC0F02">
      <w:rPr>
        <w:sz w:val="20"/>
        <w:szCs w:val="20"/>
      </w:rPr>
      <w:tab/>
    </w:r>
    <w:r w:rsidR="00F56813">
      <w:fldChar w:fldCharType="begin"/>
    </w:r>
    <w:r w:rsidR="00F56813">
      <w:instrText xml:space="preserve"> PAGE   \* MERGEFORMAT </w:instrText>
    </w:r>
    <w:r w:rsidR="00F56813">
      <w:fldChar w:fldCharType="separate"/>
    </w:r>
    <w:r w:rsidR="00155372">
      <w:rPr>
        <w:noProof/>
      </w:rPr>
      <w:t>1</w:t>
    </w:r>
    <w:r w:rsidR="00F5681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8B8" w:rsidRDefault="00CB78B8">
      <w:r>
        <w:separator/>
      </w:r>
    </w:p>
  </w:footnote>
  <w:footnote w:type="continuationSeparator" w:id="0">
    <w:p w:rsidR="00CB78B8" w:rsidRDefault="00CB7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679"/>
    <w:multiLevelType w:val="multilevel"/>
    <w:tmpl w:val="87ECD5DE"/>
    <w:lvl w:ilvl="0">
      <w:start w:val="1"/>
      <w:numFmt w:val="lowerRoman"/>
      <w:lvlText w:val="(%1)"/>
      <w:lvlJc w:val="right"/>
      <w:pPr>
        <w:tabs>
          <w:tab w:val="num" w:pos="1701"/>
        </w:tabs>
        <w:ind w:left="1701"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16C95DEC"/>
    <w:multiLevelType w:val="multilevel"/>
    <w:tmpl w:val="09E854D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1C66C66"/>
    <w:multiLevelType w:val="multilevel"/>
    <w:tmpl w:val="5B74CF8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CB5609"/>
    <w:multiLevelType w:val="hybridMultilevel"/>
    <w:tmpl w:val="24484DBE"/>
    <w:lvl w:ilvl="0" w:tplc="A1CEF81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D0A6680"/>
    <w:multiLevelType w:val="multilevel"/>
    <w:tmpl w:val="646E338E"/>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FE32354"/>
    <w:multiLevelType w:val="hybridMultilevel"/>
    <w:tmpl w:val="7D6053A6"/>
    <w:lvl w:ilvl="0" w:tplc="5FE44A6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F120A6F"/>
    <w:multiLevelType w:val="multilevel"/>
    <w:tmpl w:val="EC6A24FE"/>
    <w:lvl w:ilvl="0">
      <w:start w:val="1"/>
      <w:numFmt w:val="bullet"/>
      <w:lvlText w:val=""/>
      <w:lvlJc w:val="left"/>
      <w:pPr>
        <w:tabs>
          <w:tab w:val="num" w:pos="927"/>
        </w:tabs>
        <w:ind w:left="113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0FE42A7"/>
    <w:multiLevelType w:val="hybridMultilevel"/>
    <w:tmpl w:val="E4B8FB9A"/>
    <w:lvl w:ilvl="0" w:tplc="18EA3C6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9552687"/>
    <w:multiLevelType w:val="multilevel"/>
    <w:tmpl w:val="76E0CFF8"/>
    <w:lvl w:ilvl="0">
      <w:start w:val="1"/>
      <w:numFmt w:val="bullet"/>
      <w:lvlText w:val=""/>
      <w:lvlJc w:val="left"/>
      <w:pPr>
        <w:tabs>
          <w:tab w:val="num" w:pos="1503"/>
        </w:tabs>
        <w:ind w:left="171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5">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1"/>
  </w:num>
  <w:num w:numId="4">
    <w:abstractNumId w:val="15"/>
  </w:num>
  <w:num w:numId="5">
    <w:abstractNumId w:val="15"/>
  </w:num>
  <w:num w:numId="6">
    <w:abstractNumId w:val="4"/>
  </w:num>
  <w:num w:numId="7">
    <w:abstractNumId w:val="4"/>
  </w:num>
  <w:num w:numId="8">
    <w:abstractNumId w:val="4"/>
  </w:num>
  <w:num w:numId="9">
    <w:abstractNumId w:val="4"/>
  </w:num>
  <w:num w:numId="10">
    <w:abstractNumId w:val="14"/>
  </w:num>
  <w:num w:numId="11">
    <w:abstractNumId w:val="5"/>
  </w:num>
  <w:num w:numId="12">
    <w:abstractNumId w:val="1"/>
  </w:num>
  <w:num w:numId="13">
    <w:abstractNumId w:val="15"/>
  </w:num>
  <w:num w:numId="14">
    <w:abstractNumId w:val="4"/>
  </w:num>
  <w:num w:numId="15">
    <w:abstractNumId w:val="4"/>
  </w:num>
  <w:num w:numId="16">
    <w:abstractNumId w:val="4"/>
  </w:num>
  <w:num w:numId="17">
    <w:abstractNumId w:val="4"/>
  </w:num>
  <w:num w:numId="18">
    <w:abstractNumId w:val="0"/>
  </w:num>
  <w:num w:numId="19">
    <w:abstractNumId w:val="9"/>
  </w:num>
  <w:num w:numId="20">
    <w:abstractNumId w:val="10"/>
  </w:num>
  <w:num w:numId="21">
    <w:abstractNumId w:val="2"/>
  </w:num>
  <w:num w:numId="22">
    <w:abstractNumId w:val="7"/>
  </w:num>
  <w:num w:numId="23">
    <w:abstractNumId w:val="13"/>
  </w:num>
  <w:num w:numId="24">
    <w:abstractNumId w:val="3"/>
  </w:num>
  <w:num w:numId="25">
    <w:abstractNumId w:val="11"/>
  </w:num>
  <w:num w:numId="26">
    <w:abstractNumId w:val="1"/>
  </w:num>
  <w:num w:numId="27">
    <w:abstractNumId w:val="8"/>
  </w:num>
  <w:num w:numId="28">
    <w:abstractNumId w:val="12"/>
  </w:num>
  <w:num w:numId="29">
    <w:abstractNumId w:val="6"/>
  </w:num>
  <w:num w:numId="30">
    <w:abstractNumId w:val="5"/>
    <w:lvlOverride w:ilvl="0">
      <w:startOverride w:val="1"/>
    </w:lvlOverride>
  </w:num>
  <w:num w:numId="31">
    <w:abstractNumId w:val="14"/>
  </w:num>
  <w:num w:numId="32">
    <w:abstractNumId w:val="1"/>
  </w:num>
  <w:num w:numId="33">
    <w:abstractNumId w:val="5"/>
  </w:num>
  <w:num w:numId="34">
    <w:abstractNumId w:val="15"/>
  </w:num>
  <w:num w:numId="35">
    <w:abstractNumId w:val="9"/>
  </w:num>
  <w:num w:numId="36">
    <w:abstractNumId w:val="14"/>
  </w:num>
  <w:num w:numId="37">
    <w:abstractNumId w:val="1"/>
  </w:num>
  <w:num w:numId="38">
    <w:abstractNumId w:val="5"/>
  </w:num>
  <w:num w:numId="39">
    <w:abstractNumId w:val="15"/>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8B8"/>
    <w:rsid w:val="00016FE0"/>
    <w:rsid w:val="00022EA9"/>
    <w:rsid w:val="00024745"/>
    <w:rsid w:val="00032F41"/>
    <w:rsid w:val="0004123E"/>
    <w:rsid w:val="00041748"/>
    <w:rsid w:val="00041E84"/>
    <w:rsid w:val="000424EA"/>
    <w:rsid w:val="00056373"/>
    <w:rsid w:val="00061111"/>
    <w:rsid w:val="000624BB"/>
    <w:rsid w:val="000648E8"/>
    <w:rsid w:val="00093796"/>
    <w:rsid w:val="000A3898"/>
    <w:rsid w:val="000A52A1"/>
    <w:rsid w:val="000B2942"/>
    <w:rsid w:val="000B3557"/>
    <w:rsid w:val="000B64E3"/>
    <w:rsid w:val="000D1354"/>
    <w:rsid w:val="000D7C54"/>
    <w:rsid w:val="000E0210"/>
    <w:rsid w:val="000E6AA5"/>
    <w:rsid w:val="000E7F56"/>
    <w:rsid w:val="000F1CDA"/>
    <w:rsid w:val="001039C2"/>
    <w:rsid w:val="001040AD"/>
    <w:rsid w:val="0011178C"/>
    <w:rsid w:val="00112CF0"/>
    <w:rsid w:val="001211AB"/>
    <w:rsid w:val="001218B8"/>
    <w:rsid w:val="00124ED1"/>
    <w:rsid w:val="00136497"/>
    <w:rsid w:val="00141BD1"/>
    <w:rsid w:val="00147115"/>
    <w:rsid w:val="001477CE"/>
    <w:rsid w:val="00155372"/>
    <w:rsid w:val="0016723A"/>
    <w:rsid w:val="00171A05"/>
    <w:rsid w:val="00172F3A"/>
    <w:rsid w:val="001730FD"/>
    <w:rsid w:val="00173798"/>
    <w:rsid w:val="00173BE6"/>
    <w:rsid w:val="00173E72"/>
    <w:rsid w:val="001807C0"/>
    <w:rsid w:val="001811DE"/>
    <w:rsid w:val="00187145"/>
    <w:rsid w:val="001B0110"/>
    <w:rsid w:val="001B3048"/>
    <w:rsid w:val="001B696E"/>
    <w:rsid w:val="001B6A56"/>
    <w:rsid w:val="001C469B"/>
    <w:rsid w:val="001C6A71"/>
    <w:rsid w:val="001D638B"/>
    <w:rsid w:val="001D6DFA"/>
    <w:rsid w:val="001E6180"/>
    <w:rsid w:val="001E674B"/>
    <w:rsid w:val="001E68FC"/>
    <w:rsid w:val="00204026"/>
    <w:rsid w:val="00212948"/>
    <w:rsid w:val="00217839"/>
    <w:rsid w:val="00225A3B"/>
    <w:rsid w:val="0023081D"/>
    <w:rsid w:val="0023329C"/>
    <w:rsid w:val="00236DC0"/>
    <w:rsid w:val="002373A2"/>
    <w:rsid w:val="00242517"/>
    <w:rsid w:val="0024260B"/>
    <w:rsid w:val="0024401F"/>
    <w:rsid w:val="0024569B"/>
    <w:rsid w:val="00255B5A"/>
    <w:rsid w:val="002671A2"/>
    <w:rsid w:val="00267496"/>
    <w:rsid w:val="00275B68"/>
    <w:rsid w:val="002845EA"/>
    <w:rsid w:val="00286EBE"/>
    <w:rsid w:val="00295B70"/>
    <w:rsid w:val="002A2A08"/>
    <w:rsid w:val="002A2D93"/>
    <w:rsid w:val="002A4E42"/>
    <w:rsid w:val="002A77C3"/>
    <w:rsid w:val="002B10B0"/>
    <w:rsid w:val="002B169C"/>
    <w:rsid w:val="002B6EFD"/>
    <w:rsid w:val="002B6F33"/>
    <w:rsid w:val="002B79F0"/>
    <w:rsid w:val="002B7F3E"/>
    <w:rsid w:val="002C1D9C"/>
    <w:rsid w:val="002C366F"/>
    <w:rsid w:val="002C4CA9"/>
    <w:rsid w:val="002D2270"/>
    <w:rsid w:val="002E25A8"/>
    <w:rsid w:val="002F04DE"/>
    <w:rsid w:val="002F1CD3"/>
    <w:rsid w:val="002F6E28"/>
    <w:rsid w:val="002F7E68"/>
    <w:rsid w:val="00302E5E"/>
    <w:rsid w:val="00307DEF"/>
    <w:rsid w:val="00311D33"/>
    <w:rsid w:val="00313664"/>
    <w:rsid w:val="00314F90"/>
    <w:rsid w:val="0033102E"/>
    <w:rsid w:val="00331401"/>
    <w:rsid w:val="00333234"/>
    <w:rsid w:val="00335ED1"/>
    <w:rsid w:val="00337EF8"/>
    <w:rsid w:val="00342A60"/>
    <w:rsid w:val="0034379D"/>
    <w:rsid w:val="0034646D"/>
    <w:rsid w:val="00347BE5"/>
    <w:rsid w:val="003522E0"/>
    <w:rsid w:val="0035267F"/>
    <w:rsid w:val="0035580D"/>
    <w:rsid w:val="003639FB"/>
    <w:rsid w:val="00363BF7"/>
    <w:rsid w:val="00382AE5"/>
    <w:rsid w:val="003929D2"/>
    <w:rsid w:val="00393FA5"/>
    <w:rsid w:val="003A27BB"/>
    <w:rsid w:val="003B673D"/>
    <w:rsid w:val="003C2577"/>
    <w:rsid w:val="003C4448"/>
    <w:rsid w:val="003D3D91"/>
    <w:rsid w:val="003D4708"/>
    <w:rsid w:val="003D477A"/>
    <w:rsid w:val="003E6615"/>
    <w:rsid w:val="003E79F9"/>
    <w:rsid w:val="003F12E9"/>
    <w:rsid w:val="003F59F4"/>
    <w:rsid w:val="00404DCD"/>
    <w:rsid w:val="004077D6"/>
    <w:rsid w:val="004121E7"/>
    <w:rsid w:val="00414E51"/>
    <w:rsid w:val="00420F04"/>
    <w:rsid w:val="00423099"/>
    <w:rsid w:val="00424E79"/>
    <w:rsid w:val="0042661C"/>
    <w:rsid w:val="004274B3"/>
    <w:rsid w:val="00443EC1"/>
    <w:rsid w:val="00453264"/>
    <w:rsid w:val="00462B54"/>
    <w:rsid w:val="00463064"/>
    <w:rsid w:val="00472461"/>
    <w:rsid w:val="004809B8"/>
    <w:rsid w:val="004821B9"/>
    <w:rsid w:val="00491D88"/>
    <w:rsid w:val="0049605C"/>
    <w:rsid w:val="004965F7"/>
    <w:rsid w:val="004A7048"/>
    <w:rsid w:val="004B0A0A"/>
    <w:rsid w:val="004B1C4B"/>
    <w:rsid w:val="004B60CB"/>
    <w:rsid w:val="004C1CB5"/>
    <w:rsid w:val="004E769A"/>
    <w:rsid w:val="00500ACD"/>
    <w:rsid w:val="00504061"/>
    <w:rsid w:val="00505BAE"/>
    <w:rsid w:val="00506956"/>
    <w:rsid w:val="00515380"/>
    <w:rsid w:val="005176CA"/>
    <w:rsid w:val="00537A77"/>
    <w:rsid w:val="00541A14"/>
    <w:rsid w:val="00543F9C"/>
    <w:rsid w:val="00546D39"/>
    <w:rsid w:val="00550E84"/>
    <w:rsid w:val="00551368"/>
    <w:rsid w:val="005577B0"/>
    <w:rsid w:val="00562084"/>
    <w:rsid w:val="00570EED"/>
    <w:rsid w:val="005716FC"/>
    <w:rsid w:val="00575DEF"/>
    <w:rsid w:val="00583A33"/>
    <w:rsid w:val="005867D2"/>
    <w:rsid w:val="005963CC"/>
    <w:rsid w:val="00596E19"/>
    <w:rsid w:val="005A241E"/>
    <w:rsid w:val="005A6FED"/>
    <w:rsid w:val="005B1BC4"/>
    <w:rsid w:val="005B6894"/>
    <w:rsid w:val="005C13B2"/>
    <w:rsid w:val="005C27E3"/>
    <w:rsid w:val="005C37CB"/>
    <w:rsid w:val="005C459C"/>
    <w:rsid w:val="005D1A9F"/>
    <w:rsid w:val="005D52FA"/>
    <w:rsid w:val="005E266F"/>
    <w:rsid w:val="005E5734"/>
    <w:rsid w:val="005E73CE"/>
    <w:rsid w:val="005F07DC"/>
    <w:rsid w:val="005F64FB"/>
    <w:rsid w:val="0060251E"/>
    <w:rsid w:val="00602DDE"/>
    <w:rsid w:val="00611737"/>
    <w:rsid w:val="00614DE8"/>
    <w:rsid w:val="00622669"/>
    <w:rsid w:val="00622FE1"/>
    <w:rsid w:val="00625CE5"/>
    <w:rsid w:val="00635027"/>
    <w:rsid w:val="00644A7B"/>
    <w:rsid w:val="006556D9"/>
    <w:rsid w:val="00661C46"/>
    <w:rsid w:val="006652D3"/>
    <w:rsid w:val="00667CF3"/>
    <w:rsid w:val="006769C4"/>
    <w:rsid w:val="00677627"/>
    <w:rsid w:val="00677BD5"/>
    <w:rsid w:val="0068025E"/>
    <w:rsid w:val="00693C87"/>
    <w:rsid w:val="006A05C7"/>
    <w:rsid w:val="006A607B"/>
    <w:rsid w:val="006A6E27"/>
    <w:rsid w:val="006A72B0"/>
    <w:rsid w:val="006B3E4D"/>
    <w:rsid w:val="006C52B9"/>
    <w:rsid w:val="006D1DFE"/>
    <w:rsid w:val="006E6BC2"/>
    <w:rsid w:val="006E77BB"/>
    <w:rsid w:val="0070150E"/>
    <w:rsid w:val="00705DB8"/>
    <w:rsid w:val="00713225"/>
    <w:rsid w:val="0072512A"/>
    <w:rsid w:val="00731EE6"/>
    <w:rsid w:val="007355A6"/>
    <w:rsid w:val="00740A71"/>
    <w:rsid w:val="007477C5"/>
    <w:rsid w:val="00747938"/>
    <w:rsid w:val="00762AFB"/>
    <w:rsid w:val="00765BA8"/>
    <w:rsid w:val="00766007"/>
    <w:rsid w:val="00770A26"/>
    <w:rsid w:val="007A1364"/>
    <w:rsid w:val="007A24A0"/>
    <w:rsid w:val="007A4AB2"/>
    <w:rsid w:val="007A5E68"/>
    <w:rsid w:val="007A67C1"/>
    <w:rsid w:val="007B1BF7"/>
    <w:rsid w:val="007C404B"/>
    <w:rsid w:val="007C4BAE"/>
    <w:rsid w:val="007D1D3B"/>
    <w:rsid w:val="007D5960"/>
    <w:rsid w:val="007E114E"/>
    <w:rsid w:val="007E487F"/>
    <w:rsid w:val="007E4B2D"/>
    <w:rsid w:val="007E587D"/>
    <w:rsid w:val="007E71E9"/>
    <w:rsid w:val="007F1D06"/>
    <w:rsid w:val="008010D7"/>
    <w:rsid w:val="00803443"/>
    <w:rsid w:val="0080680D"/>
    <w:rsid w:val="00812C05"/>
    <w:rsid w:val="0081322A"/>
    <w:rsid w:val="008162AB"/>
    <w:rsid w:val="00843E6F"/>
    <w:rsid w:val="00846E4A"/>
    <w:rsid w:val="00851AF5"/>
    <w:rsid w:val="00851FB5"/>
    <w:rsid w:val="008647DE"/>
    <w:rsid w:val="00864B95"/>
    <w:rsid w:val="008800D3"/>
    <w:rsid w:val="00886CDD"/>
    <w:rsid w:val="0089214D"/>
    <w:rsid w:val="00893C0D"/>
    <w:rsid w:val="008A20DA"/>
    <w:rsid w:val="008B5C8F"/>
    <w:rsid w:val="008B5F16"/>
    <w:rsid w:val="008B7722"/>
    <w:rsid w:val="008C0E5C"/>
    <w:rsid w:val="008D348B"/>
    <w:rsid w:val="008E2BE4"/>
    <w:rsid w:val="008E6B4E"/>
    <w:rsid w:val="008E7970"/>
    <w:rsid w:val="008E7C34"/>
    <w:rsid w:val="008F0C36"/>
    <w:rsid w:val="008F377B"/>
    <w:rsid w:val="00915512"/>
    <w:rsid w:val="009233CC"/>
    <w:rsid w:val="009240D8"/>
    <w:rsid w:val="009360D7"/>
    <w:rsid w:val="009362C9"/>
    <w:rsid w:val="00942387"/>
    <w:rsid w:val="0094626F"/>
    <w:rsid w:val="009462D2"/>
    <w:rsid w:val="009652D5"/>
    <w:rsid w:val="009677F8"/>
    <w:rsid w:val="00971146"/>
    <w:rsid w:val="00972A9A"/>
    <w:rsid w:val="00991675"/>
    <w:rsid w:val="00992008"/>
    <w:rsid w:val="00996409"/>
    <w:rsid w:val="00996D00"/>
    <w:rsid w:val="009A03DC"/>
    <w:rsid w:val="009A6CF3"/>
    <w:rsid w:val="009B43BF"/>
    <w:rsid w:val="009B4A2D"/>
    <w:rsid w:val="009C1E0B"/>
    <w:rsid w:val="009D545A"/>
    <w:rsid w:val="009D6D44"/>
    <w:rsid w:val="009E22FA"/>
    <w:rsid w:val="009E4744"/>
    <w:rsid w:val="009E4EC9"/>
    <w:rsid w:val="009E5D5A"/>
    <w:rsid w:val="009F2262"/>
    <w:rsid w:val="009F4ADA"/>
    <w:rsid w:val="009F6A0D"/>
    <w:rsid w:val="00A07991"/>
    <w:rsid w:val="00A10CDE"/>
    <w:rsid w:val="00A1680D"/>
    <w:rsid w:val="00A23AB0"/>
    <w:rsid w:val="00A266C5"/>
    <w:rsid w:val="00A309C6"/>
    <w:rsid w:val="00A32E4E"/>
    <w:rsid w:val="00A505DE"/>
    <w:rsid w:val="00A5327C"/>
    <w:rsid w:val="00A5721C"/>
    <w:rsid w:val="00A67913"/>
    <w:rsid w:val="00A81A94"/>
    <w:rsid w:val="00A9681E"/>
    <w:rsid w:val="00AA007A"/>
    <w:rsid w:val="00AB073E"/>
    <w:rsid w:val="00AB1A13"/>
    <w:rsid w:val="00AB4E9F"/>
    <w:rsid w:val="00AC210F"/>
    <w:rsid w:val="00AC319E"/>
    <w:rsid w:val="00AE3A1E"/>
    <w:rsid w:val="00AE734F"/>
    <w:rsid w:val="00AF2656"/>
    <w:rsid w:val="00AF6110"/>
    <w:rsid w:val="00AF6AC6"/>
    <w:rsid w:val="00B00611"/>
    <w:rsid w:val="00B04354"/>
    <w:rsid w:val="00B12C9B"/>
    <w:rsid w:val="00B249FC"/>
    <w:rsid w:val="00B317E7"/>
    <w:rsid w:val="00B33A57"/>
    <w:rsid w:val="00B34083"/>
    <w:rsid w:val="00B37728"/>
    <w:rsid w:val="00B45C64"/>
    <w:rsid w:val="00B46A32"/>
    <w:rsid w:val="00B46B29"/>
    <w:rsid w:val="00B53547"/>
    <w:rsid w:val="00B53597"/>
    <w:rsid w:val="00B55D3E"/>
    <w:rsid w:val="00B62590"/>
    <w:rsid w:val="00B6729F"/>
    <w:rsid w:val="00B82627"/>
    <w:rsid w:val="00B90AA7"/>
    <w:rsid w:val="00B94335"/>
    <w:rsid w:val="00BA65E5"/>
    <w:rsid w:val="00BB09DF"/>
    <w:rsid w:val="00BB3FC5"/>
    <w:rsid w:val="00BC2B3B"/>
    <w:rsid w:val="00BC4579"/>
    <w:rsid w:val="00BD3D24"/>
    <w:rsid w:val="00C0018A"/>
    <w:rsid w:val="00C00905"/>
    <w:rsid w:val="00C035B5"/>
    <w:rsid w:val="00C11ABD"/>
    <w:rsid w:val="00C14FB2"/>
    <w:rsid w:val="00C176AC"/>
    <w:rsid w:val="00C21EF9"/>
    <w:rsid w:val="00C222F7"/>
    <w:rsid w:val="00C24839"/>
    <w:rsid w:val="00C2792E"/>
    <w:rsid w:val="00C27C23"/>
    <w:rsid w:val="00C41C84"/>
    <w:rsid w:val="00C554D4"/>
    <w:rsid w:val="00C61B02"/>
    <w:rsid w:val="00C719A2"/>
    <w:rsid w:val="00C72165"/>
    <w:rsid w:val="00C83041"/>
    <w:rsid w:val="00C90B42"/>
    <w:rsid w:val="00C9475D"/>
    <w:rsid w:val="00C95056"/>
    <w:rsid w:val="00C951FD"/>
    <w:rsid w:val="00CA7F28"/>
    <w:rsid w:val="00CB0768"/>
    <w:rsid w:val="00CB131F"/>
    <w:rsid w:val="00CB4DCD"/>
    <w:rsid w:val="00CB4F2D"/>
    <w:rsid w:val="00CB78B8"/>
    <w:rsid w:val="00CC1690"/>
    <w:rsid w:val="00CC665A"/>
    <w:rsid w:val="00CE04A0"/>
    <w:rsid w:val="00CE34DC"/>
    <w:rsid w:val="00D07FB4"/>
    <w:rsid w:val="00D21FA8"/>
    <w:rsid w:val="00D236B7"/>
    <w:rsid w:val="00D23E48"/>
    <w:rsid w:val="00D244BE"/>
    <w:rsid w:val="00D43096"/>
    <w:rsid w:val="00D46AB2"/>
    <w:rsid w:val="00D47815"/>
    <w:rsid w:val="00D656EB"/>
    <w:rsid w:val="00D771FD"/>
    <w:rsid w:val="00D7796D"/>
    <w:rsid w:val="00D81B18"/>
    <w:rsid w:val="00D83541"/>
    <w:rsid w:val="00D93A16"/>
    <w:rsid w:val="00D9496D"/>
    <w:rsid w:val="00DA0768"/>
    <w:rsid w:val="00DA161A"/>
    <w:rsid w:val="00DA3F1A"/>
    <w:rsid w:val="00DA5A94"/>
    <w:rsid w:val="00DB2355"/>
    <w:rsid w:val="00DB3BB4"/>
    <w:rsid w:val="00DC0F02"/>
    <w:rsid w:val="00DC0F8D"/>
    <w:rsid w:val="00DC2284"/>
    <w:rsid w:val="00DC3CA4"/>
    <w:rsid w:val="00DE4578"/>
    <w:rsid w:val="00DF04EE"/>
    <w:rsid w:val="00DF3E35"/>
    <w:rsid w:val="00E03ED5"/>
    <w:rsid w:val="00E06243"/>
    <w:rsid w:val="00E07169"/>
    <w:rsid w:val="00E1688C"/>
    <w:rsid w:val="00E22665"/>
    <w:rsid w:val="00E30499"/>
    <w:rsid w:val="00E30B51"/>
    <w:rsid w:val="00E324BB"/>
    <w:rsid w:val="00E377E8"/>
    <w:rsid w:val="00E43464"/>
    <w:rsid w:val="00E47A69"/>
    <w:rsid w:val="00E571BB"/>
    <w:rsid w:val="00E74435"/>
    <w:rsid w:val="00E758AD"/>
    <w:rsid w:val="00E77D4E"/>
    <w:rsid w:val="00E91860"/>
    <w:rsid w:val="00E954B7"/>
    <w:rsid w:val="00E96FDB"/>
    <w:rsid w:val="00EA107B"/>
    <w:rsid w:val="00EC16F1"/>
    <w:rsid w:val="00ED05D6"/>
    <w:rsid w:val="00ED0C6F"/>
    <w:rsid w:val="00ED2FCC"/>
    <w:rsid w:val="00EE5F75"/>
    <w:rsid w:val="00EF2722"/>
    <w:rsid w:val="00EF6805"/>
    <w:rsid w:val="00F00508"/>
    <w:rsid w:val="00F01E52"/>
    <w:rsid w:val="00F042DC"/>
    <w:rsid w:val="00F07099"/>
    <w:rsid w:val="00F105EA"/>
    <w:rsid w:val="00F11117"/>
    <w:rsid w:val="00F12541"/>
    <w:rsid w:val="00F22035"/>
    <w:rsid w:val="00F22D18"/>
    <w:rsid w:val="00F36C87"/>
    <w:rsid w:val="00F46927"/>
    <w:rsid w:val="00F55854"/>
    <w:rsid w:val="00F56813"/>
    <w:rsid w:val="00F70110"/>
    <w:rsid w:val="00F72C93"/>
    <w:rsid w:val="00F80A88"/>
    <w:rsid w:val="00F823F5"/>
    <w:rsid w:val="00F9170D"/>
    <w:rsid w:val="00F94368"/>
    <w:rsid w:val="00F9494C"/>
    <w:rsid w:val="00FA15C8"/>
    <w:rsid w:val="00FA2D86"/>
    <w:rsid w:val="00FA348C"/>
    <w:rsid w:val="00FB0AD8"/>
    <w:rsid w:val="00FB4DBB"/>
    <w:rsid w:val="00FE2C17"/>
    <w:rsid w:val="00FF072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er" w:uiPriority="99"/>
    <w:lsdException w:name="footer" w:uiPriority="99"/>
    <w:lsdException w:name="Default Paragraph Font" w:uiPriority="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B78B8"/>
    <w:pPr>
      <w:tabs>
        <w:tab w:val="left" w:pos="567"/>
      </w:tabs>
      <w:spacing w:after="80" w:line="320" w:lineRule="atLeast"/>
    </w:pPr>
    <w:rPr>
      <w:rFonts w:eastAsiaTheme="minorHAnsi"/>
      <w:sz w:val="24"/>
      <w:lang w:eastAsia="en-US"/>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Char"/>
    <w:qFormat/>
    <w:rsid w:val="00DC0F02"/>
    <w:pPr>
      <w:numPr>
        <w:numId w:val="36"/>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37"/>
      </w:numPr>
      <w:spacing w:before="120"/>
    </w:pPr>
    <w:rPr>
      <w:szCs w:val="24"/>
    </w:rPr>
  </w:style>
  <w:style w:type="paragraph" w:customStyle="1" w:styleId="CGCQuotation">
    <w:name w:val="CGC Quotation"/>
    <w:basedOn w:val="Normal"/>
    <w:next w:val="CGCNumberedPara"/>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uiPriority w:val="5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rsid w:val="00996409"/>
    <w:pPr>
      <w:tabs>
        <w:tab w:val="clear" w:pos="567"/>
        <w:tab w:val="right" w:pos="8942"/>
      </w:tabs>
      <w:spacing w:before="120" w:after="120"/>
    </w:pPr>
    <w:rPr>
      <w:b/>
      <w:bCs/>
      <w:caps/>
      <w:szCs w:val="20"/>
    </w:rPr>
  </w:style>
  <w:style w:type="paragraph" w:styleId="TOC2">
    <w:name w:val="toc 2"/>
    <w:basedOn w:val="Normal"/>
    <w:next w:val="Normal"/>
    <w:rsid w:val="006A72B0"/>
    <w:pPr>
      <w:tabs>
        <w:tab w:val="clear" w:pos="567"/>
        <w:tab w:val="right" w:pos="8942"/>
      </w:tabs>
      <w:spacing w:after="0"/>
      <w:ind w:left="851"/>
    </w:pPr>
    <w:rPr>
      <w:szCs w:val="20"/>
    </w:rPr>
  </w:style>
  <w:style w:type="paragraph" w:styleId="TOC3">
    <w:name w:val="toc 3"/>
    <w:basedOn w:val="Normal"/>
    <w:next w:val="Normal"/>
    <w:rsid w:val="00996409"/>
    <w:pPr>
      <w:tabs>
        <w:tab w:val="clear" w:pos="567"/>
        <w:tab w:val="right" w:pos="8942"/>
      </w:tabs>
      <w:spacing w:after="0"/>
      <w:ind w:left="567"/>
    </w:pPr>
    <w:rPr>
      <w:iCs/>
      <w:caps/>
    </w:rPr>
  </w:style>
  <w:style w:type="paragraph" w:styleId="TOC4">
    <w:name w:val="toc 4"/>
    <w:basedOn w:val="Normal"/>
    <w:next w:val="Normal"/>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ParaNoChar">
    <w:name w:val="CGC Para No Char"/>
    <w:aliases w:val="CGC Numbered Para Char"/>
    <w:basedOn w:val="DefaultParagraphFont"/>
    <w:link w:val="CGCNumberedPara"/>
    <w:rsid w:val="00CB78B8"/>
    <w:rPr>
      <w:sz w:val="24"/>
      <w:szCs w:val="24"/>
    </w:rPr>
  </w:style>
  <w:style w:type="character" w:customStyle="1" w:styleId="CGCBulletlistCharChar">
    <w:name w:val="CGC Bullet list Char Char"/>
    <w:basedOn w:val="DefaultParagraphFont"/>
    <w:link w:val="CGCBulletlist"/>
    <w:locked/>
    <w:rsid w:val="00CB78B8"/>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er" w:uiPriority="99"/>
    <w:lsdException w:name="footer" w:uiPriority="99"/>
    <w:lsdException w:name="Default Paragraph Font" w:uiPriority="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B78B8"/>
    <w:pPr>
      <w:tabs>
        <w:tab w:val="left" w:pos="567"/>
      </w:tabs>
      <w:spacing w:after="80" w:line="320" w:lineRule="atLeast"/>
    </w:pPr>
    <w:rPr>
      <w:rFonts w:eastAsiaTheme="minorHAnsi"/>
      <w:sz w:val="24"/>
      <w:lang w:eastAsia="en-US"/>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Char"/>
    <w:qFormat/>
    <w:rsid w:val="00DC0F02"/>
    <w:pPr>
      <w:numPr>
        <w:numId w:val="36"/>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37"/>
      </w:numPr>
      <w:spacing w:before="120"/>
    </w:pPr>
    <w:rPr>
      <w:szCs w:val="24"/>
    </w:rPr>
  </w:style>
  <w:style w:type="paragraph" w:customStyle="1" w:styleId="CGCQuotation">
    <w:name w:val="CGC Quotation"/>
    <w:basedOn w:val="Normal"/>
    <w:next w:val="CGCNumberedPara"/>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uiPriority w:val="5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rsid w:val="00996409"/>
    <w:pPr>
      <w:tabs>
        <w:tab w:val="clear" w:pos="567"/>
        <w:tab w:val="right" w:pos="8942"/>
      </w:tabs>
      <w:spacing w:before="120" w:after="120"/>
    </w:pPr>
    <w:rPr>
      <w:b/>
      <w:bCs/>
      <w:caps/>
      <w:szCs w:val="20"/>
    </w:rPr>
  </w:style>
  <w:style w:type="paragraph" w:styleId="TOC2">
    <w:name w:val="toc 2"/>
    <w:basedOn w:val="Normal"/>
    <w:next w:val="Normal"/>
    <w:rsid w:val="006A72B0"/>
    <w:pPr>
      <w:tabs>
        <w:tab w:val="clear" w:pos="567"/>
        <w:tab w:val="right" w:pos="8942"/>
      </w:tabs>
      <w:spacing w:after="0"/>
      <w:ind w:left="851"/>
    </w:pPr>
    <w:rPr>
      <w:szCs w:val="20"/>
    </w:rPr>
  </w:style>
  <w:style w:type="paragraph" w:styleId="TOC3">
    <w:name w:val="toc 3"/>
    <w:basedOn w:val="Normal"/>
    <w:next w:val="Normal"/>
    <w:rsid w:val="00996409"/>
    <w:pPr>
      <w:tabs>
        <w:tab w:val="clear" w:pos="567"/>
        <w:tab w:val="right" w:pos="8942"/>
      </w:tabs>
      <w:spacing w:after="0"/>
      <w:ind w:left="567"/>
    </w:pPr>
    <w:rPr>
      <w:iCs/>
      <w:caps/>
    </w:rPr>
  </w:style>
  <w:style w:type="paragraph" w:styleId="TOC4">
    <w:name w:val="toc 4"/>
    <w:basedOn w:val="Normal"/>
    <w:next w:val="Normal"/>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ParaNoChar">
    <w:name w:val="CGC Para No Char"/>
    <w:aliases w:val="CGC Numbered Para Char"/>
    <w:basedOn w:val="DefaultParagraphFont"/>
    <w:link w:val="CGCNumberedPara"/>
    <w:rsid w:val="00CB78B8"/>
    <w:rPr>
      <w:sz w:val="24"/>
      <w:szCs w:val="24"/>
    </w:rPr>
  </w:style>
  <w:style w:type="character" w:customStyle="1" w:styleId="CGCBulletlistCharChar">
    <w:name w:val="CGC Bullet list Char Char"/>
    <w:basedOn w:val="DefaultParagraphFont"/>
    <w:link w:val="CGCBulletlist"/>
    <w:locked/>
    <w:rsid w:val="00CB78B8"/>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riscilla.kan@cgc.gov.au" TargetMode="External"/><Relationship Id="rId4" Type="http://schemas.microsoft.com/office/2007/relationships/stylesWithEffects" Target="stylesWithEffects.xml"/><Relationship Id="rId9" Type="http://schemas.openxmlformats.org/officeDocument/2006/relationships/hyperlink" Target="mailto:secretary@cg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108B2-4D41-478E-98A2-A4C9455D2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Priscilla Kan</dc:creator>
  <cp:lastModifiedBy>Priscilla Kan</cp:lastModifiedBy>
  <cp:revision>2</cp:revision>
  <dcterms:created xsi:type="dcterms:W3CDTF">2015-11-23T02:56:00Z</dcterms:created>
  <dcterms:modified xsi:type="dcterms:W3CDTF">2015-11-23T02:56:00Z</dcterms:modified>
</cp:coreProperties>
</file>