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C2" w:rsidRPr="00970E6D" w:rsidRDefault="001244C2" w:rsidP="001244C2">
      <w:pPr>
        <w:jc w:val="center"/>
        <w:rPr>
          <w:b/>
          <w:bCs/>
        </w:rPr>
      </w:pPr>
      <w:bookmarkStart w:id="0" w:name="_GoBack"/>
      <w:bookmarkEnd w:id="0"/>
      <w:r w:rsidRPr="00970E6D">
        <w:rPr>
          <w:noProof/>
          <w:lang w:eastAsia="en-AU"/>
        </w:rPr>
        <w:drawing>
          <wp:inline distT="0" distB="0" distL="0" distR="0" wp14:anchorId="673DFAFE" wp14:editId="4FD2C062">
            <wp:extent cx="2933700" cy="1524600"/>
            <wp:effectExtent l="19050" t="0" r="0" b="0"/>
            <wp:docPr id="4" name="Picture 4"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b/>
          <w:sz w:val="40"/>
          <w:szCs w:val="40"/>
        </w:rPr>
      </w:pPr>
      <w:r w:rsidRPr="00970E6D">
        <w:rPr>
          <w:b/>
          <w:sz w:val="40"/>
          <w:szCs w:val="40"/>
        </w:rPr>
        <w:t>20</w:t>
      </w:r>
      <w:r>
        <w:rPr>
          <w:b/>
          <w:sz w:val="40"/>
          <w:szCs w:val="40"/>
        </w:rPr>
        <w:t>17 UPDATE</w:t>
      </w: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bCs/>
          <w:sz w:val="40"/>
          <w:szCs w:val="40"/>
        </w:rPr>
      </w:pPr>
      <w:r w:rsidRPr="007C2784">
        <w:rPr>
          <w:b/>
          <w:sz w:val="40"/>
          <w:szCs w:val="40"/>
        </w:rPr>
        <w:t>AN ADDITIONAL NEW ISSUE FOR THE 2017 UPDATE - LAND TAX ASSESSMENT</w:t>
      </w: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b/>
          <w:sz w:val="40"/>
          <w:szCs w:val="40"/>
        </w:rPr>
      </w:pPr>
      <w:r w:rsidRPr="00970E6D">
        <w:rPr>
          <w:b/>
          <w:sz w:val="40"/>
          <w:szCs w:val="40"/>
        </w:rPr>
        <w:t xml:space="preserve">STAFF DISCUSSION </w:t>
      </w:r>
      <w:r w:rsidR="00E7435A">
        <w:rPr>
          <w:b/>
          <w:sz w:val="40"/>
          <w:szCs w:val="40"/>
        </w:rPr>
        <w:t>PAPER</w:t>
      </w:r>
      <w:r>
        <w:rPr>
          <w:b/>
          <w:sz w:val="40"/>
          <w:szCs w:val="40"/>
        </w:rPr>
        <w:br/>
        <w:t>CGC 20</w:t>
      </w:r>
      <w:r w:rsidRPr="00970E6D">
        <w:rPr>
          <w:b/>
          <w:sz w:val="40"/>
          <w:szCs w:val="40"/>
        </w:rPr>
        <w:t>1</w:t>
      </w:r>
      <w:r>
        <w:rPr>
          <w:b/>
          <w:sz w:val="40"/>
          <w:szCs w:val="40"/>
        </w:rPr>
        <w:t>7</w:t>
      </w:r>
      <w:r w:rsidRPr="00970E6D">
        <w:rPr>
          <w:b/>
          <w:sz w:val="40"/>
          <w:szCs w:val="40"/>
        </w:rPr>
        <w:t>-</w:t>
      </w:r>
      <w:r>
        <w:rPr>
          <w:b/>
          <w:sz w:val="40"/>
          <w:szCs w:val="40"/>
        </w:rPr>
        <w:t>01-S</w:t>
      </w: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b/>
          <w:sz w:val="40"/>
          <w:szCs w:val="40"/>
        </w:rPr>
      </w:pPr>
    </w:p>
    <w:p w:rsidR="001244C2" w:rsidRPr="00970E6D" w:rsidRDefault="001244C2" w:rsidP="001244C2">
      <w:pPr>
        <w:jc w:val="center"/>
        <w:rPr>
          <w:sz w:val="40"/>
          <w:szCs w:val="40"/>
        </w:rPr>
      </w:pPr>
    </w:p>
    <w:p w:rsidR="001244C2" w:rsidRDefault="002E1DC9" w:rsidP="001244C2">
      <w:pPr>
        <w:jc w:val="right"/>
        <w:rPr>
          <w:b/>
          <w:sz w:val="28"/>
          <w:szCs w:val="28"/>
        </w:rPr>
      </w:pPr>
      <w:r>
        <w:rPr>
          <w:b/>
          <w:sz w:val="28"/>
          <w:szCs w:val="28"/>
        </w:rPr>
        <w:t xml:space="preserve">30 </w:t>
      </w:r>
      <w:r w:rsidR="001244C2">
        <w:rPr>
          <w:b/>
          <w:sz w:val="28"/>
          <w:szCs w:val="28"/>
        </w:rPr>
        <w:t>January 2017</w:t>
      </w:r>
    </w:p>
    <w:p w:rsidR="002E1DC9" w:rsidRDefault="002E1DC9" w:rsidP="001244C2">
      <w:pPr>
        <w:jc w:val="right"/>
        <w:rPr>
          <w:b/>
          <w:sz w:val="28"/>
          <w:szCs w:val="28"/>
        </w:rPr>
      </w:pPr>
    </w:p>
    <w:p w:rsidR="002E1DC9" w:rsidRDefault="002E1DC9" w:rsidP="001244C2">
      <w:pPr>
        <w:jc w:val="right"/>
        <w:rPr>
          <w:b/>
          <w:sz w:val="28"/>
          <w:szCs w:val="28"/>
        </w:rPr>
      </w:pPr>
    </w:p>
    <w:p w:rsidR="002E1DC9" w:rsidRDefault="002E1DC9" w:rsidP="001244C2">
      <w:pPr>
        <w:jc w:val="right"/>
        <w:rPr>
          <w:b/>
          <w:sz w:val="28"/>
          <w:szCs w:val="28"/>
        </w:rPr>
      </w:pPr>
    </w:p>
    <w:p w:rsidR="002E1DC9" w:rsidRPr="00970E6D" w:rsidRDefault="002E1DC9" w:rsidP="001244C2">
      <w:pPr>
        <w:jc w:val="right"/>
        <w:rPr>
          <w:b/>
          <w:sz w:val="28"/>
          <w:szCs w:val="28"/>
        </w:rPr>
      </w:pPr>
    </w:p>
    <w:tbl>
      <w:tblPr>
        <w:tblStyle w:val="TableGrid"/>
        <w:tblW w:w="5000" w:type="pct"/>
        <w:tblLook w:val="01E0" w:firstRow="1" w:lastRow="1" w:firstColumn="1" w:lastColumn="1" w:noHBand="0" w:noVBand="0"/>
      </w:tblPr>
      <w:tblGrid>
        <w:gridCol w:w="2943"/>
        <w:gridCol w:w="6224"/>
      </w:tblGrid>
      <w:tr w:rsidR="002E1DC9" w:rsidRPr="00515124" w:rsidTr="00581803">
        <w:tc>
          <w:tcPr>
            <w:tcW w:w="1605" w:type="pct"/>
            <w:tcBorders>
              <w:top w:val="single" w:sz="4" w:space="0" w:color="auto"/>
              <w:left w:val="single" w:sz="4" w:space="0" w:color="auto"/>
              <w:bottom w:val="single" w:sz="4" w:space="0" w:color="auto"/>
              <w:right w:val="single" w:sz="4" w:space="0" w:color="auto"/>
            </w:tcBorders>
          </w:tcPr>
          <w:p w:rsidR="002E1DC9" w:rsidRPr="002E1DC9" w:rsidRDefault="002E1DC9" w:rsidP="002E1DC9">
            <w:pPr>
              <w:rPr>
                <w:sz w:val="24"/>
                <w:szCs w:val="24"/>
              </w:rPr>
            </w:pPr>
            <w:r w:rsidRPr="002E1DC9">
              <w:rPr>
                <w:sz w:val="24"/>
                <w:szCs w:val="24"/>
              </w:rPr>
              <w:lastRenderedPageBreak/>
              <w:t>Paper issued</w:t>
            </w:r>
          </w:p>
        </w:tc>
        <w:tc>
          <w:tcPr>
            <w:tcW w:w="3395" w:type="pct"/>
            <w:tcBorders>
              <w:top w:val="single" w:sz="4" w:space="0" w:color="auto"/>
              <w:left w:val="single" w:sz="4" w:space="0" w:color="auto"/>
              <w:bottom w:val="single" w:sz="4" w:space="0" w:color="auto"/>
              <w:right w:val="single" w:sz="4" w:space="0" w:color="auto"/>
            </w:tcBorders>
          </w:tcPr>
          <w:p w:rsidR="002E1DC9" w:rsidRPr="002E1DC9" w:rsidRDefault="002E1DC9" w:rsidP="00D863CD">
            <w:pPr>
              <w:rPr>
                <w:sz w:val="24"/>
                <w:szCs w:val="24"/>
              </w:rPr>
            </w:pPr>
            <w:r w:rsidRPr="002E1DC9">
              <w:rPr>
                <w:sz w:val="24"/>
                <w:szCs w:val="24"/>
              </w:rPr>
              <w:t>30 J</w:t>
            </w:r>
            <w:r w:rsidR="00D863CD">
              <w:rPr>
                <w:sz w:val="24"/>
                <w:szCs w:val="24"/>
              </w:rPr>
              <w:t xml:space="preserve">anuary </w:t>
            </w:r>
            <w:r w:rsidRPr="002E1DC9">
              <w:rPr>
                <w:sz w:val="24"/>
                <w:szCs w:val="24"/>
              </w:rPr>
              <w:t>201</w:t>
            </w:r>
            <w:r w:rsidR="00D863CD">
              <w:rPr>
                <w:sz w:val="24"/>
                <w:szCs w:val="24"/>
              </w:rPr>
              <w:t>7</w:t>
            </w:r>
          </w:p>
        </w:tc>
      </w:tr>
      <w:tr w:rsidR="002E1DC9" w:rsidRPr="00D34725" w:rsidTr="00581803">
        <w:tc>
          <w:tcPr>
            <w:tcW w:w="1605" w:type="pct"/>
            <w:tcBorders>
              <w:top w:val="single" w:sz="4" w:space="0" w:color="auto"/>
              <w:left w:val="single" w:sz="4" w:space="0" w:color="auto"/>
              <w:bottom w:val="single" w:sz="4" w:space="0" w:color="auto"/>
              <w:right w:val="single" w:sz="4" w:space="0" w:color="auto"/>
            </w:tcBorders>
          </w:tcPr>
          <w:p w:rsidR="002E1DC9" w:rsidRPr="002E1DC9" w:rsidRDefault="002E1DC9" w:rsidP="002E1DC9">
            <w:pPr>
              <w:rPr>
                <w:sz w:val="24"/>
                <w:szCs w:val="24"/>
              </w:rPr>
            </w:pPr>
            <w:r w:rsidRPr="002E1DC9">
              <w:rPr>
                <w:sz w:val="24"/>
                <w:szCs w:val="24"/>
              </w:rPr>
              <w:t>Commission contact officer</w:t>
            </w:r>
          </w:p>
        </w:tc>
        <w:tc>
          <w:tcPr>
            <w:tcW w:w="3395" w:type="pct"/>
            <w:tcBorders>
              <w:top w:val="single" w:sz="4" w:space="0" w:color="auto"/>
              <w:left w:val="single" w:sz="4" w:space="0" w:color="auto"/>
              <w:bottom w:val="single" w:sz="4" w:space="0" w:color="auto"/>
              <w:right w:val="single" w:sz="4" w:space="0" w:color="auto"/>
            </w:tcBorders>
          </w:tcPr>
          <w:p w:rsidR="002E1DC9" w:rsidRPr="002E1DC9" w:rsidRDefault="002E1DC9" w:rsidP="002E1DC9">
            <w:pPr>
              <w:rPr>
                <w:sz w:val="24"/>
                <w:szCs w:val="24"/>
                <w:lang w:val="fr-CA"/>
              </w:rPr>
            </w:pPr>
            <w:r>
              <w:rPr>
                <w:sz w:val="24"/>
                <w:szCs w:val="24"/>
                <w:lang w:val="fr-FR"/>
              </w:rPr>
              <w:t>Jeff Evans</w:t>
            </w:r>
            <w:r w:rsidRPr="002E1DC9">
              <w:rPr>
                <w:sz w:val="24"/>
                <w:szCs w:val="24"/>
                <w:lang w:val="fr-FR"/>
              </w:rPr>
              <w:t>, 02 6229 88</w:t>
            </w:r>
            <w:r>
              <w:rPr>
                <w:sz w:val="24"/>
                <w:szCs w:val="24"/>
                <w:lang w:val="fr-FR"/>
              </w:rPr>
              <w:t>56</w:t>
            </w:r>
            <w:r w:rsidRPr="002E1DC9">
              <w:rPr>
                <w:sz w:val="24"/>
                <w:szCs w:val="24"/>
                <w:lang w:val="fr-FR"/>
              </w:rPr>
              <w:t xml:space="preserve">, </w:t>
            </w:r>
            <w:hyperlink r:id="rId9" w:history="1">
              <w:r w:rsidRPr="00A247DA">
                <w:rPr>
                  <w:rStyle w:val="Hyperlink"/>
                  <w:sz w:val="24"/>
                  <w:szCs w:val="24"/>
                  <w:lang w:val="fr-FR"/>
                </w:rPr>
                <w:t>jeffrey.evans@cgc.gov.au</w:t>
              </w:r>
            </w:hyperlink>
          </w:p>
        </w:tc>
      </w:tr>
      <w:tr w:rsidR="002E1DC9" w:rsidRPr="00970E6D" w:rsidTr="00581803">
        <w:tc>
          <w:tcPr>
            <w:tcW w:w="1605" w:type="pct"/>
            <w:tcBorders>
              <w:top w:val="single" w:sz="4" w:space="0" w:color="auto"/>
              <w:left w:val="single" w:sz="4" w:space="0" w:color="auto"/>
              <w:bottom w:val="single" w:sz="4" w:space="0" w:color="auto"/>
              <w:right w:val="single" w:sz="4" w:space="0" w:color="auto"/>
            </w:tcBorders>
          </w:tcPr>
          <w:p w:rsidR="002E1DC9" w:rsidRPr="002E1DC9" w:rsidRDefault="002E1DC9" w:rsidP="002E1DC9">
            <w:pPr>
              <w:rPr>
                <w:sz w:val="24"/>
                <w:szCs w:val="24"/>
              </w:rPr>
            </w:pPr>
            <w:r w:rsidRPr="002E1DC9">
              <w:rPr>
                <w:sz w:val="24"/>
                <w:szCs w:val="24"/>
              </w:rPr>
              <w:t>Submissions sought by</w:t>
            </w:r>
          </w:p>
        </w:tc>
        <w:tc>
          <w:tcPr>
            <w:tcW w:w="3395" w:type="pct"/>
            <w:tcBorders>
              <w:top w:val="single" w:sz="4" w:space="0" w:color="auto"/>
              <w:left w:val="single" w:sz="4" w:space="0" w:color="auto"/>
              <w:bottom w:val="single" w:sz="4" w:space="0" w:color="auto"/>
              <w:right w:val="single" w:sz="4" w:space="0" w:color="auto"/>
            </w:tcBorders>
          </w:tcPr>
          <w:p w:rsidR="002E1DC9" w:rsidRPr="002E1DC9" w:rsidRDefault="002E1DC9" w:rsidP="002E1DC9">
            <w:pPr>
              <w:rPr>
                <w:sz w:val="24"/>
                <w:szCs w:val="24"/>
              </w:rPr>
            </w:pPr>
            <w:r w:rsidRPr="002E1DC9">
              <w:rPr>
                <w:sz w:val="24"/>
                <w:szCs w:val="24"/>
              </w:rPr>
              <w:t xml:space="preserve">Submissions should be emailed in Word format to </w:t>
            </w:r>
            <w:hyperlink r:id="rId10" w:history="1">
              <w:r w:rsidRPr="002E1DC9">
                <w:rPr>
                  <w:rStyle w:val="Hyperlink"/>
                  <w:sz w:val="24"/>
                  <w:szCs w:val="24"/>
                </w:rPr>
                <w:t>secretary@cgc.gov.au</w:t>
              </w:r>
            </w:hyperlink>
            <w:r w:rsidRPr="002E1DC9">
              <w:rPr>
                <w:sz w:val="24"/>
                <w:szCs w:val="24"/>
              </w:rPr>
              <w:t xml:space="preserve"> by 6 </w:t>
            </w:r>
            <w:r>
              <w:rPr>
                <w:sz w:val="24"/>
                <w:szCs w:val="24"/>
              </w:rPr>
              <w:t xml:space="preserve">February </w:t>
            </w:r>
            <w:r w:rsidRPr="002E1DC9">
              <w:rPr>
                <w:sz w:val="24"/>
                <w:szCs w:val="24"/>
              </w:rPr>
              <w:t>201</w:t>
            </w:r>
            <w:r>
              <w:rPr>
                <w:sz w:val="24"/>
                <w:szCs w:val="24"/>
              </w:rPr>
              <w:t>7</w:t>
            </w:r>
            <w:r w:rsidRPr="002E1DC9">
              <w:rPr>
                <w:sz w:val="24"/>
                <w:szCs w:val="24"/>
              </w:rPr>
              <w:t>.</w:t>
            </w:r>
          </w:p>
          <w:p w:rsidR="002E1DC9" w:rsidRPr="002E1DC9" w:rsidRDefault="002E1DC9" w:rsidP="002E1DC9">
            <w:pPr>
              <w:rPr>
                <w:sz w:val="24"/>
                <w:szCs w:val="24"/>
              </w:rPr>
            </w:pPr>
            <w:r w:rsidRPr="002E1DC9">
              <w:rPr>
                <w:sz w:val="24"/>
                <w:szCs w:val="24"/>
              </w:rPr>
              <w:t>Submissions of more than 10 pages in length should include a summary section.</w:t>
            </w:r>
          </w:p>
        </w:tc>
      </w:tr>
      <w:tr w:rsidR="002E1DC9" w:rsidRPr="00970E6D" w:rsidTr="00581803">
        <w:tc>
          <w:tcPr>
            <w:tcW w:w="1605" w:type="pct"/>
            <w:tcBorders>
              <w:top w:val="single" w:sz="4" w:space="0" w:color="auto"/>
              <w:left w:val="single" w:sz="4" w:space="0" w:color="auto"/>
              <w:bottom w:val="single" w:sz="4" w:space="0" w:color="auto"/>
              <w:right w:val="single" w:sz="4" w:space="0" w:color="auto"/>
            </w:tcBorders>
          </w:tcPr>
          <w:p w:rsidR="002E1DC9" w:rsidRPr="002E1DC9" w:rsidRDefault="002E1DC9" w:rsidP="002E1DC9">
            <w:pPr>
              <w:rPr>
                <w:sz w:val="24"/>
                <w:szCs w:val="24"/>
              </w:rPr>
            </w:pPr>
            <w:r w:rsidRPr="002E1DC9">
              <w:rPr>
                <w:sz w:val="24"/>
                <w:szCs w:val="24"/>
              </w:rPr>
              <w:t>Confidential material</w:t>
            </w:r>
          </w:p>
        </w:tc>
        <w:tc>
          <w:tcPr>
            <w:tcW w:w="3395" w:type="pct"/>
            <w:tcBorders>
              <w:top w:val="single" w:sz="4" w:space="0" w:color="auto"/>
              <w:left w:val="single" w:sz="4" w:space="0" w:color="auto"/>
              <w:bottom w:val="single" w:sz="4" w:space="0" w:color="auto"/>
              <w:right w:val="single" w:sz="4" w:space="0" w:color="auto"/>
            </w:tcBorders>
          </w:tcPr>
          <w:p w:rsidR="002E1DC9" w:rsidRPr="002E1DC9" w:rsidRDefault="002E1DC9" w:rsidP="002E1DC9">
            <w:pPr>
              <w:rPr>
                <w:sz w:val="24"/>
                <w:szCs w:val="24"/>
              </w:rPr>
            </w:pPr>
            <w:r w:rsidRPr="002E1DC9">
              <w:rPr>
                <w:sz w:val="24"/>
                <w:szCs w:val="24"/>
              </w:rPr>
              <w:t xml:space="preserve">It is the Commission’s normal practice to make State submissions available on its website under the CC BY licence, allowing free use of content by third parties. </w:t>
            </w:r>
          </w:p>
          <w:p w:rsidR="002E1DC9" w:rsidRPr="002E1DC9" w:rsidRDefault="002E1DC9" w:rsidP="002E1DC9">
            <w:pPr>
              <w:rPr>
                <w:sz w:val="24"/>
                <w:szCs w:val="24"/>
              </w:rPr>
            </w:pPr>
            <w:r w:rsidRPr="002E1DC9">
              <w:rPr>
                <w:noProof/>
                <w:sz w:val="24"/>
                <w:szCs w:val="24"/>
                <w:lang w:eastAsia="en-AU"/>
              </w:rPr>
              <w:drawing>
                <wp:inline distT="0" distB="0" distL="0" distR="0" wp14:anchorId="15ADD7D3" wp14:editId="493D7FB6">
                  <wp:extent cx="828675" cy="295275"/>
                  <wp:effectExtent l="19050" t="0" r="9525" b="0"/>
                  <wp:docPr id="5"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1"/>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2E1DC9" w:rsidRPr="002E1DC9" w:rsidRDefault="002E1DC9" w:rsidP="002E1DC9">
            <w:pPr>
              <w:rPr>
                <w:sz w:val="24"/>
                <w:szCs w:val="24"/>
              </w:rPr>
            </w:pPr>
            <w:r w:rsidRPr="002E1DC9">
              <w:rPr>
                <w:sz w:val="24"/>
                <w:szCs w:val="24"/>
              </w:rPr>
              <w:t xml:space="preserve">Further information on the CC BY licence can be found </w:t>
            </w:r>
            <w:r w:rsidR="00C5304A">
              <w:rPr>
                <w:sz w:val="24"/>
                <w:szCs w:val="24"/>
              </w:rPr>
              <w:t xml:space="preserve">on the </w:t>
            </w:r>
            <w:hyperlink r:id="rId12" w:history="1">
              <w:r w:rsidR="00C5304A" w:rsidRPr="00C5304A">
                <w:rPr>
                  <w:rStyle w:val="Hyperlink"/>
                  <w:sz w:val="24"/>
                  <w:szCs w:val="24"/>
                </w:rPr>
                <w:t>Creative Commons website</w:t>
              </w:r>
            </w:hyperlink>
            <w:r w:rsidR="00C5304A">
              <w:rPr>
                <w:sz w:val="24"/>
                <w:szCs w:val="24"/>
              </w:rPr>
              <w:t xml:space="preserve"> (</w:t>
            </w:r>
            <w:r w:rsidRPr="00C5304A">
              <w:rPr>
                <w:sz w:val="24"/>
                <w:szCs w:val="24"/>
              </w:rPr>
              <w:t>http://www.creativecommons.org</w:t>
            </w:r>
            <w:r w:rsidR="00C5304A">
              <w:rPr>
                <w:sz w:val="24"/>
                <w:szCs w:val="24"/>
              </w:rPr>
              <w:t>).</w:t>
            </w:r>
          </w:p>
          <w:p w:rsidR="002E1DC9" w:rsidRPr="002E1DC9" w:rsidRDefault="002E1DC9" w:rsidP="002E1DC9">
            <w:pPr>
              <w:rPr>
                <w:sz w:val="24"/>
                <w:szCs w:val="24"/>
              </w:rPr>
            </w:pPr>
            <w:r w:rsidRPr="002E1DC9">
              <w:rPr>
                <w:sz w:val="24"/>
                <w:szCs w:val="24"/>
              </w:rPr>
              <w:t>Confidential material contained in submissions must be clearly identified or included in separate attachment/s, and details provided in the covering email. Identified confidential material will not be published on the Commission’s website.</w:t>
            </w:r>
          </w:p>
        </w:tc>
      </w:tr>
    </w:tbl>
    <w:p w:rsidR="001244C2" w:rsidRPr="00970E6D" w:rsidRDefault="001244C2" w:rsidP="001244C2"/>
    <w:p w:rsidR="001244C2" w:rsidRDefault="001244C2">
      <w:pPr>
        <w:spacing w:after="200" w:line="276" w:lineRule="auto"/>
        <w:sectPr w:rsidR="001244C2" w:rsidSect="0004123E">
          <w:headerReference w:type="even" r:id="rId13"/>
          <w:headerReference w:type="default" r:id="rId14"/>
          <w:footerReference w:type="even" r:id="rId15"/>
          <w:footerReference w:type="default" r:id="rId16"/>
          <w:headerReference w:type="first" r:id="rId17"/>
          <w:footerReference w:type="first" r:id="rId18"/>
          <w:pgSz w:w="11899" w:h="16838" w:code="9"/>
          <w:pgMar w:top="1701" w:right="1474" w:bottom="1701" w:left="1474" w:header="709" w:footer="709" w:gutter="0"/>
          <w:cols w:space="708"/>
          <w:titlePg/>
          <w:docGrid w:linePitch="299"/>
        </w:sectPr>
      </w:pPr>
    </w:p>
    <w:p w:rsidR="00370E87" w:rsidRPr="002E1DC9" w:rsidRDefault="00370E87" w:rsidP="002E1DC9">
      <w:pPr>
        <w:pStyle w:val="CGCNumberedPara"/>
      </w:pPr>
      <w:r w:rsidRPr="002E1DC9">
        <w:lastRenderedPageBreak/>
        <w:t>States impose land tax on residential investment, commercial and industrial land. Mostly they impose the tax on a landholder’s aggregated value of taxable land. The Commission’s capacity measure is a State’s total value of taxable land, aggregated by landholder. State Revenue Offices (SROs) provide these data disaggregated across 15 value ranges.</w:t>
      </w:r>
    </w:p>
    <w:p w:rsidR="00370E87" w:rsidRPr="00FB4805" w:rsidRDefault="00370E87" w:rsidP="00FB4805">
      <w:pPr>
        <w:pStyle w:val="CGCNumberedPara"/>
      </w:pPr>
      <w:r w:rsidRPr="00FB4805">
        <w:t>In this update, Queensland has provided a new distribution of land values by value range for 2016, to replace the distribution it estimated in 2009 for the 2010 Review, and which was used in subsequent updates. This new distribution is very different from its old distribution (Figure 1). There is more value at low value ranges and less value at high value ranges.</w:t>
      </w:r>
    </w:p>
    <w:p w:rsidR="00370E87" w:rsidRPr="00FB4805" w:rsidRDefault="00370E87" w:rsidP="00FB4805">
      <w:pPr>
        <w:pStyle w:val="CGCNumberedPara"/>
      </w:pPr>
      <w:r w:rsidRPr="00FB4805">
        <w:t>The old distribution by value range was estimated. The new distribution has been constructed using land value da</w:t>
      </w:r>
      <w:r w:rsidR="00FB4805" w:rsidRPr="00FB4805">
        <w:t xml:space="preserve">ta provided by the State </w:t>
      </w:r>
      <w:proofErr w:type="spellStart"/>
      <w:r w:rsidR="00FB4805" w:rsidRPr="00FB4805">
        <w:t>Valuer</w:t>
      </w:r>
      <w:proofErr w:type="spellEnd"/>
      <w:r w:rsidRPr="00FB4805">
        <w:t xml:space="preserve"> General</w:t>
      </w:r>
      <w:r w:rsidR="00FB4805" w:rsidRPr="00FB4805">
        <w:t>’s</w:t>
      </w:r>
      <w:r w:rsidRPr="00FB4805">
        <w:t xml:space="preserve"> office, although some estimation is required at the lower value end as values below $0.6 million are not taxed. These additional data have become available to the State Revenue Office as a result of a system upgrade. This approach is more consistent with that used by other States to estimate their value distributions.</w:t>
      </w:r>
    </w:p>
    <w:p w:rsidR="00370E87" w:rsidRDefault="00370E87" w:rsidP="00370E87">
      <w:pPr>
        <w:pStyle w:val="Caption"/>
        <w:ind w:left="0" w:firstLine="0"/>
      </w:pPr>
      <w:bookmarkStart w:id="1" w:name="_Ref472587159"/>
      <w:r>
        <w:t xml:space="preserve">Figure </w:t>
      </w:r>
      <w:fldSimple w:instr=" SEQ Figure \* ARABIC ">
        <w:r>
          <w:rPr>
            <w:noProof/>
          </w:rPr>
          <w:t>1</w:t>
        </w:r>
      </w:fldSimple>
      <w:bookmarkEnd w:id="1"/>
      <w:r>
        <w:tab/>
        <w:t>Comparison of Queensland’s distributional patterns, 2009 and 2016</w:t>
      </w:r>
    </w:p>
    <w:p w:rsidR="00370E87" w:rsidRDefault="00370E87" w:rsidP="00370E87">
      <w:r>
        <w:rPr>
          <w:noProof/>
          <w:lang w:eastAsia="en-AU"/>
        </w:rPr>
        <w:drawing>
          <wp:inline distT="0" distB="0" distL="0" distR="0" wp14:anchorId="087B5BDC" wp14:editId="7F7FC34F">
            <wp:extent cx="5648325" cy="3552825"/>
            <wp:effectExtent l="0" t="0" r="9525" b="9525"/>
            <wp:docPr id="3" name="Picture 3" descr="This figure compares the old distribution by value range with the new distribution by value range. The new distribution has a higher proportion of values in the value ranges less than $0.4 million and a lower proportion of values in the value ranges greater than $2.5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8325" cy="3552825"/>
                    </a:xfrm>
                    <a:prstGeom prst="rect">
                      <a:avLst/>
                    </a:prstGeom>
                    <a:noFill/>
                    <a:ln>
                      <a:noFill/>
                    </a:ln>
                  </pic:spPr>
                </pic:pic>
              </a:graphicData>
            </a:graphic>
          </wp:inline>
        </w:drawing>
      </w:r>
    </w:p>
    <w:p w:rsidR="00370E87" w:rsidRDefault="00370E87" w:rsidP="00370E87">
      <w:pPr>
        <w:pStyle w:val="CGCTableFootnote"/>
      </w:pPr>
      <w:r>
        <w:t>Source:</w:t>
      </w:r>
      <w:r>
        <w:tab/>
        <w:t>State Revenue Office data.</w:t>
      </w:r>
    </w:p>
    <w:p w:rsidR="00370E87" w:rsidRDefault="00370E87" w:rsidP="00370E87"/>
    <w:p w:rsidR="00370E87" w:rsidRDefault="00370E87" w:rsidP="00370E87">
      <w:pPr>
        <w:pStyle w:val="CGCNumberedPara"/>
      </w:pPr>
      <w:r>
        <w:t>Queensland says the new distribution is mainly due to a slow shift in values that has taken place since 2009 and the availability of data on which to calculate the shares of properties in each value range.</w:t>
      </w:r>
    </w:p>
    <w:p w:rsidR="00370E87" w:rsidRDefault="00370E87" w:rsidP="00370E87">
      <w:pPr>
        <w:pStyle w:val="CGCNumberedPara"/>
      </w:pPr>
      <w:r>
        <w:t>The new distribution appears to be more representative of Queensland’s current property market than the old distribution for the following reasons.</w:t>
      </w:r>
    </w:p>
    <w:p w:rsidR="00370E87" w:rsidRPr="00370E87" w:rsidRDefault="00370E87" w:rsidP="00370E87">
      <w:pPr>
        <w:pStyle w:val="CGCBulletlist"/>
      </w:pPr>
      <w:r w:rsidRPr="00370E87">
        <w:t>Applying Queensland’s legislated rates to its distribution of taxable land values using the new distribution and the old distribution, the new distribution produced revenue raising that better aligns with its actual collections.</w:t>
      </w:r>
    </w:p>
    <w:p w:rsidR="00370E87" w:rsidRPr="00370E87" w:rsidRDefault="00370E87" w:rsidP="00370E87">
      <w:pPr>
        <w:pStyle w:val="CGCBulletlist"/>
      </w:pPr>
      <w:r w:rsidRPr="00370E87">
        <w:lastRenderedPageBreak/>
        <w:fldChar w:fldCharType="begin"/>
      </w:r>
      <w:r w:rsidRPr="00370E87">
        <w:instrText xml:space="preserve"> REF _Ref472587849 \h </w:instrText>
      </w:r>
      <w:r>
        <w:instrText xml:space="preserve"> \* MERGEFORMAT </w:instrText>
      </w:r>
      <w:r w:rsidRPr="00370E87">
        <w:fldChar w:fldCharType="separate"/>
      </w:r>
      <w:r w:rsidRPr="00370E87">
        <w:t>Figure 2</w:t>
      </w:r>
      <w:r w:rsidRPr="00370E87">
        <w:fldChar w:fldCharType="end"/>
      </w:r>
      <w:r w:rsidRPr="00370E87">
        <w:t xml:space="preserve"> shows the 2016 data are more similar to the distributional pattern of other States than the 2009 data (shown in </w:t>
      </w:r>
      <w:r w:rsidRPr="00370E87">
        <w:fldChar w:fldCharType="begin"/>
      </w:r>
      <w:r w:rsidRPr="00370E87">
        <w:instrText xml:space="preserve"> REF _Ref472586982 \h </w:instrText>
      </w:r>
      <w:r>
        <w:instrText xml:space="preserve"> \* MERGEFORMAT </w:instrText>
      </w:r>
      <w:r w:rsidRPr="00370E87">
        <w:fldChar w:fldCharType="separate"/>
      </w:r>
      <w:r w:rsidRPr="00370E87">
        <w:t>Figure 3</w:t>
      </w:r>
      <w:r w:rsidRPr="00370E87">
        <w:fldChar w:fldCharType="end"/>
      </w:r>
      <w:r w:rsidRPr="00370E87">
        <w:t>), particularly for the top band of $3 million, the band with the highest effective tax rate.</w:t>
      </w:r>
    </w:p>
    <w:p w:rsidR="00370E87" w:rsidRPr="00370E87" w:rsidRDefault="00370E87" w:rsidP="00370E87">
      <w:pPr>
        <w:pStyle w:val="CGCBulletlist"/>
      </w:pPr>
      <w:r w:rsidRPr="00370E87">
        <w:t xml:space="preserve">The median value of properties in Brisbane is low compared </w:t>
      </w:r>
      <w:r w:rsidR="004C573A">
        <w:t>with</w:t>
      </w:r>
      <w:r w:rsidRPr="00370E87">
        <w:t xml:space="preserve"> those in Sydney, Melbourne, Perth, Canberra and Darwin, and only above those in Adelaide and Hobart. It has become increasingly below the average since 2013 (ABS, Residential Property Price Indexes: Eight Capital Cities, Mar 2015, Cat No 6416.0).</w:t>
      </w:r>
    </w:p>
    <w:p w:rsidR="00370E87" w:rsidRPr="00370E87" w:rsidRDefault="00370E87" w:rsidP="00370E87">
      <w:pPr>
        <w:pStyle w:val="CGCBulletlist"/>
      </w:pPr>
      <w:r w:rsidRPr="00370E87">
        <w:t>The value distribution adjustment (VDA) for Queensland implied by the 2009 distribution would suggest property values 37.9% above average — the highest of any State.</w:t>
      </w:r>
      <w:r>
        <w:t xml:space="preserve"> </w:t>
      </w:r>
      <w:r w:rsidRPr="00370E87">
        <w:t xml:space="preserve"> Its VDA implied by the 2016 distribution is slightly below average, more consistent with its relative property values. Also, Queensland’s VDA using the new distribution is more consistent with its VDA for conveyance duty. Note: A VDA compares a State’s actual distribution of values to the average distribution.</w:t>
      </w:r>
    </w:p>
    <w:p w:rsidR="00370E87" w:rsidRPr="00370E87" w:rsidRDefault="00370E87" w:rsidP="00370E87">
      <w:pPr>
        <w:pStyle w:val="CGCBulletlist"/>
      </w:pPr>
      <w:r w:rsidRPr="00370E87">
        <w:t>One of the reasons Queensland gave for the increase in the low value ranges is the increase in the proportion of apartments. The proportion of residential building approvals that are apartments increased from 19% in 2009-10 to 35% in 2015</w:t>
      </w:r>
      <w:r w:rsidRPr="00370E87">
        <w:noBreakHyphen/>
        <w:t xml:space="preserve">16 (ABS, Queensland </w:t>
      </w:r>
      <w:r w:rsidR="004C573A">
        <w:t>Building</w:t>
      </w:r>
      <w:r w:rsidRPr="00370E87">
        <w:t xml:space="preserve"> Approval</w:t>
      </w:r>
      <w:r w:rsidR="004C573A">
        <w:t>s</w:t>
      </w:r>
      <w:r w:rsidRPr="00370E87">
        <w:t xml:space="preserve"> data).</w:t>
      </w:r>
    </w:p>
    <w:p w:rsidR="00370E87" w:rsidRPr="00370E87" w:rsidRDefault="00370E87" w:rsidP="00370E87">
      <w:pPr>
        <w:pStyle w:val="CGCBulletlist"/>
      </w:pPr>
      <w:r w:rsidRPr="00370E87">
        <w:t xml:space="preserve">The last </w:t>
      </w:r>
      <w:proofErr w:type="spellStart"/>
      <w:r w:rsidRPr="00370E87">
        <w:t>Valuer</w:t>
      </w:r>
      <w:proofErr w:type="spellEnd"/>
      <w:r w:rsidRPr="00370E87">
        <w:t xml:space="preserve"> General</w:t>
      </w:r>
      <w:r w:rsidR="00B53D82">
        <w:t>’s</w:t>
      </w:r>
      <w:r w:rsidRPr="00370E87">
        <w:t xml:space="preserve"> data by value range available to the Commission (2008 data) indicated that Queensland had over 50% of its property values in the ranges $0.3 million and below. These data are not aggregated by land holder and are therefore not directly comparable with SRO data. However, the adjustments for joint owners would not be expected to substantially reduce this proportion. </w:t>
      </w:r>
    </w:p>
    <w:p w:rsidR="00370E87" w:rsidRDefault="00370E87" w:rsidP="00370E87">
      <w:pPr>
        <w:pStyle w:val="Caption"/>
      </w:pPr>
      <w:bookmarkStart w:id="2" w:name="_Ref472587849"/>
      <w:r>
        <w:t xml:space="preserve">Figure </w:t>
      </w:r>
      <w:fldSimple w:instr=" SEQ Figure \* ARABIC ">
        <w:r>
          <w:rPr>
            <w:noProof/>
          </w:rPr>
          <w:t>2</w:t>
        </w:r>
      </w:fldSimple>
      <w:bookmarkEnd w:id="2"/>
      <w:r>
        <w:tab/>
        <w:t>Comparison of State distributional patterns, 2016</w:t>
      </w:r>
    </w:p>
    <w:p w:rsidR="00370E87" w:rsidRDefault="00370E87" w:rsidP="00370E87">
      <w:r>
        <w:rPr>
          <w:noProof/>
          <w:lang w:eastAsia="en-AU"/>
        </w:rPr>
        <w:drawing>
          <wp:inline distT="0" distB="0" distL="0" distR="0" wp14:anchorId="6374BD56" wp14:editId="10906E07">
            <wp:extent cx="5648325" cy="3552825"/>
            <wp:effectExtent l="0" t="0" r="9525" b="9525"/>
            <wp:docPr id="2" name="Picture 2" descr="This figure compares Queensland's new distribution by value range with the distribution by value range for all other States combined. The proportion of values in the value ranges greater than $2.5 million is almost identical between the two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8325" cy="3552825"/>
                    </a:xfrm>
                    <a:prstGeom prst="rect">
                      <a:avLst/>
                    </a:prstGeom>
                    <a:noFill/>
                    <a:ln>
                      <a:noFill/>
                    </a:ln>
                  </pic:spPr>
                </pic:pic>
              </a:graphicData>
            </a:graphic>
          </wp:inline>
        </w:drawing>
      </w:r>
    </w:p>
    <w:p w:rsidR="00370E87" w:rsidRDefault="00370E87" w:rsidP="00370E87">
      <w:pPr>
        <w:pStyle w:val="CGCTableFootnote"/>
      </w:pPr>
      <w:r>
        <w:t>Source:</w:t>
      </w:r>
      <w:r>
        <w:tab/>
        <w:t>State Revenue Office data.</w:t>
      </w:r>
    </w:p>
    <w:p w:rsidR="00370E87" w:rsidRDefault="00370E87" w:rsidP="00370E87">
      <w:pPr>
        <w:pStyle w:val="Caption"/>
      </w:pPr>
      <w:bookmarkStart w:id="3" w:name="_Ref472586982"/>
      <w:r>
        <w:lastRenderedPageBreak/>
        <w:t xml:space="preserve">Figure </w:t>
      </w:r>
      <w:fldSimple w:instr=" SEQ Figure \* ARABIC ">
        <w:r>
          <w:rPr>
            <w:noProof/>
          </w:rPr>
          <w:t>3</w:t>
        </w:r>
      </w:fldSimple>
      <w:bookmarkEnd w:id="3"/>
      <w:r>
        <w:tab/>
        <w:t>Comparison of State distributional patterns, 2009</w:t>
      </w:r>
    </w:p>
    <w:p w:rsidR="00370E87" w:rsidRDefault="00370E87" w:rsidP="00370E87">
      <w:r>
        <w:rPr>
          <w:noProof/>
          <w:lang w:eastAsia="en-AU"/>
        </w:rPr>
        <w:drawing>
          <wp:inline distT="0" distB="0" distL="0" distR="0" wp14:anchorId="0FD9B798" wp14:editId="2E650CC6">
            <wp:extent cx="5648325" cy="3552825"/>
            <wp:effectExtent l="0" t="0" r="9525" b="9525"/>
            <wp:docPr id="1" name="Picture 1" descr="This figure compares Queensland's old distribution by value range with the distribution by value range for all other States combined. The proportion of values in each value range differs somewhat between the two series, particularly for value ranges greater than $2.5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8325" cy="3552825"/>
                    </a:xfrm>
                    <a:prstGeom prst="rect">
                      <a:avLst/>
                    </a:prstGeom>
                    <a:noFill/>
                    <a:ln>
                      <a:noFill/>
                    </a:ln>
                  </pic:spPr>
                </pic:pic>
              </a:graphicData>
            </a:graphic>
          </wp:inline>
        </w:drawing>
      </w:r>
    </w:p>
    <w:p w:rsidR="00370E87" w:rsidRDefault="00370E87" w:rsidP="00370E87">
      <w:pPr>
        <w:pStyle w:val="CGCTableFootnote"/>
      </w:pPr>
      <w:r>
        <w:t>Source:</w:t>
      </w:r>
      <w:r>
        <w:tab/>
        <w:t>State Revenue Office data.</w:t>
      </w:r>
    </w:p>
    <w:p w:rsidR="00370E87" w:rsidRDefault="00370E87" w:rsidP="00370E87"/>
    <w:p w:rsidR="00370E87" w:rsidRDefault="00370E87" w:rsidP="00370E87">
      <w:pPr>
        <w:pStyle w:val="CGCNumberedPara"/>
      </w:pPr>
      <w:r>
        <w:t>As Queensland’s new distribution of land values by value range for 2015</w:t>
      </w:r>
      <w:r>
        <w:noBreakHyphen/>
        <w:t>16 appears to provide a better indication of current conditions than applying its previous (2009) distribution, the issue for the Commission is what distribution the Commission should use for the earlier two assessment years. The options for those years are:</w:t>
      </w:r>
    </w:p>
    <w:p w:rsidR="00370E87" w:rsidRPr="00370E87" w:rsidRDefault="00370E87" w:rsidP="00370E87">
      <w:pPr>
        <w:pStyle w:val="CGCBulletlist"/>
      </w:pPr>
      <w:r w:rsidRPr="00370E87">
        <w:t>to retain the old distribution in both years</w:t>
      </w:r>
    </w:p>
    <w:p w:rsidR="00370E87" w:rsidRPr="00370E87" w:rsidRDefault="00370E87" w:rsidP="00370E87">
      <w:pPr>
        <w:pStyle w:val="CGCBulletlist"/>
      </w:pPr>
      <w:r w:rsidRPr="00370E87">
        <w:t>to use the new distribution</w:t>
      </w:r>
      <w:r w:rsidR="00DA2975">
        <w:t xml:space="preserve"> in both years</w:t>
      </w:r>
    </w:p>
    <w:p w:rsidR="00370E87" w:rsidRPr="00370E87" w:rsidRDefault="00370E87" w:rsidP="00370E87">
      <w:pPr>
        <w:pStyle w:val="CGCBulletlist"/>
      </w:pPr>
      <w:proofErr w:type="gramStart"/>
      <w:r w:rsidRPr="00370E87">
        <w:t>to</w:t>
      </w:r>
      <w:proofErr w:type="gramEnd"/>
      <w:r w:rsidRPr="00370E87">
        <w:t xml:space="preserve"> transition from the old distribution to the new distribution.</w:t>
      </w:r>
    </w:p>
    <w:p w:rsidR="00370E87" w:rsidRDefault="00370E87" w:rsidP="00370E87">
      <w:pPr>
        <w:pStyle w:val="CGCNumberedPara"/>
      </w:pPr>
      <w:r>
        <w:t>The last option would be implemented by assuming an even transition from 2009-10 to 2015</w:t>
      </w:r>
      <w:r>
        <w:noBreakHyphen/>
        <w:t>16 (the last year of the 2017 Update). That would imply the distributions for each assessment year</w:t>
      </w:r>
      <w:r w:rsidR="004C573A">
        <w:t xml:space="preserve"> as shown in </w:t>
      </w:r>
      <w:r w:rsidR="004C573A">
        <w:fldChar w:fldCharType="begin"/>
      </w:r>
      <w:r w:rsidR="004C573A">
        <w:instrText xml:space="preserve"> REF _Ref472933779 \h </w:instrText>
      </w:r>
      <w:r w:rsidR="004C573A">
        <w:fldChar w:fldCharType="separate"/>
      </w:r>
      <w:r w:rsidR="004C573A">
        <w:t xml:space="preserve">Table </w:t>
      </w:r>
      <w:r w:rsidR="004C573A">
        <w:rPr>
          <w:noProof/>
        </w:rPr>
        <w:t>1</w:t>
      </w:r>
      <w:r w:rsidR="004C573A">
        <w:fldChar w:fldCharType="end"/>
      </w:r>
      <w:r>
        <w:t>.</w:t>
      </w:r>
    </w:p>
    <w:p w:rsidR="00297B15" w:rsidRDefault="00297B15" w:rsidP="00297B15">
      <w:pPr>
        <w:pStyle w:val="CGCNumberedPara"/>
      </w:pPr>
      <w:r>
        <w:fldChar w:fldCharType="begin"/>
      </w:r>
      <w:r>
        <w:instrText xml:space="preserve"> REF _Ref473102078 \h </w:instrText>
      </w:r>
      <w:r>
        <w:fldChar w:fldCharType="separate"/>
      </w:r>
      <w:r>
        <w:t xml:space="preserve">Table </w:t>
      </w:r>
      <w:r>
        <w:rPr>
          <w:noProof/>
        </w:rPr>
        <w:t>2</w:t>
      </w:r>
      <w:r>
        <w:fldChar w:fldCharType="end"/>
      </w:r>
      <w:r>
        <w:t xml:space="preserve"> shows the redistribution of GST revenue for each approach, along with the difference in the GST distributions between the 2016 and 2017 Updates of the alternative approaches.</w:t>
      </w:r>
    </w:p>
    <w:p w:rsidR="00297B15" w:rsidRDefault="004C573A" w:rsidP="00297B15">
      <w:pPr>
        <w:pStyle w:val="CGCNumberedPara"/>
      </w:pPr>
      <w:r>
        <w:t xml:space="preserve">While there are reasons </w:t>
      </w:r>
      <w:r w:rsidR="00DA2975">
        <w:t>to</w:t>
      </w:r>
      <w:r>
        <w:t xml:space="preserve"> support each of the three options above, the s</w:t>
      </w:r>
      <w:r w:rsidR="00297B15">
        <w:t xml:space="preserve">taff </w:t>
      </w:r>
      <w:r>
        <w:t xml:space="preserve">inclination is </w:t>
      </w:r>
      <w:r w:rsidR="00297B15">
        <w:t xml:space="preserve">to recommend </w:t>
      </w:r>
      <w:r w:rsidR="00DA2975">
        <w:t xml:space="preserve">to </w:t>
      </w:r>
      <w:r w:rsidR="00297B15">
        <w:t xml:space="preserve">the Commission that it use the transition approach to obtain value distributions for </w:t>
      </w:r>
      <w:r>
        <w:t>the first two assessment years.</w:t>
      </w:r>
      <w:r w:rsidR="00776C5E">
        <w:t xml:space="preserve"> We are seeking State views on the value distribution that should be used in those two years.</w:t>
      </w:r>
    </w:p>
    <w:p w:rsidR="00370E87" w:rsidRDefault="00370E87" w:rsidP="00370E87">
      <w:pPr>
        <w:pStyle w:val="CGCTableHeading"/>
      </w:pPr>
      <w:bookmarkStart w:id="4" w:name="_Ref472933779"/>
      <w:r>
        <w:lastRenderedPageBreak/>
        <w:t xml:space="preserve">Table </w:t>
      </w:r>
      <w:fldSimple w:instr=" SEQ Table \* ARABIC ">
        <w:r>
          <w:rPr>
            <w:noProof/>
          </w:rPr>
          <w:t>1</w:t>
        </w:r>
      </w:fldSimple>
      <w:bookmarkEnd w:id="4"/>
      <w:r>
        <w:tab/>
        <w:t>Transitioning from the old distribution to the new distribution</w:t>
      </w:r>
    </w:p>
    <w:tbl>
      <w:tblPr>
        <w:tblW w:w="5000" w:type="pct"/>
        <w:tblCellMar>
          <w:left w:w="85" w:type="dxa"/>
          <w:right w:w="85" w:type="dxa"/>
        </w:tblCellMar>
        <w:tblLook w:val="04A0" w:firstRow="1" w:lastRow="0" w:firstColumn="1" w:lastColumn="0" w:noHBand="0" w:noVBand="1"/>
      </w:tblPr>
      <w:tblGrid>
        <w:gridCol w:w="1792"/>
        <w:gridCol w:w="1047"/>
        <w:gridCol w:w="1047"/>
        <w:gridCol w:w="1047"/>
        <w:gridCol w:w="1047"/>
        <w:gridCol w:w="1047"/>
        <w:gridCol w:w="1047"/>
        <w:gridCol w:w="1047"/>
      </w:tblGrid>
      <w:tr w:rsidR="00370E87" w:rsidTr="00370E87">
        <w:tc>
          <w:tcPr>
            <w:tcW w:w="982" w:type="pct"/>
            <w:tcBorders>
              <w:top w:val="single" w:sz="4" w:space="0" w:color="auto"/>
              <w:left w:val="nil"/>
              <w:bottom w:val="nil"/>
              <w:right w:val="nil"/>
            </w:tcBorders>
            <w:vAlign w:val="bottom"/>
          </w:tcPr>
          <w:p w:rsidR="00370E87" w:rsidRDefault="00370E87">
            <w:pPr>
              <w:pStyle w:val="CGCTableStub"/>
              <w:rPr>
                <w:rFonts w:cs="Calibri"/>
              </w:rPr>
            </w:pPr>
          </w:p>
        </w:tc>
        <w:tc>
          <w:tcPr>
            <w:tcW w:w="4018" w:type="pct"/>
            <w:gridSpan w:val="7"/>
            <w:tcBorders>
              <w:top w:val="single" w:sz="4" w:space="0" w:color="auto"/>
              <w:left w:val="nil"/>
              <w:bottom w:val="single" w:sz="4" w:space="0" w:color="auto"/>
              <w:right w:val="nil"/>
            </w:tcBorders>
            <w:vAlign w:val="bottom"/>
            <w:hideMark/>
          </w:tcPr>
          <w:p w:rsidR="00370E87" w:rsidRDefault="00370E87">
            <w:pPr>
              <w:pStyle w:val="TableColHeadings"/>
              <w:spacing w:line="276" w:lineRule="auto"/>
              <w:jc w:val="center"/>
              <w:rPr>
                <w:rFonts w:cs="Calibri"/>
              </w:rPr>
            </w:pPr>
            <w:r>
              <w:rPr>
                <w:rFonts w:cs="Calibri"/>
              </w:rPr>
              <w:t>Distribution for assessment year</w:t>
            </w:r>
          </w:p>
        </w:tc>
      </w:tr>
      <w:tr w:rsidR="00370E87" w:rsidTr="00370E87">
        <w:tc>
          <w:tcPr>
            <w:tcW w:w="982" w:type="pct"/>
            <w:tcBorders>
              <w:top w:val="nil"/>
              <w:left w:val="nil"/>
              <w:bottom w:val="single" w:sz="6" w:space="0" w:color="auto"/>
              <w:right w:val="nil"/>
            </w:tcBorders>
            <w:vAlign w:val="bottom"/>
            <w:hideMark/>
          </w:tcPr>
          <w:p w:rsidR="00370E87" w:rsidRDefault="00370E87">
            <w:pPr>
              <w:pStyle w:val="CGCTableStub"/>
              <w:rPr>
                <w:rFonts w:cs="Calibri"/>
              </w:rPr>
            </w:pPr>
            <w:r>
              <w:rPr>
                <w:rFonts w:cs="Calibri"/>
              </w:rPr>
              <w:t>Value range</w:t>
            </w:r>
          </w:p>
        </w:tc>
        <w:tc>
          <w:tcPr>
            <w:tcW w:w="574" w:type="pct"/>
            <w:tcBorders>
              <w:top w:val="single" w:sz="4" w:space="0" w:color="auto"/>
              <w:left w:val="nil"/>
              <w:bottom w:val="single" w:sz="6" w:space="0" w:color="auto"/>
              <w:right w:val="nil"/>
            </w:tcBorders>
            <w:vAlign w:val="bottom"/>
            <w:hideMark/>
          </w:tcPr>
          <w:p w:rsidR="00370E87" w:rsidRDefault="00370E87">
            <w:pPr>
              <w:pStyle w:val="TableColHeadings"/>
              <w:spacing w:line="276" w:lineRule="auto"/>
              <w:rPr>
                <w:rFonts w:cs="Calibri"/>
              </w:rPr>
            </w:pPr>
            <w:r>
              <w:rPr>
                <w:rFonts w:cs="Calibri"/>
              </w:rPr>
              <w:t>2009-10</w:t>
            </w:r>
          </w:p>
        </w:tc>
        <w:tc>
          <w:tcPr>
            <w:tcW w:w="574" w:type="pct"/>
            <w:tcBorders>
              <w:top w:val="single" w:sz="4" w:space="0" w:color="auto"/>
              <w:left w:val="nil"/>
              <w:bottom w:val="single" w:sz="6" w:space="0" w:color="auto"/>
              <w:right w:val="nil"/>
            </w:tcBorders>
            <w:vAlign w:val="bottom"/>
            <w:hideMark/>
          </w:tcPr>
          <w:p w:rsidR="00370E87" w:rsidRDefault="00370E87">
            <w:pPr>
              <w:pStyle w:val="TableColHeadings"/>
              <w:spacing w:line="276" w:lineRule="auto"/>
              <w:rPr>
                <w:rFonts w:cs="Calibri"/>
              </w:rPr>
            </w:pPr>
            <w:r>
              <w:rPr>
                <w:rFonts w:cs="Calibri"/>
              </w:rPr>
              <w:t>2010-11</w:t>
            </w:r>
          </w:p>
        </w:tc>
        <w:tc>
          <w:tcPr>
            <w:tcW w:w="574" w:type="pct"/>
            <w:tcBorders>
              <w:top w:val="single" w:sz="4" w:space="0" w:color="auto"/>
              <w:left w:val="nil"/>
              <w:bottom w:val="single" w:sz="6" w:space="0" w:color="auto"/>
              <w:right w:val="nil"/>
            </w:tcBorders>
            <w:vAlign w:val="bottom"/>
            <w:hideMark/>
          </w:tcPr>
          <w:p w:rsidR="00370E87" w:rsidRDefault="00370E87">
            <w:pPr>
              <w:pStyle w:val="TableColHeadings"/>
              <w:spacing w:line="276" w:lineRule="auto"/>
              <w:rPr>
                <w:rFonts w:cs="Calibri"/>
              </w:rPr>
            </w:pPr>
            <w:r>
              <w:rPr>
                <w:rFonts w:cs="Calibri"/>
              </w:rPr>
              <w:t>2011-12</w:t>
            </w:r>
          </w:p>
        </w:tc>
        <w:tc>
          <w:tcPr>
            <w:tcW w:w="574" w:type="pct"/>
            <w:tcBorders>
              <w:top w:val="single" w:sz="4" w:space="0" w:color="auto"/>
              <w:left w:val="nil"/>
              <w:bottom w:val="single" w:sz="6" w:space="0" w:color="auto"/>
              <w:right w:val="nil"/>
            </w:tcBorders>
            <w:vAlign w:val="bottom"/>
            <w:hideMark/>
          </w:tcPr>
          <w:p w:rsidR="00370E87" w:rsidRDefault="00370E87">
            <w:pPr>
              <w:pStyle w:val="TableColHeadings"/>
              <w:spacing w:line="276" w:lineRule="auto"/>
              <w:rPr>
                <w:rFonts w:cs="Calibri"/>
              </w:rPr>
            </w:pPr>
            <w:r>
              <w:rPr>
                <w:rFonts w:cs="Calibri"/>
              </w:rPr>
              <w:t>2012-13</w:t>
            </w:r>
          </w:p>
        </w:tc>
        <w:tc>
          <w:tcPr>
            <w:tcW w:w="574" w:type="pct"/>
            <w:tcBorders>
              <w:top w:val="single" w:sz="4" w:space="0" w:color="auto"/>
              <w:left w:val="nil"/>
              <w:bottom w:val="single" w:sz="6" w:space="0" w:color="auto"/>
              <w:right w:val="nil"/>
            </w:tcBorders>
            <w:vAlign w:val="bottom"/>
            <w:hideMark/>
          </w:tcPr>
          <w:p w:rsidR="00370E87" w:rsidRDefault="00370E87">
            <w:pPr>
              <w:pStyle w:val="TableColHeadings"/>
              <w:spacing w:line="276" w:lineRule="auto"/>
              <w:rPr>
                <w:rFonts w:cs="Calibri"/>
              </w:rPr>
            </w:pPr>
            <w:r>
              <w:rPr>
                <w:rFonts w:cs="Calibri"/>
              </w:rPr>
              <w:t>2013-14</w:t>
            </w:r>
          </w:p>
        </w:tc>
        <w:tc>
          <w:tcPr>
            <w:tcW w:w="574" w:type="pct"/>
            <w:tcBorders>
              <w:top w:val="single" w:sz="4" w:space="0" w:color="auto"/>
              <w:left w:val="nil"/>
              <w:bottom w:val="single" w:sz="6" w:space="0" w:color="auto"/>
              <w:right w:val="nil"/>
            </w:tcBorders>
            <w:vAlign w:val="bottom"/>
            <w:hideMark/>
          </w:tcPr>
          <w:p w:rsidR="00370E87" w:rsidRDefault="00370E87">
            <w:pPr>
              <w:pStyle w:val="TableColHeadings"/>
              <w:spacing w:line="276" w:lineRule="auto"/>
              <w:rPr>
                <w:rFonts w:cs="Calibri"/>
              </w:rPr>
            </w:pPr>
            <w:r>
              <w:rPr>
                <w:rFonts w:cs="Calibri"/>
              </w:rPr>
              <w:t>2014-15</w:t>
            </w:r>
          </w:p>
        </w:tc>
        <w:tc>
          <w:tcPr>
            <w:tcW w:w="574" w:type="pct"/>
            <w:tcBorders>
              <w:top w:val="single" w:sz="4" w:space="0" w:color="auto"/>
              <w:left w:val="nil"/>
              <w:bottom w:val="single" w:sz="6" w:space="0" w:color="auto"/>
              <w:right w:val="nil"/>
            </w:tcBorders>
            <w:vAlign w:val="bottom"/>
            <w:hideMark/>
          </w:tcPr>
          <w:p w:rsidR="00370E87" w:rsidRDefault="00370E87">
            <w:pPr>
              <w:pStyle w:val="TableColHeadings"/>
              <w:spacing w:line="276" w:lineRule="auto"/>
              <w:rPr>
                <w:rFonts w:cs="Calibri"/>
              </w:rPr>
            </w:pPr>
            <w:r>
              <w:rPr>
                <w:rFonts w:cs="Calibri"/>
              </w:rPr>
              <w:t>2015-16</w:t>
            </w:r>
          </w:p>
        </w:tc>
      </w:tr>
      <w:tr w:rsidR="00370E87" w:rsidTr="00370E87">
        <w:tc>
          <w:tcPr>
            <w:tcW w:w="982" w:type="pct"/>
            <w:vAlign w:val="bottom"/>
          </w:tcPr>
          <w:p w:rsidR="00370E87" w:rsidRDefault="00370E87">
            <w:pPr>
              <w:pStyle w:val="TableRowUnits"/>
              <w:spacing w:line="276" w:lineRule="auto"/>
              <w:rPr>
                <w:rFonts w:cs="Calibri"/>
              </w:rPr>
            </w:pPr>
          </w:p>
        </w:tc>
        <w:tc>
          <w:tcPr>
            <w:tcW w:w="574" w:type="pct"/>
            <w:vAlign w:val="bottom"/>
            <w:hideMark/>
          </w:tcPr>
          <w:p w:rsidR="00370E87" w:rsidRDefault="00370E87">
            <w:pPr>
              <w:pStyle w:val="TableRowUnits"/>
              <w:spacing w:line="276" w:lineRule="auto"/>
              <w:rPr>
                <w:rFonts w:cs="Calibri"/>
              </w:rPr>
            </w:pPr>
            <w:r>
              <w:rPr>
                <w:rFonts w:cs="Calibri"/>
              </w:rPr>
              <w:t>%</w:t>
            </w:r>
          </w:p>
        </w:tc>
        <w:tc>
          <w:tcPr>
            <w:tcW w:w="574" w:type="pct"/>
            <w:vAlign w:val="bottom"/>
            <w:hideMark/>
          </w:tcPr>
          <w:p w:rsidR="00370E87" w:rsidRDefault="00370E87">
            <w:pPr>
              <w:pStyle w:val="TableRowUnits"/>
              <w:spacing w:line="276" w:lineRule="auto"/>
              <w:rPr>
                <w:rFonts w:cs="Calibri"/>
              </w:rPr>
            </w:pPr>
            <w:r>
              <w:rPr>
                <w:rFonts w:cs="Calibri"/>
              </w:rPr>
              <w:t>%</w:t>
            </w:r>
          </w:p>
        </w:tc>
        <w:tc>
          <w:tcPr>
            <w:tcW w:w="574" w:type="pct"/>
            <w:vAlign w:val="bottom"/>
            <w:hideMark/>
          </w:tcPr>
          <w:p w:rsidR="00370E87" w:rsidRDefault="00370E87">
            <w:pPr>
              <w:pStyle w:val="TableRowUnits"/>
              <w:spacing w:line="276" w:lineRule="auto"/>
              <w:rPr>
                <w:rFonts w:cs="Calibri"/>
              </w:rPr>
            </w:pPr>
            <w:r>
              <w:rPr>
                <w:rFonts w:cs="Calibri"/>
              </w:rPr>
              <w:t>%</w:t>
            </w:r>
          </w:p>
        </w:tc>
        <w:tc>
          <w:tcPr>
            <w:tcW w:w="574" w:type="pct"/>
            <w:vAlign w:val="bottom"/>
            <w:hideMark/>
          </w:tcPr>
          <w:p w:rsidR="00370E87" w:rsidRDefault="00370E87">
            <w:pPr>
              <w:pStyle w:val="TableRowUnits"/>
              <w:spacing w:line="276" w:lineRule="auto"/>
              <w:rPr>
                <w:rFonts w:cs="Calibri"/>
              </w:rPr>
            </w:pPr>
            <w:r>
              <w:rPr>
                <w:rFonts w:cs="Calibri"/>
              </w:rPr>
              <w:t>%</w:t>
            </w:r>
          </w:p>
        </w:tc>
        <w:tc>
          <w:tcPr>
            <w:tcW w:w="574" w:type="pct"/>
            <w:vAlign w:val="bottom"/>
            <w:hideMark/>
          </w:tcPr>
          <w:p w:rsidR="00370E87" w:rsidRDefault="00370E87">
            <w:pPr>
              <w:pStyle w:val="TableRowUnits"/>
              <w:spacing w:line="276" w:lineRule="auto"/>
              <w:rPr>
                <w:rFonts w:cs="Calibri"/>
              </w:rPr>
            </w:pPr>
            <w:r>
              <w:rPr>
                <w:rFonts w:cs="Calibri"/>
              </w:rPr>
              <w:t>%</w:t>
            </w:r>
          </w:p>
        </w:tc>
        <w:tc>
          <w:tcPr>
            <w:tcW w:w="574" w:type="pct"/>
            <w:vAlign w:val="bottom"/>
            <w:hideMark/>
          </w:tcPr>
          <w:p w:rsidR="00370E87" w:rsidRDefault="00370E87">
            <w:pPr>
              <w:pStyle w:val="TableRowUnits"/>
              <w:spacing w:line="276" w:lineRule="auto"/>
              <w:rPr>
                <w:rFonts w:cs="Calibri"/>
              </w:rPr>
            </w:pPr>
            <w:r>
              <w:rPr>
                <w:rFonts w:cs="Calibri"/>
              </w:rPr>
              <w:t>%</w:t>
            </w:r>
          </w:p>
        </w:tc>
        <w:tc>
          <w:tcPr>
            <w:tcW w:w="574" w:type="pct"/>
            <w:vAlign w:val="bottom"/>
            <w:hideMark/>
          </w:tcPr>
          <w:p w:rsidR="00370E87" w:rsidRDefault="00370E87">
            <w:pPr>
              <w:pStyle w:val="TableRowUnits"/>
              <w:spacing w:line="276" w:lineRule="auto"/>
              <w:rPr>
                <w:rFonts w:cs="Calibri"/>
              </w:rPr>
            </w:pPr>
            <w:r>
              <w:rPr>
                <w:rFonts w:cs="Calibri"/>
              </w:rPr>
              <w:t>%</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$0.0m to $0.1m</w:t>
            </w:r>
          </w:p>
        </w:tc>
        <w:tc>
          <w:tcPr>
            <w:tcW w:w="574" w:type="pct"/>
            <w:vAlign w:val="bottom"/>
            <w:hideMark/>
          </w:tcPr>
          <w:p w:rsidR="00370E87" w:rsidRDefault="00370E87">
            <w:pPr>
              <w:pStyle w:val="TableRowNormal"/>
              <w:ind w:left="0" w:firstLine="0"/>
              <w:rPr>
                <w:rFonts w:cs="Calibri"/>
              </w:rPr>
            </w:pPr>
            <w:r>
              <w:rPr>
                <w:rFonts w:cs="Calibri"/>
              </w:rPr>
              <w:t>0.9</w:t>
            </w:r>
          </w:p>
        </w:tc>
        <w:tc>
          <w:tcPr>
            <w:tcW w:w="574" w:type="pct"/>
            <w:vAlign w:val="bottom"/>
            <w:hideMark/>
          </w:tcPr>
          <w:p w:rsidR="00370E87" w:rsidRDefault="00370E87">
            <w:pPr>
              <w:pStyle w:val="TableRowNormal"/>
              <w:ind w:left="0" w:firstLine="0"/>
              <w:rPr>
                <w:rFonts w:cs="Calibri"/>
              </w:rPr>
            </w:pPr>
            <w:r>
              <w:rPr>
                <w:rFonts w:cs="Calibri"/>
              </w:rPr>
              <w:t>2.5</w:t>
            </w:r>
          </w:p>
        </w:tc>
        <w:tc>
          <w:tcPr>
            <w:tcW w:w="574" w:type="pct"/>
            <w:vAlign w:val="bottom"/>
            <w:hideMark/>
          </w:tcPr>
          <w:p w:rsidR="00370E87" w:rsidRDefault="00370E87">
            <w:pPr>
              <w:pStyle w:val="TableRowNormal"/>
              <w:ind w:left="0" w:firstLine="0"/>
              <w:rPr>
                <w:rFonts w:cs="Calibri"/>
              </w:rPr>
            </w:pPr>
            <w:r>
              <w:rPr>
                <w:rFonts w:cs="Calibri"/>
              </w:rPr>
              <w:t>4.2</w:t>
            </w:r>
          </w:p>
        </w:tc>
        <w:tc>
          <w:tcPr>
            <w:tcW w:w="574" w:type="pct"/>
            <w:vAlign w:val="bottom"/>
            <w:hideMark/>
          </w:tcPr>
          <w:p w:rsidR="00370E87" w:rsidRDefault="00370E87">
            <w:pPr>
              <w:pStyle w:val="TableRowNormal"/>
              <w:ind w:left="0" w:firstLine="0"/>
              <w:rPr>
                <w:rFonts w:cs="Calibri"/>
              </w:rPr>
            </w:pPr>
            <w:r>
              <w:rPr>
                <w:rFonts w:cs="Calibri"/>
              </w:rPr>
              <w:t>5.8</w:t>
            </w:r>
          </w:p>
        </w:tc>
        <w:tc>
          <w:tcPr>
            <w:tcW w:w="574" w:type="pct"/>
            <w:vAlign w:val="bottom"/>
            <w:hideMark/>
          </w:tcPr>
          <w:p w:rsidR="00370E87" w:rsidRDefault="00370E87">
            <w:pPr>
              <w:pStyle w:val="TableRowNormal"/>
              <w:ind w:left="0" w:firstLine="0"/>
              <w:rPr>
                <w:rFonts w:cs="Calibri"/>
              </w:rPr>
            </w:pPr>
            <w:r>
              <w:rPr>
                <w:rFonts w:cs="Calibri"/>
              </w:rPr>
              <w:t>7.4</w:t>
            </w:r>
          </w:p>
        </w:tc>
        <w:tc>
          <w:tcPr>
            <w:tcW w:w="574" w:type="pct"/>
            <w:vAlign w:val="bottom"/>
            <w:hideMark/>
          </w:tcPr>
          <w:p w:rsidR="00370E87" w:rsidRDefault="00370E87">
            <w:pPr>
              <w:pStyle w:val="TableRowNormal"/>
              <w:ind w:left="0" w:firstLine="0"/>
              <w:rPr>
                <w:rFonts w:cs="Calibri"/>
              </w:rPr>
            </w:pPr>
            <w:r>
              <w:rPr>
                <w:rFonts w:cs="Calibri"/>
              </w:rPr>
              <w:t>9.0</w:t>
            </w:r>
          </w:p>
        </w:tc>
        <w:tc>
          <w:tcPr>
            <w:tcW w:w="574" w:type="pct"/>
            <w:vAlign w:val="bottom"/>
            <w:hideMark/>
          </w:tcPr>
          <w:p w:rsidR="00370E87" w:rsidRDefault="00370E87">
            <w:pPr>
              <w:pStyle w:val="TableRowNormal"/>
              <w:ind w:left="0" w:firstLine="0"/>
              <w:rPr>
                <w:rFonts w:cs="Calibri"/>
              </w:rPr>
            </w:pPr>
            <w:r>
              <w:rPr>
                <w:rFonts w:cs="Calibri"/>
              </w:rPr>
              <w:t>10.6</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$0.1m to $0.2m</w:t>
            </w:r>
          </w:p>
        </w:tc>
        <w:tc>
          <w:tcPr>
            <w:tcW w:w="574" w:type="pct"/>
            <w:vAlign w:val="bottom"/>
            <w:hideMark/>
          </w:tcPr>
          <w:p w:rsidR="00370E87" w:rsidRDefault="00370E87">
            <w:pPr>
              <w:pStyle w:val="TableRowNormal"/>
              <w:ind w:left="0" w:firstLine="0"/>
              <w:rPr>
                <w:rFonts w:cs="Calibri"/>
              </w:rPr>
            </w:pPr>
            <w:r>
              <w:rPr>
                <w:rFonts w:cs="Calibri"/>
              </w:rPr>
              <w:t>7.4</w:t>
            </w:r>
          </w:p>
        </w:tc>
        <w:tc>
          <w:tcPr>
            <w:tcW w:w="574" w:type="pct"/>
            <w:vAlign w:val="bottom"/>
            <w:hideMark/>
          </w:tcPr>
          <w:p w:rsidR="00370E87" w:rsidRDefault="00370E87">
            <w:pPr>
              <w:pStyle w:val="TableRowNormal"/>
              <w:ind w:left="0" w:firstLine="0"/>
              <w:rPr>
                <w:rFonts w:cs="Calibri"/>
              </w:rPr>
            </w:pPr>
            <w:r>
              <w:rPr>
                <w:rFonts w:cs="Calibri"/>
              </w:rPr>
              <w:t>8.9</w:t>
            </w:r>
          </w:p>
        </w:tc>
        <w:tc>
          <w:tcPr>
            <w:tcW w:w="574" w:type="pct"/>
            <w:vAlign w:val="bottom"/>
            <w:hideMark/>
          </w:tcPr>
          <w:p w:rsidR="00370E87" w:rsidRDefault="00370E87">
            <w:pPr>
              <w:pStyle w:val="TableRowNormal"/>
              <w:ind w:left="0" w:firstLine="0"/>
              <w:rPr>
                <w:rFonts w:cs="Calibri"/>
              </w:rPr>
            </w:pPr>
            <w:r>
              <w:rPr>
                <w:rFonts w:cs="Calibri"/>
              </w:rPr>
              <w:t>10.3</w:t>
            </w:r>
          </w:p>
        </w:tc>
        <w:tc>
          <w:tcPr>
            <w:tcW w:w="574" w:type="pct"/>
            <w:vAlign w:val="bottom"/>
            <w:hideMark/>
          </w:tcPr>
          <w:p w:rsidR="00370E87" w:rsidRDefault="00370E87">
            <w:pPr>
              <w:pStyle w:val="TableRowNormal"/>
              <w:ind w:left="0" w:firstLine="0"/>
              <w:rPr>
                <w:rFonts w:cs="Calibri"/>
              </w:rPr>
            </w:pPr>
            <w:r>
              <w:rPr>
                <w:rFonts w:cs="Calibri"/>
              </w:rPr>
              <w:t>11.7</w:t>
            </w:r>
          </w:p>
        </w:tc>
        <w:tc>
          <w:tcPr>
            <w:tcW w:w="574" w:type="pct"/>
            <w:vAlign w:val="bottom"/>
            <w:hideMark/>
          </w:tcPr>
          <w:p w:rsidR="00370E87" w:rsidRDefault="00370E87">
            <w:pPr>
              <w:pStyle w:val="TableRowNormal"/>
              <w:ind w:left="0" w:firstLine="0"/>
              <w:rPr>
                <w:rFonts w:cs="Calibri"/>
              </w:rPr>
            </w:pPr>
            <w:r>
              <w:rPr>
                <w:rFonts w:cs="Calibri"/>
              </w:rPr>
              <w:t>13.2</w:t>
            </w:r>
          </w:p>
        </w:tc>
        <w:tc>
          <w:tcPr>
            <w:tcW w:w="574" w:type="pct"/>
            <w:vAlign w:val="bottom"/>
            <w:hideMark/>
          </w:tcPr>
          <w:p w:rsidR="00370E87" w:rsidRDefault="00370E87">
            <w:pPr>
              <w:pStyle w:val="TableRowNormal"/>
              <w:ind w:left="0" w:firstLine="0"/>
              <w:rPr>
                <w:rFonts w:cs="Calibri"/>
              </w:rPr>
            </w:pPr>
            <w:r>
              <w:rPr>
                <w:rFonts w:cs="Calibri"/>
              </w:rPr>
              <w:t>14.6</w:t>
            </w:r>
          </w:p>
        </w:tc>
        <w:tc>
          <w:tcPr>
            <w:tcW w:w="574" w:type="pct"/>
            <w:vAlign w:val="bottom"/>
            <w:hideMark/>
          </w:tcPr>
          <w:p w:rsidR="00370E87" w:rsidRDefault="00370E87">
            <w:pPr>
              <w:pStyle w:val="TableRowNormal"/>
              <w:ind w:left="0" w:firstLine="0"/>
              <w:rPr>
                <w:rFonts w:cs="Calibri"/>
              </w:rPr>
            </w:pPr>
            <w:r>
              <w:rPr>
                <w:rFonts w:cs="Calibri"/>
              </w:rPr>
              <w:t>16.0</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$0.2m to $0.3m</w:t>
            </w:r>
          </w:p>
        </w:tc>
        <w:tc>
          <w:tcPr>
            <w:tcW w:w="574" w:type="pct"/>
            <w:vAlign w:val="bottom"/>
            <w:hideMark/>
          </w:tcPr>
          <w:p w:rsidR="00370E87" w:rsidRDefault="00370E87">
            <w:pPr>
              <w:pStyle w:val="TableRowNormal"/>
              <w:ind w:left="0" w:firstLine="0"/>
              <w:rPr>
                <w:rFonts w:cs="Calibri"/>
              </w:rPr>
            </w:pPr>
            <w:r>
              <w:rPr>
                <w:rFonts w:cs="Calibri"/>
              </w:rPr>
              <w:t>7.5</w:t>
            </w:r>
          </w:p>
        </w:tc>
        <w:tc>
          <w:tcPr>
            <w:tcW w:w="574" w:type="pct"/>
            <w:vAlign w:val="bottom"/>
            <w:hideMark/>
          </w:tcPr>
          <w:p w:rsidR="00370E87" w:rsidRDefault="00370E87">
            <w:pPr>
              <w:pStyle w:val="TableRowNormal"/>
              <w:ind w:left="0" w:firstLine="0"/>
              <w:rPr>
                <w:rFonts w:cs="Calibri"/>
              </w:rPr>
            </w:pPr>
            <w:r>
              <w:rPr>
                <w:rFonts w:cs="Calibri"/>
              </w:rPr>
              <w:t>8.1</w:t>
            </w:r>
          </w:p>
        </w:tc>
        <w:tc>
          <w:tcPr>
            <w:tcW w:w="574" w:type="pct"/>
            <w:vAlign w:val="bottom"/>
            <w:hideMark/>
          </w:tcPr>
          <w:p w:rsidR="00370E87" w:rsidRDefault="00370E87">
            <w:pPr>
              <w:pStyle w:val="TableRowNormal"/>
              <w:ind w:left="0" w:firstLine="0"/>
              <w:rPr>
                <w:rFonts w:cs="Calibri"/>
              </w:rPr>
            </w:pPr>
            <w:r>
              <w:rPr>
                <w:rFonts w:cs="Calibri"/>
              </w:rPr>
              <w:t>8.6</w:t>
            </w:r>
          </w:p>
        </w:tc>
        <w:tc>
          <w:tcPr>
            <w:tcW w:w="574" w:type="pct"/>
            <w:vAlign w:val="bottom"/>
            <w:hideMark/>
          </w:tcPr>
          <w:p w:rsidR="00370E87" w:rsidRDefault="00370E87">
            <w:pPr>
              <w:pStyle w:val="TableRowNormal"/>
              <w:ind w:left="0" w:firstLine="0"/>
              <w:rPr>
                <w:rFonts w:cs="Calibri"/>
              </w:rPr>
            </w:pPr>
            <w:r>
              <w:rPr>
                <w:rFonts w:cs="Calibri"/>
              </w:rPr>
              <w:t>9.2</w:t>
            </w:r>
          </w:p>
        </w:tc>
        <w:tc>
          <w:tcPr>
            <w:tcW w:w="574" w:type="pct"/>
            <w:vAlign w:val="bottom"/>
            <w:hideMark/>
          </w:tcPr>
          <w:p w:rsidR="00370E87" w:rsidRDefault="00370E87">
            <w:pPr>
              <w:pStyle w:val="TableRowNormal"/>
              <w:ind w:left="0" w:firstLine="0"/>
              <w:rPr>
                <w:rFonts w:cs="Calibri"/>
              </w:rPr>
            </w:pPr>
            <w:r>
              <w:rPr>
                <w:rFonts w:cs="Calibri"/>
              </w:rPr>
              <w:t>9.7</w:t>
            </w:r>
          </w:p>
        </w:tc>
        <w:tc>
          <w:tcPr>
            <w:tcW w:w="574" w:type="pct"/>
            <w:vAlign w:val="bottom"/>
            <w:hideMark/>
          </w:tcPr>
          <w:p w:rsidR="00370E87" w:rsidRDefault="00370E87">
            <w:pPr>
              <w:pStyle w:val="TableRowNormal"/>
              <w:ind w:left="0" w:firstLine="0"/>
              <w:rPr>
                <w:rFonts w:cs="Calibri"/>
              </w:rPr>
            </w:pPr>
            <w:r>
              <w:rPr>
                <w:rFonts w:cs="Calibri"/>
              </w:rPr>
              <w:t>10.3</w:t>
            </w:r>
          </w:p>
        </w:tc>
        <w:tc>
          <w:tcPr>
            <w:tcW w:w="574" w:type="pct"/>
            <w:vAlign w:val="bottom"/>
            <w:hideMark/>
          </w:tcPr>
          <w:p w:rsidR="00370E87" w:rsidRDefault="00370E87">
            <w:pPr>
              <w:pStyle w:val="TableRowNormal"/>
              <w:ind w:left="0" w:firstLine="0"/>
              <w:rPr>
                <w:rFonts w:cs="Calibri"/>
              </w:rPr>
            </w:pPr>
            <w:r>
              <w:rPr>
                <w:rFonts w:cs="Calibri"/>
              </w:rPr>
              <w:t>10.8</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$0.3m to $0.4m</w:t>
            </w:r>
          </w:p>
        </w:tc>
        <w:tc>
          <w:tcPr>
            <w:tcW w:w="574" w:type="pct"/>
            <w:vAlign w:val="bottom"/>
            <w:hideMark/>
          </w:tcPr>
          <w:p w:rsidR="00370E87" w:rsidRDefault="00370E87">
            <w:pPr>
              <w:pStyle w:val="TableRowNormal"/>
              <w:ind w:left="0" w:firstLine="0"/>
              <w:rPr>
                <w:rFonts w:cs="Calibri"/>
              </w:rPr>
            </w:pPr>
            <w:r>
              <w:rPr>
                <w:rFonts w:cs="Calibri"/>
              </w:rPr>
              <w:t>6.1</w:t>
            </w:r>
          </w:p>
        </w:tc>
        <w:tc>
          <w:tcPr>
            <w:tcW w:w="574" w:type="pct"/>
            <w:vAlign w:val="bottom"/>
            <w:hideMark/>
          </w:tcPr>
          <w:p w:rsidR="00370E87" w:rsidRDefault="00370E87">
            <w:pPr>
              <w:pStyle w:val="TableRowNormal"/>
              <w:ind w:left="0" w:firstLine="0"/>
              <w:rPr>
                <w:rFonts w:cs="Calibri"/>
              </w:rPr>
            </w:pPr>
            <w:r>
              <w:rPr>
                <w:rFonts w:cs="Calibri"/>
              </w:rPr>
              <w:t>6.4</w:t>
            </w:r>
          </w:p>
        </w:tc>
        <w:tc>
          <w:tcPr>
            <w:tcW w:w="574" w:type="pct"/>
            <w:vAlign w:val="bottom"/>
            <w:hideMark/>
          </w:tcPr>
          <w:p w:rsidR="00370E87" w:rsidRDefault="00370E87">
            <w:pPr>
              <w:pStyle w:val="TableRowNormal"/>
              <w:ind w:left="0" w:firstLine="0"/>
              <w:rPr>
                <w:rFonts w:cs="Calibri"/>
              </w:rPr>
            </w:pPr>
            <w:r>
              <w:rPr>
                <w:rFonts w:cs="Calibri"/>
              </w:rPr>
              <w:t>6.8</w:t>
            </w:r>
          </w:p>
        </w:tc>
        <w:tc>
          <w:tcPr>
            <w:tcW w:w="574" w:type="pct"/>
            <w:vAlign w:val="bottom"/>
            <w:hideMark/>
          </w:tcPr>
          <w:p w:rsidR="00370E87" w:rsidRDefault="00370E87">
            <w:pPr>
              <w:pStyle w:val="TableRowNormal"/>
              <w:ind w:left="0" w:firstLine="0"/>
              <w:rPr>
                <w:rFonts w:cs="Calibri"/>
              </w:rPr>
            </w:pPr>
            <w:r>
              <w:rPr>
                <w:rFonts w:cs="Calibri"/>
              </w:rPr>
              <w:t>7.1</w:t>
            </w:r>
          </w:p>
        </w:tc>
        <w:tc>
          <w:tcPr>
            <w:tcW w:w="574" w:type="pct"/>
            <w:vAlign w:val="bottom"/>
            <w:hideMark/>
          </w:tcPr>
          <w:p w:rsidR="00370E87" w:rsidRDefault="00370E87">
            <w:pPr>
              <w:pStyle w:val="TableRowNormal"/>
              <w:ind w:left="0" w:firstLine="0"/>
              <w:rPr>
                <w:rFonts w:cs="Calibri"/>
              </w:rPr>
            </w:pPr>
            <w:r>
              <w:rPr>
                <w:rFonts w:cs="Calibri"/>
              </w:rPr>
              <w:t>7.5</w:t>
            </w:r>
          </w:p>
        </w:tc>
        <w:tc>
          <w:tcPr>
            <w:tcW w:w="574" w:type="pct"/>
            <w:vAlign w:val="bottom"/>
            <w:hideMark/>
          </w:tcPr>
          <w:p w:rsidR="00370E87" w:rsidRDefault="00370E87">
            <w:pPr>
              <w:pStyle w:val="TableRowNormal"/>
              <w:ind w:left="0" w:firstLine="0"/>
              <w:rPr>
                <w:rFonts w:cs="Calibri"/>
              </w:rPr>
            </w:pPr>
            <w:r>
              <w:rPr>
                <w:rFonts w:cs="Calibri"/>
              </w:rPr>
              <w:t>7.8</w:t>
            </w:r>
          </w:p>
        </w:tc>
        <w:tc>
          <w:tcPr>
            <w:tcW w:w="574" w:type="pct"/>
            <w:vAlign w:val="bottom"/>
            <w:hideMark/>
          </w:tcPr>
          <w:p w:rsidR="00370E87" w:rsidRDefault="00370E87">
            <w:pPr>
              <w:pStyle w:val="TableRowNormal"/>
              <w:ind w:left="0" w:firstLine="0"/>
              <w:rPr>
                <w:rFonts w:cs="Calibri"/>
              </w:rPr>
            </w:pPr>
            <w:r>
              <w:rPr>
                <w:rFonts w:cs="Calibri"/>
              </w:rPr>
              <w:t>8.2</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$0.4m to $0.5m</w:t>
            </w:r>
          </w:p>
        </w:tc>
        <w:tc>
          <w:tcPr>
            <w:tcW w:w="574" w:type="pct"/>
            <w:vAlign w:val="bottom"/>
            <w:hideMark/>
          </w:tcPr>
          <w:p w:rsidR="00370E87" w:rsidRDefault="00370E87">
            <w:pPr>
              <w:pStyle w:val="TableRowNormal"/>
              <w:ind w:left="0" w:firstLine="0"/>
              <w:rPr>
                <w:rFonts w:cs="Calibri"/>
              </w:rPr>
            </w:pPr>
            <w:r>
              <w:rPr>
                <w:rFonts w:cs="Calibri"/>
              </w:rPr>
              <w:t>4.7</w:t>
            </w:r>
          </w:p>
        </w:tc>
        <w:tc>
          <w:tcPr>
            <w:tcW w:w="574" w:type="pct"/>
            <w:vAlign w:val="bottom"/>
            <w:hideMark/>
          </w:tcPr>
          <w:p w:rsidR="00370E87" w:rsidRDefault="00370E87">
            <w:pPr>
              <w:pStyle w:val="TableRowNormal"/>
              <w:ind w:left="0" w:firstLine="0"/>
              <w:rPr>
                <w:rFonts w:cs="Calibri"/>
              </w:rPr>
            </w:pPr>
            <w:r>
              <w:rPr>
                <w:rFonts w:cs="Calibri"/>
              </w:rPr>
              <w:t>4.6</w:t>
            </w:r>
          </w:p>
        </w:tc>
        <w:tc>
          <w:tcPr>
            <w:tcW w:w="574" w:type="pct"/>
            <w:vAlign w:val="bottom"/>
            <w:hideMark/>
          </w:tcPr>
          <w:p w:rsidR="00370E87" w:rsidRDefault="00370E87">
            <w:pPr>
              <w:pStyle w:val="TableRowNormal"/>
              <w:ind w:left="0" w:firstLine="0"/>
              <w:rPr>
                <w:rFonts w:cs="Calibri"/>
              </w:rPr>
            </w:pPr>
            <w:r>
              <w:rPr>
                <w:rFonts w:cs="Calibri"/>
              </w:rPr>
              <w:t>4.5</w:t>
            </w:r>
          </w:p>
        </w:tc>
        <w:tc>
          <w:tcPr>
            <w:tcW w:w="574" w:type="pct"/>
            <w:vAlign w:val="bottom"/>
            <w:hideMark/>
          </w:tcPr>
          <w:p w:rsidR="00370E87" w:rsidRDefault="00370E87">
            <w:pPr>
              <w:pStyle w:val="TableRowNormal"/>
              <w:ind w:left="0" w:firstLine="0"/>
              <w:rPr>
                <w:rFonts w:cs="Calibri"/>
              </w:rPr>
            </w:pPr>
            <w:r>
              <w:rPr>
                <w:rFonts w:cs="Calibri"/>
              </w:rPr>
              <w:t>4.4</w:t>
            </w:r>
          </w:p>
        </w:tc>
        <w:tc>
          <w:tcPr>
            <w:tcW w:w="574" w:type="pct"/>
            <w:vAlign w:val="bottom"/>
            <w:hideMark/>
          </w:tcPr>
          <w:p w:rsidR="00370E87" w:rsidRDefault="00370E87">
            <w:pPr>
              <w:pStyle w:val="TableRowNormal"/>
              <w:ind w:left="0" w:firstLine="0"/>
              <w:rPr>
                <w:rFonts w:cs="Calibri"/>
              </w:rPr>
            </w:pPr>
            <w:r>
              <w:rPr>
                <w:rFonts w:cs="Calibri"/>
              </w:rPr>
              <w:t>4.3</w:t>
            </w:r>
          </w:p>
        </w:tc>
        <w:tc>
          <w:tcPr>
            <w:tcW w:w="574" w:type="pct"/>
            <w:vAlign w:val="bottom"/>
            <w:hideMark/>
          </w:tcPr>
          <w:p w:rsidR="00370E87" w:rsidRDefault="00370E87">
            <w:pPr>
              <w:pStyle w:val="TableRowNormal"/>
              <w:ind w:left="0" w:firstLine="0"/>
              <w:rPr>
                <w:rFonts w:cs="Calibri"/>
              </w:rPr>
            </w:pPr>
            <w:r>
              <w:rPr>
                <w:rFonts w:cs="Calibri"/>
              </w:rPr>
              <w:t>4.2</w:t>
            </w:r>
          </w:p>
        </w:tc>
        <w:tc>
          <w:tcPr>
            <w:tcW w:w="574" w:type="pct"/>
            <w:vAlign w:val="bottom"/>
            <w:hideMark/>
          </w:tcPr>
          <w:p w:rsidR="00370E87" w:rsidRDefault="00370E87">
            <w:pPr>
              <w:pStyle w:val="TableRowNormal"/>
              <w:ind w:left="0" w:firstLine="0"/>
              <w:rPr>
                <w:rFonts w:cs="Calibri"/>
              </w:rPr>
            </w:pPr>
            <w:r>
              <w:rPr>
                <w:rFonts w:cs="Calibri"/>
              </w:rPr>
              <w:t>4.1</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$0.5m to $0.6m</w:t>
            </w:r>
          </w:p>
        </w:tc>
        <w:tc>
          <w:tcPr>
            <w:tcW w:w="574" w:type="pct"/>
            <w:vAlign w:val="bottom"/>
            <w:hideMark/>
          </w:tcPr>
          <w:p w:rsidR="00370E87" w:rsidRDefault="00370E87">
            <w:pPr>
              <w:pStyle w:val="TableRowNormal"/>
              <w:ind w:left="0" w:firstLine="0"/>
              <w:rPr>
                <w:rFonts w:cs="Calibri"/>
              </w:rPr>
            </w:pPr>
            <w:r>
              <w:rPr>
                <w:rFonts w:cs="Calibri"/>
              </w:rPr>
              <w:t>3.7</w:t>
            </w:r>
          </w:p>
        </w:tc>
        <w:tc>
          <w:tcPr>
            <w:tcW w:w="574" w:type="pct"/>
            <w:vAlign w:val="bottom"/>
            <w:hideMark/>
          </w:tcPr>
          <w:p w:rsidR="00370E87" w:rsidRDefault="00370E87">
            <w:pPr>
              <w:pStyle w:val="TableRowNormal"/>
              <w:ind w:left="0" w:firstLine="0"/>
              <w:rPr>
                <w:rFonts w:cs="Calibri"/>
              </w:rPr>
            </w:pPr>
            <w:r>
              <w:rPr>
                <w:rFonts w:cs="Calibri"/>
              </w:rPr>
              <w:t>3.6</w:t>
            </w:r>
          </w:p>
        </w:tc>
        <w:tc>
          <w:tcPr>
            <w:tcW w:w="574" w:type="pct"/>
            <w:vAlign w:val="bottom"/>
            <w:hideMark/>
          </w:tcPr>
          <w:p w:rsidR="00370E87" w:rsidRDefault="00370E87">
            <w:pPr>
              <w:pStyle w:val="TableRowNormal"/>
              <w:ind w:left="0" w:firstLine="0"/>
              <w:rPr>
                <w:rFonts w:cs="Calibri"/>
              </w:rPr>
            </w:pPr>
            <w:r>
              <w:rPr>
                <w:rFonts w:cs="Calibri"/>
              </w:rPr>
              <w:t>3.6</w:t>
            </w:r>
          </w:p>
        </w:tc>
        <w:tc>
          <w:tcPr>
            <w:tcW w:w="574" w:type="pct"/>
            <w:vAlign w:val="bottom"/>
            <w:hideMark/>
          </w:tcPr>
          <w:p w:rsidR="00370E87" w:rsidRDefault="00370E87">
            <w:pPr>
              <w:pStyle w:val="TableRowNormal"/>
              <w:ind w:left="0" w:firstLine="0"/>
              <w:rPr>
                <w:rFonts w:cs="Calibri"/>
              </w:rPr>
            </w:pPr>
            <w:r>
              <w:rPr>
                <w:rFonts w:cs="Calibri"/>
              </w:rPr>
              <w:t>3.5</w:t>
            </w:r>
          </w:p>
        </w:tc>
        <w:tc>
          <w:tcPr>
            <w:tcW w:w="574" w:type="pct"/>
            <w:vAlign w:val="bottom"/>
            <w:hideMark/>
          </w:tcPr>
          <w:p w:rsidR="00370E87" w:rsidRDefault="00370E87">
            <w:pPr>
              <w:pStyle w:val="TableRowNormal"/>
              <w:ind w:left="0" w:firstLine="0"/>
              <w:rPr>
                <w:rFonts w:cs="Calibri"/>
              </w:rPr>
            </w:pPr>
            <w:r>
              <w:rPr>
                <w:rFonts w:cs="Calibri"/>
              </w:rPr>
              <w:t>3.4</w:t>
            </w:r>
          </w:p>
        </w:tc>
        <w:tc>
          <w:tcPr>
            <w:tcW w:w="574" w:type="pct"/>
            <w:vAlign w:val="bottom"/>
            <w:hideMark/>
          </w:tcPr>
          <w:p w:rsidR="00370E87" w:rsidRDefault="00370E87">
            <w:pPr>
              <w:pStyle w:val="TableRowNormal"/>
              <w:ind w:left="0" w:firstLine="0"/>
              <w:rPr>
                <w:rFonts w:cs="Calibri"/>
              </w:rPr>
            </w:pPr>
            <w:r>
              <w:rPr>
                <w:rFonts w:cs="Calibri"/>
              </w:rPr>
              <w:t>3.4</w:t>
            </w:r>
          </w:p>
        </w:tc>
        <w:tc>
          <w:tcPr>
            <w:tcW w:w="574" w:type="pct"/>
            <w:vAlign w:val="bottom"/>
            <w:hideMark/>
          </w:tcPr>
          <w:p w:rsidR="00370E87" w:rsidRDefault="00370E87">
            <w:pPr>
              <w:pStyle w:val="TableRowNormal"/>
              <w:ind w:left="0" w:firstLine="0"/>
              <w:rPr>
                <w:rFonts w:cs="Calibri"/>
              </w:rPr>
            </w:pPr>
            <w:r>
              <w:rPr>
                <w:rFonts w:cs="Calibri"/>
              </w:rPr>
              <w:t>3.3</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$0.6m to $0.7m</w:t>
            </w:r>
          </w:p>
        </w:tc>
        <w:tc>
          <w:tcPr>
            <w:tcW w:w="574" w:type="pct"/>
            <w:vAlign w:val="bottom"/>
            <w:hideMark/>
          </w:tcPr>
          <w:p w:rsidR="00370E87" w:rsidRDefault="00370E87">
            <w:pPr>
              <w:pStyle w:val="TableRowNormal"/>
              <w:ind w:left="0" w:firstLine="0"/>
              <w:rPr>
                <w:rFonts w:cs="Calibri"/>
              </w:rPr>
            </w:pPr>
            <w:r>
              <w:rPr>
                <w:rFonts w:cs="Calibri"/>
              </w:rPr>
              <w:t>4.9</w:t>
            </w:r>
          </w:p>
        </w:tc>
        <w:tc>
          <w:tcPr>
            <w:tcW w:w="574" w:type="pct"/>
            <w:vAlign w:val="bottom"/>
            <w:hideMark/>
          </w:tcPr>
          <w:p w:rsidR="00370E87" w:rsidRDefault="00370E87">
            <w:pPr>
              <w:pStyle w:val="TableRowNormal"/>
              <w:ind w:left="0" w:firstLine="0"/>
              <w:rPr>
                <w:rFonts w:cs="Calibri"/>
              </w:rPr>
            </w:pPr>
            <w:r>
              <w:rPr>
                <w:rFonts w:cs="Calibri"/>
              </w:rPr>
              <w:t>4.7</w:t>
            </w:r>
          </w:p>
        </w:tc>
        <w:tc>
          <w:tcPr>
            <w:tcW w:w="574" w:type="pct"/>
            <w:vAlign w:val="bottom"/>
            <w:hideMark/>
          </w:tcPr>
          <w:p w:rsidR="00370E87" w:rsidRDefault="00370E87">
            <w:pPr>
              <w:pStyle w:val="TableRowNormal"/>
              <w:ind w:left="0" w:firstLine="0"/>
              <w:rPr>
                <w:rFonts w:cs="Calibri"/>
              </w:rPr>
            </w:pPr>
            <w:r>
              <w:rPr>
                <w:rFonts w:cs="Calibri"/>
              </w:rPr>
              <w:t>4.5</w:t>
            </w:r>
          </w:p>
        </w:tc>
        <w:tc>
          <w:tcPr>
            <w:tcW w:w="574" w:type="pct"/>
            <w:vAlign w:val="bottom"/>
            <w:hideMark/>
          </w:tcPr>
          <w:p w:rsidR="00370E87" w:rsidRDefault="00370E87">
            <w:pPr>
              <w:pStyle w:val="TableRowNormal"/>
              <w:ind w:left="0" w:firstLine="0"/>
              <w:rPr>
                <w:rFonts w:cs="Calibri"/>
              </w:rPr>
            </w:pPr>
            <w:r>
              <w:rPr>
                <w:rFonts w:cs="Calibri"/>
              </w:rPr>
              <w:t>4.2</w:t>
            </w:r>
          </w:p>
        </w:tc>
        <w:tc>
          <w:tcPr>
            <w:tcW w:w="574" w:type="pct"/>
            <w:vAlign w:val="bottom"/>
            <w:hideMark/>
          </w:tcPr>
          <w:p w:rsidR="00370E87" w:rsidRDefault="00370E87">
            <w:pPr>
              <w:pStyle w:val="TableRowNormal"/>
              <w:ind w:left="0" w:firstLine="0"/>
              <w:rPr>
                <w:rFonts w:cs="Calibri"/>
              </w:rPr>
            </w:pPr>
            <w:r>
              <w:rPr>
                <w:rFonts w:cs="Calibri"/>
              </w:rPr>
              <w:t>4.0</w:t>
            </w:r>
          </w:p>
        </w:tc>
        <w:tc>
          <w:tcPr>
            <w:tcW w:w="574" w:type="pct"/>
            <w:vAlign w:val="bottom"/>
            <w:hideMark/>
          </w:tcPr>
          <w:p w:rsidR="00370E87" w:rsidRDefault="00370E87">
            <w:pPr>
              <w:pStyle w:val="TableRowNormal"/>
              <w:ind w:left="0" w:firstLine="0"/>
              <w:rPr>
                <w:rFonts w:cs="Calibri"/>
              </w:rPr>
            </w:pPr>
            <w:r>
              <w:rPr>
                <w:rFonts w:cs="Calibri"/>
              </w:rPr>
              <w:t>3.8</w:t>
            </w:r>
          </w:p>
        </w:tc>
        <w:tc>
          <w:tcPr>
            <w:tcW w:w="574" w:type="pct"/>
            <w:vAlign w:val="bottom"/>
            <w:hideMark/>
          </w:tcPr>
          <w:p w:rsidR="00370E87" w:rsidRDefault="00370E87">
            <w:pPr>
              <w:pStyle w:val="TableRowNormal"/>
              <w:ind w:left="0" w:firstLine="0"/>
              <w:rPr>
                <w:rFonts w:cs="Calibri"/>
              </w:rPr>
            </w:pPr>
            <w:r>
              <w:rPr>
                <w:rFonts w:cs="Calibri"/>
              </w:rPr>
              <w:t>3.6</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$0.7m to $0.8m</w:t>
            </w:r>
          </w:p>
        </w:tc>
        <w:tc>
          <w:tcPr>
            <w:tcW w:w="574" w:type="pct"/>
            <w:vAlign w:val="bottom"/>
            <w:hideMark/>
          </w:tcPr>
          <w:p w:rsidR="00370E87" w:rsidRDefault="00370E87">
            <w:pPr>
              <w:pStyle w:val="TableRowNormal"/>
              <w:ind w:left="0" w:firstLine="0"/>
              <w:rPr>
                <w:rFonts w:cs="Calibri"/>
              </w:rPr>
            </w:pPr>
            <w:r>
              <w:rPr>
                <w:rFonts w:cs="Calibri"/>
              </w:rPr>
              <w:t>3.3</w:t>
            </w:r>
          </w:p>
        </w:tc>
        <w:tc>
          <w:tcPr>
            <w:tcW w:w="574" w:type="pct"/>
            <w:vAlign w:val="bottom"/>
            <w:hideMark/>
          </w:tcPr>
          <w:p w:rsidR="00370E87" w:rsidRDefault="00370E87">
            <w:pPr>
              <w:pStyle w:val="TableRowNormal"/>
              <w:ind w:left="0" w:firstLine="0"/>
              <w:rPr>
                <w:rFonts w:cs="Calibri"/>
              </w:rPr>
            </w:pPr>
            <w:r>
              <w:rPr>
                <w:rFonts w:cs="Calibri"/>
              </w:rPr>
              <w:t>3.2</w:t>
            </w:r>
          </w:p>
        </w:tc>
        <w:tc>
          <w:tcPr>
            <w:tcW w:w="574" w:type="pct"/>
            <w:vAlign w:val="bottom"/>
            <w:hideMark/>
          </w:tcPr>
          <w:p w:rsidR="00370E87" w:rsidRDefault="00370E87">
            <w:pPr>
              <w:pStyle w:val="TableRowNormal"/>
              <w:ind w:left="0" w:firstLine="0"/>
              <w:rPr>
                <w:rFonts w:cs="Calibri"/>
              </w:rPr>
            </w:pPr>
            <w:r>
              <w:rPr>
                <w:rFonts w:cs="Calibri"/>
              </w:rPr>
              <w:t>3.1</w:t>
            </w:r>
          </w:p>
        </w:tc>
        <w:tc>
          <w:tcPr>
            <w:tcW w:w="574" w:type="pct"/>
            <w:vAlign w:val="bottom"/>
            <w:hideMark/>
          </w:tcPr>
          <w:p w:rsidR="00370E87" w:rsidRDefault="00370E87">
            <w:pPr>
              <w:pStyle w:val="TableRowNormal"/>
              <w:ind w:left="0" w:firstLine="0"/>
              <w:rPr>
                <w:rFonts w:cs="Calibri"/>
              </w:rPr>
            </w:pPr>
            <w:r>
              <w:rPr>
                <w:rFonts w:cs="Calibri"/>
              </w:rPr>
              <w:t>3.0</w:t>
            </w:r>
          </w:p>
        </w:tc>
        <w:tc>
          <w:tcPr>
            <w:tcW w:w="574" w:type="pct"/>
            <w:vAlign w:val="bottom"/>
            <w:hideMark/>
          </w:tcPr>
          <w:p w:rsidR="00370E87" w:rsidRDefault="00370E87">
            <w:pPr>
              <w:pStyle w:val="TableRowNormal"/>
              <w:ind w:left="0" w:firstLine="0"/>
              <w:rPr>
                <w:rFonts w:cs="Calibri"/>
              </w:rPr>
            </w:pPr>
            <w:r>
              <w:rPr>
                <w:rFonts w:cs="Calibri"/>
              </w:rPr>
              <w:t>2.9</w:t>
            </w:r>
          </w:p>
        </w:tc>
        <w:tc>
          <w:tcPr>
            <w:tcW w:w="574" w:type="pct"/>
            <w:vAlign w:val="bottom"/>
            <w:hideMark/>
          </w:tcPr>
          <w:p w:rsidR="00370E87" w:rsidRDefault="00370E87">
            <w:pPr>
              <w:pStyle w:val="TableRowNormal"/>
              <w:ind w:left="0" w:firstLine="0"/>
              <w:rPr>
                <w:rFonts w:cs="Calibri"/>
              </w:rPr>
            </w:pPr>
            <w:r>
              <w:rPr>
                <w:rFonts w:cs="Calibri"/>
              </w:rPr>
              <w:t>2.8</w:t>
            </w:r>
          </w:p>
        </w:tc>
        <w:tc>
          <w:tcPr>
            <w:tcW w:w="574" w:type="pct"/>
            <w:vAlign w:val="bottom"/>
            <w:hideMark/>
          </w:tcPr>
          <w:p w:rsidR="00370E87" w:rsidRDefault="00370E87">
            <w:pPr>
              <w:pStyle w:val="TableRowNormal"/>
              <w:ind w:left="0" w:firstLine="0"/>
              <w:rPr>
                <w:rFonts w:cs="Calibri"/>
              </w:rPr>
            </w:pPr>
            <w:r>
              <w:rPr>
                <w:rFonts w:cs="Calibri"/>
              </w:rPr>
              <w:t>2.7</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$0.8m to $0.9m</w:t>
            </w:r>
          </w:p>
        </w:tc>
        <w:tc>
          <w:tcPr>
            <w:tcW w:w="574" w:type="pct"/>
            <w:vAlign w:val="bottom"/>
            <w:hideMark/>
          </w:tcPr>
          <w:p w:rsidR="00370E87" w:rsidRDefault="00370E87">
            <w:pPr>
              <w:pStyle w:val="TableRowNormal"/>
              <w:ind w:left="0" w:firstLine="0"/>
              <w:rPr>
                <w:rFonts w:cs="Calibri"/>
              </w:rPr>
            </w:pPr>
            <w:r>
              <w:rPr>
                <w:rFonts w:cs="Calibri"/>
              </w:rPr>
              <w:t>2.6</w:t>
            </w:r>
          </w:p>
        </w:tc>
        <w:tc>
          <w:tcPr>
            <w:tcW w:w="574" w:type="pct"/>
            <w:vAlign w:val="bottom"/>
            <w:hideMark/>
          </w:tcPr>
          <w:p w:rsidR="00370E87" w:rsidRDefault="00370E87">
            <w:pPr>
              <w:pStyle w:val="TableRowNormal"/>
              <w:ind w:left="0" w:firstLine="0"/>
              <w:rPr>
                <w:rFonts w:cs="Calibri"/>
              </w:rPr>
            </w:pPr>
            <w:r>
              <w:rPr>
                <w:rFonts w:cs="Calibri"/>
              </w:rPr>
              <w:t>2.5</w:t>
            </w:r>
          </w:p>
        </w:tc>
        <w:tc>
          <w:tcPr>
            <w:tcW w:w="574" w:type="pct"/>
            <w:vAlign w:val="bottom"/>
            <w:hideMark/>
          </w:tcPr>
          <w:p w:rsidR="00370E87" w:rsidRDefault="00370E87">
            <w:pPr>
              <w:pStyle w:val="TableRowNormal"/>
              <w:ind w:left="0" w:firstLine="0"/>
              <w:rPr>
                <w:rFonts w:cs="Calibri"/>
              </w:rPr>
            </w:pPr>
            <w:r>
              <w:rPr>
                <w:rFonts w:cs="Calibri"/>
              </w:rPr>
              <w:t>2.5</w:t>
            </w:r>
          </w:p>
        </w:tc>
        <w:tc>
          <w:tcPr>
            <w:tcW w:w="574" w:type="pct"/>
            <w:vAlign w:val="bottom"/>
            <w:hideMark/>
          </w:tcPr>
          <w:p w:rsidR="00370E87" w:rsidRDefault="00370E87">
            <w:pPr>
              <w:pStyle w:val="TableRowNormal"/>
              <w:ind w:left="0" w:firstLine="0"/>
              <w:rPr>
                <w:rFonts w:cs="Calibri"/>
              </w:rPr>
            </w:pPr>
            <w:r>
              <w:rPr>
                <w:rFonts w:cs="Calibri"/>
              </w:rPr>
              <w:t>2.4</w:t>
            </w:r>
          </w:p>
        </w:tc>
        <w:tc>
          <w:tcPr>
            <w:tcW w:w="574" w:type="pct"/>
            <w:vAlign w:val="bottom"/>
            <w:hideMark/>
          </w:tcPr>
          <w:p w:rsidR="00370E87" w:rsidRDefault="00370E87">
            <w:pPr>
              <w:pStyle w:val="TableRowNormal"/>
              <w:ind w:left="0" w:firstLine="0"/>
              <w:rPr>
                <w:rFonts w:cs="Calibri"/>
              </w:rPr>
            </w:pPr>
            <w:r>
              <w:rPr>
                <w:rFonts w:cs="Calibri"/>
              </w:rPr>
              <w:t>2.3</w:t>
            </w:r>
          </w:p>
        </w:tc>
        <w:tc>
          <w:tcPr>
            <w:tcW w:w="574" w:type="pct"/>
            <w:vAlign w:val="bottom"/>
            <w:hideMark/>
          </w:tcPr>
          <w:p w:rsidR="00370E87" w:rsidRDefault="00370E87">
            <w:pPr>
              <w:pStyle w:val="TableRowNormal"/>
              <w:ind w:left="0" w:firstLine="0"/>
              <w:rPr>
                <w:rFonts w:cs="Calibri"/>
              </w:rPr>
            </w:pPr>
            <w:r>
              <w:rPr>
                <w:rFonts w:cs="Calibri"/>
              </w:rPr>
              <w:t>2.2</w:t>
            </w:r>
          </w:p>
        </w:tc>
        <w:tc>
          <w:tcPr>
            <w:tcW w:w="574" w:type="pct"/>
            <w:vAlign w:val="bottom"/>
            <w:hideMark/>
          </w:tcPr>
          <w:p w:rsidR="00370E87" w:rsidRDefault="00370E87">
            <w:pPr>
              <w:pStyle w:val="TableRowNormal"/>
              <w:ind w:left="0" w:firstLine="0"/>
              <w:rPr>
                <w:rFonts w:cs="Calibri"/>
              </w:rPr>
            </w:pPr>
            <w:r>
              <w:rPr>
                <w:rFonts w:cs="Calibri"/>
              </w:rPr>
              <w:t>2.2</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$0.9m to $1.0m</w:t>
            </w:r>
          </w:p>
        </w:tc>
        <w:tc>
          <w:tcPr>
            <w:tcW w:w="574" w:type="pct"/>
            <w:vAlign w:val="bottom"/>
            <w:hideMark/>
          </w:tcPr>
          <w:p w:rsidR="00370E87" w:rsidRDefault="00370E87">
            <w:pPr>
              <w:pStyle w:val="TableRowNormal"/>
              <w:ind w:left="0" w:firstLine="0"/>
              <w:rPr>
                <w:rFonts w:cs="Calibri"/>
              </w:rPr>
            </w:pPr>
            <w:r>
              <w:rPr>
                <w:rFonts w:cs="Calibri"/>
              </w:rPr>
              <w:t>2.3</w:t>
            </w:r>
          </w:p>
        </w:tc>
        <w:tc>
          <w:tcPr>
            <w:tcW w:w="574" w:type="pct"/>
            <w:vAlign w:val="bottom"/>
            <w:hideMark/>
          </w:tcPr>
          <w:p w:rsidR="00370E87" w:rsidRDefault="00370E87">
            <w:pPr>
              <w:pStyle w:val="TableRowNormal"/>
              <w:ind w:left="0" w:firstLine="0"/>
              <w:rPr>
                <w:rFonts w:cs="Calibri"/>
              </w:rPr>
            </w:pPr>
            <w:r>
              <w:rPr>
                <w:rFonts w:cs="Calibri"/>
              </w:rPr>
              <w:t>2.2</w:t>
            </w:r>
          </w:p>
        </w:tc>
        <w:tc>
          <w:tcPr>
            <w:tcW w:w="574" w:type="pct"/>
            <w:vAlign w:val="bottom"/>
            <w:hideMark/>
          </w:tcPr>
          <w:p w:rsidR="00370E87" w:rsidRDefault="00370E87">
            <w:pPr>
              <w:pStyle w:val="TableRowNormal"/>
              <w:ind w:left="0" w:firstLine="0"/>
              <w:rPr>
                <w:rFonts w:cs="Calibri"/>
              </w:rPr>
            </w:pPr>
            <w:r>
              <w:rPr>
                <w:rFonts w:cs="Calibri"/>
              </w:rPr>
              <w:t>2.1</w:t>
            </w:r>
          </w:p>
        </w:tc>
        <w:tc>
          <w:tcPr>
            <w:tcW w:w="574" w:type="pct"/>
            <w:vAlign w:val="bottom"/>
            <w:hideMark/>
          </w:tcPr>
          <w:p w:rsidR="00370E87" w:rsidRDefault="00370E87">
            <w:pPr>
              <w:pStyle w:val="TableRowNormal"/>
              <w:ind w:left="0" w:firstLine="0"/>
              <w:rPr>
                <w:rFonts w:cs="Calibri"/>
              </w:rPr>
            </w:pPr>
            <w:r>
              <w:rPr>
                <w:rFonts w:cs="Calibri"/>
              </w:rPr>
              <w:t>2.0</w:t>
            </w:r>
          </w:p>
        </w:tc>
        <w:tc>
          <w:tcPr>
            <w:tcW w:w="574" w:type="pct"/>
            <w:vAlign w:val="bottom"/>
            <w:hideMark/>
          </w:tcPr>
          <w:p w:rsidR="00370E87" w:rsidRDefault="00370E87">
            <w:pPr>
              <w:pStyle w:val="TableRowNormal"/>
              <w:ind w:left="0" w:firstLine="0"/>
              <w:rPr>
                <w:rFonts w:cs="Calibri"/>
              </w:rPr>
            </w:pPr>
            <w:r>
              <w:rPr>
                <w:rFonts w:cs="Calibri"/>
              </w:rPr>
              <w:t>1.9</w:t>
            </w:r>
          </w:p>
        </w:tc>
        <w:tc>
          <w:tcPr>
            <w:tcW w:w="574" w:type="pct"/>
            <w:vAlign w:val="bottom"/>
            <w:hideMark/>
          </w:tcPr>
          <w:p w:rsidR="00370E87" w:rsidRDefault="00370E87">
            <w:pPr>
              <w:pStyle w:val="TableRowNormal"/>
              <w:ind w:left="0" w:firstLine="0"/>
              <w:rPr>
                <w:rFonts w:cs="Calibri"/>
              </w:rPr>
            </w:pPr>
            <w:r>
              <w:rPr>
                <w:rFonts w:cs="Calibri"/>
              </w:rPr>
              <w:t>1.8</w:t>
            </w:r>
          </w:p>
        </w:tc>
        <w:tc>
          <w:tcPr>
            <w:tcW w:w="574" w:type="pct"/>
            <w:vAlign w:val="bottom"/>
            <w:hideMark/>
          </w:tcPr>
          <w:p w:rsidR="00370E87" w:rsidRDefault="00370E87">
            <w:pPr>
              <w:pStyle w:val="TableRowNormal"/>
              <w:ind w:left="0" w:firstLine="0"/>
              <w:rPr>
                <w:rFonts w:cs="Calibri"/>
              </w:rPr>
            </w:pPr>
            <w:r>
              <w:rPr>
                <w:rFonts w:cs="Calibri"/>
              </w:rPr>
              <w:t>1.7</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$1.0m to $1.5m</w:t>
            </w:r>
          </w:p>
        </w:tc>
        <w:tc>
          <w:tcPr>
            <w:tcW w:w="574" w:type="pct"/>
            <w:vAlign w:val="bottom"/>
            <w:hideMark/>
          </w:tcPr>
          <w:p w:rsidR="00370E87" w:rsidRDefault="00370E87">
            <w:pPr>
              <w:pStyle w:val="TableRowNormal"/>
              <w:ind w:left="0" w:firstLine="0"/>
              <w:rPr>
                <w:rFonts w:cs="Calibri"/>
              </w:rPr>
            </w:pPr>
            <w:r>
              <w:rPr>
                <w:rFonts w:cs="Calibri"/>
              </w:rPr>
              <w:t>7.7</w:t>
            </w:r>
          </w:p>
        </w:tc>
        <w:tc>
          <w:tcPr>
            <w:tcW w:w="574" w:type="pct"/>
            <w:vAlign w:val="bottom"/>
            <w:hideMark/>
          </w:tcPr>
          <w:p w:rsidR="00370E87" w:rsidRDefault="00370E87">
            <w:pPr>
              <w:pStyle w:val="TableRowNormal"/>
              <w:ind w:left="0" w:firstLine="0"/>
              <w:rPr>
                <w:rFonts w:cs="Calibri"/>
              </w:rPr>
            </w:pPr>
            <w:r>
              <w:rPr>
                <w:rFonts w:cs="Calibri"/>
              </w:rPr>
              <w:t>7.3</w:t>
            </w:r>
          </w:p>
        </w:tc>
        <w:tc>
          <w:tcPr>
            <w:tcW w:w="574" w:type="pct"/>
            <w:vAlign w:val="bottom"/>
            <w:hideMark/>
          </w:tcPr>
          <w:p w:rsidR="00370E87" w:rsidRDefault="00370E87">
            <w:pPr>
              <w:pStyle w:val="TableRowNormal"/>
              <w:ind w:left="0" w:firstLine="0"/>
              <w:rPr>
                <w:rFonts w:cs="Calibri"/>
              </w:rPr>
            </w:pPr>
            <w:r>
              <w:rPr>
                <w:rFonts w:cs="Calibri"/>
              </w:rPr>
              <w:t>6.9</w:t>
            </w:r>
          </w:p>
        </w:tc>
        <w:tc>
          <w:tcPr>
            <w:tcW w:w="574" w:type="pct"/>
            <w:vAlign w:val="bottom"/>
            <w:hideMark/>
          </w:tcPr>
          <w:p w:rsidR="00370E87" w:rsidRDefault="00370E87">
            <w:pPr>
              <w:pStyle w:val="TableRowNormal"/>
              <w:ind w:left="0" w:firstLine="0"/>
              <w:rPr>
                <w:rFonts w:cs="Calibri"/>
              </w:rPr>
            </w:pPr>
            <w:r>
              <w:rPr>
                <w:rFonts w:cs="Calibri"/>
              </w:rPr>
              <w:t>6.6</w:t>
            </w:r>
          </w:p>
        </w:tc>
        <w:tc>
          <w:tcPr>
            <w:tcW w:w="574" w:type="pct"/>
            <w:vAlign w:val="bottom"/>
            <w:hideMark/>
          </w:tcPr>
          <w:p w:rsidR="00370E87" w:rsidRDefault="00370E87">
            <w:pPr>
              <w:pStyle w:val="TableRowNormal"/>
              <w:ind w:left="0" w:firstLine="0"/>
              <w:rPr>
                <w:rFonts w:cs="Calibri"/>
              </w:rPr>
            </w:pPr>
            <w:r>
              <w:rPr>
                <w:rFonts w:cs="Calibri"/>
              </w:rPr>
              <w:t>6.2</w:t>
            </w:r>
          </w:p>
        </w:tc>
        <w:tc>
          <w:tcPr>
            <w:tcW w:w="574" w:type="pct"/>
            <w:vAlign w:val="bottom"/>
            <w:hideMark/>
          </w:tcPr>
          <w:p w:rsidR="00370E87" w:rsidRDefault="00370E87">
            <w:pPr>
              <w:pStyle w:val="TableRowNormal"/>
              <w:ind w:left="0" w:firstLine="0"/>
              <w:rPr>
                <w:rFonts w:cs="Calibri"/>
              </w:rPr>
            </w:pPr>
            <w:r>
              <w:rPr>
                <w:rFonts w:cs="Calibri"/>
              </w:rPr>
              <w:t>5.8</w:t>
            </w:r>
          </w:p>
        </w:tc>
        <w:tc>
          <w:tcPr>
            <w:tcW w:w="574" w:type="pct"/>
            <w:vAlign w:val="bottom"/>
            <w:hideMark/>
          </w:tcPr>
          <w:p w:rsidR="00370E87" w:rsidRDefault="00370E87">
            <w:pPr>
              <w:pStyle w:val="TableRowNormal"/>
              <w:ind w:left="0" w:firstLine="0"/>
              <w:rPr>
                <w:rFonts w:cs="Calibri"/>
              </w:rPr>
            </w:pPr>
            <w:r>
              <w:rPr>
                <w:rFonts w:cs="Calibri"/>
              </w:rPr>
              <w:t>5.5</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$1.5m to $2.0m</w:t>
            </w:r>
          </w:p>
        </w:tc>
        <w:tc>
          <w:tcPr>
            <w:tcW w:w="574" w:type="pct"/>
            <w:vAlign w:val="bottom"/>
            <w:hideMark/>
          </w:tcPr>
          <w:p w:rsidR="00370E87" w:rsidRDefault="00370E87">
            <w:pPr>
              <w:pStyle w:val="TableRowNormal"/>
              <w:ind w:left="0" w:firstLine="0"/>
              <w:rPr>
                <w:rFonts w:cs="Calibri"/>
              </w:rPr>
            </w:pPr>
            <w:r>
              <w:rPr>
                <w:rFonts w:cs="Calibri"/>
              </w:rPr>
              <w:t>4.6</w:t>
            </w:r>
          </w:p>
        </w:tc>
        <w:tc>
          <w:tcPr>
            <w:tcW w:w="574" w:type="pct"/>
            <w:vAlign w:val="bottom"/>
            <w:hideMark/>
          </w:tcPr>
          <w:p w:rsidR="00370E87" w:rsidRDefault="00370E87">
            <w:pPr>
              <w:pStyle w:val="TableRowNormal"/>
              <w:ind w:left="0" w:firstLine="0"/>
              <w:rPr>
                <w:rFonts w:cs="Calibri"/>
              </w:rPr>
            </w:pPr>
            <w:r>
              <w:rPr>
                <w:rFonts w:cs="Calibri"/>
              </w:rPr>
              <w:t>4.3</w:t>
            </w:r>
          </w:p>
        </w:tc>
        <w:tc>
          <w:tcPr>
            <w:tcW w:w="574" w:type="pct"/>
            <w:vAlign w:val="bottom"/>
            <w:hideMark/>
          </w:tcPr>
          <w:p w:rsidR="00370E87" w:rsidRDefault="00370E87">
            <w:pPr>
              <w:pStyle w:val="TableRowNormal"/>
              <w:ind w:left="0" w:firstLine="0"/>
              <w:rPr>
                <w:rFonts w:cs="Calibri"/>
              </w:rPr>
            </w:pPr>
            <w:r>
              <w:rPr>
                <w:rFonts w:cs="Calibri"/>
              </w:rPr>
              <w:t>4.1</w:t>
            </w:r>
          </w:p>
        </w:tc>
        <w:tc>
          <w:tcPr>
            <w:tcW w:w="574" w:type="pct"/>
            <w:vAlign w:val="bottom"/>
            <w:hideMark/>
          </w:tcPr>
          <w:p w:rsidR="00370E87" w:rsidRDefault="00370E87">
            <w:pPr>
              <w:pStyle w:val="TableRowNormal"/>
              <w:ind w:left="0" w:firstLine="0"/>
              <w:rPr>
                <w:rFonts w:cs="Calibri"/>
              </w:rPr>
            </w:pPr>
            <w:r>
              <w:rPr>
                <w:rFonts w:cs="Calibri"/>
              </w:rPr>
              <w:t>3.8</w:t>
            </w:r>
          </w:p>
        </w:tc>
        <w:tc>
          <w:tcPr>
            <w:tcW w:w="574" w:type="pct"/>
            <w:vAlign w:val="bottom"/>
            <w:hideMark/>
          </w:tcPr>
          <w:p w:rsidR="00370E87" w:rsidRDefault="00370E87">
            <w:pPr>
              <w:pStyle w:val="TableRowNormal"/>
              <w:ind w:left="0" w:firstLine="0"/>
              <w:rPr>
                <w:rFonts w:cs="Calibri"/>
              </w:rPr>
            </w:pPr>
            <w:r>
              <w:rPr>
                <w:rFonts w:cs="Calibri"/>
              </w:rPr>
              <w:t>3.6</w:t>
            </w:r>
          </w:p>
        </w:tc>
        <w:tc>
          <w:tcPr>
            <w:tcW w:w="574" w:type="pct"/>
            <w:vAlign w:val="bottom"/>
            <w:hideMark/>
          </w:tcPr>
          <w:p w:rsidR="00370E87" w:rsidRDefault="00370E87">
            <w:pPr>
              <w:pStyle w:val="TableRowNormal"/>
              <w:ind w:left="0" w:firstLine="0"/>
              <w:rPr>
                <w:rFonts w:cs="Calibri"/>
              </w:rPr>
            </w:pPr>
            <w:r>
              <w:rPr>
                <w:rFonts w:cs="Calibri"/>
              </w:rPr>
              <w:t>3.3</w:t>
            </w:r>
          </w:p>
        </w:tc>
        <w:tc>
          <w:tcPr>
            <w:tcW w:w="574" w:type="pct"/>
            <w:vAlign w:val="bottom"/>
            <w:hideMark/>
          </w:tcPr>
          <w:p w:rsidR="00370E87" w:rsidRDefault="00370E87">
            <w:pPr>
              <w:pStyle w:val="TableRowNormal"/>
              <w:ind w:left="0" w:firstLine="0"/>
              <w:rPr>
                <w:rFonts w:cs="Calibri"/>
              </w:rPr>
            </w:pPr>
            <w:r>
              <w:rPr>
                <w:rFonts w:cs="Calibri"/>
              </w:rPr>
              <w:t>3.0</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$2.0m to $2.5m</w:t>
            </w:r>
          </w:p>
        </w:tc>
        <w:tc>
          <w:tcPr>
            <w:tcW w:w="574" w:type="pct"/>
            <w:vAlign w:val="bottom"/>
            <w:hideMark/>
          </w:tcPr>
          <w:p w:rsidR="00370E87" w:rsidRDefault="00370E87">
            <w:pPr>
              <w:pStyle w:val="TableRowNormal"/>
              <w:ind w:left="0" w:firstLine="0"/>
              <w:rPr>
                <w:rFonts w:cs="Calibri"/>
              </w:rPr>
            </w:pPr>
            <w:r>
              <w:rPr>
                <w:rFonts w:cs="Calibri"/>
              </w:rPr>
              <w:t>3.3</w:t>
            </w:r>
          </w:p>
        </w:tc>
        <w:tc>
          <w:tcPr>
            <w:tcW w:w="574" w:type="pct"/>
            <w:vAlign w:val="bottom"/>
            <w:hideMark/>
          </w:tcPr>
          <w:p w:rsidR="00370E87" w:rsidRDefault="00370E87">
            <w:pPr>
              <w:pStyle w:val="TableRowNormal"/>
              <w:ind w:left="0" w:firstLine="0"/>
              <w:rPr>
                <w:rFonts w:cs="Calibri"/>
              </w:rPr>
            </w:pPr>
            <w:r>
              <w:rPr>
                <w:rFonts w:cs="Calibri"/>
              </w:rPr>
              <w:t>3.1</w:t>
            </w:r>
          </w:p>
        </w:tc>
        <w:tc>
          <w:tcPr>
            <w:tcW w:w="574" w:type="pct"/>
            <w:vAlign w:val="bottom"/>
            <w:hideMark/>
          </w:tcPr>
          <w:p w:rsidR="00370E87" w:rsidRDefault="00370E87">
            <w:pPr>
              <w:pStyle w:val="TableRowNormal"/>
              <w:ind w:left="0" w:firstLine="0"/>
              <w:rPr>
                <w:rFonts w:cs="Calibri"/>
              </w:rPr>
            </w:pPr>
            <w:r>
              <w:rPr>
                <w:rFonts w:cs="Calibri"/>
              </w:rPr>
              <w:t>2.9</w:t>
            </w:r>
          </w:p>
        </w:tc>
        <w:tc>
          <w:tcPr>
            <w:tcW w:w="574" w:type="pct"/>
            <w:vAlign w:val="bottom"/>
            <w:hideMark/>
          </w:tcPr>
          <w:p w:rsidR="00370E87" w:rsidRDefault="00370E87">
            <w:pPr>
              <w:pStyle w:val="TableRowNormal"/>
              <w:ind w:left="0" w:firstLine="0"/>
              <w:rPr>
                <w:rFonts w:cs="Calibri"/>
              </w:rPr>
            </w:pPr>
            <w:r>
              <w:rPr>
                <w:rFonts w:cs="Calibri"/>
              </w:rPr>
              <w:t>2.7</w:t>
            </w:r>
          </w:p>
        </w:tc>
        <w:tc>
          <w:tcPr>
            <w:tcW w:w="574" w:type="pct"/>
            <w:vAlign w:val="bottom"/>
            <w:hideMark/>
          </w:tcPr>
          <w:p w:rsidR="00370E87" w:rsidRDefault="00370E87">
            <w:pPr>
              <w:pStyle w:val="TableRowNormal"/>
              <w:ind w:left="0" w:firstLine="0"/>
              <w:rPr>
                <w:rFonts w:cs="Calibri"/>
              </w:rPr>
            </w:pPr>
            <w:r>
              <w:rPr>
                <w:rFonts w:cs="Calibri"/>
              </w:rPr>
              <w:t>2.5</w:t>
            </w:r>
          </w:p>
        </w:tc>
        <w:tc>
          <w:tcPr>
            <w:tcW w:w="574" w:type="pct"/>
            <w:vAlign w:val="bottom"/>
            <w:hideMark/>
          </w:tcPr>
          <w:p w:rsidR="00370E87" w:rsidRDefault="00370E87">
            <w:pPr>
              <w:pStyle w:val="TableRowNormal"/>
              <w:ind w:left="0" w:firstLine="0"/>
              <w:rPr>
                <w:rFonts w:cs="Calibri"/>
              </w:rPr>
            </w:pPr>
            <w:r>
              <w:rPr>
                <w:rFonts w:cs="Calibri"/>
              </w:rPr>
              <w:t>2.2</w:t>
            </w:r>
          </w:p>
        </w:tc>
        <w:tc>
          <w:tcPr>
            <w:tcW w:w="574" w:type="pct"/>
            <w:vAlign w:val="bottom"/>
            <w:hideMark/>
          </w:tcPr>
          <w:p w:rsidR="00370E87" w:rsidRDefault="00370E87">
            <w:pPr>
              <w:pStyle w:val="TableRowNormal"/>
              <w:ind w:left="0" w:firstLine="0"/>
              <w:rPr>
                <w:rFonts w:cs="Calibri"/>
              </w:rPr>
            </w:pPr>
            <w:r>
              <w:rPr>
                <w:rFonts w:cs="Calibri"/>
              </w:rPr>
              <w:t>2.0</w:t>
            </w:r>
          </w:p>
        </w:tc>
      </w:tr>
      <w:tr w:rsidR="00370E87" w:rsidTr="00370E87">
        <w:tc>
          <w:tcPr>
            <w:tcW w:w="982" w:type="pct"/>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$2.5m to $3.0m</w:t>
            </w:r>
          </w:p>
        </w:tc>
        <w:tc>
          <w:tcPr>
            <w:tcW w:w="574" w:type="pct"/>
            <w:vAlign w:val="bottom"/>
            <w:hideMark/>
          </w:tcPr>
          <w:p w:rsidR="00370E87" w:rsidRDefault="00370E87">
            <w:pPr>
              <w:pStyle w:val="TableRowNormal"/>
              <w:ind w:left="0" w:firstLine="0"/>
              <w:rPr>
                <w:rFonts w:cs="Calibri"/>
              </w:rPr>
            </w:pPr>
            <w:r>
              <w:rPr>
                <w:rFonts w:cs="Calibri"/>
              </w:rPr>
              <w:t>2.4</w:t>
            </w:r>
          </w:p>
        </w:tc>
        <w:tc>
          <w:tcPr>
            <w:tcW w:w="574" w:type="pct"/>
            <w:vAlign w:val="bottom"/>
            <w:hideMark/>
          </w:tcPr>
          <w:p w:rsidR="00370E87" w:rsidRDefault="00370E87">
            <w:pPr>
              <w:pStyle w:val="TableRowNormal"/>
              <w:ind w:left="0" w:firstLine="0"/>
              <w:rPr>
                <w:rFonts w:cs="Calibri"/>
              </w:rPr>
            </w:pPr>
            <w:r>
              <w:rPr>
                <w:rFonts w:cs="Calibri"/>
              </w:rPr>
              <w:t>2.3</w:t>
            </w:r>
          </w:p>
        </w:tc>
        <w:tc>
          <w:tcPr>
            <w:tcW w:w="574" w:type="pct"/>
            <w:vAlign w:val="bottom"/>
            <w:hideMark/>
          </w:tcPr>
          <w:p w:rsidR="00370E87" w:rsidRDefault="00370E87">
            <w:pPr>
              <w:pStyle w:val="TableRowNormal"/>
              <w:ind w:left="0" w:firstLine="0"/>
              <w:rPr>
                <w:rFonts w:cs="Calibri"/>
              </w:rPr>
            </w:pPr>
            <w:r>
              <w:rPr>
                <w:rFonts w:cs="Calibri"/>
              </w:rPr>
              <w:t>2.2</w:t>
            </w:r>
          </w:p>
        </w:tc>
        <w:tc>
          <w:tcPr>
            <w:tcW w:w="574" w:type="pct"/>
            <w:vAlign w:val="bottom"/>
            <w:hideMark/>
          </w:tcPr>
          <w:p w:rsidR="00370E87" w:rsidRDefault="00370E87">
            <w:pPr>
              <w:pStyle w:val="TableRowNormal"/>
              <w:ind w:left="0" w:firstLine="0"/>
              <w:rPr>
                <w:rFonts w:cs="Calibri"/>
              </w:rPr>
            </w:pPr>
            <w:r>
              <w:rPr>
                <w:rFonts w:cs="Calibri"/>
              </w:rPr>
              <w:t>2.0</w:t>
            </w:r>
          </w:p>
        </w:tc>
        <w:tc>
          <w:tcPr>
            <w:tcW w:w="574" w:type="pct"/>
            <w:vAlign w:val="bottom"/>
            <w:hideMark/>
          </w:tcPr>
          <w:p w:rsidR="00370E87" w:rsidRDefault="00370E87">
            <w:pPr>
              <w:pStyle w:val="TableRowNormal"/>
              <w:ind w:left="0" w:firstLine="0"/>
              <w:rPr>
                <w:rFonts w:cs="Calibri"/>
              </w:rPr>
            </w:pPr>
            <w:r>
              <w:rPr>
                <w:rFonts w:cs="Calibri"/>
              </w:rPr>
              <w:t>1.9</w:t>
            </w:r>
          </w:p>
        </w:tc>
        <w:tc>
          <w:tcPr>
            <w:tcW w:w="574" w:type="pct"/>
            <w:vAlign w:val="bottom"/>
            <w:hideMark/>
          </w:tcPr>
          <w:p w:rsidR="00370E87" w:rsidRDefault="00370E87">
            <w:pPr>
              <w:pStyle w:val="TableRowNormal"/>
              <w:ind w:left="0" w:firstLine="0"/>
              <w:rPr>
                <w:rFonts w:cs="Calibri"/>
              </w:rPr>
            </w:pPr>
            <w:r>
              <w:rPr>
                <w:rFonts w:cs="Calibri"/>
              </w:rPr>
              <w:t>1.8</w:t>
            </w:r>
          </w:p>
        </w:tc>
        <w:tc>
          <w:tcPr>
            <w:tcW w:w="574" w:type="pct"/>
            <w:vAlign w:val="bottom"/>
            <w:hideMark/>
          </w:tcPr>
          <w:p w:rsidR="00370E87" w:rsidRDefault="00370E87">
            <w:pPr>
              <w:pStyle w:val="TableRowNormal"/>
              <w:ind w:left="0" w:firstLine="0"/>
              <w:rPr>
                <w:rFonts w:cs="Calibri"/>
              </w:rPr>
            </w:pPr>
            <w:r>
              <w:rPr>
                <w:rFonts w:cs="Calibri"/>
              </w:rPr>
              <w:t>1.7</w:t>
            </w:r>
          </w:p>
        </w:tc>
      </w:tr>
      <w:tr w:rsidR="00370E87" w:rsidTr="00370E87">
        <w:tc>
          <w:tcPr>
            <w:tcW w:w="982" w:type="pct"/>
            <w:tcBorders>
              <w:top w:val="nil"/>
              <w:left w:val="nil"/>
              <w:bottom w:val="single" w:sz="6" w:space="0" w:color="auto"/>
              <w:right w:val="nil"/>
            </w:tcBorders>
            <w:vAlign w:val="bottom"/>
            <w:hideMark/>
          </w:tcPr>
          <w:p w:rsidR="00370E87" w:rsidRDefault="00370E87">
            <w:pPr>
              <w:pStyle w:val="CGCTableStub"/>
              <w:tabs>
                <w:tab w:val="left" w:pos="142"/>
                <w:tab w:val="left" w:pos="425"/>
                <w:tab w:val="left" w:pos="709"/>
                <w:tab w:val="left" w:pos="851"/>
              </w:tabs>
              <w:ind w:left="142" w:hanging="142"/>
              <w:rPr>
                <w:rFonts w:cs="Calibri"/>
              </w:rPr>
            </w:pPr>
            <w:r>
              <w:rPr>
                <w:rFonts w:cs="Calibri"/>
              </w:rPr>
              <w:t>$3.0m and above</w:t>
            </w:r>
          </w:p>
        </w:tc>
        <w:tc>
          <w:tcPr>
            <w:tcW w:w="574" w:type="pct"/>
            <w:tcBorders>
              <w:top w:val="nil"/>
              <w:left w:val="nil"/>
              <w:bottom w:val="single" w:sz="6" w:space="0" w:color="auto"/>
              <w:right w:val="nil"/>
            </w:tcBorders>
            <w:vAlign w:val="bottom"/>
            <w:hideMark/>
          </w:tcPr>
          <w:p w:rsidR="00370E87" w:rsidRDefault="00370E87">
            <w:pPr>
              <w:pStyle w:val="TableRowNormal"/>
              <w:ind w:left="0" w:firstLine="0"/>
              <w:rPr>
                <w:rFonts w:cs="Calibri"/>
              </w:rPr>
            </w:pPr>
            <w:r>
              <w:rPr>
                <w:rFonts w:cs="Calibri"/>
              </w:rPr>
              <w:t>38.5</w:t>
            </w:r>
          </w:p>
        </w:tc>
        <w:tc>
          <w:tcPr>
            <w:tcW w:w="574" w:type="pct"/>
            <w:tcBorders>
              <w:top w:val="nil"/>
              <w:left w:val="nil"/>
              <w:bottom w:val="single" w:sz="6" w:space="0" w:color="auto"/>
              <w:right w:val="nil"/>
            </w:tcBorders>
            <w:vAlign w:val="bottom"/>
            <w:hideMark/>
          </w:tcPr>
          <w:p w:rsidR="00370E87" w:rsidRDefault="00370E87">
            <w:pPr>
              <w:pStyle w:val="TableRowNormal"/>
              <w:ind w:left="0" w:firstLine="0"/>
              <w:rPr>
                <w:rFonts w:cs="Calibri"/>
              </w:rPr>
            </w:pPr>
            <w:r>
              <w:rPr>
                <w:rFonts w:cs="Calibri"/>
              </w:rPr>
              <w:t>36.2</w:t>
            </w:r>
          </w:p>
        </w:tc>
        <w:tc>
          <w:tcPr>
            <w:tcW w:w="574" w:type="pct"/>
            <w:tcBorders>
              <w:top w:val="nil"/>
              <w:left w:val="nil"/>
              <w:bottom w:val="single" w:sz="6" w:space="0" w:color="auto"/>
              <w:right w:val="nil"/>
            </w:tcBorders>
            <w:vAlign w:val="bottom"/>
            <w:hideMark/>
          </w:tcPr>
          <w:p w:rsidR="00370E87" w:rsidRDefault="00370E87">
            <w:pPr>
              <w:pStyle w:val="TableRowNormal"/>
              <w:ind w:left="0" w:firstLine="0"/>
              <w:rPr>
                <w:rFonts w:cs="Calibri"/>
              </w:rPr>
            </w:pPr>
            <w:r>
              <w:rPr>
                <w:rFonts w:cs="Calibri"/>
              </w:rPr>
              <w:t>33.9</w:t>
            </w:r>
          </w:p>
        </w:tc>
        <w:tc>
          <w:tcPr>
            <w:tcW w:w="574" w:type="pct"/>
            <w:tcBorders>
              <w:top w:val="nil"/>
              <w:left w:val="nil"/>
              <w:bottom w:val="single" w:sz="6" w:space="0" w:color="auto"/>
              <w:right w:val="nil"/>
            </w:tcBorders>
            <w:vAlign w:val="bottom"/>
            <w:hideMark/>
          </w:tcPr>
          <w:p w:rsidR="00370E87" w:rsidRDefault="00370E87">
            <w:pPr>
              <w:pStyle w:val="TableRowNormal"/>
              <w:ind w:left="0" w:firstLine="0"/>
              <w:rPr>
                <w:rFonts w:cs="Calibri"/>
              </w:rPr>
            </w:pPr>
            <w:r>
              <w:rPr>
                <w:rFonts w:cs="Calibri"/>
              </w:rPr>
              <w:t>31.5</w:t>
            </w:r>
          </w:p>
        </w:tc>
        <w:tc>
          <w:tcPr>
            <w:tcW w:w="574" w:type="pct"/>
            <w:tcBorders>
              <w:top w:val="nil"/>
              <w:left w:val="nil"/>
              <w:bottom w:val="single" w:sz="6" w:space="0" w:color="auto"/>
              <w:right w:val="nil"/>
            </w:tcBorders>
            <w:vAlign w:val="bottom"/>
            <w:hideMark/>
          </w:tcPr>
          <w:p w:rsidR="00370E87" w:rsidRDefault="00370E87">
            <w:pPr>
              <w:pStyle w:val="TableRowNormal"/>
              <w:ind w:left="0" w:firstLine="0"/>
              <w:rPr>
                <w:rFonts w:cs="Calibri"/>
              </w:rPr>
            </w:pPr>
            <w:r>
              <w:rPr>
                <w:rFonts w:cs="Calibri"/>
              </w:rPr>
              <w:t>29.2</w:t>
            </w:r>
          </w:p>
        </w:tc>
        <w:tc>
          <w:tcPr>
            <w:tcW w:w="574" w:type="pct"/>
            <w:tcBorders>
              <w:top w:val="nil"/>
              <w:left w:val="nil"/>
              <w:bottom w:val="single" w:sz="6" w:space="0" w:color="auto"/>
              <w:right w:val="nil"/>
            </w:tcBorders>
            <w:vAlign w:val="bottom"/>
            <w:hideMark/>
          </w:tcPr>
          <w:p w:rsidR="00370E87" w:rsidRDefault="00370E87">
            <w:pPr>
              <w:pStyle w:val="TableRowNormal"/>
              <w:ind w:left="0" w:firstLine="0"/>
              <w:rPr>
                <w:rFonts w:cs="Calibri"/>
              </w:rPr>
            </w:pPr>
            <w:r>
              <w:rPr>
                <w:rFonts w:cs="Calibri"/>
              </w:rPr>
              <w:t>26.9</w:t>
            </w:r>
          </w:p>
        </w:tc>
        <w:tc>
          <w:tcPr>
            <w:tcW w:w="574" w:type="pct"/>
            <w:tcBorders>
              <w:top w:val="nil"/>
              <w:left w:val="nil"/>
              <w:bottom w:val="single" w:sz="6" w:space="0" w:color="auto"/>
              <w:right w:val="nil"/>
            </w:tcBorders>
            <w:vAlign w:val="bottom"/>
            <w:hideMark/>
          </w:tcPr>
          <w:p w:rsidR="00370E87" w:rsidRDefault="00370E87">
            <w:pPr>
              <w:pStyle w:val="TableRowNormal"/>
              <w:ind w:left="0" w:firstLine="0"/>
              <w:rPr>
                <w:rFonts w:cs="Calibri"/>
              </w:rPr>
            </w:pPr>
            <w:r>
              <w:rPr>
                <w:rFonts w:cs="Calibri"/>
              </w:rPr>
              <w:t>24.6</w:t>
            </w:r>
          </w:p>
        </w:tc>
      </w:tr>
    </w:tbl>
    <w:p w:rsidR="00370E87" w:rsidRDefault="00370E87" w:rsidP="00370E87">
      <w:pPr>
        <w:pStyle w:val="CGCTableFootnote"/>
        <w:rPr>
          <w:sz w:val="24"/>
        </w:rPr>
      </w:pPr>
      <w:r>
        <w:t>Source:</w:t>
      </w:r>
      <w:r>
        <w:tab/>
        <w:t>Commission calculation using State provided data.</w:t>
      </w:r>
    </w:p>
    <w:p w:rsidR="00370E87" w:rsidRDefault="00370E87" w:rsidP="00370E87">
      <w:pPr>
        <w:pStyle w:val="NoSpacing"/>
      </w:pPr>
    </w:p>
    <w:p w:rsidR="00370E87" w:rsidRDefault="00370E87" w:rsidP="00370E87">
      <w:pPr>
        <w:pStyle w:val="CGCTableHeading"/>
      </w:pPr>
      <w:bookmarkStart w:id="5" w:name="_Ref473102078"/>
      <w:r>
        <w:lastRenderedPageBreak/>
        <w:t xml:space="preserve">Table </w:t>
      </w:r>
      <w:fldSimple w:instr=" SEQ Table \* ARABIC ">
        <w:r>
          <w:rPr>
            <w:noProof/>
          </w:rPr>
          <w:t>2</w:t>
        </w:r>
      </w:fldSimple>
      <w:bookmarkEnd w:id="5"/>
      <w:r>
        <w:tab/>
        <w:t>Difference in GST distribution compared with the 2016 Update</w:t>
      </w:r>
    </w:p>
    <w:tbl>
      <w:tblPr>
        <w:tblW w:w="9260" w:type="dxa"/>
        <w:tblCellMar>
          <w:left w:w="0" w:type="dxa"/>
          <w:right w:w="0" w:type="dxa"/>
        </w:tblCellMar>
        <w:tblLook w:val="04A0" w:firstRow="1" w:lastRow="0" w:firstColumn="1" w:lastColumn="0" w:noHBand="0" w:noVBand="1"/>
      </w:tblPr>
      <w:tblGrid>
        <w:gridCol w:w="2348"/>
        <w:gridCol w:w="848"/>
        <w:gridCol w:w="848"/>
        <w:gridCol w:w="788"/>
        <w:gridCol w:w="848"/>
        <w:gridCol w:w="788"/>
        <w:gridCol w:w="688"/>
        <w:gridCol w:w="688"/>
        <w:gridCol w:w="688"/>
        <w:gridCol w:w="888"/>
      </w:tblGrid>
      <w:tr w:rsidR="00370E87" w:rsidTr="00370E87">
        <w:trPr>
          <w:trHeight w:val="379"/>
        </w:trPr>
        <w:tc>
          <w:tcPr>
            <w:tcW w:w="233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bookmarkStart w:id="6" w:name="RANGE!A4:J18"/>
            <w:bookmarkEnd w:id="6"/>
            <w:r>
              <w:rPr>
                <w:sz w:val="20"/>
                <w:szCs w:val="20"/>
                <w:lang w:eastAsia="en-AU"/>
              </w:rPr>
              <w:t> </w:t>
            </w:r>
          </w:p>
        </w:tc>
        <w:tc>
          <w:tcPr>
            <w:tcW w:w="83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NSW</w:t>
            </w:r>
          </w:p>
        </w:tc>
        <w:tc>
          <w:tcPr>
            <w:tcW w:w="83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Vic</w:t>
            </w:r>
          </w:p>
        </w:tc>
        <w:tc>
          <w:tcPr>
            <w:tcW w:w="77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Qld</w:t>
            </w:r>
          </w:p>
        </w:tc>
        <w:tc>
          <w:tcPr>
            <w:tcW w:w="83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WA</w:t>
            </w:r>
          </w:p>
        </w:tc>
        <w:tc>
          <w:tcPr>
            <w:tcW w:w="77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SA</w:t>
            </w:r>
          </w:p>
        </w:tc>
        <w:tc>
          <w:tcPr>
            <w:tcW w:w="67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proofErr w:type="spellStart"/>
            <w:r>
              <w:rPr>
                <w:sz w:val="20"/>
                <w:szCs w:val="20"/>
                <w:lang w:eastAsia="en-AU"/>
              </w:rPr>
              <w:t>Tas</w:t>
            </w:r>
            <w:proofErr w:type="spellEnd"/>
          </w:p>
        </w:tc>
        <w:tc>
          <w:tcPr>
            <w:tcW w:w="67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ACT</w:t>
            </w:r>
          </w:p>
        </w:tc>
        <w:tc>
          <w:tcPr>
            <w:tcW w:w="67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NT</w:t>
            </w:r>
          </w:p>
        </w:tc>
        <w:tc>
          <w:tcPr>
            <w:tcW w:w="872" w:type="dxa"/>
            <w:tcBorders>
              <w:top w:val="single" w:sz="4" w:space="0" w:color="auto"/>
              <w:left w:val="nil"/>
              <w:bottom w:val="single" w:sz="4" w:space="0" w:color="auto"/>
              <w:right w:val="nil"/>
            </w:tcBorders>
            <w:noWrap/>
            <w:vAlign w:val="center"/>
            <w:hideMark/>
          </w:tcPr>
          <w:p w:rsidR="00370E87" w:rsidRDefault="00370E87" w:rsidP="00370E87">
            <w:pPr>
              <w:keepNext/>
              <w:keepLines/>
              <w:tabs>
                <w:tab w:val="left" w:pos="567"/>
              </w:tabs>
              <w:spacing w:after="80" w:line="320" w:lineRule="atLeast"/>
              <w:ind w:left="193" w:hanging="142"/>
              <w:jc w:val="right"/>
              <w:rPr>
                <w:sz w:val="20"/>
                <w:szCs w:val="20"/>
                <w:lang w:eastAsia="en-AU"/>
              </w:rPr>
            </w:pPr>
            <w:proofErr w:type="spellStart"/>
            <w:r>
              <w:rPr>
                <w:sz w:val="20"/>
                <w:szCs w:val="20"/>
                <w:lang w:eastAsia="en-AU"/>
              </w:rPr>
              <w:t>Redist</w:t>
            </w:r>
            <w:proofErr w:type="spellEnd"/>
          </w:p>
        </w:tc>
      </w:tr>
      <w:tr w:rsidR="00370E87" w:rsidTr="00370E87">
        <w:trPr>
          <w:trHeight w:val="259"/>
        </w:trPr>
        <w:tc>
          <w:tcPr>
            <w:tcW w:w="2332" w:type="dxa"/>
            <w:noWrap/>
            <w:vAlign w:val="bottom"/>
            <w:hideMark/>
          </w:tcPr>
          <w:p w:rsidR="00370E87" w:rsidRDefault="00370E87" w:rsidP="00370E87">
            <w:pPr>
              <w:keepNext/>
            </w:pP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c>
          <w:tcPr>
            <w:tcW w:w="7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c>
          <w:tcPr>
            <w:tcW w:w="7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c>
          <w:tcPr>
            <w:tcW w:w="8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$m</w:t>
            </w:r>
          </w:p>
        </w:tc>
      </w:tr>
      <w:tr w:rsidR="00370E87" w:rsidTr="00370E87">
        <w:trPr>
          <w:trHeight w:val="555"/>
        </w:trPr>
        <w:tc>
          <w:tcPr>
            <w:tcW w:w="2332" w:type="dxa"/>
            <w:vAlign w:val="bottom"/>
            <w:hideMark/>
          </w:tcPr>
          <w:p w:rsidR="00370E87" w:rsidRDefault="00370E87" w:rsidP="00370E87">
            <w:pPr>
              <w:keepNext/>
              <w:keepLines/>
              <w:tabs>
                <w:tab w:val="left" w:pos="567"/>
              </w:tabs>
              <w:spacing w:after="80" w:line="320" w:lineRule="atLeast"/>
              <w:ind w:left="193" w:hanging="142"/>
              <w:rPr>
                <w:sz w:val="20"/>
                <w:szCs w:val="20"/>
                <w:lang w:eastAsia="en-AU"/>
              </w:rPr>
            </w:pPr>
            <w:r>
              <w:rPr>
                <w:sz w:val="20"/>
                <w:szCs w:val="20"/>
                <w:lang w:eastAsia="en-AU"/>
              </w:rPr>
              <w:t xml:space="preserve">GST redistribution from EPC - 2016 Update </w:t>
            </w:r>
            <w:r>
              <w:rPr>
                <w:sz w:val="20"/>
                <w:szCs w:val="20"/>
                <w:vertAlign w:val="superscript"/>
                <w:lang w:eastAsia="en-AU"/>
              </w:rPr>
              <w:t>(a)</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38</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-176</w:t>
            </w:r>
          </w:p>
        </w:tc>
        <w:tc>
          <w:tcPr>
            <w:tcW w:w="7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-8</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-250</w:t>
            </w:r>
          </w:p>
        </w:tc>
        <w:tc>
          <w:tcPr>
            <w:tcW w:w="7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227</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89</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56</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24</w:t>
            </w:r>
          </w:p>
        </w:tc>
        <w:tc>
          <w:tcPr>
            <w:tcW w:w="8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434</w:t>
            </w:r>
          </w:p>
        </w:tc>
      </w:tr>
      <w:tr w:rsidR="00370E87" w:rsidTr="00370E87">
        <w:trPr>
          <w:trHeight w:val="315"/>
        </w:trPr>
        <w:tc>
          <w:tcPr>
            <w:tcW w:w="2332" w:type="dxa"/>
            <w:noWrap/>
            <w:vAlign w:val="bottom"/>
            <w:hideMark/>
          </w:tcPr>
          <w:p w:rsidR="00370E87" w:rsidRDefault="00370E87" w:rsidP="00370E87">
            <w:pPr>
              <w:keepNext/>
            </w:pPr>
          </w:p>
        </w:tc>
        <w:tc>
          <w:tcPr>
            <w:tcW w:w="832" w:type="dxa"/>
            <w:noWrap/>
            <w:vAlign w:val="bottom"/>
            <w:hideMark/>
          </w:tcPr>
          <w:p w:rsidR="00370E87" w:rsidRDefault="00370E87" w:rsidP="00370E87">
            <w:pPr>
              <w:keepNext/>
            </w:pPr>
          </w:p>
        </w:tc>
        <w:tc>
          <w:tcPr>
            <w:tcW w:w="832" w:type="dxa"/>
            <w:noWrap/>
            <w:vAlign w:val="bottom"/>
            <w:hideMark/>
          </w:tcPr>
          <w:p w:rsidR="00370E87" w:rsidRDefault="00370E87" w:rsidP="00370E87">
            <w:pPr>
              <w:keepNext/>
            </w:pPr>
          </w:p>
        </w:tc>
        <w:tc>
          <w:tcPr>
            <w:tcW w:w="772" w:type="dxa"/>
            <w:noWrap/>
            <w:vAlign w:val="bottom"/>
            <w:hideMark/>
          </w:tcPr>
          <w:p w:rsidR="00370E87" w:rsidRDefault="00370E87" w:rsidP="00370E87">
            <w:pPr>
              <w:keepNext/>
            </w:pPr>
          </w:p>
        </w:tc>
        <w:tc>
          <w:tcPr>
            <w:tcW w:w="832" w:type="dxa"/>
            <w:noWrap/>
            <w:vAlign w:val="bottom"/>
            <w:hideMark/>
          </w:tcPr>
          <w:p w:rsidR="00370E87" w:rsidRDefault="00370E87" w:rsidP="00370E87">
            <w:pPr>
              <w:keepNext/>
            </w:pPr>
          </w:p>
        </w:tc>
        <w:tc>
          <w:tcPr>
            <w:tcW w:w="772" w:type="dxa"/>
            <w:noWrap/>
            <w:vAlign w:val="bottom"/>
            <w:hideMark/>
          </w:tcPr>
          <w:p w:rsidR="00370E87" w:rsidRDefault="00370E87" w:rsidP="00370E87">
            <w:pPr>
              <w:keepNext/>
            </w:pPr>
          </w:p>
        </w:tc>
        <w:tc>
          <w:tcPr>
            <w:tcW w:w="672" w:type="dxa"/>
            <w:noWrap/>
            <w:vAlign w:val="bottom"/>
            <w:hideMark/>
          </w:tcPr>
          <w:p w:rsidR="00370E87" w:rsidRDefault="00370E87" w:rsidP="00370E87">
            <w:pPr>
              <w:keepNext/>
            </w:pPr>
          </w:p>
        </w:tc>
        <w:tc>
          <w:tcPr>
            <w:tcW w:w="672" w:type="dxa"/>
            <w:noWrap/>
            <w:vAlign w:val="bottom"/>
            <w:hideMark/>
          </w:tcPr>
          <w:p w:rsidR="00370E87" w:rsidRDefault="00370E87" w:rsidP="00370E87">
            <w:pPr>
              <w:keepNext/>
            </w:pPr>
          </w:p>
        </w:tc>
        <w:tc>
          <w:tcPr>
            <w:tcW w:w="672" w:type="dxa"/>
            <w:noWrap/>
            <w:vAlign w:val="bottom"/>
            <w:hideMark/>
          </w:tcPr>
          <w:p w:rsidR="00370E87" w:rsidRDefault="00370E87" w:rsidP="00370E87">
            <w:pPr>
              <w:keepNext/>
            </w:pPr>
          </w:p>
        </w:tc>
        <w:tc>
          <w:tcPr>
            <w:tcW w:w="872" w:type="dxa"/>
            <w:noWrap/>
            <w:vAlign w:val="bottom"/>
            <w:hideMark/>
          </w:tcPr>
          <w:p w:rsidR="00370E87" w:rsidRDefault="00370E87" w:rsidP="00370E87">
            <w:pPr>
              <w:keepNext/>
            </w:pPr>
          </w:p>
        </w:tc>
      </w:tr>
      <w:tr w:rsidR="00370E87" w:rsidTr="00370E87">
        <w:trPr>
          <w:trHeight w:val="315"/>
        </w:trPr>
        <w:tc>
          <w:tcPr>
            <w:tcW w:w="3996" w:type="dxa"/>
            <w:gridSpan w:val="3"/>
            <w:noWrap/>
            <w:vAlign w:val="bottom"/>
            <w:hideMark/>
          </w:tcPr>
          <w:p w:rsidR="00370E87" w:rsidRDefault="00370E87" w:rsidP="00370E87">
            <w:pPr>
              <w:keepNext/>
              <w:keepLines/>
              <w:tabs>
                <w:tab w:val="left" w:pos="567"/>
              </w:tabs>
              <w:spacing w:after="80" w:line="320" w:lineRule="atLeast"/>
              <w:ind w:left="193" w:hanging="142"/>
              <w:rPr>
                <w:sz w:val="20"/>
                <w:szCs w:val="20"/>
                <w:lang w:eastAsia="en-AU"/>
              </w:rPr>
            </w:pPr>
            <w:r>
              <w:rPr>
                <w:sz w:val="20"/>
                <w:szCs w:val="20"/>
                <w:lang w:eastAsia="en-AU"/>
              </w:rPr>
              <w:t>GST redistribution from EPC - 2017 Update</w:t>
            </w:r>
          </w:p>
        </w:tc>
        <w:tc>
          <w:tcPr>
            <w:tcW w:w="772" w:type="dxa"/>
            <w:vAlign w:val="bottom"/>
            <w:hideMark/>
          </w:tcPr>
          <w:p w:rsidR="00370E87" w:rsidRDefault="00370E87" w:rsidP="00370E87">
            <w:pPr>
              <w:keepNext/>
            </w:pPr>
          </w:p>
        </w:tc>
        <w:tc>
          <w:tcPr>
            <w:tcW w:w="832" w:type="dxa"/>
            <w:vAlign w:val="bottom"/>
            <w:hideMark/>
          </w:tcPr>
          <w:p w:rsidR="00370E87" w:rsidRDefault="00370E87" w:rsidP="00370E87">
            <w:pPr>
              <w:keepNext/>
            </w:pPr>
          </w:p>
        </w:tc>
        <w:tc>
          <w:tcPr>
            <w:tcW w:w="772" w:type="dxa"/>
            <w:vAlign w:val="bottom"/>
            <w:hideMark/>
          </w:tcPr>
          <w:p w:rsidR="00370E87" w:rsidRDefault="00370E87" w:rsidP="00370E87">
            <w:pPr>
              <w:keepNext/>
            </w:pPr>
          </w:p>
        </w:tc>
        <w:tc>
          <w:tcPr>
            <w:tcW w:w="672" w:type="dxa"/>
            <w:vAlign w:val="bottom"/>
            <w:hideMark/>
          </w:tcPr>
          <w:p w:rsidR="00370E87" w:rsidRDefault="00370E87" w:rsidP="00370E87">
            <w:pPr>
              <w:keepNext/>
            </w:pPr>
          </w:p>
        </w:tc>
        <w:tc>
          <w:tcPr>
            <w:tcW w:w="672" w:type="dxa"/>
            <w:vAlign w:val="bottom"/>
            <w:hideMark/>
          </w:tcPr>
          <w:p w:rsidR="00370E87" w:rsidRDefault="00370E87" w:rsidP="00370E87">
            <w:pPr>
              <w:keepNext/>
            </w:pPr>
          </w:p>
        </w:tc>
        <w:tc>
          <w:tcPr>
            <w:tcW w:w="672" w:type="dxa"/>
            <w:vAlign w:val="bottom"/>
            <w:hideMark/>
          </w:tcPr>
          <w:p w:rsidR="00370E87" w:rsidRDefault="00370E87" w:rsidP="00370E87">
            <w:pPr>
              <w:keepNext/>
            </w:pPr>
          </w:p>
        </w:tc>
        <w:tc>
          <w:tcPr>
            <w:tcW w:w="872" w:type="dxa"/>
            <w:vAlign w:val="bottom"/>
            <w:hideMark/>
          </w:tcPr>
          <w:p w:rsidR="00370E87" w:rsidRDefault="00370E87" w:rsidP="00370E87">
            <w:pPr>
              <w:keepNext/>
            </w:pPr>
          </w:p>
        </w:tc>
      </w:tr>
      <w:tr w:rsidR="00370E87" w:rsidTr="00370E87">
        <w:trPr>
          <w:trHeight w:val="555"/>
        </w:trPr>
        <w:tc>
          <w:tcPr>
            <w:tcW w:w="2332" w:type="dxa"/>
            <w:vAlign w:val="bottom"/>
            <w:hideMark/>
          </w:tcPr>
          <w:p w:rsidR="00370E87" w:rsidRDefault="00370E87" w:rsidP="00370E87">
            <w:pPr>
              <w:keepNext/>
              <w:keepLines/>
              <w:tabs>
                <w:tab w:val="left" w:pos="567"/>
              </w:tabs>
              <w:spacing w:after="80" w:line="320" w:lineRule="atLeast"/>
              <w:ind w:left="193" w:firstLineChars="100" w:firstLine="200"/>
              <w:rPr>
                <w:sz w:val="20"/>
                <w:szCs w:val="20"/>
                <w:lang w:eastAsia="en-AU"/>
              </w:rPr>
            </w:pPr>
            <w:r>
              <w:rPr>
                <w:sz w:val="20"/>
                <w:szCs w:val="20"/>
                <w:lang w:eastAsia="en-AU"/>
              </w:rPr>
              <w:t xml:space="preserve">2009 in first two years </w:t>
            </w:r>
            <w:r>
              <w:rPr>
                <w:sz w:val="20"/>
                <w:szCs w:val="20"/>
                <w:lang w:eastAsia="en-AU"/>
              </w:rPr>
              <w:br/>
              <w:t xml:space="preserve">       and 2016 in last year</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-155</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-149</w:t>
            </w:r>
          </w:p>
        </w:tc>
        <w:tc>
          <w:tcPr>
            <w:tcW w:w="7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117</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-216</w:t>
            </w:r>
          </w:p>
        </w:tc>
        <w:tc>
          <w:tcPr>
            <w:tcW w:w="7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234</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88</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56</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25</w:t>
            </w:r>
          </w:p>
        </w:tc>
        <w:tc>
          <w:tcPr>
            <w:tcW w:w="8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520</w:t>
            </w:r>
          </w:p>
        </w:tc>
      </w:tr>
      <w:tr w:rsidR="00370E87" w:rsidTr="00370E87">
        <w:trPr>
          <w:trHeight w:val="315"/>
        </w:trPr>
        <w:tc>
          <w:tcPr>
            <w:tcW w:w="2332" w:type="dxa"/>
            <w:noWrap/>
            <w:vAlign w:val="bottom"/>
            <w:hideMark/>
          </w:tcPr>
          <w:p w:rsidR="00370E87" w:rsidRDefault="00370E87" w:rsidP="00370E87">
            <w:pPr>
              <w:keepNext/>
              <w:keepLines/>
              <w:tabs>
                <w:tab w:val="left" w:pos="567"/>
              </w:tabs>
              <w:spacing w:after="80" w:line="320" w:lineRule="atLeast"/>
              <w:ind w:left="193" w:firstLineChars="100" w:firstLine="200"/>
              <w:rPr>
                <w:sz w:val="20"/>
                <w:szCs w:val="20"/>
                <w:lang w:eastAsia="en-AU"/>
              </w:rPr>
            </w:pPr>
            <w:r>
              <w:rPr>
                <w:sz w:val="20"/>
                <w:szCs w:val="20"/>
                <w:lang w:eastAsia="en-AU"/>
              </w:rPr>
              <w:t>2016 distribution only</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-241</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-221</w:t>
            </w:r>
          </w:p>
        </w:tc>
        <w:tc>
          <w:tcPr>
            <w:tcW w:w="7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327</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-257</w:t>
            </w:r>
          </w:p>
        </w:tc>
        <w:tc>
          <w:tcPr>
            <w:tcW w:w="7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228</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87</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55</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24</w:t>
            </w:r>
          </w:p>
        </w:tc>
        <w:tc>
          <w:tcPr>
            <w:tcW w:w="8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719</w:t>
            </w:r>
          </w:p>
        </w:tc>
      </w:tr>
      <w:tr w:rsidR="00370E87" w:rsidTr="00370E87">
        <w:trPr>
          <w:trHeight w:val="315"/>
        </w:trPr>
        <w:tc>
          <w:tcPr>
            <w:tcW w:w="2332" w:type="dxa"/>
            <w:noWrap/>
            <w:vAlign w:val="bottom"/>
            <w:hideMark/>
          </w:tcPr>
          <w:p w:rsidR="00370E87" w:rsidRDefault="00370E87" w:rsidP="00370E87">
            <w:pPr>
              <w:keepNext/>
              <w:keepLines/>
              <w:tabs>
                <w:tab w:val="left" w:pos="567"/>
              </w:tabs>
              <w:spacing w:after="80" w:line="320" w:lineRule="atLeast"/>
              <w:ind w:left="193" w:firstLineChars="100" w:firstLine="200"/>
              <w:rPr>
                <w:sz w:val="20"/>
                <w:szCs w:val="20"/>
                <w:lang w:eastAsia="en-AU"/>
              </w:rPr>
            </w:pPr>
            <w:r>
              <w:rPr>
                <w:sz w:val="20"/>
                <w:szCs w:val="20"/>
                <w:lang w:eastAsia="en-AU"/>
              </w:rPr>
              <w:t>Transition</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-219</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-202</w:t>
            </w:r>
          </w:p>
        </w:tc>
        <w:tc>
          <w:tcPr>
            <w:tcW w:w="7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273</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-246</w:t>
            </w:r>
          </w:p>
        </w:tc>
        <w:tc>
          <w:tcPr>
            <w:tcW w:w="7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229</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87</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55</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24</w:t>
            </w:r>
          </w:p>
        </w:tc>
        <w:tc>
          <w:tcPr>
            <w:tcW w:w="8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668</w:t>
            </w:r>
          </w:p>
        </w:tc>
      </w:tr>
      <w:tr w:rsidR="00370E87" w:rsidTr="00370E87">
        <w:trPr>
          <w:trHeight w:val="315"/>
        </w:trPr>
        <w:tc>
          <w:tcPr>
            <w:tcW w:w="2332" w:type="dxa"/>
            <w:noWrap/>
            <w:vAlign w:val="bottom"/>
            <w:hideMark/>
          </w:tcPr>
          <w:p w:rsidR="00370E87" w:rsidRDefault="00370E87" w:rsidP="00370E87">
            <w:pPr>
              <w:keepNext/>
            </w:pPr>
          </w:p>
        </w:tc>
        <w:tc>
          <w:tcPr>
            <w:tcW w:w="832" w:type="dxa"/>
            <w:noWrap/>
            <w:vAlign w:val="bottom"/>
            <w:hideMark/>
          </w:tcPr>
          <w:p w:rsidR="00370E87" w:rsidRDefault="00370E87" w:rsidP="00370E87">
            <w:pPr>
              <w:keepNext/>
            </w:pPr>
          </w:p>
        </w:tc>
        <w:tc>
          <w:tcPr>
            <w:tcW w:w="832" w:type="dxa"/>
            <w:noWrap/>
            <w:vAlign w:val="bottom"/>
            <w:hideMark/>
          </w:tcPr>
          <w:p w:rsidR="00370E87" w:rsidRDefault="00370E87" w:rsidP="00370E87">
            <w:pPr>
              <w:keepNext/>
            </w:pPr>
          </w:p>
        </w:tc>
        <w:tc>
          <w:tcPr>
            <w:tcW w:w="772" w:type="dxa"/>
            <w:noWrap/>
            <w:vAlign w:val="bottom"/>
            <w:hideMark/>
          </w:tcPr>
          <w:p w:rsidR="00370E87" w:rsidRDefault="00370E87" w:rsidP="00370E87">
            <w:pPr>
              <w:keepNext/>
            </w:pPr>
          </w:p>
        </w:tc>
        <w:tc>
          <w:tcPr>
            <w:tcW w:w="832" w:type="dxa"/>
            <w:noWrap/>
            <w:vAlign w:val="bottom"/>
            <w:hideMark/>
          </w:tcPr>
          <w:p w:rsidR="00370E87" w:rsidRDefault="00370E87" w:rsidP="00370E87">
            <w:pPr>
              <w:keepNext/>
            </w:pPr>
          </w:p>
        </w:tc>
        <w:tc>
          <w:tcPr>
            <w:tcW w:w="772" w:type="dxa"/>
            <w:noWrap/>
            <w:vAlign w:val="bottom"/>
            <w:hideMark/>
          </w:tcPr>
          <w:p w:rsidR="00370E87" w:rsidRDefault="00370E87" w:rsidP="00370E87">
            <w:pPr>
              <w:keepNext/>
            </w:pPr>
          </w:p>
        </w:tc>
        <w:tc>
          <w:tcPr>
            <w:tcW w:w="672" w:type="dxa"/>
            <w:noWrap/>
            <w:vAlign w:val="bottom"/>
            <w:hideMark/>
          </w:tcPr>
          <w:p w:rsidR="00370E87" w:rsidRDefault="00370E87" w:rsidP="00370E87">
            <w:pPr>
              <w:keepNext/>
            </w:pPr>
          </w:p>
        </w:tc>
        <w:tc>
          <w:tcPr>
            <w:tcW w:w="672" w:type="dxa"/>
            <w:noWrap/>
            <w:vAlign w:val="bottom"/>
            <w:hideMark/>
          </w:tcPr>
          <w:p w:rsidR="00370E87" w:rsidRDefault="00370E87" w:rsidP="00370E87">
            <w:pPr>
              <w:keepNext/>
            </w:pPr>
          </w:p>
        </w:tc>
        <w:tc>
          <w:tcPr>
            <w:tcW w:w="672" w:type="dxa"/>
            <w:noWrap/>
            <w:vAlign w:val="bottom"/>
            <w:hideMark/>
          </w:tcPr>
          <w:p w:rsidR="00370E87" w:rsidRDefault="00370E87" w:rsidP="00370E87">
            <w:pPr>
              <w:keepNext/>
            </w:pPr>
          </w:p>
        </w:tc>
        <w:tc>
          <w:tcPr>
            <w:tcW w:w="872" w:type="dxa"/>
            <w:noWrap/>
            <w:vAlign w:val="bottom"/>
            <w:hideMark/>
          </w:tcPr>
          <w:p w:rsidR="00370E87" w:rsidRDefault="00370E87" w:rsidP="00370E87">
            <w:pPr>
              <w:keepNext/>
            </w:pPr>
          </w:p>
        </w:tc>
      </w:tr>
      <w:tr w:rsidR="00370E87" w:rsidTr="00370E87">
        <w:trPr>
          <w:trHeight w:val="315"/>
        </w:trPr>
        <w:tc>
          <w:tcPr>
            <w:tcW w:w="3164" w:type="dxa"/>
            <w:gridSpan w:val="2"/>
            <w:noWrap/>
            <w:vAlign w:val="bottom"/>
            <w:hideMark/>
          </w:tcPr>
          <w:p w:rsidR="00370E87" w:rsidRDefault="00370E87" w:rsidP="00370E87">
            <w:pPr>
              <w:keepNext/>
              <w:keepLines/>
              <w:tabs>
                <w:tab w:val="left" w:pos="567"/>
              </w:tabs>
              <w:spacing w:after="80" w:line="320" w:lineRule="atLeast"/>
              <w:ind w:left="193" w:hanging="142"/>
              <w:rPr>
                <w:sz w:val="20"/>
                <w:szCs w:val="20"/>
                <w:lang w:eastAsia="en-AU"/>
              </w:rPr>
            </w:pPr>
            <w:r>
              <w:rPr>
                <w:sz w:val="20"/>
                <w:szCs w:val="20"/>
                <w:lang w:eastAsia="en-AU"/>
              </w:rPr>
              <w:t>Difference from 2016 Update</w:t>
            </w:r>
          </w:p>
        </w:tc>
        <w:tc>
          <w:tcPr>
            <w:tcW w:w="832" w:type="dxa"/>
            <w:vAlign w:val="bottom"/>
            <w:hideMark/>
          </w:tcPr>
          <w:p w:rsidR="00370E87" w:rsidRDefault="00370E87" w:rsidP="00370E87">
            <w:pPr>
              <w:keepNext/>
            </w:pPr>
          </w:p>
        </w:tc>
        <w:tc>
          <w:tcPr>
            <w:tcW w:w="772" w:type="dxa"/>
            <w:vAlign w:val="bottom"/>
            <w:hideMark/>
          </w:tcPr>
          <w:p w:rsidR="00370E87" w:rsidRDefault="00370E87" w:rsidP="00370E87">
            <w:pPr>
              <w:keepNext/>
            </w:pPr>
          </w:p>
        </w:tc>
        <w:tc>
          <w:tcPr>
            <w:tcW w:w="832" w:type="dxa"/>
            <w:vAlign w:val="bottom"/>
            <w:hideMark/>
          </w:tcPr>
          <w:p w:rsidR="00370E87" w:rsidRDefault="00370E87" w:rsidP="00370E87">
            <w:pPr>
              <w:keepNext/>
            </w:pPr>
          </w:p>
        </w:tc>
        <w:tc>
          <w:tcPr>
            <w:tcW w:w="772" w:type="dxa"/>
            <w:vAlign w:val="bottom"/>
            <w:hideMark/>
          </w:tcPr>
          <w:p w:rsidR="00370E87" w:rsidRDefault="00370E87" w:rsidP="00370E87">
            <w:pPr>
              <w:keepNext/>
            </w:pPr>
          </w:p>
        </w:tc>
        <w:tc>
          <w:tcPr>
            <w:tcW w:w="672" w:type="dxa"/>
            <w:vAlign w:val="bottom"/>
            <w:hideMark/>
          </w:tcPr>
          <w:p w:rsidR="00370E87" w:rsidRDefault="00370E87" w:rsidP="00370E87">
            <w:pPr>
              <w:keepNext/>
            </w:pPr>
          </w:p>
        </w:tc>
        <w:tc>
          <w:tcPr>
            <w:tcW w:w="672" w:type="dxa"/>
            <w:vAlign w:val="bottom"/>
            <w:hideMark/>
          </w:tcPr>
          <w:p w:rsidR="00370E87" w:rsidRDefault="00370E87" w:rsidP="00370E87">
            <w:pPr>
              <w:keepNext/>
            </w:pPr>
          </w:p>
        </w:tc>
        <w:tc>
          <w:tcPr>
            <w:tcW w:w="672" w:type="dxa"/>
            <w:vAlign w:val="bottom"/>
            <w:hideMark/>
          </w:tcPr>
          <w:p w:rsidR="00370E87" w:rsidRDefault="00370E87" w:rsidP="00370E87">
            <w:pPr>
              <w:keepNext/>
            </w:pPr>
          </w:p>
        </w:tc>
        <w:tc>
          <w:tcPr>
            <w:tcW w:w="872" w:type="dxa"/>
            <w:vAlign w:val="bottom"/>
            <w:hideMark/>
          </w:tcPr>
          <w:p w:rsidR="00370E87" w:rsidRDefault="00370E87" w:rsidP="00370E87">
            <w:pPr>
              <w:keepNext/>
            </w:pPr>
          </w:p>
        </w:tc>
      </w:tr>
      <w:tr w:rsidR="00370E87" w:rsidTr="00370E87">
        <w:trPr>
          <w:trHeight w:val="555"/>
        </w:trPr>
        <w:tc>
          <w:tcPr>
            <w:tcW w:w="2332" w:type="dxa"/>
            <w:vAlign w:val="bottom"/>
            <w:hideMark/>
          </w:tcPr>
          <w:p w:rsidR="00370E87" w:rsidRDefault="00370E87" w:rsidP="00370E87">
            <w:pPr>
              <w:keepNext/>
              <w:keepLines/>
              <w:tabs>
                <w:tab w:val="left" w:pos="567"/>
              </w:tabs>
              <w:spacing w:after="80" w:line="320" w:lineRule="atLeast"/>
              <w:ind w:left="193" w:firstLineChars="100" w:firstLine="200"/>
              <w:rPr>
                <w:sz w:val="20"/>
                <w:szCs w:val="20"/>
                <w:lang w:eastAsia="en-AU"/>
              </w:rPr>
            </w:pPr>
            <w:r>
              <w:rPr>
                <w:sz w:val="20"/>
                <w:szCs w:val="20"/>
                <w:lang w:eastAsia="en-AU"/>
              </w:rPr>
              <w:t xml:space="preserve">2009 in first two years   </w:t>
            </w:r>
            <w:r>
              <w:rPr>
                <w:sz w:val="20"/>
                <w:szCs w:val="20"/>
                <w:lang w:eastAsia="en-AU"/>
              </w:rPr>
              <w:br/>
              <w:t xml:space="preserve">       and 2016 in last year</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-193</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26</w:t>
            </w:r>
          </w:p>
        </w:tc>
        <w:tc>
          <w:tcPr>
            <w:tcW w:w="7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125</w:t>
            </w:r>
          </w:p>
        </w:tc>
        <w:tc>
          <w:tcPr>
            <w:tcW w:w="83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33</w:t>
            </w:r>
          </w:p>
        </w:tc>
        <w:tc>
          <w:tcPr>
            <w:tcW w:w="7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7</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0</w:t>
            </w:r>
          </w:p>
        </w:tc>
        <w:tc>
          <w:tcPr>
            <w:tcW w:w="6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w:t>
            </w:r>
          </w:p>
        </w:tc>
        <w:tc>
          <w:tcPr>
            <w:tcW w:w="872" w:type="dxa"/>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194</w:t>
            </w:r>
          </w:p>
        </w:tc>
      </w:tr>
      <w:tr w:rsidR="00370E87" w:rsidTr="00370E87">
        <w:trPr>
          <w:trHeight w:val="315"/>
        </w:trPr>
        <w:tc>
          <w:tcPr>
            <w:tcW w:w="2332" w:type="dxa"/>
            <w:noWrap/>
            <w:vAlign w:val="bottom"/>
            <w:hideMark/>
          </w:tcPr>
          <w:p w:rsidR="00370E87" w:rsidRDefault="00370E87" w:rsidP="00370E87">
            <w:pPr>
              <w:keepNext/>
              <w:keepLines/>
              <w:tabs>
                <w:tab w:val="left" w:pos="567"/>
              </w:tabs>
              <w:spacing w:after="80" w:line="320" w:lineRule="atLeast"/>
              <w:ind w:left="193" w:firstLineChars="100" w:firstLine="200"/>
              <w:rPr>
                <w:sz w:val="20"/>
                <w:szCs w:val="20"/>
                <w:lang w:eastAsia="en-AU"/>
              </w:rPr>
            </w:pPr>
            <w:r>
              <w:rPr>
                <w:sz w:val="20"/>
                <w:szCs w:val="20"/>
                <w:lang w:eastAsia="en-AU"/>
              </w:rPr>
              <w:t>2016 distribution only</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-279</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-45</w:t>
            </w:r>
          </w:p>
        </w:tc>
        <w:tc>
          <w:tcPr>
            <w:tcW w:w="7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335</w:t>
            </w:r>
          </w:p>
        </w:tc>
        <w:tc>
          <w:tcPr>
            <w:tcW w:w="83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-8</w:t>
            </w:r>
          </w:p>
        </w:tc>
        <w:tc>
          <w:tcPr>
            <w:tcW w:w="7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w:t>
            </w:r>
          </w:p>
        </w:tc>
        <w:tc>
          <w:tcPr>
            <w:tcW w:w="6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0</w:t>
            </w:r>
          </w:p>
        </w:tc>
        <w:tc>
          <w:tcPr>
            <w:tcW w:w="872" w:type="dxa"/>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336</w:t>
            </w:r>
          </w:p>
        </w:tc>
      </w:tr>
      <w:tr w:rsidR="00370E87" w:rsidTr="00370E87">
        <w:trPr>
          <w:trHeight w:val="315"/>
        </w:trPr>
        <w:tc>
          <w:tcPr>
            <w:tcW w:w="233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firstLineChars="100" w:firstLine="200"/>
              <w:rPr>
                <w:sz w:val="20"/>
                <w:szCs w:val="20"/>
                <w:lang w:eastAsia="en-AU"/>
              </w:rPr>
            </w:pPr>
            <w:r>
              <w:rPr>
                <w:sz w:val="20"/>
                <w:szCs w:val="20"/>
                <w:lang w:eastAsia="en-AU"/>
              </w:rPr>
              <w:t>Transition</w:t>
            </w:r>
          </w:p>
        </w:tc>
        <w:tc>
          <w:tcPr>
            <w:tcW w:w="83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-257</w:t>
            </w:r>
          </w:p>
        </w:tc>
        <w:tc>
          <w:tcPr>
            <w:tcW w:w="83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-26</w:t>
            </w:r>
          </w:p>
        </w:tc>
        <w:tc>
          <w:tcPr>
            <w:tcW w:w="77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281</w:t>
            </w:r>
          </w:p>
        </w:tc>
        <w:tc>
          <w:tcPr>
            <w:tcW w:w="83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3</w:t>
            </w:r>
          </w:p>
        </w:tc>
        <w:tc>
          <w:tcPr>
            <w:tcW w:w="77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w:t>
            </w:r>
          </w:p>
        </w:tc>
        <w:tc>
          <w:tcPr>
            <w:tcW w:w="67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w:t>
            </w:r>
          </w:p>
        </w:tc>
        <w:tc>
          <w:tcPr>
            <w:tcW w:w="67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-1</w:t>
            </w:r>
          </w:p>
        </w:tc>
        <w:tc>
          <w:tcPr>
            <w:tcW w:w="67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0</w:t>
            </w:r>
          </w:p>
        </w:tc>
        <w:tc>
          <w:tcPr>
            <w:tcW w:w="872" w:type="dxa"/>
            <w:tcBorders>
              <w:top w:val="nil"/>
              <w:left w:val="nil"/>
              <w:bottom w:val="single" w:sz="4" w:space="0" w:color="auto"/>
              <w:right w:val="nil"/>
            </w:tcBorders>
            <w:noWrap/>
            <w:vAlign w:val="bottom"/>
            <w:hideMark/>
          </w:tcPr>
          <w:p w:rsidR="00370E87" w:rsidRDefault="00370E87" w:rsidP="00370E87">
            <w:pPr>
              <w:keepNext/>
              <w:keepLines/>
              <w:tabs>
                <w:tab w:val="left" w:pos="567"/>
              </w:tabs>
              <w:spacing w:after="80" w:line="320" w:lineRule="atLeast"/>
              <w:ind w:left="193" w:hanging="142"/>
              <w:jc w:val="right"/>
              <w:rPr>
                <w:sz w:val="20"/>
                <w:szCs w:val="20"/>
                <w:lang w:eastAsia="en-AU"/>
              </w:rPr>
            </w:pPr>
            <w:r>
              <w:rPr>
                <w:sz w:val="20"/>
                <w:szCs w:val="20"/>
                <w:lang w:eastAsia="en-AU"/>
              </w:rPr>
              <w:t>286</w:t>
            </w:r>
          </w:p>
        </w:tc>
      </w:tr>
    </w:tbl>
    <w:p w:rsidR="00370E87" w:rsidRDefault="00370E87" w:rsidP="00370E87">
      <w:pPr>
        <w:pStyle w:val="CGCTableFootnote"/>
        <w:keepNext/>
        <w:rPr>
          <w:sz w:val="24"/>
        </w:rPr>
      </w:pPr>
      <w:r>
        <w:t>(a) This is the 2016 Update redistribution indexed forward by the change in the GST pool and population</w:t>
      </w:r>
    </w:p>
    <w:p w:rsidR="00370E87" w:rsidRDefault="00370E87" w:rsidP="00370E87">
      <w:pPr>
        <w:pStyle w:val="CGCTableFootnote"/>
        <w:keepNext/>
      </w:pPr>
      <w:proofErr w:type="gramStart"/>
      <w:r>
        <w:t>between</w:t>
      </w:r>
      <w:proofErr w:type="gramEnd"/>
      <w:r>
        <w:t xml:space="preserve"> 2016</w:t>
      </w:r>
      <w:r>
        <w:noBreakHyphen/>
        <w:t>17 and 2017</w:t>
      </w:r>
      <w:r>
        <w:noBreakHyphen/>
        <w:t>18.</w:t>
      </w:r>
    </w:p>
    <w:p w:rsidR="00370E87" w:rsidRDefault="00370E87" w:rsidP="00370E87">
      <w:pPr>
        <w:pStyle w:val="CGCTableFootnote"/>
        <w:keepNext/>
      </w:pPr>
      <w:r>
        <w:t>Source: Commission calculation.</w:t>
      </w:r>
    </w:p>
    <w:p w:rsidR="00370E87" w:rsidRDefault="00370E87" w:rsidP="00370E87">
      <w:pPr>
        <w:pStyle w:val="NoSpacing"/>
      </w:pPr>
    </w:p>
    <w:sectPr w:rsidR="00370E87" w:rsidSect="0004123E">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E87" w:rsidRDefault="00370E87">
      <w:r>
        <w:separator/>
      </w:r>
    </w:p>
  </w:endnote>
  <w:endnote w:type="continuationSeparator" w:id="0">
    <w:p w:rsidR="00370E87" w:rsidRDefault="0037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31" w:rsidRDefault="00E22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E22131" w:rsidRDefault="00AB1A13" w:rsidP="00E22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31" w:rsidRDefault="00E22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E87" w:rsidRDefault="00370E87">
      <w:r>
        <w:separator/>
      </w:r>
    </w:p>
  </w:footnote>
  <w:footnote w:type="continuationSeparator" w:id="0">
    <w:p w:rsidR="00370E87" w:rsidRDefault="00370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31" w:rsidRDefault="00E22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31" w:rsidRDefault="00E22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31" w:rsidRDefault="00E22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87"/>
    <w:rsid w:val="00016FE0"/>
    <w:rsid w:val="00022EA9"/>
    <w:rsid w:val="00024745"/>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4C2"/>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1745"/>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97B15"/>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1DC9"/>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4200"/>
    <w:rsid w:val="0035580D"/>
    <w:rsid w:val="003639FB"/>
    <w:rsid w:val="00363BF7"/>
    <w:rsid w:val="00370E8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C573A"/>
    <w:rsid w:val="004E769A"/>
    <w:rsid w:val="00500ACD"/>
    <w:rsid w:val="00504061"/>
    <w:rsid w:val="00505BAE"/>
    <w:rsid w:val="00506956"/>
    <w:rsid w:val="00515380"/>
    <w:rsid w:val="005176CA"/>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D5B6D"/>
    <w:rsid w:val="005E266F"/>
    <w:rsid w:val="005E5734"/>
    <w:rsid w:val="005E73CE"/>
    <w:rsid w:val="005F07DC"/>
    <w:rsid w:val="005F64FB"/>
    <w:rsid w:val="0060251E"/>
    <w:rsid w:val="00602DDE"/>
    <w:rsid w:val="00611737"/>
    <w:rsid w:val="00614DE8"/>
    <w:rsid w:val="00622669"/>
    <w:rsid w:val="00622FE1"/>
    <w:rsid w:val="00625CE5"/>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76C5E"/>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3D82"/>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363FF"/>
    <w:rsid w:val="00C41C84"/>
    <w:rsid w:val="00C5304A"/>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30FB1"/>
    <w:rsid w:val="00D43096"/>
    <w:rsid w:val="00D46AB2"/>
    <w:rsid w:val="00D47815"/>
    <w:rsid w:val="00D656EB"/>
    <w:rsid w:val="00D771FD"/>
    <w:rsid w:val="00D7796D"/>
    <w:rsid w:val="00D81B18"/>
    <w:rsid w:val="00D83541"/>
    <w:rsid w:val="00D863CD"/>
    <w:rsid w:val="00D93A16"/>
    <w:rsid w:val="00D9496D"/>
    <w:rsid w:val="00DA0768"/>
    <w:rsid w:val="00DA161A"/>
    <w:rsid w:val="00DA2975"/>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131"/>
    <w:rsid w:val="00E22665"/>
    <w:rsid w:val="00E30499"/>
    <w:rsid w:val="00E30B51"/>
    <w:rsid w:val="00E324BB"/>
    <w:rsid w:val="00E377E8"/>
    <w:rsid w:val="00E43464"/>
    <w:rsid w:val="00E47A69"/>
    <w:rsid w:val="00E571BB"/>
    <w:rsid w:val="00E7435A"/>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805"/>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footnote text" w:uiPriority="99"/>
    <w:lsdException w:name="header" w:uiPriority="99"/>
    <w:lsdException w:name="footer" w:uiPriority="99"/>
    <w:lsdException w:name="caption" w:qFormat="1"/>
    <w:lsdException w:name="footnote reference" w:uiPriority="99" w:qFormat="1"/>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0E87"/>
    <w:pPr>
      <w:spacing w:after="0" w:line="240" w:lineRule="auto"/>
    </w:pPr>
    <w:rPr>
      <w:rFonts w:ascii="Calibri" w:eastAsia="Times New Roman" w:hAnsi="Calibri" w:cs="Times New Roman"/>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spacing w:before="300" w:after="40"/>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rPr>
      <w:rFonts w:ascii="Tahoma" w:hAnsi="Tahoma" w:cs="Tahoma"/>
      <w:sz w:val="16"/>
      <w:szCs w:val="16"/>
    </w:rPr>
  </w:style>
  <w:style w:type="paragraph" w:styleId="Caption">
    <w:name w:val="caption"/>
    <w:basedOn w:val="Normal"/>
    <w:next w:val="Normal"/>
    <w:link w:val="CaptionChar"/>
    <w:qFormat/>
    <w:rsid w:val="00622669"/>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spacing w:before="120" w:after="120"/>
      <w:ind w:left="1134" w:right="1134"/>
    </w:pPr>
    <w:rPr>
      <w:szCs w:val="24"/>
    </w:rPr>
  </w:style>
  <w:style w:type="paragraph" w:customStyle="1" w:styleId="CGCSubbulletlist">
    <w:name w:val="CGC Sub bullet list"/>
    <w:aliases w:val="CGC List 2"/>
    <w:basedOn w:val="Normal"/>
    <w:qFormat/>
    <w:rsid w:val="00C21EF9"/>
    <w:pPr>
      <w:numPr>
        <w:numId w:val="39"/>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left" w:pos="1420"/>
      </w:tabs>
      <w:spacing w:before="240" w:after="120"/>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enter" w:pos="4513"/>
        <w:tab w:val="right" w:pos="9026"/>
      </w:tabs>
    </w:pPr>
  </w:style>
  <w:style w:type="character" w:styleId="FootnoteReference">
    <w:name w:val="footnote reference"/>
    <w:basedOn w:val="DefaultParagraphFont"/>
    <w:uiPriority w:val="99"/>
    <w:qFormat/>
    <w:rsid w:val="00765BA8"/>
    <w:rPr>
      <w:vertAlign w:val="superscript"/>
    </w:rPr>
  </w:style>
  <w:style w:type="paragraph" w:styleId="FootnoteText">
    <w:name w:val="footnote text"/>
    <w:basedOn w:val="Normal"/>
    <w:link w:val="FootnoteTextChar"/>
    <w:uiPriority w:val="99"/>
    <w:rsid w:val="00622669"/>
    <w:pPr>
      <w:ind w:left="567" w:hanging="567"/>
    </w:pPr>
    <w:rPr>
      <w:sz w:val="20"/>
      <w:szCs w:val="20"/>
    </w:rPr>
  </w:style>
  <w:style w:type="paragraph" w:styleId="Header">
    <w:name w:val="header"/>
    <w:basedOn w:val="Normal"/>
    <w:link w:val="HeaderChar"/>
    <w:uiPriority w:val="99"/>
    <w:unhideWhenUsed/>
    <w:rsid w:val="00622669"/>
    <w:pPr>
      <w:tabs>
        <w:tab w:val="center" w:pos="4513"/>
        <w:tab w:val="right" w:pos="9026"/>
      </w:tabs>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uiPriority w:val="99"/>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370E87"/>
    <w:rPr>
      <w:sz w:val="24"/>
      <w:szCs w:val="20"/>
    </w:rPr>
  </w:style>
  <w:style w:type="character" w:customStyle="1" w:styleId="CGCTableFootnoteChar">
    <w:name w:val="CGC Table Footnote Char"/>
    <w:basedOn w:val="DefaultParagraphFont"/>
    <w:link w:val="CGCTableFootnote"/>
    <w:locked/>
    <w:rsid w:val="00370E87"/>
    <w:rPr>
      <w:sz w:val="20"/>
      <w:szCs w:val="24"/>
    </w:rPr>
  </w:style>
  <w:style w:type="character" w:customStyle="1" w:styleId="CGCTableHeadingChar">
    <w:name w:val="CGC Table Heading Char"/>
    <w:basedOn w:val="DefaultParagraphFont"/>
    <w:link w:val="CGCTableHeading"/>
    <w:locked/>
    <w:rsid w:val="00370E87"/>
    <w:rPr>
      <w:b/>
      <w:sz w:val="24"/>
      <w:szCs w:val="20"/>
    </w:rPr>
  </w:style>
  <w:style w:type="character" w:customStyle="1" w:styleId="TableRowNormalChar">
    <w:name w:val="TableRowNormal Char"/>
    <w:basedOn w:val="DefaultParagraphFont"/>
    <w:link w:val="TableRowNormal"/>
    <w:locked/>
    <w:rsid w:val="00370E87"/>
    <w:rPr>
      <w:sz w:val="20"/>
      <w:szCs w:val="20"/>
    </w:rPr>
  </w:style>
  <w:style w:type="character" w:customStyle="1" w:styleId="CGCTableStubChar">
    <w:name w:val="CGC Table Stub Char"/>
    <w:basedOn w:val="TableRowNormalChar"/>
    <w:link w:val="CGCTableStub"/>
    <w:locked/>
    <w:rsid w:val="00370E8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footnote text" w:uiPriority="99"/>
    <w:lsdException w:name="header" w:uiPriority="99"/>
    <w:lsdException w:name="footer" w:uiPriority="99"/>
    <w:lsdException w:name="caption" w:qFormat="1"/>
    <w:lsdException w:name="footnote reference" w:uiPriority="99" w:qFormat="1"/>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0E87"/>
    <w:pPr>
      <w:spacing w:after="0" w:line="240" w:lineRule="auto"/>
    </w:pPr>
    <w:rPr>
      <w:rFonts w:ascii="Calibri" w:eastAsia="Times New Roman" w:hAnsi="Calibri" w:cs="Times New Roman"/>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spacing w:before="300" w:after="40"/>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rPr>
      <w:rFonts w:ascii="Tahoma" w:hAnsi="Tahoma" w:cs="Tahoma"/>
      <w:sz w:val="16"/>
      <w:szCs w:val="16"/>
    </w:rPr>
  </w:style>
  <w:style w:type="paragraph" w:styleId="Caption">
    <w:name w:val="caption"/>
    <w:basedOn w:val="Normal"/>
    <w:next w:val="Normal"/>
    <w:link w:val="CaptionChar"/>
    <w:qFormat/>
    <w:rsid w:val="00622669"/>
    <w:pPr>
      <w:keepNext/>
      <w:keepLines/>
      <w:tabs>
        <w:tab w:val="left" w:pos="1418"/>
      </w:tabs>
      <w:spacing w:before="240" w:after="120"/>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spacing w:before="120" w:after="120"/>
      <w:ind w:left="1134" w:right="1134"/>
    </w:pPr>
    <w:rPr>
      <w:szCs w:val="24"/>
    </w:rPr>
  </w:style>
  <w:style w:type="paragraph" w:customStyle="1" w:styleId="CGCSubbulletlist">
    <w:name w:val="CGC Sub bullet list"/>
    <w:aliases w:val="CGC List 2"/>
    <w:basedOn w:val="Normal"/>
    <w:qFormat/>
    <w:rsid w:val="00C21EF9"/>
    <w:pPr>
      <w:numPr>
        <w:numId w:val="39"/>
      </w:numPr>
      <w:tabs>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left" w:pos="1420"/>
      </w:tabs>
      <w:spacing w:before="240" w:after="120"/>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enter" w:pos="4513"/>
        <w:tab w:val="right" w:pos="9026"/>
      </w:tabs>
    </w:pPr>
  </w:style>
  <w:style w:type="character" w:styleId="FootnoteReference">
    <w:name w:val="footnote reference"/>
    <w:basedOn w:val="DefaultParagraphFont"/>
    <w:uiPriority w:val="99"/>
    <w:qFormat/>
    <w:rsid w:val="00765BA8"/>
    <w:rPr>
      <w:vertAlign w:val="superscript"/>
    </w:rPr>
  </w:style>
  <w:style w:type="paragraph" w:styleId="FootnoteText">
    <w:name w:val="footnote text"/>
    <w:basedOn w:val="Normal"/>
    <w:link w:val="FootnoteTextChar"/>
    <w:uiPriority w:val="99"/>
    <w:rsid w:val="00622669"/>
    <w:pPr>
      <w:ind w:left="567" w:hanging="567"/>
    </w:pPr>
    <w:rPr>
      <w:sz w:val="20"/>
      <w:szCs w:val="20"/>
    </w:rPr>
  </w:style>
  <w:style w:type="paragraph" w:styleId="Header">
    <w:name w:val="header"/>
    <w:basedOn w:val="Normal"/>
    <w:link w:val="HeaderChar"/>
    <w:uiPriority w:val="99"/>
    <w:unhideWhenUsed/>
    <w:rsid w:val="00622669"/>
    <w:pPr>
      <w:tabs>
        <w:tab w:val="center" w:pos="4513"/>
        <w:tab w:val="right" w:pos="9026"/>
      </w:tabs>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ind w:left="220" w:hanging="220"/>
    </w:pPr>
  </w:style>
  <w:style w:type="paragraph" w:styleId="TableofFigures">
    <w:name w:val="table of figures"/>
    <w:basedOn w:val="Normal"/>
    <w:next w:val="Normal"/>
    <w:rsid w:val="00765BA8"/>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right" w:pos="8942"/>
      </w:tabs>
      <w:spacing w:before="120" w:after="120"/>
    </w:pPr>
    <w:rPr>
      <w:b/>
      <w:bCs/>
      <w:caps/>
      <w:szCs w:val="20"/>
    </w:rPr>
  </w:style>
  <w:style w:type="paragraph" w:styleId="TOC2">
    <w:name w:val="toc 2"/>
    <w:basedOn w:val="Normal"/>
    <w:next w:val="Normal"/>
    <w:rsid w:val="006A72B0"/>
    <w:pPr>
      <w:tabs>
        <w:tab w:val="right" w:pos="8942"/>
      </w:tabs>
      <w:ind w:left="851"/>
    </w:pPr>
    <w:rPr>
      <w:szCs w:val="20"/>
    </w:rPr>
  </w:style>
  <w:style w:type="paragraph" w:styleId="TOC3">
    <w:name w:val="toc 3"/>
    <w:basedOn w:val="Normal"/>
    <w:next w:val="Normal"/>
    <w:rsid w:val="00996409"/>
    <w:pPr>
      <w:tabs>
        <w:tab w:val="right" w:pos="8942"/>
      </w:tabs>
      <w:ind w:left="567"/>
    </w:pPr>
    <w:rPr>
      <w:iCs/>
      <w:caps/>
    </w:rPr>
  </w:style>
  <w:style w:type="paragraph" w:styleId="TOC4">
    <w:name w:val="toc 4"/>
    <w:basedOn w:val="Normal"/>
    <w:next w:val="Normal"/>
    <w:rsid w:val="00996409"/>
    <w:pPr>
      <w:tabs>
        <w:tab w:val="right" w:pos="8942"/>
      </w:tabs>
      <w:ind w:left="1134"/>
    </w:pPr>
  </w:style>
  <w:style w:type="paragraph" w:styleId="TOC5">
    <w:name w:val="toc 5"/>
    <w:basedOn w:val="Normal"/>
    <w:next w:val="Normal"/>
    <w:rsid w:val="00765BA8"/>
    <w:pPr>
      <w:ind w:left="1701"/>
    </w:pPr>
    <w:rPr>
      <w:sz w:val="18"/>
      <w:szCs w:val="18"/>
    </w:rPr>
  </w:style>
  <w:style w:type="paragraph" w:styleId="TOC6">
    <w:name w:val="toc 6"/>
    <w:basedOn w:val="Normal"/>
    <w:next w:val="Normal"/>
    <w:rsid w:val="00765BA8"/>
    <w:pPr>
      <w:ind w:left="1100"/>
    </w:pPr>
    <w:rPr>
      <w:sz w:val="18"/>
      <w:szCs w:val="18"/>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uiPriority w:val="99"/>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370E87"/>
    <w:rPr>
      <w:sz w:val="24"/>
      <w:szCs w:val="20"/>
    </w:rPr>
  </w:style>
  <w:style w:type="character" w:customStyle="1" w:styleId="CGCTableFootnoteChar">
    <w:name w:val="CGC Table Footnote Char"/>
    <w:basedOn w:val="DefaultParagraphFont"/>
    <w:link w:val="CGCTableFootnote"/>
    <w:locked/>
    <w:rsid w:val="00370E87"/>
    <w:rPr>
      <w:sz w:val="20"/>
      <w:szCs w:val="24"/>
    </w:rPr>
  </w:style>
  <w:style w:type="character" w:customStyle="1" w:styleId="CGCTableHeadingChar">
    <w:name w:val="CGC Table Heading Char"/>
    <w:basedOn w:val="DefaultParagraphFont"/>
    <w:link w:val="CGCTableHeading"/>
    <w:locked/>
    <w:rsid w:val="00370E87"/>
    <w:rPr>
      <w:b/>
      <w:sz w:val="24"/>
      <w:szCs w:val="20"/>
    </w:rPr>
  </w:style>
  <w:style w:type="character" w:customStyle="1" w:styleId="TableRowNormalChar">
    <w:name w:val="TableRowNormal Char"/>
    <w:basedOn w:val="DefaultParagraphFont"/>
    <w:link w:val="TableRowNormal"/>
    <w:locked/>
    <w:rsid w:val="00370E87"/>
    <w:rPr>
      <w:sz w:val="20"/>
      <w:szCs w:val="20"/>
    </w:rPr>
  </w:style>
  <w:style w:type="character" w:customStyle="1" w:styleId="CGCTableStubChar">
    <w:name w:val="CGC Table Stub Char"/>
    <w:basedOn w:val="TableRowNormalChar"/>
    <w:link w:val="CGCTableStub"/>
    <w:locked/>
    <w:rsid w:val="00370E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9656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creativecommons.org/licenses/by/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secretary@cgc.gov.a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jeffrey.evans@cgc.gov.au"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1290</Words>
  <Characters>6884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2017-01-31T01:54:00Z</dcterms:created>
  <dcterms:modified xsi:type="dcterms:W3CDTF">2017-01-31T01:54:00Z</dcterms:modified>
</cp:coreProperties>
</file>