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E1" w:rsidRDefault="00656DE1" w:rsidP="00656DE1">
      <w:pPr>
        <w:pStyle w:val="Heading3"/>
      </w:pPr>
      <w:bookmarkStart w:id="0" w:name="_GoBack"/>
      <w:bookmarkEnd w:id="0"/>
      <w:r>
        <w:t>Independent Hospital Pricing Authority (IHPA) data</w:t>
      </w:r>
    </w:p>
    <w:p w:rsidR="00557112" w:rsidRDefault="00557112" w:rsidP="00E91376">
      <w:pPr>
        <w:pStyle w:val="Heading4"/>
        <w:spacing w:before="120" w:afterLines="80" w:after="192" w:line="320" w:lineRule="atLeast"/>
      </w:pPr>
      <w:r>
        <w:t>Introduction</w:t>
      </w:r>
    </w:p>
    <w:p w:rsidR="00250E7D" w:rsidRDefault="002B4266" w:rsidP="00A077D8">
      <w:pPr>
        <w:pStyle w:val="CGCNumberedPara"/>
        <w:spacing w:afterLines="80" w:after="192" w:line="320" w:lineRule="atLeast"/>
        <w:rPr>
          <w:sz w:val="24"/>
        </w:rPr>
      </w:pPr>
      <w:r w:rsidRPr="00250E7D">
        <w:rPr>
          <w:sz w:val="24"/>
        </w:rPr>
        <w:t xml:space="preserve">After </w:t>
      </w:r>
      <w:r w:rsidR="00317C20" w:rsidRPr="00250E7D">
        <w:rPr>
          <w:sz w:val="24"/>
        </w:rPr>
        <w:t xml:space="preserve">the new issues paper </w:t>
      </w:r>
      <w:r w:rsidR="00DF26FF">
        <w:rPr>
          <w:sz w:val="24"/>
        </w:rPr>
        <w:t xml:space="preserve">was </w:t>
      </w:r>
      <w:r w:rsidR="00317C20" w:rsidRPr="00250E7D">
        <w:rPr>
          <w:sz w:val="24"/>
        </w:rPr>
        <w:t xml:space="preserve">released to States, </w:t>
      </w:r>
      <w:r w:rsidR="00927440" w:rsidRPr="00250E7D">
        <w:rPr>
          <w:sz w:val="24"/>
        </w:rPr>
        <w:t xml:space="preserve">Commission </w:t>
      </w:r>
      <w:proofErr w:type="gramStart"/>
      <w:r w:rsidR="00927440" w:rsidRPr="00250E7D">
        <w:rPr>
          <w:sz w:val="24"/>
        </w:rPr>
        <w:t>staff were</w:t>
      </w:r>
      <w:proofErr w:type="gramEnd"/>
      <w:r w:rsidR="00927440" w:rsidRPr="00250E7D">
        <w:rPr>
          <w:sz w:val="24"/>
        </w:rPr>
        <w:t xml:space="preserve"> advised by the Independent Hospital Pricing Authority (IHPA) </w:t>
      </w:r>
      <w:r w:rsidR="00317C20" w:rsidRPr="00250E7D">
        <w:rPr>
          <w:sz w:val="24"/>
        </w:rPr>
        <w:t>that</w:t>
      </w:r>
      <w:r w:rsidR="000E5987" w:rsidRPr="00250E7D">
        <w:rPr>
          <w:sz w:val="24"/>
        </w:rPr>
        <w:t xml:space="preserve"> Public Hospitals Establishment (PHE) emergency departments (ED) data would </w:t>
      </w:r>
      <w:r w:rsidR="00BB7D5F">
        <w:rPr>
          <w:sz w:val="24"/>
        </w:rPr>
        <w:t>not be</w:t>
      </w:r>
      <w:r w:rsidR="000E5987" w:rsidRPr="00250E7D">
        <w:rPr>
          <w:sz w:val="24"/>
        </w:rPr>
        <w:t xml:space="preserve"> available</w:t>
      </w:r>
      <w:r w:rsidR="005F0368" w:rsidRPr="00250E7D">
        <w:rPr>
          <w:sz w:val="24"/>
        </w:rPr>
        <w:t xml:space="preserve"> from 2014</w:t>
      </w:r>
      <w:r w:rsidR="005F0368" w:rsidRPr="00250E7D">
        <w:rPr>
          <w:sz w:val="24"/>
        </w:rPr>
        <w:noBreakHyphen/>
        <w:t>15</w:t>
      </w:r>
      <w:r w:rsidR="000E5987" w:rsidRPr="00250E7D">
        <w:rPr>
          <w:sz w:val="24"/>
        </w:rPr>
        <w:t>.</w:t>
      </w:r>
      <w:r w:rsidR="005F0368" w:rsidRPr="00250E7D">
        <w:rPr>
          <w:sz w:val="24"/>
        </w:rPr>
        <w:t xml:space="preserve"> </w:t>
      </w:r>
      <w:r w:rsidR="00BB7D5F">
        <w:rPr>
          <w:sz w:val="24"/>
        </w:rPr>
        <w:t>This means that in future</w:t>
      </w:r>
      <w:r w:rsidR="000E5987" w:rsidRPr="00250E7D">
        <w:rPr>
          <w:sz w:val="24"/>
        </w:rPr>
        <w:t xml:space="preserve"> </w:t>
      </w:r>
      <w:r w:rsidR="00317C20" w:rsidRPr="00250E7D">
        <w:rPr>
          <w:sz w:val="24"/>
        </w:rPr>
        <w:t xml:space="preserve">there </w:t>
      </w:r>
      <w:r w:rsidR="00DF26FF">
        <w:rPr>
          <w:sz w:val="24"/>
        </w:rPr>
        <w:t>will be no</w:t>
      </w:r>
      <w:r w:rsidR="00317C20" w:rsidRPr="00250E7D">
        <w:rPr>
          <w:sz w:val="24"/>
        </w:rPr>
        <w:t xml:space="preserve"> change to </w:t>
      </w:r>
      <w:r w:rsidR="00A077D8" w:rsidRPr="00250E7D">
        <w:rPr>
          <w:sz w:val="24"/>
        </w:rPr>
        <w:t xml:space="preserve">between the preliminary and final IHPA </w:t>
      </w:r>
      <w:r w:rsidR="00DF26FF">
        <w:rPr>
          <w:sz w:val="24"/>
        </w:rPr>
        <w:t xml:space="preserve">ED </w:t>
      </w:r>
      <w:r w:rsidR="00A077D8" w:rsidRPr="00250E7D">
        <w:rPr>
          <w:sz w:val="24"/>
        </w:rPr>
        <w:t>data.</w:t>
      </w:r>
      <w:r w:rsidR="00BB7D5F">
        <w:rPr>
          <w:sz w:val="24"/>
        </w:rPr>
        <w:t xml:space="preserve"> </w:t>
      </w:r>
    </w:p>
    <w:p w:rsidR="00637A7F" w:rsidRPr="004F5964" w:rsidRDefault="00DF26FF" w:rsidP="00637A7F">
      <w:pPr>
        <w:pStyle w:val="CGCNumberedPara"/>
        <w:rPr>
          <w:sz w:val="24"/>
        </w:rPr>
      </w:pPr>
      <w:r>
        <w:rPr>
          <w:sz w:val="24"/>
        </w:rPr>
        <w:t xml:space="preserve">A request was sent to States on 11 October 2016 asking for </w:t>
      </w:r>
      <w:r w:rsidR="00637A7F" w:rsidRPr="004F5964">
        <w:rPr>
          <w:sz w:val="24"/>
        </w:rPr>
        <w:t xml:space="preserve">comments </w:t>
      </w:r>
      <w:r w:rsidR="00BB7D5F">
        <w:rPr>
          <w:sz w:val="24"/>
        </w:rPr>
        <w:t xml:space="preserve">on the staff proposal for estimating ED occasions for facilities previously covered by the </w:t>
      </w:r>
      <w:r w:rsidR="00BB7D5F" w:rsidRPr="00250E7D">
        <w:rPr>
          <w:sz w:val="24"/>
        </w:rPr>
        <w:t xml:space="preserve">PHE </w:t>
      </w:r>
      <w:r w:rsidR="00BB7D5F">
        <w:rPr>
          <w:sz w:val="24"/>
        </w:rPr>
        <w:t>collection. Submissions were due on</w:t>
      </w:r>
      <w:r w:rsidR="00637A7F" w:rsidRPr="004F5964">
        <w:rPr>
          <w:sz w:val="24"/>
        </w:rPr>
        <w:t xml:space="preserve"> 9 November 2016</w:t>
      </w:r>
      <w:r>
        <w:rPr>
          <w:sz w:val="24"/>
        </w:rPr>
        <w:t>.</w:t>
      </w:r>
    </w:p>
    <w:p w:rsidR="00F16E9D" w:rsidRDefault="00F16E9D" w:rsidP="000D03E7">
      <w:pPr>
        <w:pStyle w:val="Heading4"/>
        <w:spacing w:before="120" w:after="80" w:line="320" w:lineRule="atLeast"/>
      </w:pPr>
      <w:r>
        <w:t>Background</w:t>
      </w:r>
    </w:p>
    <w:p w:rsidR="00236F32" w:rsidRPr="000E5594" w:rsidRDefault="00236F32" w:rsidP="000D03E7">
      <w:pPr>
        <w:pStyle w:val="CGCNumberedPara"/>
        <w:spacing w:after="80" w:line="320" w:lineRule="atLeast"/>
        <w:rPr>
          <w:sz w:val="24"/>
        </w:rPr>
      </w:pPr>
      <w:r w:rsidRPr="000E5594">
        <w:rPr>
          <w:sz w:val="24"/>
        </w:rPr>
        <w:t xml:space="preserve">In the new issues paper released to States on 30 June 2016, </w:t>
      </w:r>
      <w:r w:rsidR="00050794" w:rsidRPr="000E5594">
        <w:rPr>
          <w:sz w:val="24"/>
        </w:rPr>
        <w:t xml:space="preserve">Commission </w:t>
      </w:r>
      <w:r w:rsidR="00A70FBD" w:rsidRPr="000E5594">
        <w:rPr>
          <w:sz w:val="24"/>
        </w:rPr>
        <w:t xml:space="preserve">staff </w:t>
      </w:r>
      <w:r w:rsidRPr="000E5594">
        <w:rPr>
          <w:sz w:val="24"/>
        </w:rPr>
        <w:t>sought States</w:t>
      </w:r>
      <w:r w:rsidR="00050794" w:rsidRPr="000E5594">
        <w:rPr>
          <w:sz w:val="24"/>
        </w:rPr>
        <w:t>’</w:t>
      </w:r>
      <w:r w:rsidRPr="000E5594">
        <w:rPr>
          <w:sz w:val="24"/>
        </w:rPr>
        <w:t xml:space="preserve"> views regard</w:t>
      </w:r>
      <w:r w:rsidR="00BA7553">
        <w:rPr>
          <w:sz w:val="24"/>
        </w:rPr>
        <w:t>ing the use of preliminary 2015</w:t>
      </w:r>
      <w:r w:rsidR="00BA7553">
        <w:rPr>
          <w:sz w:val="24"/>
        </w:rPr>
        <w:noBreakHyphen/>
      </w:r>
      <w:r w:rsidRPr="000E5594">
        <w:rPr>
          <w:sz w:val="24"/>
        </w:rPr>
        <w:t xml:space="preserve">16 IHPA data in the 2017 Update. The majority of States had no concerns </w:t>
      </w:r>
      <w:r w:rsidR="00A70FBD" w:rsidRPr="000E5594">
        <w:rPr>
          <w:sz w:val="24"/>
        </w:rPr>
        <w:t>with this proposal</w:t>
      </w:r>
      <w:r w:rsidRPr="000E5594">
        <w:rPr>
          <w:sz w:val="24"/>
        </w:rPr>
        <w:t xml:space="preserve">, provided </w:t>
      </w:r>
      <w:r w:rsidR="00A70FBD" w:rsidRPr="000E5594">
        <w:rPr>
          <w:sz w:val="24"/>
        </w:rPr>
        <w:t xml:space="preserve">our </w:t>
      </w:r>
      <w:r w:rsidR="00BA7553">
        <w:rPr>
          <w:sz w:val="24"/>
        </w:rPr>
        <w:t>analysis of 2014</w:t>
      </w:r>
      <w:r w:rsidR="00BA7553">
        <w:rPr>
          <w:sz w:val="24"/>
        </w:rPr>
        <w:noBreakHyphen/>
      </w:r>
      <w:r w:rsidRPr="000E5594">
        <w:rPr>
          <w:sz w:val="24"/>
        </w:rPr>
        <w:t xml:space="preserve">15 preliminary and final data </w:t>
      </w:r>
      <w:r w:rsidR="00A70FBD" w:rsidRPr="000E5594">
        <w:rPr>
          <w:sz w:val="24"/>
        </w:rPr>
        <w:t xml:space="preserve">was consistent with </w:t>
      </w:r>
      <w:r w:rsidR="00BA7553">
        <w:rPr>
          <w:sz w:val="24"/>
        </w:rPr>
        <w:t>the analysis of 2013</w:t>
      </w:r>
      <w:r w:rsidR="00BA7553">
        <w:rPr>
          <w:sz w:val="24"/>
        </w:rPr>
        <w:noBreakHyphen/>
      </w:r>
      <w:r w:rsidRPr="000E5594">
        <w:rPr>
          <w:sz w:val="24"/>
        </w:rPr>
        <w:t xml:space="preserve">14 data </w:t>
      </w:r>
      <w:r w:rsidR="00A70FBD" w:rsidRPr="000E5594">
        <w:rPr>
          <w:sz w:val="24"/>
        </w:rPr>
        <w:t>which</w:t>
      </w:r>
      <w:r w:rsidR="003F02C0" w:rsidRPr="000E5594">
        <w:rPr>
          <w:sz w:val="24"/>
        </w:rPr>
        <w:t xml:space="preserve"> showed the differences between</w:t>
      </w:r>
      <w:r w:rsidRPr="000E5594">
        <w:rPr>
          <w:sz w:val="24"/>
        </w:rPr>
        <w:t xml:space="preserve"> preliminary and final data</w:t>
      </w:r>
      <w:r w:rsidR="00A70FBD" w:rsidRPr="000E5594">
        <w:rPr>
          <w:sz w:val="24"/>
        </w:rPr>
        <w:t xml:space="preserve"> were not </w:t>
      </w:r>
      <w:r w:rsidR="00050794" w:rsidRPr="000E5594">
        <w:rPr>
          <w:sz w:val="24"/>
        </w:rPr>
        <w:t>significant</w:t>
      </w:r>
      <w:r w:rsidRPr="000E5594">
        <w:rPr>
          <w:sz w:val="24"/>
        </w:rPr>
        <w:t xml:space="preserve">. </w:t>
      </w:r>
    </w:p>
    <w:p w:rsidR="004619B3" w:rsidRPr="000E5594" w:rsidRDefault="00A70FBD" w:rsidP="000D03E7">
      <w:pPr>
        <w:pStyle w:val="CGCNumberedPara"/>
        <w:spacing w:after="80" w:line="320" w:lineRule="atLeast"/>
        <w:rPr>
          <w:sz w:val="24"/>
        </w:rPr>
      </w:pPr>
      <w:r w:rsidRPr="000E5594">
        <w:rPr>
          <w:sz w:val="24"/>
        </w:rPr>
        <w:t xml:space="preserve">Recently </w:t>
      </w:r>
      <w:r w:rsidR="00236F32" w:rsidRPr="000E5594">
        <w:rPr>
          <w:sz w:val="24"/>
        </w:rPr>
        <w:t xml:space="preserve">the </w:t>
      </w:r>
      <w:r w:rsidR="00927440">
        <w:rPr>
          <w:sz w:val="24"/>
        </w:rPr>
        <w:t xml:space="preserve">IHPA </w:t>
      </w:r>
      <w:r w:rsidRPr="000E5594">
        <w:rPr>
          <w:sz w:val="24"/>
        </w:rPr>
        <w:t xml:space="preserve">advised staff </w:t>
      </w:r>
      <w:r w:rsidR="00236F32" w:rsidRPr="000E5594">
        <w:rPr>
          <w:sz w:val="24"/>
        </w:rPr>
        <w:t xml:space="preserve">that there </w:t>
      </w:r>
      <w:r w:rsidR="00351732">
        <w:rPr>
          <w:sz w:val="24"/>
        </w:rPr>
        <w:t xml:space="preserve">would </w:t>
      </w:r>
      <w:r w:rsidR="00236F32" w:rsidRPr="000E5594">
        <w:rPr>
          <w:sz w:val="24"/>
        </w:rPr>
        <w:t xml:space="preserve">be </w:t>
      </w:r>
      <w:r w:rsidRPr="000E5594">
        <w:rPr>
          <w:sz w:val="24"/>
        </w:rPr>
        <w:t xml:space="preserve">no </w:t>
      </w:r>
      <w:r w:rsidR="002321A7">
        <w:rPr>
          <w:sz w:val="24"/>
        </w:rPr>
        <w:t>change to the 2014</w:t>
      </w:r>
      <w:r w:rsidR="002321A7">
        <w:rPr>
          <w:sz w:val="24"/>
        </w:rPr>
        <w:noBreakHyphen/>
      </w:r>
      <w:r w:rsidR="00236F32" w:rsidRPr="000E5594">
        <w:rPr>
          <w:sz w:val="24"/>
        </w:rPr>
        <w:t xml:space="preserve">15 </w:t>
      </w:r>
      <w:r w:rsidRPr="000E5594">
        <w:rPr>
          <w:sz w:val="24"/>
        </w:rPr>
        <w:t xml:space="preserve">IPHA </w:t>
      </w:r>
      <w:r w:rsidR="00236F32" w:rsidRPr="000E5594">
        <w:rPr>
          <w:sz w:val="24"/>
        </w:rPr>
        <w:t xml:space="preserve">data </w:t>
      </w:r>
      <w:r w:rsidRPr="000E5594">
        <w:rPr>
          <w:sz w:val="24"/>
        </w:rPr>
        <w:t xml:space="preserve">which we received in January 2016 and that in future the data supplied by the IHPA in January </w:t>
      </w:r>
      <w:r w:rsidR="00351732">
        <w:rPr>
          <w:sz w:val="24"/>
        </w:rPr>
        <w:t xml:space="preserve">would </w:t>
      </w:r>
      <w:r w:rsidR="004619B3" w:rsidRPr="000E5594">
        <w:rPr>
          <w:sz w:val="24"/>
        </w:rPr>
        <w:t>be the final data release for the previous financial year</w:t>
      </w:r>
      <w:r w:rsidRPr="000E5594">
        <w:rPr>
          <w:sz w:val="24"/>
        </w:rPr>
        <w:t>.</w:t>
      </w:r>
      <w:r w:rsidR="00F16E9D" w:rsidRPr="000E5594">
        <w:rPr>
          <w:sz w:val="24"/>
        </w:rPr>
        <w:t xml:space="preserve"> </w:t>
      </w:r>
      <w:r w:rsidR="004619B3" w:rsidRPr="000E5594">
        <w:rPr>
          <w:sz w:val="24"/>
        </w:rPr>
        <w:t xml:space="preserve">The IHPA also advised that there </w:t>
      </w:r>
      <w:r w:rsidR="00351732">
        <w:rPr>
          <w:sz w:val="24"/>
        </w:rPr>
        <w:t xml:space="preserve">would </w:t>
      </w:r>
      <w:r w:rsidR="004619B3" w:rsidRPr="000E5594">
        <w:rPr>
          <w:sz w:val="24"/>
        </w:rPr>
        <w:t>be a chan</w:t>
      </w:r>
      <w:r w:rsidR="00936374">
        <w:rPr>
          <w:sz w:val="24"/>
        </w:rPr>
        <w:t>ge to the coverage of ED</w:t>
      </w:r>
      <w:r w:rsidR="00057A50">
        <w:rPr>
          <w:sz w:val="24"/>
        </w:rPr>
        <w:t xml:space="preserve"> data from 2014</w:t>
      </w:r>
      <w:r w:rsidR="00057A50">
        <w:rPr>
          <w:sz w:val="24"/>
        </w:rPr>
        <w:noBreakHyphen/>
      </w:r>
      <w:r w:rsidR="004619B3" w:rsidRPr="000E5594">
        <w:rPr>
          <w:sz w:val="24"/>
        </w:rPr>
        <w:t xml:space="preserve">15. </w:t>
      </w:r>
      <w:r w:rsidR="00F16E9D" w:rsidRPr="000E5594">
        <w:rPr>
          <w:sz w:val="24"/>
        </w:rPr>
        <w:t>This means that there will no longer be ‘preliminary’ and ‘final’ versions of the IHPA data related to the activity based funding and ED National Minimum Dataset (EDNMDS) activity.</w:t>
      </w:r>
    </w:p>
    <w:p w:rsidR="00F16E9D" w:rsidRPr="000E5594" w:rsidRDefault="00F16E9D" w:rsidP="000D03E7">
      <w:pPr>
        <w:pStyle w:val="CGCNumberedPara"/>
        <w:spacing w:after="80" w:line="320" w:lineRule="atLeast"/>
        <w:rPr>
          <w:sz w:val="24"/>
        </w:rPr>
      </w:pPr>
      <w:r w:rsidRPr="000E5594">
        <w:rPr>
          <w:sz w:val="24"/>
        </w:rPr>
        <w:t xml:space="preserve">The primary differences between the preliminary and final IHPA datasets in recent years related to the inclusion of ED occasions from the Australian Institute of Health and Welfare (AIHW) </w:t>
      </w:r>
      <w:r w:rsidR="00834BB6" w:rsidRPr="000E5594">
        <w:rPr>
          <w:sz w:val="24"/>
        </w:rPr>
        <w:t xml:space="preserve">National </w:t>
      </w:r>
      <w:r w:rsidRPr="000E5594">
        <w:rPr>
          <w:sz w:val="24"/>
        </w:rPr>
        <w:t xml:space="preserve">Public Hospitals Establishment </w:t>
      </w:r>
      <w:r w:rsidR="00834BB6">
        <w:rPr>
          <w:sz w:val="24"/>
        </w:rPr>
        <w:t>Database (</w:t>
      </w:r>
      <w:r w:rsidR="00834BB6" w:rsidRPr="000E5594">
        <w:rPr>
          <w:sz w:val="24"/>
        </w:rPr>
        <w:t>NPHEDB</w:t>
      </w:r>
      <w:r w:rsidR="00834BB6">
        <w:rPr>
          <w:sz w:val="24"/>
        </w:rPr>
        <w:t>)</w:t>
      </w:r>
      <w:r w:rsidRPr="000E5594">
        <w:rPr>
          <w:sz w:val="24"/>
        </w:rPr>
        <w:t>. These data were not available in January (hence the IHPA data being preliminary) but were subsequently available by October (the final IHPA dataset).</w:t>
      </w:r>
    </w:p>
    <w:p w:rsidR="00F16E9D" w:rsidRPr="000E5594" w:rsidRDefault="00F16E9D" w:rsidP="000D03E7">
      <w:pPr>
        <w:pStyle w:val="CGCNumberedPara"/>
        <w:spacing w:after="80" w:line="320" w:lineRule="atLeast"/>
        <w:rPr>
          <w:sz w:val="24"/>
        </w:rPr>
      </w:pPr>
      <w:r w:rsidRPr="000E5594">
        <w:rPr>
          <w:sz w:val="24"/>
        </w:rPr>
        <w:t xml:space="preserve">Subsequent to the new issues paper released in June, </w:t>
      </w:r>
      <w:proofErr w:type="gramStart"/>
      <w:r w:rsidRPr="000E5594">
        <w:rPr>
          <w:sz w:val="24"/>
        </w:rPr>
        <w:t>staff have</w:t>
      </w:r>
      <w:proofErr w:type="gramEnd"/>
      <w:r w:rsidRPr="000E5594">
        <w:rPr>
          <w:sz w:val="24"/>
        </w:rPr>
        <w:t xml:space="preserve"> been informed by IHPA of an issue with the PHE data. The IHPA have advised that from 2014</w:t>
      </w:r>
      <w:r w:rsidRPr="000E5594">
        <w:rPr>
          <w:sz w:val="24"/>
        </w:rPr>
        <w:noBreakHyphen/>
        <w:t>15, at the request of State health authorities, the NPHEDB will no longer collect ED data meaning that PHE ED data will no longer be available.</w:t>
      </w:r>
    </w:p>
    <w:p w:rsidR="007A5E2F" w:rsidRDefault="007A5E2F" w:rsidP="000D03E7">
      <w:pPr>
        <w:pStyle w:val="Heading4"/>
        <w:spacing w:before="120" w:after="80" w:line="320" w:lineRule="atLeast"/>
      </w:pPr>
      <w:r>
        <w:lastRenderedPageBreak/>
        <w:t>Analysis</w:t>
      </w:r>
    </w:p>
    <w:p w:rsidR="00236F32" w:rsidRPr="000E5594" w:rsidRDefault="00236F32" w:rsidP="000D03E7">
      <w:pPr>
        <w:pStyle w:val="CGCNumberedPara"/>
        <w:spacing w:after="80" w:line="320" w:lineRule="atLeast"/>
        <w:rPr>
          <w:sz w:val="24"/>
        </w:rPr>
      </w:pPr>
      <w:r w:rsidRPr="000E5594">
        <w:rPr>
          <w:sz w:val="24"/>
        </w:rPr>
        <w:t xml:space="preserve">Since the 2015 Review, </w:t>
      </w:r>
      <w:r w:rsidR="000A44CC">
        <w:rPr>
          <w:sz w:val="24"/>
        </w:rPr>
        <w:t xml:space="preserve">the </w:t>
      </w:r>
      <w:r w:rsidRPr="000E5594">
        <w:rPr>
          <w:sz w:val="24"/>
        </w:rPr>
        <w:t xml:space="preserve">Commission has used </w:t>
      </w:r>
      <w:r w:rsidR="004619B3" w:rsidRPr="000E5594">
        <w:rPr>
          <w:sz w:val="24"/>
        </w:rPr>
        <w:t xml:space="preserve">IHPA </w:t>
      </w:r>
      <w:r w:rsidRPr="000E5594">
        <w:rPr>
          <w:sz w:val="24"/>
        </w:rPr>
        <w:t xml:space="preserve">data on ED activity to allocate national ED </w:t>
      </w:r>
      <w:r w:rsidR="00593B05">
        <w:rPr>
          <w:sz w:val="24"/>
        </w:rPr>
        <w:t>spending to each population sub</w:t>
      </w:r>
      <w:r w:rsidR="00593B05">
        <w:rPr>
          <w:sz w:val="24"/>
        </w:rPr>
        <w:noBreakHyphen/>
      </w:r>
      <w:r w:rsidRPr="000E5594">
        <w:rPr>
          <w:sz w:val="24"/>
        </w:rPr>
        <w:t>group. Prior to 2014</w:t>
      </w:r>
      <w:r w:rsidRPr="000E5594">
        <w:rPr>
          <w:sz w:val="24"/>
        </w:rPr>
        <w:noBreakHyphen/>
        <w:t>15 IHPA provided three categories of ED data:</w:t>
      </w:r>
    </w:p>
    <w:p w:rsidR="00236F32" w:rsidRPr="000E5594" w:rsidRDefault="00236F32" w:rsidP="000D03E7">
      <w:pPr>
        <w:pStyle w:val="CGCBulletlist"/>
        <w:spacing w:before="120" w:after="80" w:line="320" w:lineRule="atLeast"/>
        <w:rPr>
          <w:sz w:val="24"/>
          <w:szCs w:val="24"/>
        </w:rPr>
      </w:pPr>
      <w:r w:rsidRPr="000E5594">
        <w:rPr>
          <w:sz w:val="24"/>
          <w:szCs w:val="24"/>
        </w:rPr>
        <w:t>Emergency presentations (EP) data which are reported by principal referral and large hospitals with formal EDs and sourced from the ED National Minimum Dataset (EDNMDS)</w:t>
      </w:r>
    </w:p>
    <w:p w:rsidR="00236F32" w:rsidRPr="000E5594" w:rsidRDefault="00236F32" w:rsidP="000D03E7">
      <w:pPr>
        <w:pStyle w:val="CGCBulletlist"/>
        <w:spacing w:before="120" w:after="80" w:line="320" w:lineRule="atLeast"/>
        <w:rPr>
          <w:sz w:val="24"/>
          <w:szCs w:val="24"/>
        </w:rPr>
      </w:pPr>
      <w:r w:rsidRPr="000E5594">
        <w:rPr>
          <w:sz w:val="24"/>
          <w:szCs w:val="24"/>
        </w:rPr>
        <w:t>Emergency services (ES) data which are reported by medium and small hospitals (mainly block funded hospitals) and sourced from the EDNMDS</w:t>
      </w:r>
    </w:p>
    <w:p w:rsidR="00236F32" w:rsidRPr="000E5594" w:rsidRDefault="00236F32" w:rsidP="000D03E7">
      <w:pPr>
        <w:pStyle w:val="CGCBulletlist"/>
        <w:spacing w:before="120" w:after="80" w:line="320" w:lineRule="atLeast"/>
        <w:rPr>
          <w:sz w:val="24"/>
          <w:szCs w:val="24"/>
        </w:rPr>
      </w:pPr>
      <w:r w:rsidRPr="000E5594">
        <w:rPr>
          <w:sz w:val="24"/>
          <w:szCs w:val="24"/>
        </w:rPr>
        <w:t xml:space="preserve">Public Hospital Establishment (PHE) ED data which also </w:t>
      </w:r>
      <w:r w:rsidR="000A44CC">
        <w:rPr>
          <w:sz w:val="24"/>
          <w:szCs w:val="24"/>
        </w:rPr>
        <w:t>relate to</w:t>
      </w:r>
      <w:r w:rsidRPr="000E5594">
        <w:rPr>
          <w:sz w:val="24"/>
          <w:szCs w:val="24"/>
        </w:rPr>
        <w:t xml:space="preserve"> medium and small hospitals but sourced from the National PHE Database (NPHEDB).</w:t>
      </w:r>
    </w:p>
    <w:p w:rsidR="00236F32" w:rsidRPr="000E5594" w:rsidRDefault="00236F32" w:rsidP="000D03E7">
      <w:pPr>
        <w:pStyle w:val="CGCNumberedPara"/>
        <w:spacing w:after="80" w:line="320" w:lineRule="atLeast"/>
        <w:rPr>
          <w:sz w:val="24"/>
        </w:rPr>
      </w:pPr>
      <w:r w:rsidRPr="000E5594">
        <w:rPr>
          <w:sz w:val="24"/>
        </w:rPr>
        <w:t>In 2013</w:t>
      </w:r>
      <w:r w:rsidRPr="000E5594">
        <w:rPr>
          <w:sz w:val="24"/>
        </w:rPr>
        <w:noBreakHyphen/>
        <w:t>14, the EDNMDS provided information for 95% of ED occasions (ES and EP data contributing 86% and 9% respectively). The other 5% of ED occasions were sourced from the NPHEDB. Although the proportion of ED data previously sourced from the NPHEDB is small, it is not uniformly distributed across remoteness areas and ignoring this data would disproportionately exclude ED activity in remote and very remote areas. This would have a material effect on the GST distribution (see Table 1).</w:t>
      </w:r>
    </w:p>
    <w:p w:rsidR="00236F32" w:rsidRDefault="00236F32" w:rsidP="0073669F">
      <w:pPr>
        <w:pStyle w:val="CGCTableHeading"/>
      </w:pPr>
      <w:r>
        <w:t xml:space="preserve">Table 1 </w:t>
      </w:r>
      <w:r>
        <w:tab/>
        <w:t>GST distribution for emergency department component in the 2016 Update</w:t>
      </w:r>
    </w:p>
    <w:tbl>
      <w:tblPr>
        <w:tblW w:w="8960" w:type="dxa"/>
        <w:tblLayout w:type="fixed"/>
        <w:tblLook w:val="04A0" w:firstRow="1" w:lastRow="0" w:firstColumn="1" w:lastColumn="0" w:noHBand="0" w:noVBand="1"/>
      </w:tblPr>
      <w:tblGrid>
        <w:gridCol w:w="1951"/>
        <w:gridCol w:w="744"/>
        <w:gridCol w:w="744"/>
        <w:gridCol w:w="744"/>
        <w:gridCol w:w="745"/>
        <w:gridCol w:w="744"/>
        <w:gridCol w:w="744"/>
        <w:gridCol w:w="744"/>
        <w:gridCol w:w="745"/>
        <w:gridCol w:w="1055"/>
      </w:tblGrid>
      <w:tr w:rsidR="00236F32" w:rsidTr="000A44CC">
        <w:trPr>
          <w:trHeight w:val="379"/>
        </w:trPr>
        <w:tc>
          <w:tcPr>
            <w:tcW w:w="1951"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r>
              <w:rPr>
                <w:sz w:val="20"/>
                <w:szCs w:val="20"/>
              </w:rPr>
              <w:t> </w:t>
            </w:r>
          </w:p>
        </w:tc>
        <w:tc>
          <w:tcPr>
            <w:tcW w:w="744"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r>
              <w:rPr>
                <w:sz w:val="20"/>
                <w:szCs w:val="20"/>
              </w:rPr>
              <w:t>NSW</w:t>
            </w:r>
          </w:p>
        </w:tc>
        <w:tc>
          <w:tcPr>
            <w:tcW w:w="744"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r>
              <w:rPr>
                <w:sz w:val="20"/>
                <w:szCs w:val="20"/>
              </w:rPr>
              <w:t>Vic</w:t>
            </w:r>
          </w:p>
        </w:tc>
        <w:tc>
          <w:tcPr>
            <w:tcW w:w="744"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r>
              <w:rPr>
                <w:sz w:val="20"/>
                <w:szCs w:val="20"/>
              </w:rPr>
              <w:t>Qld</w:t>
            </w:r>
          </w:p>
        </w:tc>
        <w:tc>
          <w:tcPr>
            <w:tcW w:w="745"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r>
              <w:rPr>
                <w:sz w:val="20"/>
                <w:szCs w:val="20"/>
              </w:rPr>
              <w:t>WA</w:t>
            </w:r>
          </w:p>
        </w:tc>
        <w:tc>
          <w:tcPr>
            <w:tcW w:w="744"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r>
              <w:rPr>
                <w:sz w:val="20"/>
                <w:szCs w:val="20"/>
              </w:rPr>
              <w:t>SA</w:t>
            </w:r>
          </w:p>
        </w:tc>
        <w:tc>
          <w:tcPr>
            <w:tcW w:w="744"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proofErr w:type="spellStart"/>
            <w:r>
              <w:rPr>
                <w:sz w:val="20"/>
                <w:szCs w:val="20"/>
              </w:rPr>
              <w:t>Tas</w:t>
            </w:r>
            <w:proofErr w:type="spellEnd"/>
          </w:p>
        </w:tc>
        <w:tc>
          <w:tcPr>
            <w:tcW w:w="744"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r>
              <w:rPr>
                <w:sz w:val="20"/>
                <w:szCs w:val="20"/>
              </w:rPr>
              <w:t>ACT</w:t>
            </w:r>
          </w:p>
        </w:tc>
        <w:tc>
          <w:tcPr>
            <w:tcW w:w="745"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r>
              <w:rPr>
                <w:sz w:val="20"/>
                <w:szCs w:val="20"/>
              </w:rPr>
              <w:t>NT</w:t>
            </w:r>
          </w:p>
        </w:tc>
        <w:tc>
          <w:tcPr>
            <w:tcW w:w="1055" w:type="dxa"/>
            <w:tcBorders>
              <w:top w:val="single" w:sz="4" w:space="0" w:color="auto"/>
              <w:left w:val="nil"/>
              <w:bottom w:val="single" w:sz="4" w:space="0" w:color="auto"/>
              <w:right w:val="nil"/>
            </w:tcBorders>
            <w:noWrap/>
            <w:vAlign w:val="center"/>
            <w:hideMark/>
          </w:tcPr>
          <w:p w:rsidR="00236F32" w:rsidRDefault="00236F32">
            <w:pPr>
              <w:keepNext/>
              <w:tabs>
                <w:tab w:val="left" w:pos="720"/>
              </w:tabs>
              <w:jc w:val="right"/>
              <w:rPr>
                <w:sz w:val="20"/>
                <w:szCs w:val="20"/>
              </w:rPr>
            </w:pPr>
            <w:proofErr w:type="spellStart"/>
            <w:r>
              <w:rPr>
                <w:sz w:val="20"/>
                <w:szCs w:val="20"/>
              </w:rPr>
              <w:t>Redist</w:t>
            </w:r>
            <w:proofErr w:type="spellEnd"/>
            <w:r>
              <w:rPr>
                <w:sz w:val="20"/>
                <w:szCs w:val="20"/>
              </w:rPr>
              <w:t xml:space="preserve"> (a)</w:t>
            </w:r>
          </w:p>
        </w:tc>
      </w:tr>
      <w:tr w:rsidR="00236F32" w:rsidTr="000A44CC">
        <w:trPr>
          <w:trHeight w:val="315"/>
        </w:trPr>
        <w:tc>
          <w:tcPr>
            <w:tcW w:w="1951" w:type="dxa"/>
            <w:noWrap/>
            <w:vAlign w:val="bottom"/>
            <w:hideMark/>
          </w:tcPr>
          <w:p w:rsidR="00236F32" w:rsidRDefault="00236F32">
            <w:pPr>
              <w:keepNext/>
              <w:tabs>
                <w:tab w:val="left" w:pos="720"/>
              </w:tabs>
              <w:rPr>
                <w:sz w:val="20"/>
                <w:szCs w:val="20"/>
              </w:rPr>
            </w:pPr>
            <w:r>
              <w:rPr>
                <w:sz w:val="20"/>
                <w:szCs w:val="20"/>
              </w:rPr>
              <w:t>U2016 without PHE</w:t>
            </w:r>
          </w:p>
        </w:tc>
        <w:tc>
          <w:tcPr>
            <w:tcW w:w="744" w:type="dxa"/>
            <w:noWrap/>
            <w:vAlign w:val="bottom"/>
            <w:hideMark/>
          </w:tcPr>
          <w:p w:rsidR="00236F32" w:rsidRDefault="00236F32">
            <w:pPr>
              <w:keepNext/>
              <w:tabs>
                <w:tab w:val="left" w:pos="720"/>
              </w:tabs>
              <w:jc w:val="right"/>
              <w:rPr>
                <w:sz w:val="20"/>
                <w:szCs w:val="20"/>
              </w:rPr>
            </w:pPr>
            <w:r>
              <w:rPr>
                <w:sz w:val="20"/>
                <w:szCs w:val="20"/>
              </w:rPr>
              <w:t>-3</w:t>
            </w:r>
          </w:p>
        </w:tc>
        <w:tc>
          <w:tcPr>
            <w:tcW w:w="744" w:type="dxa"/>
            <w:noWrap/>
            <w:vAlign w:val="bottom"/>
            <w:hideMark/>
          </w:tcPr>
          <w:p w:rsidR="00236F32" w:rsidRDefault="00236F32">
            <w:pPr>
              <w:keepNext/>
              <w:tabs>
                <w:tab w:val="left" w:pos="720"/>
              </w:tabs>
              <w:jc w:val="right"/>
              <w:rPr>
                <w:sz w:val="20"/>
                <w:szCs w:val="20"/>
              </w:rPr>
            </w:pPr>
            <w:r>
              <w:rPr>
                <w:sz w:val="20"/>
                <w:szCs w:val="20"/>
              </w:rPr>
              <w:t>-39</w:t>
            </w:r>
          </w:p>
        </w:tc>
        <w:tc>
          <w:tcPr>
            <w:tcW w:w="744" w:type="dxa"/>
            <w:noWrap/>
            <w:vAlign w:val="bottom"/>
            <w:hideMark/>
          </w:tcPr>
          <w:p w:rsidR="00236F32" w:rsidRDefault="00236F32">
            <w:pPr>
              <w:keepNext/>
              <w:tabs>
                <w:tab w:val="left" w:pos="720"/>
              </w:tabs>
              <w:jc w:val="right"/>
              <w:rPr>
                <w:sz w:val="20"/>
                <w:szCs w:val="20"/>
              </w:rPr>
            </w:pPr>
            <w:r>
              <w:rPr>
                <w:sz w:val="20"/>
                <w:szCs w:val="20"/>
              </w:rPr>
              <w:t>-6</w:t>
            </w:r>
          </w:p>
        </w:tc>
        <w:tc>
          <w:tcPr>
            <w:tcW w:w="745" w:type="dxa"/>
            <w:noWrap/>
            <w:vAlign w:val="bottom"/>
            <w:hideMark/>
          </w:tcPr>
          <w:p w:rsidR="00236F32" w:rsidRDefault="00236F32">
            <w:pPr>
              <w:keepNext/>
              <w:tabs>
                <w:tab w:val="left" w:pos="720"/>
              </w:tabs>
              <w:jc w:val="right"/>
              <w:rPr>
                <w:sz w:val="20"/>
                <w:szCs w:val="20"/>
              </w:rPr>
            </w:pPr>
            <w:r>
              <w:rPr>
                <w:sz w:val="20"/>
                <w:szCs w:val="20"/>
              </w:rPr>
              <w:t>28</w:t>
            </w:r>
          </w:p>
        </w:tc>
        <w:tc>
          <w:tcPr>
            <w:tcW w:w="744" w:type="dxa"/>
            <w:noWrap/>
            <w:vAlign w:val="bottom"/>
            <w:hideMark/>
          </w:tcPr>
          <w:p w:rsidR="00236F32" w:rsidRDefault="00236F32">
            <w:pPr>
              <w:keepNext/>
              <w:tabs>
                <w:tab w:val="left" w:pos="720"/>
              </w:tabs>
              <w:jc w:val="right"/>
              <w:rPr>
                <w:sz w:val="20"/>
                <w:szCs w:val="20"/>
              </w:rPr>
            </w:pPr>
            <w:r>
              <w:rPr>
                <w:sz w:val="20"/>
                <w:szCs w:val="20"/>
              </w:rPr>
              <w:t>4</w:t>
            </w:r>
          </w:p>
        </w:tc>
        <w:tc>
          <w:tcPr>
            <w:tcW w:w="744" w:type="dxa"/>
            <w:noWrap/>
            <w:vAlign w:val="bottom"/>
            <w:hideMark/>
          </w:tcPr>
          <w:p w:rsidR="00236F32" w:rsidRDefault="00236F32">
            <w:pPr>
              <w:keepNext/>
              <w:tabs>
                <w:tab w:val="left" w:pos="720"/>
              </w:tabs>
              <w:jc w:val="right"/>
              <w:rPr>
                <w:sz w:val="20"/>
                <w:szCs w:val="20"/>
              </w:rPr>
            </w:pPr>
            <w:r>
              <w:rPr>
                <w:sz w:val="20"/>
                <w:szCs w:val="20"/>
              </w:rPr>
              <w:t>6</w:t>
            </w:r>
          </w:p>
        </w:tc>
        <w:tc>
          <w:tcPr>
            <w:tcW w:w="744" w:type="dxa"/>
            <w:noWrap/>
            <w:vAlign w:val="bottom"/>
            <w:hideMark/>
          </w:tcPr>
          <w:p w:rsidR="00236F32" w:rsidRDefault="00236F32">
            <w:pPr>
              <w:keepNext/>
              <w:tabs>
                <w:tab w:val="left" w:pos="720"/>
              </w:tabs>
              <w:jc w:val="right"/>
              <w:rPr>
                <w:sz w:val="20"/>
                <w:szCs w:val="20"/>
              </w:rPr>
            </w:pPr>
            <w:r>
              <w:rPr>
                <w:sz w:val="20"/>
                <w:szCs w:val="20"/>
              </w:rPr>
              <w:t>-4</w:t>
            </w:r>
          </w:p>
        </w:tc>
        <w:tc>
          <w:tcPr>
            <w:tcW w:w="745" w:type="dxa"/>
            <w:noWrap/>
            <w:vAlign w:val="bottom"/>
            <w:hideMark/>
          </w:tcPr>
          <w:p w:rsidR="00236F32" w:rsidRDefault="00236F32">
            <w:pPr>
              <w:keepNext/>
              <w:tabs>
                <w:tab w:val="left" w:pos="720"/>
              </w:tabs>
              <w:jc w:val="right"/>
              <w:rPr>
                <w:sz w:val="20"/>
                <w:szCs w:val="20"/>
              </w:rPr>
            </w:pPr>
            <w:r>
              <w:rPr>
                <w:sz w:val="20"/>
                <w:szCs w:val="20"/>
              </w:rPr>
              <w:t>15</w:t>
            </w:r>
          </w:p>
        </w:tc>
        <w:tc>
          <w:tcPr>
            <w:tcW w:w="1055" w:type="dxa"/>
            <w:noWrap/>
            <w:vAlign w:val="bottom"/>
            <w:hideMark/>
          </w:tcPr>
          <w:p w:rsidR="00236F32" w:rsidRDefault="00236F32">
            <w:pPr>
              <w:keepNext/>
              <w:tabs>
                <w:tab w:val="left" w:pos="720"/>
              </w:tabs>
              <w:jc w:val="right"/>
              <w:rPr>
                <w:sz w:val="20"/>
                <w:szCs w:val="20"/>
              </w:rPr>
            </w:pPr>
            <w:r>
              <w:rPr>
                <w:sz w:val="20"/>
                <w:szCs w:val="20"/>
              </w:rPr>
              <w:t>53</w:t>
            </w:r>
          </w:p>
        </w:tc>
      </w:tr>
      <w:tr w:rsidR="00236F32" w:rsidTr="000A44CC">
        <w:trPr>
          <w:trHeight w:val="315"/>
        </w:trPr>
        <w:tc>
          <w:tcPr>
            <w:tcW w:w="1951" w:type="dxa"/>
            <w:noWrap/>
            <w:vAlign w:val="bottom"/>
            <w:hideMark/>
          </w:tcPr>
          <w:p w:rsidR="00236F32" w:rsidRDefault="00236F32">
            <w:pPr>
              <w:keepNext/>
              <w:tabs>
                <w:tab w:val="left" w:pos="720"/>
              </w:tabs>
              <w:rPr>
                <w:sz w:val="20"/>
                <w:szCs w:val="20"/>
              </w:rPr>
            </w:pPr>
            <w:r>
              <w:rPr>
                <w:sz w:val="20"/>
                <w:szCs w:val="20"/>
              </w:rPr>
              <w:t xml:space="preserve">U2016 </w:t>
            </w:r>
            <w:r w:rsidR="007A5E2F">
              <w:rPr>
                <w:sz w:val="20"/>
                <w:szCs w:val="20"/>
              </w:rPr>
              <w:t>(</w:t>
            </w:r>
            <w:r>
              <w:rPr>
                <w:sz w:val="20"/>
                <w:szCs w:val="20"/>
              </w:rPr>
              <w:t>with PHE</w:t>
            </w:r>
            <w:r w:rsidR="007A5E2F">
              <w:rPr>
                <w:sz w:val="20"/>
                <w:szCs w:val="20"/>
              </w:rPr>
              <w:t>)</w:t>
            </w:r>
            <w:r>
              <w:rPr>
                <w:sz w:val="20"/>
                <w:szCs w:val="20"/>
              </w:rPr>
              <w:t xml:space="preserve"> (b)</w:t>
            </w:r>
          </w:p>
        </w:tc>
        <w:tc>
          <w:tcPr>
            <w:tcW w:w="744" w:type="dxa"/>
            <w:tcBorders>
              <w:bottom w:val="single" w:sz="4" w:space="0" w:color="auto"/>
            </w:tcBorders>
            <w:noWrap/>
            <w:vAlign w:val="bottom"/>
            <w:hideMark/>
          </w:tcPr>
          <w:p w:rsidR="00236F32" w:rsidRDefault="00236F32">
            <w:pPr>
              <w:keepNext/>
              <w:tabs>
                <w:tab w:val="left" w:pos="720"/>
              </w:tabs>
              <w:jc w:val="right"/>
              <w:rPr>
                <w:sz w:val="20"/>
                <w:szCs w:val="20"/>
              </w:rPr>
            </w:pPr>
            <w:r>
              <w:rPr>
                <w:sz w:val="20"/>
                <w:szCs w:val="20"/>
              </w:rPr>
              <w:t>-57</w:t>
            </w:r>
          </w:p>
        </w:tc>
        <w:tc>
          <w:tcPr>
            <w:tcW w:w="744" w:type="dxa"/>
            <w:tcBorders>
              <w:bottom w:val="single" w:sz="4" w:space="0" w:color="auto"/>
            </w:tcBorders>
            <w:noWrap/>
            <w:vAlign w:val="bottom"/>
            <w:hideMark/>
          </w:tcPr>
          <w:p w:rsidR="00236F32" w:rsidRDefault="00236F32">
            <w:pPr>
              <w:keepNext/>
              <w:tabs>
                <w:tab w:val="left" w:pos="720"/>
              </w:tabs>
              <w:jc w:val="right"/>
              <w:rPr>
                <w:sz w:val="20"/>
                <w:szCs w:val="20"/>
              </w:rPr>
            </w:pPr>
            <w:r>
              <w:rPr>
                <w:sz w:val="20"/>
                <w:szCs w:val="20"/>
              </w:rPr>
              <w:t>-99</w:t>
            </w:r>
          </w:p>
        </w:tc>
        <w:tc>
          <w:tcPr>
            <w:tcW w:w="744" w:type="dxa"/>
            <w:tcBorders>
              <w:bottom w:val="single" w:sz="4" w:space="0" w:color="auto"/>
            </w:tcBorders>
            <w:noWrap/>
            <w:vAlign w:val="bottom"/>
            <w:hideMark/>
          </w:tcPr>
          <w:p w:rsidR="00236F32" w:rsidRDefault="00236F32">
            <w:pPr>
              <w:keepNext/>
              <w:tabs>
                <w:tab w:val="left" w:pos="720"/>
              </w:tabs>
              <w:jc w:val="right"/>
              <w:rPr>
                <w:sz w:val="20"/>
                <w:szCs w:val="20"/>
              </w:rPr>
            </w:pPr>
            <w:r>
              <w:rPr>
                <w:sz w:val="20"/>
                <w:szCs w:val="20"/>
              </w:rPr>
              <w:t>36</w:t>
            </w:r>
          </w:p>
        </w:tc>
        <w:tc>
          <w:tcPr>
            <w:tcW w:w="745" w:type="dxa"/>
            <w:tcBorders>
              <w:bottom w:val="single" w:sz="4" w:space="0" w:color="auto"/>
            </w:tcBorders>
            <w:noWrap/>
            <w:vAlign w:val="bottom"/>
            <w:hideMark/>
          </w:tcPr>
          <w:p w:rsidR="00236F32" w:rsidRDefault="00236F32">
            <w:pPr>
              <w:keepNext/>
              <w:tabs>
                <w:tab w:val="left" w:pos="720"/>
              </w:tabs>
              <w:jc w:val="right"/>
              <w:rPr>
                <w:sz w:val="20"/>
                <w:szCs w:val="20"/>
              </w:rPr>
            </w:pPr>
            <w:r>
              <w:rPr>
                <w:sz w:val="20"/>
                <w:szCs w:val="20"/>
              </w:rPr>
              <w:t>42</w:t>
            </w:r>
          </w:p>
        </w:tc>
        <w:tc>
          <w:tcPr>
            <w:tcW w:w="744" w:type="dxa"/>
            <w:tcBorders>
              <w:bottom w:val="single" w:sz="4" w:space="0" w:color="auto"/>
            </w:tcBorders>
            <w:noWrap/>
            <w:vAlign w:val="bottom"/>
            <w:hideMark/>
          </w:tcPr>
          <w:p w:rsidR="00236F32" w:rsidRDefault="00236F32">
            <w:pPr>
              <w:keepNext/>
              <w:tabs>
                <w:tab w:val="left" w:pos="720"/>
              </w:tabs>
              <w:jc w:val="right"/>
              <w:rPr>
                <w:sz w:val="20"/>
                <w:szCs w:val="20"/>
              </w:rPr>
            </w:pPr>
            <w:r>
              <w:rPr>
                <w:sz w:val="20"/>
                <w:szCs w:val="20"/>
              </w:rPr>
              <w:t>4</w:t>
            </w:r>
          </w:p>
        </w:tc>
        <w:tc>
          <w:tcPr>
            <w:tcW w:w="744" w:type="dxa"/>
            <w:tcBorders>
              <w:bottom w:val="single" w:sz="4" w:space="0" w:color="auto"/>
            </w:tcBorders>
            <w:noWrap/>
            <w:vAlign w:val="bottom"/>
            <w:hideMark/>
          </w:tcPr>
          <w:p w:rsidR="00236F32" w:rsidRDefault="00236F32">
            <w:pPr>
              <w:keepNext/>
              <w:tabs>
                <w:tab w:val="left" w:pos="720"/>
              </w:tabs>
              <w:jc w:val="right"/>
              <w:rPr>
                <w:sz w:val="20"/>
                <w:szCs w:val="20"/>
              </w:rPr>
            </w:pPr>
            <w:r>
              <w:rPr>
                <w:sz w:val="20"/>
                <w:szCs w:val="20"/>
              </w:rPr>
              <w:t>25</w:t>
            </w:r>
          </w:p>
        </w:tc>
        <w:tc>
          <w:tcPr>
            <w:tcW w:w="744" w:type="dxa"/>
            <w:tcBorders>
              <w:bottom w:val="single" w:sz="4" w:space="0" w:color="auto"/>
            </w:tcBorders>
            <w:noWrap/>
            <w:vAlign w:val="bottom"/>
            <w:hideMark/>
          </w:tcPr>
          <w:p w:rsidR="00236F32" w:rsidRDefault="00236F32">
            <w:pPr>
              <w:keepNext/>
              <w:tabs>
                <w:tab w:val="left" w:pos="720"/>
              </w:tabs>
              <w:jc w:val="right"/>
              <w:rPr>
                <w:sz w:val="20"/>
                <w:szCs w:val="20"/>
              </w:rPr>
            </w:pPr>
            <w:r>
              <w:rPr>
                <w:sz w:val="20"/>
                <w:szCs w:val="20"/>
              </w:rPr>
              <w:t>-12</w:t>
            </w:r>
          </w:p>
        </w:tc>
        <w:tc>
          <w:tcPr>
            <w:tcW w:w="745" w:type="dxa"/>
            <w:tcBorders>
              <w:bottom w:val="single" w:sz="4" w:space="0" w:color="auto"/>
            </w:tcBorders>
            <w:noWrap/>
            <w:vAlign w:val="bottom"/>
            <w:hideMark/>
          </w:tcPr>
          <w:p w:rsidR="00236F32" w:rsidRDefault="00236F32">
            <w:pPr>
              <w:keepNext/>
              <w:tabs>
                <w:tab w:val="left" w:pos="720"/>
              </w:tabs>
              <w:jc w:val="right"/>
              <w:rPr>
                <w:sz w:val="20"/>
                <w:szCs w:val="20"/>
              </w:rPr>
            </w:pPr>
            <w:r>
              <w:rPr>
                <w:sz w:val="20"/>
                <w:szCs w:val="20"/>
              </w:rPr>
              <w:t>61</w:t>
            </w:r>
          </w:p>
        </w:tc>
        <w:tc>
          <w:tcPr>
            <w:tcW w:w="1055" w:type="dxa"/>
            <w:tcBorders>
              <w:bottom w:val="single" w:sz="4" w:space="0" w:color="auto"/>
            </w:tcBorders>
            <w:noWrap/>
            <w:vAlign w:val="bottom"/>
            <w:hideMark/>
          </w:tcPr>
          <w:p w:rsidR="00236F32" w:rsidRDefault="00236F32">
            <w:pPr>
              <w:keepNext/>
              <w:tabs>
                <w:tab w:val="left" w:pos="720"/>
              </w:tabs>
              <w:jc w:val="right"/>
              <w:rPr>
                <w:sz w:val="20"/>
                <w:szCs w:val="20"/>
              </w:rPr>
            </w:pPr>
            <w:r>
              <w:rPr>
                <w:sz w:val="20"/>
                <w:szCs w:val="20"/>
              </w:rPr>
              <w:t>168</w:t>
            </w:r>
          </w:p>
        </w:tc>
      </w:tr>
      <w:tr w:rsidR="00236F32" w:rsidTr="000A44CC">
        <w:trPr>
          <w:trHeight w:val="315"/>
        </w:trPr>
        <w:tc>
          <w:tcPr>
            <w:tcW w:w="1951" w:type="dxa"/>
            <w:noWrap/>
            <w:vAlign w:val="bottom"/>
            <w:hideMark/>
          </w:tcPr>
          <w:p w:rsidR="00236F32" w:rsidRDefault="00236F32">
            <w:pPr>
              <w:keepNext/>
              <w:tabs>
                <w:tab w:val="left" w:pos="720"/>
              </w:tabs>
              <w:rPr>
                <w:sz w:val="20"/>
                <w:szCs w:val="20"/>
              </w:rPr>
            </w:pPr>
            <w:r>
              <w:rPr>
                <w:sz w:val="20"/>
                <w:szCs w:val="20"/>
              </w:rPr>
              <w:t>Difference $m</w:t>
            </w:r>
          </w:p>
        </w:tc>
        <w:tc>
          <w:tcPr>
            <w:tcW w:w="744" w:type="dxa"/>
            <w:tcBorders>
              <w:top w:val="single" w:sz="4" w:space="0" w:color="auto"/>
            </w:tcBorders>
            <w:noWrap/>
            <w:vAlign w:val="bottom"/>
            <w:hideMark/>
          </w:tcPr>
          <w:p w:rsidR="00236F32" w:rsidRDefault="00236F32">
            <w:pPr>
              <w:keepNext/>
              <w:tabs>
                <w:tab w:val="left" w:pos="720"/>
              </w:tabs>
              <w:jc w:val="right"/>
              <w:rPr>
                <w:sz w:val="20"/>
                <w:szCs w:val="20"/>
              </w:rPr>
            </w:pPr>
            <w:r>
              <w:rPr>
                <w:sz w:val="20"/>
                <w:szCs w:val="20"/>
              </w:rPr>
              <w:t>53</w:t>
            </w:r>
          </w:p>
        </w:tc>
        <w:tc>
          <w:tcPr>
            <w:tcW w:w="744" w:type="dxa"/>
            <w:tcBorders>
              <w:top w:val="single" w:sz="4" w:space="0" w:color="auto"/>
            </w:tcBorders>
            <w:noWrap/>
            <w:vAlign w:val="bottom"/>
            <w:hideMark/>
          </w:tcPr>
          <w:p w:rsidR="00236F32" w:rsidRDefault="00236F32">
            <w:pPr>
              <w:keepNext/>
              <w:tabs>
                <w:tab w:val="left" w:pos="720"/>
              </w:tabs>
              <w:jc w:val="right"/>
              <w:rPr>
                <w:sz w:val="20"/>
                <w:szCs w:val="20"/>
              </w:rPr>
            </w:pPr>
            <w:r>
              <w:rPr>
                <w:sz w:val="20"/>
                <w:szCs w:val="20"/>
              </w:rPr>
              <w:t>60</w:t>
            </w:r>
          </w:p>
        </w:tc>
        <w:tc>
          <w:tcPr>
            <w:tcW w:w="744" w:type="dxa"/>
            <w:tcBorders>
              <w:top w:val="single" w:sz="4" w:space="0" w:color="auto"/>
            </w:tcBorders>
            <w:noWrap/>
            <w:vAlign w:val="bottom"/>
            <w:hideMark/>
          </w:tcPr>
          <w:p w:rsidR="00236F32" w:rsidRDefault="00236F32">
            <w:pPr>
              <w:keepNext/>
              <w:tabs>
                <w:tab w:val="left" w:pos="720"/>
              </w:tabs>
              <w:jc w:val="right"/>
              <w:rPr>
                <w:sz w:val="20"/>
                <w:szCs w:val="20"/>
              </w:rPr>
            </w:pPr>
            <w:r>
              <w:rPr>
                <w:sz w:val="20"/>
                <w:szCs w:val="20"/>
              </w:rPr>
              <w:t>-42</w:t>
            </w:r>
          </w:p>
        </w:tc>
        <w:tc>
          <w:tcPr>
            <w:tcW w:w="745" w:type="dxa"/>
            <w:tcBorders>
              <w:top w:val="single" w:sz="4" w:space="0" w:color="auto"/>
            </w:tcBorders>
            <w:noWrap/>
            <w:vAlign w:val="bottom"/>
            <w:hideMark/>
          </w:tcPr>
          <w:p w:rsidR="00236F32" w:rsidRDefault="00236F32">
            <w:pPr>
              <w:keepNext/>
              <w:tabs>
                <w:tab w:val="left" w:pos="720"/>
              </w:tabs>
              <w:jc w:val="right"/>
              <w:rPr>
                <w:sz w:val="20"/>
                <w:szCs w:val="20"/>
              </w:rPr>
            </w:pPr>
            <w:r>
              <w:rPr>
                <w:sz w:val="20"/>
                <w:szCs w:val="20"/>
              </w:rPr>
              <w:t>-13</w:t>
            </w:r>
          </w:p>
        </w:tc>
        <w:tc>
          <w:tcPr>
            <w:tcW w:w="744" w:type="dxa"/>
            <w:tcBorders>
              <w:top w:val="single" w:sz="4" w:space="0" w:color="auto"/>
            </w:tcBorders>
            <w:noWrap/>
            <w:vAlign w:val="bottom"/>
            <w:hideMark/>
          </w:tcPr>
          <w:p w:rsidR="00236F32" w:rsidRDefault="00236F32">
            <w:pPr>
              <w:keepNext/>
              <w:tabs>
                <w:tab w:val="left" w:pos="720"/>
              </w:tabs>
              <w:jc w:val="right"/>
              <w:rPr>
                <w:sz w:val="20"/>
                <w:szCs w:val="20"/>
              </w:rPr>
            </w:pPr>
            <w:r>
              <w:rPr>
                <w:sz w:val="20"/>
                <w:szCs w:val="20"/>
              </w:rPr>
              <w:t>-1</w:t>
            </w:r>
          </w:p>
        </w:tc>
        <w:tc>
          <w:tcPr>
            <w:tcW w:w="744" w:type="dxa"/>
            <w:tcBorders>
              <w:top w:val="single" w:sz="4" w:space="0" w:color="auto"/>
            </w:tcBorders>
            <w:noWrap/>
            <w:vAlign w:val="bottom"/>
            <w:hideMark/>
          </w:tcPr>
          <w:p w:rsidR="00236F32" w:rsidRDefault="00236F32">
            <w:pPr>
              <w:keepNext/>
              <w:tabs>
                <w:tab w:val="left" w:pos="720"/>
              </w:tabs>
              <w:jc w:val="right"/>
              <w:rPr>
                <w:sz w:val="20"/>
                <w:szCs w:val="20"/>
              </w:rPr>
            </w:pPr>
            <w:r>
              <w:rPr>
                <w:sz w:val="20"/>
                <w:szCs w:val="20"/>
              </w:rPr>
              <w:t>-19</w:t>
            </w:r>
          </w:p>
        </w:tc>
        <w:tc>
          <w:tcPr>
            <w:tcW w:w="744" w:type="dxa"/>
            <w:tcBorders>
              <w:top w:val="single" w:sz="4" w:space="0" w:color="auto"/>
            </w:tcBorders>
            <w:noWrap/>
            <w:vAlign w:val="bottom"/>
            <w:hideMark/>
          </w:tcPr>
          <w:p w:rsidR="00236F32" w:rsidRDefault="00236F32">
            <w:pPr>
              <w:keepNext/>
              <w:tabs>
                <w:tab w:val="left" w:pos="720"/>
              </w:tabs>
              <w:jc w:val="right"/>
              <w:rPr>
                <w:sz w:val="20"/>
                <w:szCs w:val="20"/>
              </w:rPr>
            </w:pPr>
            <w:r>
              <w:rPr>
                <w:sz w:val="20"/>
                <w:szCs w:val="20"/>
              </w:rPr>
              <w:t>8</w:t>
            </w:r>
          </w:p>
        </w:tc>
        <w:tc>
          <w:tcPr>
            <w:tcW w:w="745" w:type="dxa"/>
            <w:tcBorders>
              <w:top w:val="single" w:sz="4" w:space="0" w:color="auto"/>
            </w:tcBorders>
            <w:noWrap/>
            <w:vAlign w:val="bottom"/>
            <w:hideMark/>
          </w:tcPr>
          <w:p w:rsidR="00236F32" w:rsidRDefault="00236F32">
            <w:pPr>
              <w:keepNext/>
              <w:tabs>
                <w:tab w:val="left" w:pos="720"/>
              </w:tabs>
              <w:jc w:val="right"/>
              <w:rPr>
                <w:sz w:val="20"/>
                <w:szCs w:val="20"/>
              </w:rPr>
            </w:pPr>
            <w:r>
              <w:rPr>
                <w:sz w:val="20"/>
                <w:szCs w:val="20"/>
              </w:rPr>
              <w:t>-46</w:t>
            </w:r>
          </w:p>
        </w:tc>
        <w:tc>
          <w:tcPr>
            <w:tcW w:w="1055" w:type="dxa"/>
            <w:tcBorders>
              <w:top w:val="single" w:sz="4" w:space="0" w:color="auto"/>
            </w:tcBorders>
            <w:noWrap/>
            <w:vAlign w:val="bottom"/>
            <w:hideMark/>
          </w:tcPr>
          <w:p w:rsidR="00236F32" w:rsidRDefault="00236F32">
            <w:pPr>
              <w:keepNext/>
              <w:tabs>
                <w:tab w:val="left" w:pos="720"/>
              </w:tabs>
              <w:jc w:val="right"/>
              <w:rPr>
                <w:sz w:val="20"/>
                <w:szCs w:val="20"/>
              </w:rPr>
            </w:pPr>
            <w:r>
              <w:rPr>
                <w:sz w:val="20"/>
                <w:szCs w:val="20"/>
              </w:rPr>
              <w:t>121</w:t>
            </w:r>
          </w:p>
        </w:tc>
      </w:tr>
      <w:tr w:rsidR="00236F32" w:rsidTr="000A44CC">
        <w:trPr>
          <w:trHeight w:val="315"/>
        </w:trPr>
        <w:tc>
          <w:tcPr>
            <w:tcW w:w="1951" w:type="dxa"/>
            <w:tcBorders>
              <w:top w:val="nil"/>
              <w:left w:val="nil"/>
              <w:bottom w:val="single" w:sz="4" w:space="0" w:color="auto"/>
              <w:right w:val="nil"/>
            </w:tcBorders>
            <w:noWrap/>
            <w:vAlign w:val="bottom"/>
            <w:hideMark/>
          </w:tcPr>
          <w:p w:rsidR="00236F32" w:rsidRDefault="00236F32">
            <w:pPr>
              <w:keepNext/>
              <w:tabs>
                <w:tab w:val="left" w:pos="720"/>
              </w:tabs>
              <w:rPr>
                <w:sz w:val="20"/>
                <w:szCs w:val="20"/>
              </w:rPr>
            </w:pPr>
            <w:r>
              <w:rPr>
                <w:sz w:val="20"/>
                <w:szCs w:val="20"/>
              </w:rPr>
              <w:t>Difference $pc</w:t>
            </w:r>
          </w:p>
        </w:tc>
        <w:tc>
          <w:tcPr>
            <w:tcW w:w="744" w:type="dxa"/>
            <w:tcBorders>
              <w:top w:val="nil"/>
              <w:left w:val="nil"/>
              <w:bottom w:val="single" w:sz="4" w:space="0" w:color="auto"/>
              <w:right w:val="nil"/>
            </w:tcBorders>
            <w:noWrap/>
            <w:vAlign w:val="bottom"/>
            <w:hideMark/>
          </w:tcPr>
          <w:p w:rsidR="00236F32" w:rsidRDefault="00236F32">
            <w:pPr>
              <w:keepNext/>
              <w:tabs>
                <w:tab w:val="left" w:pos="720"/>
              </w:tabs>
              <w:jc w:val="right"/>
              <w:rPr>
                <w:sz w:val="20"/>
                <w:szCs w:val="20"/>
              </w:rPr>
            </w:pPr>
            <w:r>
              <w:rPr>
                <w:sz w:val="20"/>
                <w:szCs w:val="20"/>
              </w:rPr>
              <w:t>7</w:t>
            </w:r>
          </w:p>
        </w:tc>
        <w:tc>
          <w:tcPr>
            <w:tcW w:w="744" w:type="dxa"/>
            <w:tcBorders>
              <w:top w:val="nil"/>
              <w:left w:val="nil"/>
              <w:bottom w:val="single" w:sz="4" w:space="0" w:color="auto"/>
              <w:right w:val="nil"/>
            </w:tcBorders>
            <w:noWrap/>
            <w:vAlign w:val="bottom"/>
            <w:hideMark/>
          </w:tcPr>
          <w:p w:rsidR="00236F32" w:rsidRDefault="00236F32">
            <w:pPr>
              <w:keepNext/>
              <w:tabs>
                <w:tab w:val="left" w:pos="720"/>
              </w:tabs>
              <w:jc w:val="right"/>
              <w:rPr>
                <w:sz w:val="20"/>
                <w:szCs w:val="20"/>
              </w:rPr>
            </w:pPr>
            <w:r>
              <w:rPr>
                <w:sz w:val="20"/>
                <w:szCs w:val="20"/>
              </w:rPr>
              <w:t>10</w:t>
            </w:r>
          </w:p>
        </w:tc>
        <w:tc>
          <w:tcPr>
            <w:tcW w:w="744" w:type="dxa"/>
            <w:tcBorders>
              <w:top w:val="nil"/>
              <w:left w:val="nil"/>
              <w:bottom w:val="single" w:sz="4" w:space="0" w:color="auto"/>
              <w:right w:val="nil"/>
            </w:tcBorders>
            <w:noWrap/>
            <w:vAlign w:val="bottom"/>
            <w:hideMark/>
          </w:tcPr>
          <w:p w:rsidR="00236F32" w:rsidRDefault="00236F32">
            <w:pPr>
              <w:keepNext/>
              <w:tabs>
                <w:tab w:val="left" w:pos="720"/>
              </w:tabs>
              <w:jc w:val="right"/>
              <w:rPr>
                <w:sz w:val="20"/>
                <w:szCs w:val="20"/>
              </w:rPr>
            </w:pPr>
            <w:r>
              <w:rPr>
                <w:sz w:val="20"/>
                <w:szCs w:val="20"/>
              </w:rPr>
              <w:t>-9</w:t>
            </w:r>
          </w:p>
        </w:tc>
        <w:tc>
          <w:tcPr>
            <w:tcW w:w="745" w:type="dxa"/>
            <w:tcBorders>
              <w:top w:val="nil"/>
              <w:left w:val="nil"/>
              <w:bottom w:val="single" w:sz="4" w:space="0" w:color="auto"/>
              <w:right w:val="nil"/>
            </w:tcBorders>
            <w:noWrap/>
            <w:vAlign w:val="bottom"/>
            <w:hideMark/>
          </w:tcPr>
          <w:p w:rsidR="00236F32" w:rsidRDefault="00236F32">
            <w:pPr>
              <w:keepNext/>
              <w:tabs>
                <w:tab w:val="left" w:pos="720"/>
              </w:tabs>
              <w:jc w:val="right"/>
              <w:rPr>
                <w:sz w:val="20"/>
                <w:szCs w:val="20"/>
              </w:rPr>
            </w:pPr>
            <w:r>
              <w:rPr>
                <w:sz w:val="20"/>
                <w:szCs w:val="20"/>
              </w:rPr>
              <w:t>-5</w:t>
            </w:r>
          </w:p>
        </w:tc>
        <w:tc>
          <w:tcPr>
            <w:tcW w:w="744" w:type="dxa"/>
            <w:tcBorders>
              <w:top w:val="nil"/>
              <w:left w:val="nil"/>
              <w:bottom w:val="single" w:sz="4" w:space="0" w:color="auto"/>
              <w:right w:val="nil"/>
            </w:tcBorders>
            <w:noWrap/>
            <w:vAlign w:val="bottom"/>
            <w:hideMark/>
          </w:tcPr>
          <w:p w:rsidR="00236F32" w:rsidRDefault="00236F32">
            <w:pPr>
              <w:keepNext/>
              <w:tabs>
                <w:tab w:val="left" w:pos="720"/>
              </w:tabs>
              <w:jc w:val="right"/>
              <w:rPr>
                <w:sz w:val="20"/>
                <w:szCs w:val="20"/>
              </w:rPr>
            </w:pPr>
            <w:r>
              <w:rPr>
                <w:sz w:val="20"/>
                <w:szCs w:val="20"/>
              </w:rPr>
              <w:t>-1</w:t>
            </w:r>
          </w:p>
        </w:tc>
        <w:tc>
          <w:tcPr>
            <w:tcW w:w="744" w:type="dxa"/>
            <w:tcBorders>
              <w:top w:val="nil"/>
              <w:left w:val="nil"/>
              <w:bottom w:val="single" w:sz="4" w:space="0" w:color="auto"/>
              <w:right w:val="nil"/>
            </w:tcBorders>
            <w:noWrap/>
            <w:vAlign w:val="bottom"/>
            <w:hideMark/>
          </w:tcPr>
          <w:p w:rsidR="00236F32" w:rsidRDefault="00236F32">
            <w:pPr>
              <w:keepNext/>
              <w:tabs>
                <w:tab w:val="left" w:pos="720"/>
              </w:tabs>
              <w:jc w:val="right"/>
              <w:rPr>
                <w:sz w:val="20"/>
                <w:szCs w:val="20"/>
              </w:rPr>
            </w:pPr>
            <w:r>
              <w:rPr>
                <w:sz w:val="20"/>
                <w:szCs w:val="20"/>
              </w:rPr>
              <w:t>-37</w:t>
            </w:r>
          </w:p>
        </w:tc>
        <w:tc>
          <w:tcPr>
            <w:tcW w:w="744" w:type="dxa"/>
            <w:tcBorders>
              <w:top w:val="nil"/>
              <w:left w:val="nil"/>
              <w:bottom w:val="single" w:sz="4" w:space="0" w:color="auto"/>
              <w:right w:val="nil"/>
            </w:tcBorders>
            <w:noWrap/>
            <w:vAlign w:val="bottom"/>
            <w:hideMark/>
          </w:tcPr>
          <w:p w:rsidR="00236F32" w:rsidRDefault="00236F32">
            <w:pPr>
              <w:keepNext/>
              <w:tabs>
                <w:tab w:val="left" w:pos="720"/>
              </w:tabs>
              <w:jc w:val="right"/>
              <w:rPr>
                <w:sz w:val="20"/>
                <w:szCs w:val="20"/>
              </w:rPr>
            </w:pPr>
            <w:r>
              <w:rPr>
                <w:sz w:val="20"/>
                <w:szCs w:val="20"/>
              </w:rPr>
              <w:t>20</w:t>
            </w:r>
          </w:p>
        </w:tc>
        <w:tc>
          <w:tcPr>
            <w:tcW w:w="745" w:type="dxa"/>
            <w:tcBorders>
              <w:top w:val="nil"/>
              <w:left w:val="nil"/>
              <w:bottom w:val="single" w:sz="4" w:space="0" w:color="auto"/>
              <w:right w:val="nil"/>
            </w:tcBorders>
            <w:noWrap/>
            <w:vAlign w:val="bottom"/>
            <w:hideMark/>
          </w:tcPr>
          <w:p w:rsidR="00236F32" w:rsidRDefault="00236F32">
            <w:pPr>
              <w:keepNext/>
              <w:tabs>
                <w:tab w:val="left" w:pos="720"/>
              </w:tabs>
              <w:jc w:val="right"/>
              <w:rPr>
                <w:sz w:val="20"/>
                <w:szCs w:val="20"/>
              </w:rPr>
            </w:pPr>
            <w:r>
              <w:rPr>
                <w:sz w:val="20"/>
                <w:szCs w:val="20"/>
              </w:rPr>
              <w:t>-184</w:t>
            </w:r>
          </w:p>
        </w:tc>
        <w:tc>
          <w:tcPr>
            <w:tcW w:w="1055" w:type="dxa"/>
            <w:tcBorders>
              <w:top w:val="nil"/>
              <w:left w:val="nil"/>
              <w:bottom w:val="single" w:sz="4" w:space="0" w:color="auto"/>
              <w:right w:val="nil"/>
            </w:tcBorders>
            <w:noWrap/>
            <w:vAlign w:val="bottom"/>
            <w:hideMark/>
          </w:tcPr>
          <w:p w:rsidR="00236F32" w:rsidRDefault="00236F32">
            <w:pPr>
              <w:keepNext/>
              <w:tabs>
                <w:tab w:val="left" w:pos="720"/>
              </w:tabs>
              <w:jc w:val="right"/>
              <w:rPr>
                <w:sz w:val="20"/>
                <w:szCs w:val="20"/>
              </w:rPr>
            </w:pPr>
            <w:r>
              <w:rPr>
                <w:sz w:val="20"/>
                <w:szCs w:val="20"/>
              </w:rPr>
              <w:t>136</w:t>
            </w:r>
          </w:p>
        </w:tc>
      </w:tr>
    </w:tbl>
    <w:p w:rsidR="007A5E2F" w:rsidRDefault="000E5594" w:rsidP="004619B3">
      <w:pPr>
        <w:pStyle w:val="CGCTableFootnote"/>
      </w:pPr>
      <w:r>
        <w:t>Note:</w:t>
      </w:r>
      <w:r>
        <w:tab/>
      </w:r>
      <w:r w:rsidR="00236F32">
        <w:t>(a) Total GST revenue not distributed on an EPC basis as a result of this assessment.</w:t>
      </w:r>
    </w:p>
    <w:p w:rsidR="00236F32" w:rsidRDefault="007A5E2F" w:rsidP="004619B3">
      <w:pPr>
        <w:pStyle w:val="CGCTableFootnote"/>
        <w:rPr>
          <w:sz w:val="22"/>
          <w:szCs w:val="22"/>
        </w:rPr>
      </w:pPr>
      <w:r>
        <w:tab/>
      </w:r>
      <w:r w:rsidR="00236F32">
        <w:t>(b) In the 2016 Update the Commission used final 2013</w:t>
      </w:r>
      <w:r w:rsidR="00236F32">
        <w:noBreakHyphen/>
        <w:t>14 IPHA data in the health assessment.</w:t>
      </w:r>
    </w:p>
    <w:p w:rsidR="00236F32" w:rsidRDefault="00236F32" w:rsidP="0073669F">
      <w:pPr>
        <w:pStyle w:val="CGCTableFootnote"/>
      </w:pPr>
      <w:r>
        <w:t>Source:</w:t>
      </w:r>
      <w:r>
        <w:tab/>
        <w:t xml:space="preserve">Commission calculation. </w:t>
      </w:r>
    </w:p>
    <w:p w:rsidR="00236F32" w:rsidRPr="000E5594" w:rsidRDefault="00236F32" w:rsidP="005656D2">
      <w:pPr>
        <w:pStyle w:val="CGCNumberedPara"/>
        <w:spacing w:after="80" w:line="320" w:lineRule="atLeast"/>
        <w:rPr>
          <w:sz w:val="24"/>
        </w:rPr>
      </w:pPr>
      <w:r w:rsidRPr="000E5594">
        <w:rPr>
          <w:sz w:val="24"/>
        </w:rPr>
        <w:t>To estimate PHE ED activity for assessment years after 2013</w:t>
      </w:r>
      <w:r w:rsidRPr="000E5594">
        <w:rPr>
          <w:sz w:val="24"/>
        </w:rPr>
        <w:noBreakHyphen/>
        <w:t>14</w:t>
      </w:r>
      <w:r w:rsidR="00692A07">
        <w:rPr>
          <w:sz w:val="24"/>
        </w:rPr>
        <w:t>,</w:t>
      </w:r>
      <w:r w:rsidRPr="000E5594">
        <w:rPr>
          <w:sz w:val="24"/>
        </w:rPr>
        <w:t xml:space="preserve"> </w:t>
      </w:r>
      <w:proofErr w:type="gramStart"/>
      <w:r w:rsidR="007A5E2F" w:rsidRPr="000E5594">
        <w:rPr>
          <w:sz w:val="24"/>
        </w:rPr>
        <w:t>staff</w:t>
      </w:r>
      <w:r w:rsidR="004619B3" w:rsidRPr="000E5594">
        <w:rPr>
          <w:sz w:val="24"/>
        </w:rPr>
        <w:t xml:space="preserve"> have</w:t>
      </w:r>
      <w:proofErr w:type="gramEnd"/>
      <w:r w:rsidRPr="000E5594">
        <w:rPr>
          <w:sz w:val="24"/>
        </w:rPr>
        <w:t xml:space="preserve"> considered using either the proportion of </w:t>
      </w:r>
      <w:r w:rsidR="007428B6" w:rsidRPr="000E5594">
        <w:rPr>
          <w:sz w:val="24"/>
        </w:rPr>
        <w:t xml:space="preserve">overall ED occasions represented by the </w:t>
      </w:r>
      <w:r w:rsidRPr="000E5594">
        <w:rPr>
          <w:sz w:val="24"/>
        </w:rPr>
        <w:t>PHE ED occasions in 2013</w:t>
      </w:r>
      <w:r w:rsidRPr="000E5594">
        <w:rPr>
          <w:sz w:val="24"/>
        </w:rPr>
        <w:noBreakHyphen/>
        <w:t>14</w:t>
      </w:r>
      <w:r w:rsidR="007428B6" w:rsidRPr="000E5594">
        <w:rPr>
          <w:sz w:val="24"/>
        </w:rPr>
        <w:t>,</w:t>
      </w:r>
      <w:r w:rsidRPr="000E5594">
        <w:rPr>
          <w:sz w:val="24"/>
        </w:rPr>
        <w:t xml:space="preserve"> or the </w:t>
      </w:r>
      <w:r w:rsidR="007428B6" w:rsidRPr="000E5594">
        <w:rPr>
          <w:sz w:val="24"/>
        </w:rPr>
        <w:t xml:space="preserve">actual </w:t>
      </w:r>
      <w:r w:rsidRPr="000E5594">
        <w:rPr>
          <w:sz w:val="24"/>
        </w:rPr>
        <w:t xml:space="preserve">number of PHE ED occasions. </w:t>
      </w:r>
      <w:r w:rsidR="004619B3" w:rsidRPr="000E5594">
        <w:rPr>
          <w:sz w:val="24"/>
        </w:rPr>
        <w:t>We have</w:t>
      </w:r>
      <w:r w:rsidRPr="000E5594">
        <w:rPr>
          <w:sz w:val="24"/>
        </w:rPr>
        <w:t xml:space="preserve"> received advice from the IHPA that the proportion of PHE ED occasions w</w:t>
      </w:r>
      <w:r w:rsidR="00E92DE7" w:rsidRPr="000E5594">
        <w:rPr>
          <w:sz w:val="24"/>
        </w:rPr>
        <w:t xml:space="preserve">ould </w:t>
      </w:r>
      <w:r w:rsidRPr="000E5594">
        <w:rPr>
          <w:sz w:val="24"/>
        </w:rPr>
        <w:t xml:space="preserve">most likely </w:t>
      </w:r>
      <w:r w:rsidR="00E92DE7" w:rsidRPr="000E5594">
        <w:rPr>
          <w:sz w:val="24"/>
        </w:rPr>
        <w:t xml:space="preserve">have </w:t>
      </w:r>
      <w:r w:rsidRPr="000E5594">
        <w:rPr>
          <w:sz w:val="24"/>
        </w:rPr>
        <w:t>decrease</w:t>
      </w:r>
      <w:r w:rsidR="00E92DE7" w:rsidRPr="000E5594">
        <w:rPr>
          <w:sz w:val="24"/>
        </w:rPr>
        <w:t>d</w:t>
      </w:r>
      <w:r w:rsidRPr="000E5594">
        <w:rPr>
          <w:sz w:val="24"/>
        </w:rPr>
        <w:t xml:space="preserve"> as coverage of the EDNMDS improves. Therefore rather than using the proportion </w:t>
      </w:r>
      <w:r w:rsidR="007A5E2F" w:rsidRPr="000E5594">
        <w:rPr>
          <w:sz w:val="24"/>
        </w:rPr>
        <w:t xml:space="preserve">of </w:t>
      </w:r>
      <w:r w:rsidRPr="000E5594">
        <w:rPr>
          <w:sz w:val="24"/>
        </w:rPr>
        <w:t>PHE ED occasions in 2013</w:t>
      </w:r>
      <w:r w:rsidRPr="000E5594">
        <w:rPr>
          <w:sz w:val="24"/>
        </w:rPr>
        <w:noBreakHyphen/>
        <w:t xml:space="preserve">14, staff propose recommending that the Commission use the </w:t>
      </w:r>
      <w:r w:rsidR="00E92DE7" w:rsidRPr="000E5594">
        <w:rPr>
          <w:sz w:val="24"/>
        </w:rPr>
        <w:t xml:space="preserve">actual </w:t>
      </w:r>
      <w:r w:rsidRPr="000E5594">
        <w:rPr>
          <w:sz w:val="24"/>
        </w:rPr>
        <w:t xml:space="preserve">number of </w:t>
      </w:r>
      <w:r w:rsidR="00E92DE7" w:rsidRPr="000E5594">
        <w:rPr>
          <w:sz w:val="24"/>
        </w:rPr>
        <w:t xml:space="preserve">PHE </w:t>
      </w:r>
      <w:r w:rsidRPr="000E5594">
        <w:rPr>
          <w:sz w:val="24"/>
        </w:rPr>
        <w:t>occasions in 2013</w:t>
      </w:r>
      <w:r w:rsidRPr="000E5594">
        <w:rPr>
          <w:sz w:val="24"/>
        </w:rPr>
        <w:noBreakHyphen/>
        <w:t>14</w:t>
      </w:r>
      <w:r w:rsidR="007A5E2F" w:rsidRPr="000E5594">
        <w:rPr>
          <w:sz w:val="24"/>
        </w:rPr>
        <w:t xml:space="preserve"> for </w:t>
      </w:r>
      <w:r w:rsidR="00C72B1E">
        <w:rPr>
          <w:sz w:val="24"/>
        </w:rPr>
        <w:t>2014</w:t>
      </w:r>
      <w:r w:rsidR="00C72B1E">
        <w:rPr>
          <w:sz w:val="24"/>
        </w:rPr>
        <w:noBreakHyphen/>
      </w:r>
      <w:r w:rsidR="00E92DE7" w:rsidRPr="000E5594">
        <w:rPr>
          <w:sz w:val="24"/>
        </w:rPr>
        <w:t xml:space="preserve">15 and </w:t>
      </w:r>
      <w:r w:rsidR="007A5E2F" w:rsidRPr="000E5594">
        <w:rPr>
          <w:sz w:val="24"/>
        </w:rPr>
        <w:t>future years</w:t>
      </w:r>
      <w:r w:rsidRPr="000E5594">
        <w:rPr>
          <w:sz w:val="24"/>
        </w:rPr>
        <w:t>.</w:t>
      </w:r>
      <w:r w:rsidR="007A5E2F" w:rsidRPr="000E5594">
        <w:rPr>
          <w:sz w:val="24"/>
        </w:rPr>
        <w:t xml:space="preserve"> </w:t>
      </w:r>
      <w:r w:rsidR="007428B6" w:rsidRPr="000E5594">
        <w:rPr>
          <w:sz w:val="24"/>
        </w:rPr>
        <w:t>This approach means that a</w:t>
      </w:r>
      <w:r w:rsidR="007A5E2F" w:rsidRPr="000E5594">
        <w:rPr>
          <w:sz w:val="24"/>
        </w:rPr>
        <w:t xml:space="preserve">s the </w:t>
      </w:r>
      <w:r w:rsidR="000A44CC" w:rsidRPr="000E5594">
        <w:rPr>
          <w:sz w:val="24"/>
        </w:rPr>
        <w:t>EDNMDS</w:t>
      </w:r>
      <w:r w:rsidR="007A5E2F" w:rsidRPr="000E5594">
        <w:rPr>
          <w:sz w:val="24"/>
        </w:rPr>
        <w:t xml:space="preserve"> captured activity increases</w:t>
      </w:r>
      <w:r w:rsidR="00E92DE7" w:rsidRPr="000E5594">
        <w:rPr>
          <w:sz w:val="24"/>
        </w:rPr>
        <w:t>,</w:t>
      </w:r>
      <w:r w:rsidR="007A5E2F" w:rsidRPr="000E5594">
        <w:rPr>
          <w:sz w:val="24"/>
        </w:rPr>
        <w:t xml:space="preserve"> the proportion of overall activity represented by </w:t>
      </w:r>
      <w:r w:rsidR="00E92DE7" w:rsidRPr="000E5594">
        <w:rPr>
          <w:sz w:val="24"/>
        </w:rPr>
        <w:t>the</w:t>
      </w:r>
      <w:r w:rsidR="007A5E2F" w:rsidRPr="000E5594">
        <w:rPr>
          <w:sz w:val="24"/>
        </w:rPr>
        <w:t xml:space="preserve"> PHE data</w:t>
      </w:r>
      <w:r w:rsidR="000A44CC">
        <w:rPr>
          <w:sz w:val="24"/>
        </w:rPr>
        <w:t xml:space="preserve"> will decrease</w:t>
      </w:r>
      <w:r w:rsidR="007A5E2F" w:rsidRPr="000E5594">
        <w:rPr>
          <w:sz w:val="24"/>
        </w:rPr>
        <w:t>.</w:t>
      </w:r>
      <w:r w:rsidRPr="000E5594">
        <w:rPr>
          <w:sz w:val="24"/>
        </w:rPr>
        <w:t xml:space="preserve"> </w:t>
      </w:r>
    </w:p>
    <w:p w:rsidR="00E92DE7" w:rsidRDefault="00E92DE7" w:rsidP="005656D2">
      <w:pPr>
        <w:pStyle w:val="Heading4"/>
        <w:spacing w:before="120" w:after="80" w:line="320" w:lineRule="atLeast"/>
      </w:pPr>
      <w:r>
        <w:t>Recommendation</w:t>
      </w:r>
    </w:p>
    <w:tbl>
      <w:tblPr>
        <w:tblStyle w:val="TableGrid"/>
        <w:tblW w:w="0" w:type="auto"/>
        <w:tblInd w:w="567" w:type="dxa"/>
        <w:tblLook w:val="04A0" w:firstRow="1" w:lastRow="0" w:firstColumn="1" w:lastColumn="0" w:noHBand="0" w:noVBand="1"/>
      </w:tblPr>
      <w:tblGrid>
        <w:gridCol w:w="8600"/>
      </w:tblGrid>
      <w:tr w:rsidR="000E5594" w:rsidTr="000E5594">
        <w:tc>
          <w:tcPr>
            <w:tcW w:w="9167" w:type="dxa"/>
            <w:tcBorders>
              <w:top w:val="nil"/>
              <w:left w:val="nil"/>
              <w:bottom w:val="nil"/>
              <w:right w:val="nil"/>
            </w:tcBorders>
            <w:shd w:val="clear" w:color="auto" w:fill="D9F3E6"/>
          </w:tcPr>
          <w:p w:rsidR="000E5594" w:rsidRPr="000E5594" w:rsidRDefault="000E5594" w:rsidP="005656D2">
            <w:pPr>
              <w:pStyle w:val="CGCNumberedPara"/>
              <w:numPr>
                <w:ilvl w:val="0"/>
                <w:numId w:val="0"/>
              </w:numPr>
              <w:spacing w:after="80" w:line="320" w:lineRule="atLeast"/>
              <w:ind w:left="567" w:hanging="567"/>
              <w:rPr>
                <w:sz w:val="24"/>
              </w:rPr>
            </w:pPr>
            <w:r w:rsidRPr="000E5594">
              <w:rPr>
                <w:sz w:val="24"/>
              </w:rPr>
              <w:t>Staff propose to recommend that the Commission:</w:t>
            </w:r>
          </w:p>
          <w:p w:rsidR="000E5594" w:rsidRPr="000E5594" w:rsidRDefault="006828AA" w:rsidP="005656D2">
            <w:pPr>
              <w:pStyle w:val="ListParagraph"/>
              <w:numPr>
                <w:ilvl w:val="0"/>
                <w:numId w:val="41"/>
              </w:numPr>
              <w:spacing w:before="120" w:after="80" w:line="320" w:lineRule="atLeast"/>
              <w:rPr>
                <w:sz w:val="24"/>
              </w:rPr>
            </w:pPr>
            <w:r>
              <w:rPr>
                <w:sz w:val="24"/>
              </w:rPr>
              <w:lastRenderedPageBreak/>
              <w:t>use 2015</w:t>
            </w:r>
            <w:r>
              <w:rPr>
                <w:sz w:val="24"/>
              </w:rPr>
              <w:noBreakHyphen/>
            </w:r>
            <w:r w:rsidR="000E5594" w:rsidRPr="000E5594">
              <w:rPr>
                <w:sz w:val="24"/>
              </w:rPr>
              <w:t xml:space="preserve">16 IHPA data in the 2017 Update when they become available in January 2017 </w:t>
            </w:r>
          </w:p>
          <w:p w:rsidR="000E5594" w:rsidRPr="000E5594" w:rsidRDefault="000E5594" w:rsidP="005656D2">
            <w:pPr>
              <w:pStyle w:val="ListParagraph"/>
              <w:numPr>
                <w:ilvl w:val="0"/>
                <w:numId w:val="41"/>
              </w:numPr>
              <w:spacing w:before="120" w:after="80" w:line="320" w:lineRule="atLeast"/>
              <w:rPr>
                <w:sz w:val="24"/>
              </w:rPr>
            </w:pPr>
            <w:r w:rsidRPr="000E5594">
              <w:rPr>
                <w:sz w:val="24"/>
              </w:rPr>
              <w:t>for the ED component in the Health category, use the number of PHE ED occasions in 2013</w:t>
            </w:r>
            <w:r w:rsidRPr="000E5594">
              <w:rPr>
                <w:sz w:val="24"/>
              </w:rPr>
              <w:noBreakHyphen/>
              <w:t>14 to estimate the number of ED occasions for hospitals not covered by the EDNMDS</w:t>
            </w:r>
          </w:p>
          <w:p w:rsidR="000E5594" w:rsidRDefault="000E5594" w:rsidP="005656D2">
            <w:pPr>
              <w:pStyle w:val="ListParagraph"/>
              <w:numPr>
                <w:ilvl w:val="0"/>
                <w:numId w:val="41"/>
              </w:numPr>
              <w:spacing w:before="120" w:after="80" w:line="320" w:lineRule="atLeast"/>
            </w:pPr>
            <w:proofErr w:type="gramStart"/>
            <w:r w:rsidRPr="000E5594">
              <w:rPr>
                <w:sz w:val="24"/>
              </w:rPr>
              <w:t>continue</w:t>
            </w:r>
            <w:proofErr w:type="gramEnd"/>
            <w:r w:rsidRPr="000E5594">
              <w:rPr>
                <w:sz w:val="24"/>
              </w:rPr>
              <w:t xml:space="preserve"> to use this estimate until the next methodology review or until IHPA advises that the EDNMDS data is sufficiently comprehensive. </w:t>
            </w:r>
          </w:p>
        </w:tc>
      </w:tr>
    </w:tbl>
    <w:p w:rsidR="00DC0F02" w:rsidRPr="000E5594" w:rsidRDefault="00236F32" w:rsidP="000D03E7">
      <w:pPr>
        <w:pStyle w:val="CGCNumberedPara"/>
        <w:spacing w:after="80" w:line="320" w:lineRule="atLeast"/>
        <w:rPr>
          <w:sz w:val="24"/>
        </w:rPr>
      </w:pPr>
      <w:r w:rsidRPr="000E5594">
        <w:rPr>
          <w:sz w:val="24"/>
        </w:rPr>
        <w:lastRenderedPageBreak/>
        <w:t xml:space="preserve">The Commission welcomes States’ comments </w:t>
      </w:r>
      <w:r w:rsidR="00692A07">
        <w:rPr>
          <w:sz w:val="24"/>
        </w:rPr>
        <w:t xml:space="preserve">on </w:t>
      </w:r>
      <w:r w:rsidRPr="000E5594">
        <w:rPr>
          <w:sz w:val="24"/>
        </w:rPr>
        <w:t xml:space="preserve">this issue. Comments should be provided by </w:t>
      </w:r>
      <w:r w:rsidR="00D90D3F">
        <w:rPr>
          <w:sz w:val="24"/>
        </w:rPr>
        <w:t>9 November 2016</w:t>
      </w:r>
      <w:r w:rsidRPr="000E5594">
        <w:rPr>
          <w:sz w:val="24"/>
        </w:rPr>
        <w:t xml:space="preserve"> to</w:t>
      </w:r>
      <w:r w:rsidR="003F02C0" w:rsidRPr="000E5594">
        <w:rPr>
          <w:sz w:val="24"/>
        </w:rPr>
        <w:t xml:space="preserve"> </w:t>
      </w:r>
      <w:hyperlink r:id="rId9" w:history="1">
        <w:r w:rsidR="003F02C0" w:rsidRPr="000E5594">
          <w:rPr>
            <w:rStyle w:val="Hyperlink"/>
            <w:sz w:val="24"/>
          </w:rPr>
          <w:t>secretary@cgc.gov.au</w:t>
        </w:r>
      </w:hyperlink>
      <w:r w:rsidRPr="000E5594">
        <w:rPr>
          <w:sz w:val="24"/>
        </w:rPr>
        <w:t xml:space="preserve">. The </w:t>
      </w:r>
      <w:r w:rsidR="003F02C0" w:rsidRPr="000E5594">
        <w:rPr>
          <w:sz w:val="24"/>
        </w:rPr>
        <w:t xml:space="preserve">contact officer for queries is </w:t>
      </w:r>
      <w:r w:rsidR="0073669F" w:rsidRPr="000E5594">
        <w:rPr>
          <w:sz w:val="24"/>
        </w:rPr>
        <w:t>Fan Xiang</w:t>
      </w:r>
      <w:r w:rsidRPr="000E5594">
        <w:rPr>
          <w:sz w:val="24"/>
        </w:rPr>
        <w:t xml:space="preserve"> (</w:t>
      </w:r>
      <w:hyperlink r:id="rId10" w:history="1">
        <w:r w:rsidR="003F02C0" w:rsidRPr="000E5594">
          <w:rPr>
            <w:rStyle w:val="Hyperlink"/>
            <w:sz w:val="24"/>
          </w:rPr>
          <w:t>fan.xiang@cgc.gov.au</w:t>
        </w:r>
      </w:hyperlink>
      <w:r w:rsidR="003F02C0" w:rsidRPr="000E5594">
        <w:rPr>
          <w:sz w:val="24"/>
        </w:rPr>
        <w:t xml:space="preserve"> or 02 6229 8817)</w:t>
      </w:r>
      <w:r w:rsidRPr="000E5594">
        <w:rPr>
          <w:sz w:val="24"/>
        </w:rPr>
        <w:t xml:space="preserve">.  </w:t>
      </w:r>
    </w:p>
    <w:sectPr w:rsidR="00DC0F02" w:rsidRPr="000E5594" w:rsidSect="0004123E">
      <w:headerReference w:type="even" r:id="rId11"/>
      <w:headerReference w:type="default" r:id="rId12"/>
      <w:footerReference w:type="even" r:id="rId13"/>
      <w:footerReference w:type="default" r:id="rId14"/>
      <w:headerReference w:type="first" r:id="rId15"/>
      <w:footerReference w:type="first" r:id="rId16"/>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32" w:rsidRDefault="00236F32">
      <w:r>
        <w:separator/>
      </w:r>
    </w:p>
  </w:endnote>
  <w:endnote w:type="continuationSeparator" w:id="0">
    <w:p w:rsidR="00236F32" w:rsidRDefault="0023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387" w:rsidRDefault="00475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BD27F8">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AB1A13" w:rsidP="00DC0F02">
    <w:pPr>
      <w:pStyle w:val="Footer"/>
      <w:tabs>
        <w:tab w:val="right" w:pos="8931"/>
      </w:tabs>
      <w:rPr>
        <w:sz w:val="20"/>
        <w:szCs w:val="20"/>
      </w:rPr>
    </w:pPr>
    <w:r>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BD27F8">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32" w:rsidRDefault="00236F32">
      <w:r>
        <w:separator/>
      </w:r>
    </w:p>
  </w:footnote>
  <w:footnote w:type="continuationSeparator" w:id="0">
    <w:p w:rsidR="00236F32" w:rsidRDefault="0023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387" w:rsidRDefault="00475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387" w:rsidRDefault="00475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387" w:rsidRDefault="00475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F760F9"/>
    <w:multiLevelType w:val="hybridMultilevel"/>
    <w:tmpl w:val="02D89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3">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6"/>
  </w:num>
  <w:num w:numId="5">
    <w:abstractNumId w:val="16"/>
  </w:num>
  <w:num w:numId="6">
    <w:abstractNumId w:val="4"/>
  </w:num>
  <w:num w:numId="7">
    <w:abstractNumId w:val="4"/>
  </w:num>
  <w:num w:numId="8">
    <w:abstractNumId w:val="4"/>
  </w:num>
  <w:num w:numId="9">
    <w:abstractNumId w:val="4"/>
  </w:num>
  <w:num w:numId="10">
    <w:abstractNumId w:val="15"/>
  </w:num>
  <w:num w:numId="11">
    <w:abstractNumId w:val="5"/>
  </w:num>
  <w:num w:numId="12">
    <w:abstractNumId w:val="1"/>
  </w:num>
  <w:num w:numId="13">
    <w:abstractNumId w:val="16"/>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4"/>
  </w:num>
  <w:num w:numId="24">
    <w:abstractNumId w:val="3"/>
  </w:num>
  <w:num w:numId="25">
    <w:abstractNumId w:val="11"/>
  </w:num>
  <w:num w:numId="26">
    <w:abstractNumId w:val="1"/>
  </w:num>
  <w:num w:numId="27">
    <w:abstractNumId w:val="8"/>
  </w:num>
  <w:num w:numId="28">
    <w:abstractNumId w:val="13"/>
  </w:num>
  <w:num w:numId="29">
    <w:abstractNumId w:val="6"/>
  </w:num>
  <w:num w:numId="30">
    <w:abstractNumId w:val="5"/>
    <w:lvlOverride w:ilvl="0">
      <w:startOverride w:val="1"/>
    </w:lvlOverride>
  </w:num>
  <w:num w:numId="31">
    <w:abstractNumId w:val="15"/>
  </w:num>
  <w:num w:numId="32">
    <w:abstractNumId w:val="1"/>
  </w:num>
  <w:num w:numId="33">
    <w:abstractNumId w:val="5"/>
  </w:num>
  <w:num w:numId="34">
    <w:abstractNumId w:val="16"/>
  </w:num>
  <w:num w:numId="35">
    <w:abstractNumId w:val="9"/>
  </w:num>
  <w:num w:numId="36">
    <w:abstractNumId w:val="15"/>
  </w:num>
  <w:num w:numId="37">
    <w:abstractNumId w:val="1"/>
  </w:num>
  <w:num w:numId="38">
    <w:abstractNumId w:val="5"/>
  </w:num>
  <w:num w:numId="39">
    <w:abstractNumId w:val="16"/>
  </w:num>
  <w:num w:numId="40">
    <w:abstractNumId w:val="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AytTQ0NjcxNDe2NDBQ0lEKTi0uzszPAykwqwUA4bQg0SwAAAA="/>
  </w:docVars>
  <w:rsids>
    <w:rsidRoot w:val="00236F32"/>
    <w:rsid w:val="00016FE0"/>
    <w:rsid w:val="00022EA9"/>
    <w:rsid w:val="00024745"/>
    <w:rsid w:val="00032F41"/>
    <w:rsid w:val="0004123E"/>
    <w:rsid w:val="00041748"/>
    <w:rsid w:val="00041E84"/>
    <w:rsid w:val="000424EA"/>
    <w:rsid w:val="00050794"/>
    <w:rsid w:val="00056373"/>
    <w:rsid w:val="00057A50"/>
    <w:rsid w:val="00061111"/>
    <w:rsid w:val="000624BB"/>
    <w:rsid w:val="000648E8"/>
    <w:rsid w:val="0008592D"/>
    <w:rsid w:val="00093054"/>
    <w:rsid w:val="00093796"/>
    <w:rsid w:val="000A3898"/>
    <w:rsid w:val="000A44CC"/>
    <w:rsid w:val="000A52A1"/>
    <w:rsid w:val="000B2942"/>
    <w:rsid w:val="000B3557"/>
    <w:rsid w:val="000B64E3"/>
    <w:rsid w:val="000D03E7"/>
    <w:rsid w:val="000D1354"/>
    <w:rsid w:val="000D7C54"/>
    <w:rsid w:val="000E0210"/>
    <w:rsid w:val="000E5594"/>
    <w:rsid w:val="000E5987"/>
    <w:rsid w:val="000E6AA5"/>
    <w:rsid w:val="000E7F56"/>
    <w:rsid w:val="000F1CDA"/>
    <w:rsid w:val="001039C2"/>
    <w:rsid w:val="001040AD"/>
    <w:rsid w:val="00104564"/>
    <w:rsid w:val="0011178C"/>
    <w:rsid w:val="00112CF0"/>
    <w:rsid w:val="001211AB"/>
    <w:rsid w:val="001218B8"/>
    <w:rsid w:val="00124ED1"/>
    <w:rsid w:val="00136497"/>
    <w:rsid w:val="00141BD1"/>
    <w:rsid w:val="00145202"/>
    <w:rsid w:val="00147115"/>
    <w:rsid w:val="001477CE"/>
    <w:rsid w:val="0016723A"/>
    <w:rsid w:val="00171A05"/>
    <w:rsid w:val="00172F3A"/>
    <w:rsid w:val="001730FD"/>
    <w:rsid w:val="00173798"/>
    <w:rsid w:val="00173BE6"/>
    <w:rsid w:val="00173E72"/>
    <w:rsid w:val="001807C0"/>
    <w:rsid w:val="001811DE"/>
    <w:rsid w:val="00187145"/>
    <w:rsid w:val="001B0110"/>
    <w:rsid w:val="001B1D74"/>
    <w:rsid w:val="001B3048"/>
    <w:rsid w:val="001B696E"/>
    <w:rsid w:val="001B6A56"/>
    <w:rsid w:val="001C469B"/>
    <w:rsid w:val="001C6A71"/>
    <w:rsid w:val="001D56AF"/>
    <w:rsid w:val="001D638B"/>
    <w:rsid w:val="001D6DFA"/>
    <w:rsid w:val="001E6180"/>
    <w:rsid w:val="001E674B"/>
    <w:rsid w:val="001E68FC"/>
    <w:rsid w:val="00204026"/>
    <w:rsid w:val="00212948"/>
    <w:rsid w:val="00217839"/>
    <w:rsid w:val="00225A3B"/>
    <w:rsid w:val="0023081D"/>
    <w:rsid w:val="002321A7"/>
    <w:rsid w:val="0023329C"/>
    <w:rsid w:val="00236DC0"/>
    <w:rsid w:val="00236F32"/>
    <w:rsid w:val="002373A2"/>
    <w:rsid w:val="00242517"/>
    <w:rsid w:val="0024260B"/>
    <w:rsid w:val="0024401F"/>
    <w:rsid w:val="0024569B"/>
    <w:rsid w:val="00250E7D"/>
    <w:rsid w:val="00255B5A"/>
    <w:rsid w:val="00256F06"/>
    <w:rsid w:val="002671A2"/>
    <w:rsid w:val="00267496"/>
    <w:rsid w:val="00275B68"/>
    <w:rsid w:val="002845EA"/>
    <w:rsid w:val="00286EBE"/>
    <w:rsid w:val="00295B70"/>
    <w:rsid w:val="002A2A08"/>
    <w:rsid w:val="002A2D93"/>
    <w:rsid w:val="002A4E42"/>
    <w:rsid w:val="002A77C3"/>
    <w:rsid w:val="002B10B0"/>
    <w:rsid w:val="002B169C"/>
    <w:rsid w:val="002B4266"/>
    <w:rsid w:val="002B6EFD"/>
    <w:rsid w:val="002B6F33"/>
    <w:rsid w:val="002B79F0"/>
    <w:rsid w:val="002B7F3E"/>
    <w:rsid w:val="002C1D9C"/>
    <w:rsid w:val="002C366F"/>
    <w:rsid w:val="002C4CA9"/>
    <w:rsid w:val="002D2270"/>
    <w:rsid w:val="002E25A8"/>
    <w:rsid w:val="002F04DE"/>
    <w:rsid w:val="002F1CD3"/>
    <w:rsid w:val="002F3356"/>
    <w:rsid w:val="002F6E28"/>
    <w:rsid w:val="002F7E68"/>
    <w:rsid w:val="00302E5E"/>
    <w:rsid w:val="00307DEF"/>
    <w:rsid w:val="00311D33"/>
    <w:rsid w:val="00313664"/>
    <w:rsid w:val="00314F90"/>
    <w:rsid w:val="00317C20"/>
    <w:rsid w:val="0033102E"/>
    <w:rsid w:val="00331401"/>
    <w:rsid w:val="00333234"/>
    <w:rsid w:val="00335ED1"/>
    <w:rsid w:val="00337EF8"/>
    <w:rsid w:val="00342A60"/>
    <w:rsid w:val="0034379D"/>
    <w:rsid w:val="0034646D"/>
    <w:rsid w:val="00347BE5"/>
    <w:rsid w:val="00351732"/>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02C0"/>
    <w:rsid w:val="003F12E9"/>
    <w:rsid w:val="003F59F4"/>
    <w:rsid w:val="00404DCD"/>
    <w:rsid w:val="004077D6"/>
    <w:rsid w:val="004121E7"/>
    <w:rsid w:val="00414E51"/>
    <w:rsid w:val="00420F04"/>
    <w:rsid w:val="00423099"/>
    <w:rsid w:val="00424E79"/>
    <w:rsid w:val="0042661C"/>
    <w:rsid w:val="004274B3"/>
    <w:rsid w:val="00443EC1"/>
    <w:rsid w:val="00453264"/>
    <w:rsid w:val="004619B3"/>
    <w:rsid w:val="00462B54"/>
    <w:rsid w:val="00463064"/>
    <w:rsid w:val="00472461"/>
    <w:rsid w:val="00475387"/>
    <w:rsid w:val="004809B8"/>
    <w:rsid w:val="004821B9"/>
    <w:rsid w:val="00491D88"/>
    <w:rsid w:val="0049605C"/>
    <w:rsid w:val="004965F7"/>
    <w:rsid w:val="004A7048"/>
    <w:rsid w:val="004B0A0A"/>
    <w:rsid w:val="004B1C4B"/>
    <w:rsid w:val="004B60CB"/>
    <w:rsid w:val="004C1CB5"/>
    <w:rsid w:val="004E769A"/>
    <w:rsid w:val="004F5964"/>
    <w:rsid w:val="00500ACD"/>
    <w:rsid w:val="00504061"/>
    <w:rsid w:val="00505BAE"/>
    <w:rsid w:val="00506956"/>
    <w:rsid w:val="00515380"/>
    <w:rsid w:val="005176CA"/>
    <w:rsid w:val="00537A77"/>
    <w:rsid w:val="00541A14"/>
    <w:rsid w:val="00543F9C"/>
    <w:rsid w:val="00546D39"/>
    <w:rsid w:val="00550E84"/>
    <w:rsid w:val="00551368"/>
    <w:rsid w:val="00557112"/>
    <w:rsid w:val="005577B0"/>
    <w:rsid w:val="00562084"/>
    <w:rsid w:val="005656D2"/>
    <w:rsid w:val="00570EED"/>
    <w:rsid w:val="005716FC"/>
    <w:rsid w:val="00575DEF"/>
    <w:rsid w:val="005772CA"/>
    <w:rsid w:val="00583A33"/>
    <w:rsid w:val="005867D2"/>
    <w:rsid w:val="00593B05"/>
    <w:rsid w:val="005963CC"/>
    <w:rsid w:val="00596E19"/>
    <w:rsid w:val="005A241E"/>
    <w:rsid w:val="005A6FED"/>
    <w:rsid w:val="005A78FA"/>
    <w:rsid w:val="005B147E"/>
    <w:rsid w:val="005B1BC4"/>
    <w:rsid w:val="005B6894"/>
    <w:rsid w:val="005C13B2"/>
    <w:rsid w:val="005C27E3"/>
    <w:rsid w:val="005C37CB"/>
    <w:rsid w:val="005C459C"/>
    <w:rsid w:val="005D1A9F"/>
    <w:rsid w:val="005D52FA"/>
    <w:rsid w:val="005E266F"/>
    <w:rsid w:val="005E5734"/>
    <w:rsid w:val="005E73CE"/>
    <w:rsid w:val="005F0368"/>
    <w:rsid w:val="005F07DC"/>
    <w:rsid w:val="005F64FB"/>
    <w:rsid w:val="0060251E"/>
    <w:rsid w:val="00602DDE"/>
    <w:rsid w:val="00611737"/>
    <w:rsid w:val="00614DE8"/>
    <w:rsid w:val="00622669"/>
    <w:rsid w:val="00622FE1"/>
    <w:rsid w:val="00625999"/>
    <w:rsid w:val="00625CE5"/>
    <w:rsid w:val="00635027"/>
    <w:rsid w:val="00637A7F"/>
    <w:rsid w:val="00644A7B"/>
    <w:rsid w:val="006556D9"/>
    <w:rsid w:val="00656DE1"/>
    <w:rsid w:val="00661C46"/>
    <w:rsid w:val="006652D3"/>
    <w:rsid w:val="00667CF3"/>
    <w:rsid w:val="006769C4"/>
    <w:rsid w:val="00677627"/>
    <w:rsid w:val="00677BD5"/>
    <w:rsid w:val="0068025E"/>
    <w:rsid w:val="006828AA"/>
    <w:rsid w:val="00692A07"/>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3669F"/>
    <w:rsid w:val="00740A71"/>
    <w:rsid w:val="007428B6"/>
    <w:rsid w:val="007477C5"/>
    <w:rsid w:val="00747938"/>
    <w:rsid w:val="00762AFB"/>
    <w:rsid w:val="00765BA8"/>
    <w:rsid w:val="00766007"/>
    <w:rsid w:val="00770A26"/>
    <w:rsid w:val="007A1364"/>
    <w:rsid w:val="007A24A0"/>
    <w:rsid w:val="007A4AB2"/>
    <w:rsid w:val="007A5E2F"/>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34BB6"/>
    <w:rsid w:val="00843E6F"/>
    <w:rsid w:val="00846E4A"/>
    <w:rsid w:val="00851AF5"/>
    <w:rsid w:val="00851FB5"/>
    <w:rsid w:val="008647DE"/>
    <w:rsid w:val="00864B95"/>
    <w:rsid w:val="008800D3"/>
    <w:rsid w:val="00886CDD"/>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27440"/>
    <w:rsid w:val="009360D7"/>
    <w:rsid w:val="009362C9"/>
    <w:rsid w:val="00936374"/>
    <w:rsid w:val="00942387"/>
    <w:rsid w:val="0094626F"/>
    <w:rsid w:val="009462D2"/>
    <w:rsid w:val="009652D5"/>
    <w:rsid w:val="009677F8"/>
    <w:rsid w:val="00971146"/>
    <w:rsid w:val="00972A9A"/>
    <w:rsid w:val="00991675"/>
    <w:rsid w:val="00992008"/>
    <w:rsid w:val="00996409"/>
    <w:rsid w:val="00996D00"/>
    <w:rsid w:val="009A03DC"/>
    <w:rsid w:val="009A53BE"/>
    <w:rsid w:val="009A6CF3"/>
    <w:rsid w:val="009B43BF"/>
    <w:rsid w:val="009B4A2D"/>
    <w:rsid w:val="009C1E0B"/>
    <w:rsid w:val="009D545A"/>
    <w:rsid w:val="009D6D44"/>
    <w:rsid w:val="009E22FA"/>
    <w:rsid w:val="009E4744"/>
    <w:rsid w:val="009E4EC9"/>
    <w:rsid w:val="009E5D5A"/>
    <w:rsid w:val="009F2262"/>
    <w:rsid w:val="009F4ADA"/>
    <w:rsid w:val="009F6A0D"/>
    <w:rsid w:val="00A077D8"/>
    <w:rsid w:val="00A07991"/>
    <w:rsid w:val="00A10CDE"/>
    <w:rsid w:val="00A1680D"/>
    <w:rsid w:val="00A23AB0"/>
    <w:rsid w:val="00A266C5"/>
    <w:rsid w:val="00A309C6"/>
    <w:rsid w:val="00A32E4E"/>
    <w:rsid w:val="00A505DE"/>
    <w:rsid w:val="00A5327C"/>
    <w:rsid w:val="00A5721C"/>
    <w:rsid w:val="00A67913"/>
    <w:rsid w:val="00A70FBD"/>
    <w:rsid w:val="00A81A94"/>
    <w:rsid w:val="00A9681E"/>
    <w:rsid w:val="00AA007A"/>
    <w:rsid w:val="00AB073E"/>
    <w:rsid w:val="00AB1A13"/>
    <w:rsid w:val="00AB1E97"/>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A7553"/>
    <w:rsid w:val="00BB09DF"/>
    <w:rsid w:val="00BB3FC5"/>
    <w:rsid w:val="00BB7D5F"/>
    <w:rsid w:val="00BC2B3B"/>
    <w:rsid w:val="00BC4579"/>
    <w:rsid w:val="00BD27F8"/>
    <w:rsid w:val="00BD3D24"/>
    <w:rsid w:val="00C0018A"/>
    <w:rsid w:val="00C00905"/>
    <w:rsid w:val="00C035B5"/>
    <w:rsid w:val="00C11ABD"/>
    <w:rsid w:val="00C14FB2"/>
    <w:rsid w:val="00C176AC"/>
    <w:rsid w:val="00C21EF9"/>
    <w:rsid w:val="00C222F7"/>
    <w:rsid w:val="00C24839"/>
    <w:rsid w:val="00C27C23"/>
    <w:rsid w:val="00C41C84"/>
    <w:rsid w:val="00C46DCC"/>
    <w:rsid w:val="00C554D4"/>
    <w:rsid w:val="00C61B02"/>
    <w:rsid w:val="00C719A2"/>
    <w:rsid w:val="00C72165"/>
    <w:rsid w:val="00C72B1E"/>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43096"/>
    <w:rsid w:val="00D46AB2"/>
    <w:rsid w:val="00D47815"/>
    <w:rsid w:val="00D656EB"/>
    <w:rsid w:val="00D771FD"/>
    <w:rsid w:val="00D7796D"/>
    <w:rsid w:val="00D81B18"/>
    <w:rsid w:val="00D83541"/>
    <w:rsid w:val="00D90D3F"/>
    <w:rsid w:val="00D93A16"/>
    <w:rsid w:val="00D9496D"/>
    <w:rsid w:val="00DA0768"/>
    <w:rsid w:val="00DA161A"/>
    <w:rsid w:val="00DA5A94"/>
    <w:rsid w:val="00DB050B"/>
    <w:rsid w:val="00DB2355"/>
    <w:rsid w:val="00DB3BB4"/>
    <w:rsid w:val="00DC0F02"/>
    <w:rsid w:val="00DC0F8D"/>
    <w:rsid w:val="00DC2284"/>
    <w:rsid w:val="00DC3CA4"/>
    <w:rsid w:val="00DE4578"/>
    <w:rsid w:val="00DF04EE"/>
    <w:rsid w:val="00DF26FF"/>
    <w:rsid w:val="00DF3E35"/>
    <w:rsid w:val="00E03ED5"/>
    <w:rsid w:val="00E06243"/>
    <w:rsid w:val="00E07169"/>
    <w:rsid w:val="00E1688C"/>
    <w:rsid w:val="00E22665"/>
    <w:rsid w:val="00E30499"/>
    <w:rsid w:val="00E30B51"/>
    <w:rsid w:val="00E324BB"/>
    <w:rsid w:val="00E377E8"/>
    <w:rsid w:val="00E43464"/>
    <w:rsid w:val="00E47A69"/>
    <w:rsid w:val="00E571BB"/>
    <w:rsid w:val="00E64A87"/>
    <w:rsid w:val="00E74435"/>
    <w:rsid w:val="00E758AD"/>
    <w:rsid w:val="00E77D4E"/>
    <w:rsid w:val="00E91376"/>
    <w:rsid w:val="00E91860"/>
    <w:rsid w:val="00E92DE7"/>
    <w:rsid w:val="00E954B7"/>
    <w:rsid w:val="00E96FDB"/>
    <w:rsid w:val="00EA107B"/>
    <w:rsid w:val="00EA3E64"/>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16E9D"/>
    <w:rsid w:val="00F22035"/>
    <w:rsid w:val="00F22D18"/>
    <w:rsid w:val="00F35C3B"/>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36F32"/>
    <w:pPr>
      <w:spacing w:after="0" w:line="240" w:lineRule="auto"/>
    </w:pPr>
    <w:rPr>
      <w:rFonts w:ascii="Calibri" w:eastAsia="SimSun" w:hAnsi="Calibri" w:cs="Times New Roman"/>
      <w:lang w:eastAsia="zh-CN"/>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spacing w:before="300" w:after="40"/>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rPr>
      <w:rFonts w:ascii="Tahoma" w:hAnsi="Tahoma" w:cs="Tahoma"/>
      <w:sz w:val="16"/>
      <w:szCs w:val="16"/>
    </w:rPr>
  </w:style>
  <w:style w:type="paragraph" w:styleId="Caption">
    <w:name w:val="caption"/>
    <w:basedOn w:val="Normal"/>
    <w:next w:val="Normal"/>
    <w:link w:val="CaptionChar"/>
    <w:rsid w:val="00622669"/>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spacing w:before="120" w:after="120"/>
      <w:ind w:left="1134" w:right="1134"/>
    </w:pPr>
    <w:rPr>
      <w:szCs w:val="24"/>
    </w:rPr>
  </w:style>
  <w:style w:type="paragraph" w:customStyle="1" w:styleId="CGCSubbulletlist">
    <w:name w:val="CGC Sub bullet list"/>
    <w:aliases w:val="CGC List 2"/>
    <w:basedOn w:val="Normal"/>
    <w:qFormat/>
    <w:rsid w:val="00C21EF9"/>
    <w:pPr>
      <w:numPr>
        <w:numId w:val="39"/>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style>
  <w:style w:type="paragraph" w:customStyle="1" w:styleId="CGCTableFootnote">
    <w:name w:val="CGC Table Footnote"/>
    <w:basedOn w:val="CGCNumberedPara"/>
    <w:next w:val="NoSpacing"/>
    <w:qFormat/>
    <w:rsid w:val="00622669"/>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qFormat/>
    <w:rsid w:val="00622669"/>
    <w:pPr>
      <w:keepNext/>
      <w:keepLines/>
      <w:tabs>
        <w:tab w:val="left" w:pos="1420"/>
      </w:tabs>
      <w:spacing w:before="240" w:after="120"/>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enter" w:pos="4513"/>
        <w:tab w:val="right" w:pos="902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ind w:left="567" w:hanging="567"/>
    </w:pPr>
    <w:rPr>
      <w:sz w:val="20"/>
      <w:szCs w:val="20"/>
    </w:rPr>
  </w:style>
  <w:style w:type="paragraph" w:styleId="Header">
    <w:name w:val="header"/>
    <w:basedOn w:val="Normal"/>
    <w:link w:val="HeaderChar"/>
    <w:uiPriority w:val="99"/>
    <w:unhideWhenUsed/>
    <w:rsid w:val="00622669"/>
    <w:pPr>
      <w:tabs>
        <w:tab w:val="center" w:pos="4513"/>
        <w:tab w:val="right" w:pos="9026"/>
      </w:tabs>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styleId="FollowedHyperlink">
    <w:name w:val="FollowedHyperlink"/>
    <w:basedOn w:val="DefaultParagraphFont"/>
    <w:rsid w:val="003F02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36F32"/>
    <w:pPr>
      <w:spacing w:after="0" w:line="240" w:lineRule="auto"/>
    </w:pPr>
    <w:rPr>
      <w:rFonts w:ascii="Calibri" w:eastAsia="SimSun" w:hAnsi="Calibri" w:cs="Times New Roman"/>
      <w:lang w:eastAsia="zh-CN"/>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spacing w:before="300" w:after="40"/>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rPr>
      <w:rFonts w:ascii="Tahoma" w:hAnsi="Tahoma" w:cs="Tahoma"/>
      <w:sz w:val="16"/>
      <w:szCs w:val="16"/>
    </w:rPr>
  </w:style>
  <w:style w:type="paragraph" w:styleId="Caption">
    <w:name w:val="caption"/>
    <w:basedOn w:val="Normal"/>
    <w:next w:val="Normal"/>
    <w:link w:val="CaptionChar"/>
    <w:rsid w:val="00622669"/>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spacing w:before="120" w:after="120"/>
      <w:ind w:left="1134" w:right="1134"/>
    </w:pPr>
    <w:rPr>
      <w:szCs w:val="24"/>
    </w:rPr>
  </w:style>
  <w:style w:type="paragraph" w:customStyle="1" w:styleId="CGCSubbulletlist">
    <w:name w:val="CGC Sub bullet list"/>
    <w:aliases w:val="CGC List 2"/>
    <w:basedOn w:val="Normal"/>
    <w:qFormat/>
    <w:rsid w:val="00C21EF9"/>
    <w:pPr>
      <w:numPr>
        <w:numId w:val="39"/>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style>
  <w:style w:type="paragraph" w:customStyle="1" w:styleId="CGCTableFootnote">
    <w:name w:val="CGC Table Footnote"/>
    <w:basedOn w:val="CGCNumberedPara"/>
    <w:next w:val="NoSpacing"/>
    <w:qFormat/>
    <w:rsid w:val="00622669"/>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qFormat/>
    <w:rsid w:val="00622669"/>
    <w:pPr>
      <w:keepNext/>
      <w:keepLines/>
      <w:tabs>
        <w:tab w:val="left" w:pos="1420"/>
      </w:tabs>
      <w:spacing w:before="240" w:after="120"/>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enter" w:pos="4513"/>
        <w:tab w:val="right" w:pos="902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ind w:left="567" w:hanging="567"/>
    </w:pPr>
    <w:rPr>
      <w:sz w:val="20"/>
      <w:szCs w:val="20"/>
    </w:rPr>
  </w:style>
  <w:style w:type="paragraph" w:styleId="Header">
    <w:name w:val="header"/>
    <w:basedOn w:val="Normal"/>
    <w:link w:val="HeaderChar"/>
    <w:uiPriority w:val="99"/>
    <w:unhideWhenUsed/>
    <w:rsid w:val="00622669"/>
    <w:pPr>
      <w:tabs>
        <w:tab w:val="center" w:pos="4513"/>
        <w:tab w:val="right" w:pos="9026"/>
      </w:tabs>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styleId="FollowedHyperlink">
    <w:name w:val="FollowedHyperlink"/>
    <w:basedOn w:val="DefaultParagraphFont"/>
    <w:rsid w:val="003F02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9630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an.xiang@cgc.gov.au" TargetMode="External"/><Relationship Id="rId4" Type="http://schemas.microsoft.com/office/2007/relationships/stylesWithEffects" Target="stylesWithEffects.xml"/><Relationship Id="rId9" Type="http://schemas.openxmlformats.org/officeDocument/2006/relationships/hyperlink" Target="mailto:secretary@cg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CFAFC-1E79-4CBF-B2C7-BE8345D5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2016-11-16T03:27:00Z</dcterms:created>
  <dcterms:modified xsi:type="dcterms:W3CDTF">2016-11-16T03:28:00Z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-924474677</vt:i4>
  </property>
  <property fmtid="{D5CDD505-2E9C-101B-9397-08002B2CF9AE}" pid="3" name="_NewReviewCycle">
    <vt:lpwstr/>
  </property>
</Properties>
</file>