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B5" w:rsidRPr="00970E6D" w:rsidRDefault="00CF1EB5" w:rsidP="00CF1EB5">
      <w:pPr>
        <w:tabs>
          <w:tab w:val="clear" w:pos="567"/>
        </w:tabs>
        <w:jc w:val="center"/>
        <w:rPr>
          <w:b/>
          <w:bCs/>
        </w:rPr>
      </w:pPr>
      <w:bookmarkStart w:id="0" w:name="_GoBack"/>
      <w:bookmarkEnd w:id="0"/>
      <w:r w:rsidRPr="00970E6D">
        <w:rPr>
          <w:noProof/>
          <w:lang w:eastAsia="en-AU"/>
        </w:rPr>
        <w:drawing>
          <wp:inline distT="0" distB="0" distL="0" distR="0" wp14:anchorId="69CE7948" wp14:editId="310FB7CB">
            <wp:extent cx="2933700" cy="1524600"/>
            <wp:effectExtent l="19050" t="0" r="0" b="0"/>
            <wp:docPr id="2" name="Picture 2"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r w:rsidRPr="00970E6D">
        <w:rPr>
          <w:b/>
          <w:sz w:val="40"/>
          <w:szCs w:val="40"/>
        </w:rPr>
        <w:t>2015 REVIEW</w:t>
      </w: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Cs/>
          <w:sz w:val="40"/>
          <w:szCs w:val="40"/>
        </w:rPr>
      </w:pPr>
      <w:r>
        <w:rPr>
          <w:b/>
          <w:sz w:val="40"/>
          <w:szCs w:val="40"/>
        </w:rPr>
        <w:t>SIGNIFICANT CHANGES SINCE THE DRAFT REPORT</w:t>
      </w: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p>
    <w:p w:rsidR="00CF1EB5" w:rsidRPr="00970E6D" w:rsidRDefault="00CF1EB5" w:rsidP="00CF1EB5">
      <w:pPr>
        <w:tabs>
          <w:tab w:val="clear" w:pos="567"/>
        </w:tabs>
        <w:jc w:val="center"/>
        <w:rPr>
          <w:b/>
          <w:sz w:val="40"/>
          <w:szCs w:val="40"/>
        </w:rPr>
      </w:pPr>
      <w:r w:rsidRPr="00970E6D">
        <w:rPr>
          <w:b/>
          <w:sz w:val="40"/>
          <w:szCs w:val="40"/>
        </w:rPr>
        <w:t>COMMISSION POSITION PAPER</w:t>
      </w:r>
      <w:r w:rsidRPr="00970E6D">
        <w:rPr>
          <w:b/>
          <w:sz w:val="40"/>
          <w:szCs w:val="40"/>
        </w:rPr>
        <w:br/>
        <w:t>CGC 20</w:t>
      </w:r>
      <w:r>
        <w:rPr>
          <w:b/>
          <w:sz w:val="40"/>
          <w:szCs w:val="40"/>
        </w:rPr>
        <w:t>14</w:t>
      </w:r>
      <w:r w:rsidR="00DB6FA7">
        <w:rPr>
          <w:b/>
          <w:sz w:val="40"/>
          <w:szCs w:val="40"/>
        </w:rPr>
        <w:t>-04</w:t>
      </w:r>
    </w:p>
    <w:p w:rsidR="00CF1EB5" w:rsidRPr="00970E6D" w:rsidRDefault="00CF1EB5" w:rsidP="00CF1EB5">
      <w:pPr>
        <w:tabs>
          <w:tab w:val="clear" w:pos="567"/>
        </w:tabs>
        <w:jc w:val="center"/>
        <w:rPr>
          <w:b/>
          <w:sz w:val="40"/>
          <w:szCs w:val="40"/>
        </w:rPr>
      </w:pPr>
    </w:p>
    <w:p w:rsidR="00CF1EB5" w:rsidRDefault="00CF1EB5" w:rsidP="00CF1EB5">
      <w:pPr>
        <w:tabs>
          <w:tab w:val="clear" w:pos="567"/>
        </w:tabs>
        <w:jc w:val="center"/>
        <w:rPr>
          <w:b/>
          <w:sz w:val="40"/>
          <w:szCs w:val="40"/>
        </w:rPr>
      </w:pPr>
    </w:p>
    <w:p w:rsidR="00CC7888" w:rsidRPr="00970E6D" w:rsidRDefault="00CC7888" w:rsidP="00CF1EB5">
      <w:pPr>
        <w:tabs>
          <w:tab w:val="clear" w:pos="567"/>
        </w:tabs>
        <w:jc w:val="center"/>
        <w:rPr>
          <w:b/>
          <w:sz w:val="40"/>
          <w:szCs w:val="40"/>
        </w:rPr>
      </w:pPr>
    </w:p>
    <w:p w:rsidR="00CF1EB5" w:rsidRPr="00970E6D" w:rsidRDefault="00CF1EB5" w:rsidP="00CF1EB5">
      <w:pPr>
        <w:tabs>
          <w:tab w:val="clear" w:pos="567"/>
        </w:tabs>
        <w:jc w:val="right"/>
      </w:pPr>
      <w:r>
        <w:rPr>
          <w:b/>
          <w:sz w:val="28"/>
          <w:szCs w:val="28"/>
        </w:rPr>
        <w:t>NOVEMBER 2014</w:t>
      </w:r>
    </w:p>
    <w:p w:rsidR="00CF1EB5" w:rsidRPr="00970E6D" w:rsidRDefault="00CF1EB5" w:rsidP="00CF1EB5">
      <w:pPr>
        <w:tabs>
          <w:tab w:val="clear" w:pos="567"/>
        </w:tabs>
        <w:sectPr w:rsidR="00CF1EB5" w:rsidRPr="00970E6D" w:rsidSect="00CF1EB5">
          <w:footerReference w:type="default" r:id="rId10"/>
          <w:footerReference w:type="first" r:id="rId11"/>
          <w:pgSz w:w="11899" w:h="16838" w:code="9"/>
          <w:pgMar w:top="1701" w:right="1474" w:bottom="1701" w:left="1474" w:header="709" w:footer="709" w:gutter="0"/>
          <w:cols w:space="708"/>
          <w:titlePg/>
          <w:docGrid w:linePitch="299"/>
        </w:sectPr>
      </w:pPr>
    </w:p>
    <w:p w:rsidR="00CF1EB5" w:rsidRPr="00970E6D" w:rsidRDefault="00CF1EB5" w:rsidP="00CF1EB5">
      <w:pPr>
        <w:tabs>
          <w:tab w:val="clear" w:pos="567"/>
        </w:tabs>
      </w:pPr>
    </w:p>
    <w:tbl>
      <w:tblPr>
        <w:tblStyle w:val="TableGrid"/>
        <w:tblW w:w="5000" w:type="pct"/>
        <w:tblLook w:val="01E0" w:firstRow="1" w:lastRow="1" w:firstColumn="1" w:lastColumn="1" w:noHBand="0" w:noVBand="0"/>
      </w:tblPr>
      <w:tblGrid>
        <w:gridCol w:w="2943"/>
        <w:gridCol w:w="6224"/>
      </w:tblGrid>
      <w:tr w:rsidR="00CF1EB5" w:rsidRPr="00970E6D" w:rsidTr="00CF1EB5">
        <w:tc>
          <w:tcPr>
            <w:tcW w:w="1605" w:type="pct"/>
            <w:tcBorders>
              <w:top w:val="single" w:sz="4" w:space="0" w:color="auto"/>
              <w:left w:val="single" w:sz="4" w:space="0" w:color="auto"/>
              <w:bottom w:val="single" w:sz="4" w:space="0" w:color="auto"/>
              <w:right w:val="single" w:sz="4" w:space="0" w:color="auto"/>
            </w:tcBorders>
          </w:tcPr>
          <w:p w:rsidR="00CF1EB5" w:rsidRPr="00970E6D" w:rsidRDefault="00CF1EB5" w:rsidP="00CF1EB5">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CF1EB5" w:rsidRPr="00970E6D" w:rsidRDefault="00CF1EB5" w:rsidP="00CF1EB5">
            <w:pPr>
              <w:tabs>
                <w:tab w:val="clear" w:pos="567"/>
              </w:tabs>
            </w:pPr>
            <w:r>
              <w:t>28 November</w:t>
            </w:r>
            <w:r w:rsidRPr="00970E6D">
              <w:t xml:space="preserve"> 20</w:t>
            </w:r>
            <w:r>
              <w:t>14</w:t>
            </w:r>
          </w:p>
        </w:tc>
      </w:tr>
      <w:tr w:rsidR="00CF1EB5" w:rsidRPr="00970E6D" w:rsidTr="00CF1EB5">
        <w:tc>
          <w:tcPr>
            <w:tcW w:w="1605" w:type="pct"/>
            <w:tcBorders>
              <w:top w:val="single" w:sz="4" w:space="0" w:color="auto"/>
              <w:left w:val="single" w:sz="4" w:space="0" w:color="auto"/>
              <w:bottom w:val="single" w:sz="4" w:space="0" w:color="auto"/>
              <w:right w:val="single" w:sz="4" w:space="0" w:color="auto"/>
            </w:tcBorders>
          </w:tcPr>
          <w:p w:rsidR="00CF1EB5" w:rsidRPr="00970E6D" w:rsidRDefault="00CF1EB5" w:rsidP="00CF1EB5">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CF1EB5" w:rsidRPr="00970E6D" w:rsidRDefault="00CF1EB5" w:rsidP="00CF1EB5">
            <w:pPr>
              <w:tabs>
                <w:tab w:val="clear" w:pos="567"/>
              </w:tabs>
            </w:pPr>
            <w:r>
              <w:t>Dan</w:t>
            </w:r>
            <w:r w:rsidR="00F20585">
              <w:t>iel</w:t>
            </w:r>
            <w:r>
              <w:t xml:space="preserve"> Dwyer</w:t>
            </w:r>
            <w:r w:rsidRPr="00970E6D">
              <w:t>,</w:t>
            </w:r>
            <w:r>
              <w:t xml:space="preserve"> 02 62298856</w:t>
            </w:r>
            <w:r w:rsidRPr="00970E6D">
              <w:t>,</w:t>
            </w:r>
            <w:r>
              <w:t xml:space="preserve"> Daniel.dwyer@cgc.gov.au</w:t>
            </w:r>
          </w:p>
        </w:tc>
      </w:tr>
      <w:tr w:rsidR="00CF1EB5" w:rsidRPr="00970E6D" w:rsidTr="00CF1EB5">
        <w:tc>
          <w:tcPr>
            <w:tcW w:w="1605" w:type="pct"/>
            <w:tcBorders>
              <w:top w:val="single" w:sz="4" w:space="0" w:color="auto"/>
              <w:left w:val="single" w:sz="4" w:space="0" w:color="auto"/>
              <w:bottom w:val="single" w:sz="4" w:space="0" w:color="auto"/>
              <w:right w:val="single" w:sz="4" w:space="0" w:color="auto"/>
            </w:tcBorders>
          </w:tcPr>
          <w:p w:rsidR="00CF1EB5" w:rsidRPr="00970E6D" w:rsidRDefault="00CF1EB5" w:rsidP="00CF1EB5">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CF1EB5" w:rsidRPr="00970E6D" w:rsidRDefault="00BF52A3" w:rsidP="00CF1EB5">
            <w:pPr>
              <w:tabs>
                <w:tab w:val="clear" w:pos="567"/>
              </w:tabs>
            </w:pPr>
            <w:r>
              <w:t>29 December 2014.</w:t>
            </w:r>
            <w:r w:rsidR="00CF1EB5" w:rsidRPr="00970E6D">
              <w:t xml:space="preserve"> Submissions should be emailed in Word format to </w:t>
            </w:r>
            <w:hyperlink r:id="rId12" w:history="1">
              <w:r w:rsidR="00CF1EB5" w:rsidRPr="00970E6D">
                <w:rPr>
                  <w:rStyle w:val="Hyperlink"/>
                </w:rPr>
                <w:t>secretary@cgc.gov.au</w:t>
              </w:r>
            </w:hyperlink>
            <w:r w:rsidR="00CF1EB5" w:rsidRPr="00970E6D">
              <w:t xml:space="preserve"> .</w:t>
            </w:r>
          </w:p>
          <w:p w:rsidR="00CF1EB5" w:rsidRPr="00970E6D" w:rsidRDefault="00CF1EB5" w:rsidP="00CF1EB5">
            <w:pPr>
              <w:tabs>
                <w:tab w:val="clear" w:pos="567"/>
              </w:tabs>
            </w:pPr>
            <w:r w:rsidRPr="00970E6D">
              <w:t xml:space="preserve">Submissions of more than </w:t>
            </w:r>
            <w:r>
              <w:t>10</w:t>
            </w:r>
            <w:r w:rsidRPr="00970E6D">
              <w:t xml:space="preserve"> pages in length should include a summary section.</w:t>
            </w:r>
          </w:p>
        </w:tc>
      </w:tr>
      <w:tr w:rsidR="00CF1EB5" w:rsidRPr="00970E6D" w:rsidTr="00CF1EB5">
        <w:tc>
          <w:tcPr>
            <w:tcW w:w="1605" w:type="pct"/>
            <w:tcBorders>
              <w:top w:val="single" w:sz="4" w:space="0" w:color="auto"/>
              <w:left w:val="single" w:sz="4" w:space="0" w:color="auto"/>
              <w:bottom w:val="single" w:sz="4" w:space="0" w:color="auto"/>
              <w:right w:val="single" w:sz="4" w:space="0" w:color="auto"/>
            </w:tcBorders>
          </w:tcPr>
          <w:p w:rsidR="00CF1EB5" w:rsidRPr="00970E6D" w:rsidRDefault="00CF1EB5" w:rsidP="00CF1EB5">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CF1EB5" w:rsidRPr="00CF1294" w:rsidRDefault="00BF52A3" w:rsidP="00CF1EB5">
            <w:pPr>
              <w:tabs>
                <w:tab w:val="clear" w:pos="567"/>
              </w:tabs>
            </w:pPr>
            <w:r>
              <w:t>It is the C</w:t>
            </w:r>
            <w:r w:rsidR="00CF1EB5" w:rsidRPr="00CF1294">
              <w:t xml:space="preserve">ommission’s normal practice to make State submissions available on its website under the CC BY licence, allowing free use of content by third parties. </w:t>
            </w:r>
          </w:p>
          <w:p w:rsidR="00CF1EB5" w:rsidRPr="00CF1294" w:rsidRDefault="00CF1EB5" w:rsidP="00CF1EB5">
            <w:pPr>
              <w:tabs>
                <w:tab w:val="clear" w:pos="567"/>
              </w:tabs>
            </w:pPr>
            <w:r w:rsidRPr="00CF1294">
              <w:rPr>
                <w:noProof/>
                <w:lang w:eastAsia="en-AU"/>
              </w:rPr>
              <w:drawing>
                <wp:inline distT="0" distB="0" distL="0" distR="0" wp14:anchorId="430AAB28" wp14:editId="0B54F128">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CF1EB5" w:rsidRPr="00CF1294" w:rsidRDefault="00CF1EB5" w:rsidP="00CF1EB5">
            <w:pPr>
              <w:tabs>
                <w:tab w:val="clear" w:pos="567"/>
              </w:tabs>
            </w:pPr>
            <w:r w:rsidRPr="00CF1294">
              <w:t xml:space="preserve">Further information on the CC BY licence can be found at </w:t>
            </w:r>
            <w:hyperlink r:id="rId14" w:history="1">
              <w:r w:rsidRPr="00CF1294">
                <w:rPr>
                  <w:rStyle w:val="Hyperlink"/>
                </w:rPr>
                <w:t>http://www.creativecommons.org</w:t>
              </w:r>
            </w:hyperlink>
            <w:r w:rsidRPr="00CF1294">
              <w:t xml:space="preserve"> </w:t>
            </w:r>
          </w:p>
          <w:p w:rsidR="00CF1EB5" w:rsidRPr="00970E6D" w:rsidRDefault="00CF1EB5" w:rsidP="00CF1EB5">
            <w:pPr>
              <w:tabs>
                <w:tab w:val="clear" w:pos="567"/>
              </w:tabs>
            </w:pPr>
            <w:r w:rsidRPr="00CF1294">
              <w:t>Confidential material contained in submissions must be clearly identified or included in separate attachment/s, and details provided in the covering email. Identified confidential materia</w:t>
            </w:r>
            <w:r w:rsidR="00BF52A3">
              <w:t>l will not be published on the C</w:t>
            </w:r>
            <w:r w:rsidRPr="00CF1294">
              <w:t>ommission’s website.</w:t>
            </w:r>
          </w:p>
        </w:tc>
      </w:tr>
    </w:tbl>
    <w:p w:rsidR="00CF1EB5" w:rsidRPr="00970E6D" w:rsidRDefault="00CF1EB5" w:rsidP="00CF1EB5">
      <w:pPr>
        <w:tabs>
          <w:tab w:val="clear" w:pos="567"/>
        </w:tabs>
        <w:sectPr w:rsidR="00CF1EB5" w:rsidRPr="00970E6D" w:rsidSect="00CF1EB5">
          <w:headerReference w:type="first" r:id="rId15"/>
          <w:footerReference w:type="first" r:id="rId16"/>
          <w:pgSz w:w="11899" w:h="16838" w:code="9"/>
          <w:pgMar w:top="1701" w:right="1474" w:bottom="1701" w:left="1474" w:header="709" w:footer="709" w:gutter="0"/>
          <w:cols w:space="708"/>
          <w:vAlign w:val="bottom"/>
          <w:titlePg/>
          <w:docGrid w:linePitch="299"/>
        </w:sectPr>
      </w:pPr>
    </w:p>
    <w:p w:rsidR="00CF1EB5" w:rsidRPr="00970E6D" w:rsidRDefault="00CF1EB5" w:rsidP="00CF1EB5">
      <w:pPr>
        <w:pStyle w:val="Heading1"/>
      </w:pPr>
      <w:bookmarkStart w:id="1" w:name="_Toc404157471"/>
      <w:r w:rsidRPr="00970E6D">
        <w:lastRenderedPageBreak/>
        <w:t>CONTENTS</w:t>
      </w:r>
      <w:bookmarkEnd w:id="1"/>
    </w:p>
    <w:p w:rsidR="00CF1EB5" w:rsidRPr="00970E6D" w:rsidRDefault="00CF1EB5" w:rsidP="00CF1EB5">
      <w:pPr>
        <w:tabs>
          <w:tab w:val="clear" w:pos="567"/>
        </w:tabs>
      </w:pPr>
    </w:p>
    <w:p w:rsidR="00CF1EB5" w:rsidRPr="00970E6D" w:rsidRDefault="00CF1EB5" w:rsidP="00CF1EB5">
      <w:pPr>
        <w:tabs>
          <w:tab w:val="clear" w:pos="567"/>
        </w:tabs>
      </w:pPr>
    </w:p>
    <w:p w:rsidR="00914585" w:rsidRDefault="00CF1EB5">
      <w:pPr>
        <w:pStyle w:val="TOC1"/>
        <w:tabs>
          <w:tab w:val="right" w:pos="8941"/>
        </w:tabs>
        <w:rPr>
          <w:rFonts w:eastAsiaTheme="minorEastAsia"/>
          <w:noProof/>
          <w:sz w:val="22"/>
          <w:lang w:eastAsia="en-AU"/>
        </w:rPr>
      </w:pPr>
      <w:r>
        <w:fldChar w:fldCharType="begin"/>
      </w:r>
      <w:r>
        <w:instrText xml:space="preserve"> TOC \f \h \z \u \t "Heading 3,1,Heading 4,2" </w:instrText>
      </w:r>
      <w:r>
        <w:fldChar w:fldCharType="separate"/>
      </w:r>
      <w:hyperlink w:anchor="_Toc404164789" w:history="1">
        <w:r w:rsidR="00914585" w:rsidRPr="0017571C">
          <w:rPr>
            <w:rStyle w:val="Hyperlink"/>
            <w:noProof/>
          </w:rPr>
          <w:t>SUMMARY</w:t>
        </w:r>
        <w:r w:rsidR="00914585">
          <w:rPr>
            <w:noProof/>
            <w:webHidden/>
          </w:rPr>
          <w:tab/>
        </w:r>
        <w:r w:rsidR="00914585">
          <w:rPr>
            <w:noProof/>
            <w:webHidden/>
          </w:rPr>
          <w:fldChar w:fldCharType="begin"/>
        </w:r>
        <w:r w:rsidR="00914585">
          <w:rPr>
            <w:noProof/>
            <w:webHidden/>
          </w:rPr>
          <w:instrText xml:space="preserve"> PAGEREF _Toc404164789 \h </w:instrText>
        </w:r>
        <w:r w:rsidR="00914585">
          <w:rPr>
            <w:noProof/>
            <w:webHidden/>
          </w:rPr>
        </w:r>
        <w:r w:rsidR="00914585">
          <w:rPr>
            <w:noProof/>
            <w:webHidden/>
          </w:rPr>
          <w:fldChar w:fldCharType="separate"/>
        </w:r>
        <w:r w:rsidR="00781EF8">
          <w:rPr>
            <w:noProof/>
            <w:webHidden/>
          </w:rPr>
          <w:t>1</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0" w:history="1">
        <w:r w:rsidR="00914585" w:rsidRPr="0017571C">
          <w:rPr>
            <w:rStyle w:val="Hyperlink"/>
            <w:noProof/>
          </w:rPr>
          <w:t>BACKGROUND</w:t>
        </w:r>
        <w:r w:rsidR="00914585">
          <w:rPr>
            <w:noProof/>
            <w:webHidden/>
          </w:rPr>
          <w:tab/>
        </w:r>
        <w:r w:rsidR="00914585">
          <w:rPr>
            <w:noProof/>
            <w:webHidden/>
          </w:rPr>
          <w:fldChar w:fldCharType="begin"/>
        </w:r>
        <w:r w:rsidR="00914585">
          <w:rPr>
            <w:noProof/>
            <w:webHidden/>
          </w:rPr>
          <w:instrText xml:space="preserve"> PAGEREF _Toc404164790 \h </w:instrText>
        </w:r>
        <w:r w:rsidR="00914585">
          <w:rPr>
            <w:noProof/>
            <w:webHidden/>
          </w:rPr>
        </w:r>
        <w:r w:rsidR="00914585">
          <w:rPr>
            <w:noProof/>
            <w:webHidden/>
          </w:rPr>
          <w:fldChar w:fldCharType="separate"/>
        </w:r>
        <w:r>
          <w:rPr>
            <w:noProof/>
            <w:webHidden/>
          </w:rPr>
          <w:t>2</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1" w:history="1">
        <w:r w:rsidR="00914585" w:rsidRPr="0017571C">
          <w:rPr>
            <w:rStyle w:val="Hyperlink"/>
            <w:noProof/>
          </w:rPr>
          <w:t>ISSUES</w:t>
        </w:r>
        <w:r w:rsidR="00914585">
          <w:rPr>
            <w:noProof/>
            <w:webHidden/>
          </w:rPr>
          <w:tab/>
        </w:r>
        <w:r w:rsidR="00914585">
          <w:rPr>
            <w:noProof/>
            <w:webHidden/>
          </w:rPr>
          <w:fldChar w:fldCharType="begin"/>
        </w:r>
        <w:r w:rsidR="00914585">
          <w:rPr>
            <w:noProof/>
            <w:webHidden/>
          </w:rPr>
          <w:instrText xml:space="preserve"> PAGEREF _Toc404164791 \h </w:instrText>
        </w:r>
        <w:r w:rsidR="00914585">
          <w:rPr>
            <w:noProof/>
            <w:webHidden/>
          </w:rPr>
        </w:r>
        <w:r w:rsidR="00914585">
          <w:rPr>
            <w:noProof/>
            <w:webHidden/>
          </w:rPr>
          <w:fldChar w:fldCharType="separate"/>
        </w:r>
        <w:r>
          <w:rPr>
            <w:noProof/>
            <w:webHidden/>
          </w:rPr>
          <w:t>2</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2" w:history="1">
        <w:r w:rsidR="00914585" w:rsidRPr="0017571C">
          <w:rPr>
            <w:rStyle w:val="Hyperlink"/>
            <w:noProof/>
          </w:rPr>
          <w:t xml:space="preserve">Mining </w:t>
        </w:r>
        <w:r w:rsidR="00BF52A3">
          <w:rPr>
            <w:rStyle w:val="Hyperlink"/>
            <w:noProof/>
          </w:rPr>
          <w:t>r</w:t>
        </w:r>
        <w:r w:rsidR="00914585" w:rsidRPr="0017571C">
          <w:rPr>
            <w:rStyle w:val="Hyperlink"/>
            <w:noProof/>
          </w:rPr>
          <w:t>evenue assessment</w:t>
        </w:r>
        <w:r w:rsidR="00914585">
          <w:rPr>
            <w:noProof/>
            <w:webHidden/>
          </w:rPr>
          <w:tab/>
        </w:r>
        <w:r w:rsidR="00914585">
          <w:rPr>
            <w:noProof/>
            <w:webHidden/>
          </w:rPr>
          <w:fldChar w:fldCharType="begin"/>
        </w:r>
        <w:r w:rsidR="00914585">
          <w:rPr>
            <w:noProof/>
            <w:webHidden/>
          </w:rPr>
          <w:instrText xml:space="preserve"> PAGEREF _Toc404164792 \h </w:instrText>
        </w:r>
        <w:r w:rsidR="00914585">
          <w:rPr>
            <w:noProof/>
            <w:webHidden/>
          </w:rPr>
        </w:r>
        <w:r w:rsidR="00914585">
          <w:rPr>
            <w:noProof/>
            <w:webHidden/>
          </w:rPr>
          <w:fldChar w:fldCharType="separate"/>
        </w:r>
        <w:r>
          <w:rPr>
            <w:noProof/>
            <w:webHidden/>
          </w:rPr>
          <w:t>3</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3" w:history="1">
        <w:r w:rsidR="00914585" w:rsidRPr="0017571C">
          <w:rPr>
            <w:rStyle w:val="Hyperlink"/>
            <w:noProof/>
          </w:rPr>
          <w:t>Mining related expenditure</w:t>
        </w:r>
        <w:r w:rsidR="00914585">
          <w:rPr>
            <w:noProof/>
            <w:webHidden/>
          </w:rPr>
          <w:tab/>
        </w:r>
        <w:r w:rsidR="00914585">
          <w:rPr>
            <w:noProof/>
            <w:webHidden/>
          </w:rPr>
          <w:fldChar w:fldCharType="begin"/>
        </w:r>
        <w:r w:rsidR="00914585">
          <w:rPr>
            <w:noProof/>
            <w:webHidden/>
          </w:rPr>
          <w:instrText xml:space="preserve"> PAGEREF _Toc404164793 \h </w:instrText>
        </w:r>
        <w:r w:rsidR="00914585">
          <w:rPr>
            <w:noProof/>
            <w:webHidden/>
          </w:rPr>
        </w:r>
        <w:r w:rsidR="00914585">
          <w:rPr>
            <w:noProof/>
            <w:webHidden/>
          </w:rPr>
          <w:fldChar w:fldCharType="separate"/>
        </w:r>
        <w:r>
          <w:rPr>
            <w:noProof/>
            <w:webHidden/>
          </w:rPr>
          <w:t>4</w:t>
        </w:r>
        <w:r w:rsidR="00914585">
          <w:rPr>
            <w:noProof/>
            <w:webHidden/>
          </w:rPr>
          <w:fldChar w:fldCharType="end"/>
        </w:r>
      </w:hyperlink>
    </w:p>
    <w:p w:rsidR="00914585" w:rsidRDefault="00781EF8">
      <w:pPr>
        <w:pStyle w:val="TOC2"/>
        <w:rPr>
          <w:rFonts w:eastAsiaTheme="minorEastAsia"/>
          <w:noProof/>
          <w:sz w:val="22"/>
          <w:lang w:eastAsia="en-AU"/>
        </w:rPr>
      </w:pPr>
      <w:hyperlink w:anchor="_Toc404164794" w:history="1">
        <w:r w:rsidR="00914585" w:rsidRPr="0017571C">
          <w:rPr>
            <w:rStyle w:val="Hyperlink"/>
            <w:noProof/>
          </w:rPr>
          <w:t>Planning and regulation of investment projects</w:t>
        </w:r>
        <w:r w:rsidR="00914585">
          <w:rPr>
            <w:noProof/>
            <w:webHidden/>
          </w:rPr>
          <w:tab/>
        </w:r>
        <w:r w:rsidR="00914585">
          <w:rPr>
            <w:noProof/>
            <w:webHidden/>
          </w:rPr>
          <w:fldChar w:fldCharType="begin"/>
        </w:r>
        <w:r w:rsidR="00914585">
          <w:rPr>
            <w:noProof/>
            <w:webHidden/>
          </w:rPr>
          <w:instrText xml:space="preserve"> PAGEREF _Toc404164794 \h </w:instrText>
        </w:r>
        <w:r w:rsidR="00914585">
          <w:rPr>
            <w:noProof/>
            <w:webHidden/>
          </w:rPr>
        </w:r>
        <w:r w:rsidR="00914585">
          <w:rPr>
            <w:noProof/>
            <w:webHidden/>
          </w:rPr>
          <w:fldChar w:fldCharType="separate"/>
        </w:r>
        <w:r>
          <w:rPr>
            <w:noProof/>
            <w:webHidden/>
          </w:rPr>
          <w:t>4</w:t>
        </w:r>
        <w:r w:rsidR="00914585">
          <w:rPr>
            <w:noProof/>
            <w:webHidden/>
          </w:rPr>
          <w:fldChar w:fldCharType="end"/>
        </w:r>
      </w:hyperlink>
    </w:p>
    <w:p w:rsidR="00914585" w:rsidRDefault="00781EF8">
      <w:pPr>
        <w:pStyle w:val="TOC2"/>
        <w:rPr>
          <w:rFonts w:eastAsiaTheme="minorEastAsia"/>
          <w:noProof/>
          <w:sz w:val="22"/>
          <w:lang w:eastAsia="en-AU"/>
        </w:rPr>
      </w:pPr>
      <w:hyperlink w:anchor="_Toc404164795" w:history="1">
        <w:r w:rsidR="00914585" w:rsidRPr="0017571C">
          <w:rPr>
            <w:rStyle w:val="Hyperlink"/>
            <w:noProof/>
          </w:rPr>
          <w:t>Capital grants to local government</w:t>
        </w:r>
        <w:r w:rsidR="00914585">
          <w:rPr>
            <w:noProof/>
            <w:webHidden/>
          </w:rPr>
          <w:tab/>
        </w:r>
        <w:r w:rsidR="00914585">
          <w:rPr>
            <w:noProof/>
            <w:webHidden/>
          </w:rPr>
          <w:fldChar w:fldCharType="begin"/>
        </w:r>
        <w:r w:rsidR="00914585">
          <w:rPr>
            <w:noProof/>
            <w:webHidden/>
          </w:rPr>
          <w:instrText xml:space="preserve"> PAGEREF _Toc404164795 \h </w:instrText>
        </w:r>
        <w:r w:rsidR="00914585">
          <w:rPr>
            <w:noProof/>
            <w:webHidden/>
          </w:rPr>
        </w:r>
        <w:r w:rsidR="00914585">
          <w:rPr>
            <w:noProof/>
            <w:webHidden/>
          </w:rPr>
          <w:fldChar w:fldCharType="separate"/>
        </w:r>
        <w:r>
          <w:rPr>
            <w:noProof/>
            <w:webHidden/>
          </w:rPr>
          <w:t>5</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6" w:history="1">
        <w:r w:rsidR="00914585" w:rsidRPr="0017571C">
          <w:rPr>
            <w:rStyle w:val="Hyperlink"/>
            <w:noProof/>
          </w:rPr>
          <w:t>Health</w:t>
        </w:r>
        <w:r w:rsidR="00914585">
          <w:rPr>
            <w:rStyle w:val="Hyperlink"/>
            <w:noProof/>
          </w:rPr>
          <w:t xml:space="preserve"> assessment</w:t>
        </w:r>
        <w:r w:rsidR="00914585">
          <w:rPr>
            <w:noProof/>
            <w:webHidden/>
          </w:rPr>
          <w:tab/>
        </w:r>
        <w:r w:rsidR="00914585">
          <w:rPr>
            <w:noProof/>
            <w:webHidden/>
          </w:rPr>
          <w:fldChar w:fldCharType="begin"/>
        </w:r>
        <w:r w:rsidR="00914585">
          <w:rPr>
            <w:noProof/>
            <w:webHidden/>
          </w:rPr>
          <w:instrText xml:space="preserve"> PAGEREF _Toc404164796 \h </w:instrText>
        </w:r>
        <w:r w:rsidR="00914585">
          <w:rPr>
            <w:noProof/>
            <w:webHidden/>
          </w:rPr>
        </w:r>
        <w:r w:rsidR="00914585">
          <w:rPr>
            <w:noProof/>
            <w:webHidden/>
          </w:rPr>
          <w:fldChar w:fldCharType="separate"/>
        </w:r>
        <w:r>
          <w:rPr>
            <w:noProof/>
            <w:webHidden/>
          </w:rPr>
          <w:t>6</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7" w:history="1">
        <w:r w:rsidR="00914585" w:rsidRPr="0017571C">
          <w:rPr>
            <w:rStyle w:val="Hyperlink"/>
            <w:noProof/>
          </w:rPr>
          <w:t>Welfare</w:t>
        </w:r>
        <w:r w:rsidR="00914585">
          <w:rPr>
            <w:rStyle w:val="Hyperlink"/>
            <w:noProof/>
          </w:rPr>
          <w:t xml:space="preserve"> assessment</w:t>
        </w:r>
        <w:r w:rsidR="00914585">
          <w:rPr>
            <w:noProof/>
            <w:webHidden/>
          </w:rPr>
          <w:tab/>
        </w:r>
        <w:r w:rsidR="00914585">
          <w:rPr>
            <w:noProof/>
            <w:webHidden/>
          </w:rPr>
          <w:fldChar w:fldCharType="begin"/>
        </w:r>
        <w:r w:rsidR="00914585">
          <w:rPr>
            <w:noProof/>
            <w:webHidden/>
          </w:rPr>
          <w:instrText xml:space="preserve"> PAGEREF _Toc404164797 \h </w:instrText>
        </w:r>
        <w:r w:rsidR="00914585">
          <w:rPr>
            <w:noProof/>
            <w:webHidden/>
          </w:rPr>
        </w:r>
        <w:r w:rsidR="00914585">
          <w:rPr>
            <w:noProof/>
            <w:webHidden/>
          </w:rPr>
          <w:fldChar w:fldCharType="separate"/>
        </w:r>
        <w:r>
          <w:rPr>
            <w:noProof/>
            <w:webHidden/>
          </w:rPr>
          <w:t>6</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8" w:history="1">
        <w:r w:rsidR="00914585" w:rsidRPr="0017571C">
          <w:rPr>
            <w:rStyle w:val="Hyperlink"/>
            <w:noProof/>
          </w:rPr>
          <w:t>Regional cost gradient</w:t>
        </w:r>
        <w:r w:rsidR="00914585">
          <w:rPr>
            <w:noProof/>
            <w:webHidden/>
          </w:rPr>
          <w:tab/>
        </w:r>
        <w:r w:rsidR="00914585">
          <w:rPr>
            <w:noProof/>
            <w:webHidden/>
          </w:rPr>
          <w:fldChar w:fldCharType="begin"/>
        </w:r>
        <w:r w:rsidR="00914585">
          <w:rPr>
            <w:noProof/>
            <w:webHidden/>
          </w:rPr>
          <w:instrText xml:space="preserve"> PAGEREF _Toc404164798 \h </w:instrText>
        </w:r>
        <w:r w:rsidR="00914585">
          <w:rPr>
            <w:noProof/>
            <w:webHidden/>
          </w:rPr>
        </w:r>
        <w:r w:rsidR="00914585">
          <w:rPr>
            <w:noProof/>
            <w:webHidden/>
          </w:rPr>
          <w:fldChar w:fldCharType="separate"/>
        </w:r>
        <w:r>
          <w:rPr>
            <w:noProof/>
            <w:webHidden/>
          </w:rPr>
          <w:t>7</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799" w:history="1">
        <w:r w:rsidR="00914585">
          <w:rPr>
            <w:rStyle w:val="Hyperlink"/>
            <w:noProof/>
          </w:rPr>
          <w:t>Urban transport infrastructure assessment</w:t>
        </w:r>
        <w:r w:rsidR="00914585">
          <w:rPr>
            <w:noProof/>
            <w:webHidden/>
          </w:rPr>
          <w:tab/>
        </w:r>
        <w:r w:rsidR="00914585">
          <w:rPr>
            <w:noProof/>
            <w:webHidden/>
          </w:rPr>
          <w:fldChar w:fldCharType="begin"/>
        </w:r>
        <w:r w:rsidR="00914585">
          <w:rPr>
            <w:noProof/>
            <w:webHidden/>
          </w:rPr>
          <w:instrText xml:space="preserve"> PAGEREF _Toc404164799 \h </w:instrText>
        </w:r>
        <w:r w:rsidR="00914585">
          <w:rPr>
            <w:noProof/>
            <w:webHidden/>
          </w:rPr>
        </w:r>
        <w:r w:rsidR="00914585">
          <w:rPr>
            <w:noProof/>
            <w:webHidden/>
          </w:rPr>
          <w:fldChar w:fldCharType="separate"/>
        </w:r>
        <w:r>
          <w:rPr>
            <w:noProof/>
            <w:webHidden/>
          </w:rPr>
          <w:t>9</w:t>
        </w:r>
        <w:r w:rsidR="00914585">
          <w:rPr>
            <w:noProof/>
            <w:webHidden/>
          </w:rPr>
          <w:fldChar w:fldCharType="end"/>
        </w:r>
      </w:hyperlink>
    </w:p>
    <w:p w:rsidR="00914585" w:rsidRDefault="00781EF8">
      <w:pPr>
        <w:pStyle w:val="TOC1"/>
        <w:tabs>
          <w:tab w:val="right" w:pos="8941"/>
        </w:tabs>
        <w:rPr>
          <w:rFonts w:eastAsiaTheme="minorEastAsia"/>
          <w:noProof/>
          <w:sz w:val="22"/>
          <w:lang w:eastAsia="en-AU"/>
        </w:rPr>
      </w:pPr>
      <w:hyperlink w:anchor="_Toc404164800" w:history="1">
        <w:r w:rsidR="00914585" w:rsidRPr="0017571C">
          <w:rPr>
            <w:rStyle w:val="Hyperlink"/>
            <w:noProof/>
          </w:rPr>
          <w:t>Nationally significant infrastructure projects</w:t>
        </w:r>
        <w:r w:rsidR="00914585">
          <w:rPr>
            <w:noProof/>
            <w:webHidden/>
          </w:rPr>
          <w:tab/>
        </w:r>
        <w:r w:rsidR="00914585">
          <w:rPr>
            <w:noProof/>
            <w:webHidden/>
          </w:rPr>
          <w:fldChar w:fldCharType="begin"/>
        </w:r>
        <w:r w:rsidR="00914585">
          <w:rPr>
            <w:noProof/>
            <w:webHidden/>
          </w:rPr>
          <w:instrText xml:space="preserve"> PAGEREF _Toc404164800 \h </w:instrText>
        </w:r>
        <w:r w:rsidR="00914585">
          <w:rPr>
            <w:noProof/>
            <w:webHidden/>
          </w:rPr>
        </w:r>
        <w:r w:rsidR="00914585">
          <w:rPr>
            <w:noProof/>
            <w:webHidden/>
          </w:rPr>
          <w:fldChar w:fldCharType="separate"/>
        </w:r>
        <w:r>
          <w:rPr>
            <w:noProof/>
            <w:webHidden/>
          </w:rPr>
          <w:t>10</w:t>
        </w:r>
        <w:r w:rsidR="00914585">
          <w:rPr>
            <w:noProof/>
            <w:webHidden/>
          </w:rPr>
          <w:fldChar w:fldCharType="end"/>
        </w:r>
      </w:hyperlink>
    </w:p>
    <w:p w:rsidR="00914585" w:rsidRDefault="00914585">
      <w:pPr>
        <w:pStyle w:val="TOC2"/>
        <w:rPr>
          <w:rFonts w:eastAsiaTheme="minorEastAsia"/>
          <w:noProof/>
          <w:sz w:val="22"/>
          <w:lang w:eastAsia="en-AU"/>
        </w:rPr>
      </w:pPr>
    </w:p>
    <w:p w:rsidR="00CF1EB5" w:rsidRPr="00970E6D" w:rsidRDefault="00CF1EB5" w:rsidP="00CF1EB5">
      <w:pPr>
        <w:tabs>
          <w:tab w:val="clear" w:pos="567"/>
        </w:tabs>
      </w:pPr>
      <w:r>
        <w:fldChar w:fldCharType="end"/>
      </w:r>
    </w:p>
    <w:p w:rsidR="00CF1EB5" w:rsidRPr="00970E6D" w:rsidRDefault="00CF1EB5" w:rsidP="00CF1EB5">
      <w:pPr>
        <w:tabs>
          <w:tab w:val="clear" w:pos="567"/>
        </w:tabs>
        <w:sectPr w:rsidR="00CF1EB5" w:rsidRPr="00970E6D" w:rsidSect="00CF1EB5">
          <w:headerReference w:type="first" r:id="rId17"/>
          <w:footerReference w:type="first" r:id="rId18"/>
          <w:pgSz w:w="11899" w:h="16838" w:code="9"/>
          <w:pgMar w:top="1701" w:right="1474" w:bottom="1701" w:left="1474" w:header="709" w:footer="709" w:gutter="0"/>
          <w:pgNumType w:fmt="lowerRoman" w:start="1"/>
          <w:cols w:space="708"/>
          <w:titlePg/>
          <w:docGrid w:linePitch="299"/>
        </w:sectPr>
      </w:pPr>
    </w:p>
    <w:p w:rsidR="00CF1EB5" w:rsidRPr="00970E6D" w:rsidRDefault="00CF1EB5" w:rsidP="00CF1EB5">
      <w:pPr>
        <w:pStyle w:val="Heading3"/>
      </w:pPr>
      <w:bookmarkStart w:id="2" w:name="_Toc404157426"/>
      <w:bookmarkStart w:id="3" w:name="_Toc404157472"/>
      <w:bookmarkStart w:id="4" w:name="_Toc404164789"/>
      <w:bookmarkStart w:id="5" w:name="_Toc106707725"/>
      <w:bookmarkStart w:id="6" w:name="_Toc155675935"/>
      <w:bookmarkStart w:id="7" w:name="_Toc174415770"/>
      <w:bookmarkStart w:id="8" w:name="_Toc174415844"/>
      <w:bookmarkStart w:id="9" w:name="_Toc174415935"/>
      <w:bookmarkStart w:id="10" w:name="_Toc174416620"/>
      <w:bookmarkStart w:id="11" w:name="_Toc174416662"/>
      <w:bookmarkStart w:id="12" w:name="_Toc174416675"/>
      <w:r w:rsidRPr="00970E6D">
        <w:lastRenderedPageBreak/>
        <w:t>SUMMARY</w:t>
      </w:r>
      <w:bookmarkEnd w:id="2"/>
      <w:bookmarkEnd w:id="3"/>
      <w:bookmarkEnd w:id="4"/>
    </w:p>
    <w:tbl>
      <w:tblPr>
        <w:tblW w:w="0" w:type="auto"/>
        <w:tblInd w:w="108" w:type="dxa"/>
        <w:shd w:val="clear" w:color="auto" w:fill="D9F3E6"/>
        <w:tblLook w:val="04A0" w:firstRow="1" w:lastRow="0" w:firstColumn="1" w:lastColumn="0" w:noHBand="0" w:noVBand="1"/>
      </w:tblPr>
      <w:tblGrid>
        <w:gridCol w:w="8931"/>
      </w:tblGrid>
      <w:tr w:rsidR="00CF1EB5" w:rsidRPr="00970E6D" w:rsidTr="00CF1EB5">
        <w:tc>
          <w:tcPr>
            <w:tcW w:w="8931" w:type="dxa"/>
            <w:shd w:val="clear" w:color="auto" w:fill="D9F3E6"/>
          </w:tcPr>
          <w:p w:rsidR="00CF1EB5" w:rsidRPr="00970E6D" w:rsidRDefault="00DB6FA7" w:rsidP="00CF1EB5">
            <w:pPr>
              <w:tabs>
                <w:tab w:val="clear" w:pos="567"/>
              </w:tabs>
            </w:pPr>
            <w:r>
              <w:t>At this stage of our review, and without reducing the scope for us to make changes depending on new State contributions or data, w</w:t>
            </w:r>
            <w:r w:rsidR="00CF1EB5">
              <w:t xml:space="preserve">e </w:t>
            </w:r>
            <w:r w:rsidR="00FA4107">
              <w:t>intend</w:t>
            </w:r>
            <w:r w:rsidR="00CF1EB5">
              <w:t xml:space="preserve"> </w:t>
            </w:r>
            <w:r w:rsidR="00FA4107">
              <w:t xml:space="preserve">to </w:t>
            </w:r>
            <w:r w:rsidR="00CF1EB5">
              <w:t>mak</w:t>
            </w:r>
            <w:r w:rsidR="00FA4107">
              <w:t>e</w:t>
            </w:r>
            <w:r w:rsidR="00CF1EB5">
              <w:t xml:space="preserve"> the following significant changes to draft report assessment</w:t>
            </w:r>
            <w:r w:rsidR="00FA4107">
              <w:t xml:space="preserve"> method</w:t>
            </w:r>
            <w:r w:rsidR="00CF1EB5">
              <w:t>s.</w:t>
            </w:r>
          </w:p>
          <w:p w:rsidR="00CF1EB5" w:rsidRPr="007B47E5" w:rsidRDefault="00CF1EB5" w:rsidP="00CF1EB5">
            <w:pPr>
              <w:pStyle w:val="CGCBulletlist"/>
              <w:numPr>
                <w:ilvl w:val="0"/>
                <w:numId w:val="11"/>
              </w:numPr>
              <w:tabs>
                <w:tab w:val="left" w:pos="1134"/>
              </w:tabs>
            </w:pPr>
            <w:r>
              <w:t>Mining related expenditure. We intend to introduce a</w:t>
            </w:r>
            <w:r w:rsidRPr="007B47E5">
              <w:t xml:space="preserve">ssessments of expenditure related to the planning and regulation of </w:t>
            </w:r>
            <w:r>
              <w:t>investment</w:t>
            </w:r>
            <w:r w:rsidRPr="007B47E5">
              <w:t xml:space="preserve"> projects and capital grants to local governments relating to community development and amenities and culture and recreation.</w:t>
            </w:r>
          </w:p>
          <w:p w:rsidR="005F5CF3" w:rsidRDefault="00CF1EB5" w:rsidP="005F5CF3">
            <w:pPr>
              <w:pStyle w:val="CGCBulletlist"/>
              <w:numPr>
                <w:ilvl w:val="0"/>
                <w:numId w:val="11"/>
              </w:numPr>
              <w:tabs>
                <w:tab w:val="left" w:pos="1134"/>
              </w:tabs>
            </w:pPr>
            <w:r w:rsidRPr="007B47E5">
              <w:t xml:space="preserve">In </w:t>
            </w:r>
            <w:r w:rsidRPr="005F5CF3">
              <w:t>the</w:t>
            </w:r>
            <w:r>
              <w:t xml:space="preserve"> H</w:t>
            </w:r>
            <w:r w:rsidRPr="007B47E5">
              <w:t xml:space="preserve">ealth assessment, </w:t>
            </w:r>
            <w:r w:rsidR="00B12C06">
              <w:t xml:space="preserve">we intend to standardise for SES and age in the calculation of the economic environment factors. </w:t>
            </w:r>
            <w:r w:rsidR="00AB731B">
              <w:t>Consultant reports on the impact of private provision on State services will be sent to States as soon as they are available.</w:t>
            </w:r>
          </w:p>
          <w:p w:rsidR="00CF1EB5" w:rsidRDefault="00CF1EB5" w:rsidP="00CF1EB5">
            <w:pPr>
              <w:pStyle w:val="CGCBulletlist"/>
              <w:numPr>
                <w:ilvl w:val="0"/>
                <w:numId w:val="11"/>
              </w:numPr>
              <w:tabs>
                <w:tab w:val="left" w:pos="1134"/>
              </w:tabs>
            </w:pPr>
            <w:r>
              <w:t>In the Other general welfare component, we intend to use the relative proportions of the population in the bottom SEIFI quintile, adjusted for changes in the level of social disadvantage in each State between the 2006 and 2011 Censuses</w:t>
            </w:r>
            <w:r w:rsidR="00DB6FA7">
              <w:t>. This is measured by the changes in the relative proportions of Health Care Card holders in each State</w:t>
            </w:r>
            <w:r>
              <w:t>.</w:t>
            </w:r>
          </w:p>
          <w:p w:rsidR="00DB6FA7" w:rsidRPr="007B47E5" w:rsidRDefault="00DB6FA7" w:rsidP="00DB6FA7">
            <w:pPr>
              <w:pStyle w:val="CGCBulletlist"/>
              <w:numPr>
                <w:ilvl w:val="0"/>
                <w:numId w:val="11"/>
              </w:numPr>
              <w:tabs>
                <w:tab w:val="left" w:pos="1134"/>
              </w:tabs>
            </w:pPr>
            <w:r w:rsidRPr="007B47E5">
              <w:t xml:space="preserve">We </w:t>
            </w:r>
            <w:r>
              <w:t>intend</w:t>
            </w:r>
            <w:r w:rsidRPr="007B47E5">
              <w:t xml:space="preserve"> to calculate a general regional cost gradient (calculated as the simple average of the revised schools and police gradients) for extrapolation to other categories where a regional costs disability is assessed. The gradient derived from ACARA data will continue to be used for Schools education and the police gradient for Justice.</w:t>
            </w:r>
          </w:p>
          <w:p w:rsidR="003435A4" w:rsidRDefault="00DB6FA7" w:rsidP="00CF1EB5">
            <w:pPr>
              <w:pStyle w:val="CGCBulletlist"/>
              <w:numPr>
                <w:ilvl w:val="0"/>
                <w:numId w:val="11"/>
              </w:numPr>
              <w:tabs>
                <w:tab w:val="left" w:pos="1134"/>
              </w:tabs>
            </w:pPr>
            <w:r>
              <w:t xml:space="preserve">In the </w:t>
            </w:r>
            <w:r w:rsidR="003435A4">
              <w:t>Transport infrastructure assessment</w:t>
            </w:r>
            <w:r>
              <w:t>, we</w:t>
            </w:r>
            <w:r w:rsidR="003435A4">
              <w:t xml:space="preserve"> intend to</w:t>
            </w:r>
            <w:r w:rsidR="00E953AB">
              <w:t xml:space="preserve"> estimate assessed investment</w:t>
            </w:r>
            <w:r w:rsidR="003435A4">
              <w:t xml:space="preserve"> </w:t>
            </w:r>
            <w:r w:rsidR="00E953AB">
              <w:t xml:space="preserve">using </w:t>
            </w:r>
            <w:r w:rsidR="003435A4">
              <w:t>a simple city population based model.</w:t>
            </w:r>
          </w:p>
          <w:p w:rsidR="00CF1EB5" w:rsidRDefault="003435A4" w:rsidP="00CF1EB5">
            <w:pPr>
              <w:pStyle w:val="CGCBulletlist"/>
              <w:numPr>
                <w:ilvl w:val="0"/>
                <w:numId w:val="11"/>
              </w:numPr>
              <w:tabs>
                <w:tab w:val="left" w:pos="1134"/>
              </w:tabs>
            </w:pPr>
            <w:r>
              <w:t>W</w:t>
            </w:r>
            <w:r w:rsidR="00CF1EB5">
              <w:t>e intend to assess national needs in relation to roads and rail infrastructure, based on the distribution of 50% of the Commonwealth payments made for on-network road and rail projects. The advice of the Department of Infrastructure and Regional Development will be sought to determine relevant projects.</w:t>
            </w:r>
            <w:r w:rsidR="00CF1EB5" w:rsidRPr="007B47E5">
              <w:t xml:space="preserve"> </w:t>
            </w:r>
            <w:r w:rsidR="00CF1EB5">
              <w:t>No other needs of national significance will be assessed, unless instructed by terms of reference, because the Commissi</w:t>
            </w:r>
            <w:r w:rsidR="00CF1EB5" w:rsidRPr="007B47E5">
              <w:t>on</w:t>
            </w:r>
            <w:r w:rsidR="00CF1EB5">
              <w:t xml:space="preserve"> is not able to develop a suitable framework for identifying such needs reliably.</w:t>
            </w:r>
          </w:p>
          <w:p w:rsidR="00BC6482" w:rsidRDefault="00BC6482" w:rsidP="00BC6482">
            <w:r>
              <w:t>During our consultations we have also been asked to consider a more contemporaneous assessment, in particular of mining royalty revenue. We include this issue in this paper to invite State views to inform our decision making.</w:t>
            </w:r>
          </w:p>
          <w:p w:rsidR="00CF1EB5" w:rsidRPr="00970E6D" w:rsidRDefault="00CF1EB5" w:rsidP="00CF1EB5">
            <w:pPr>
              <w:pStyle w:val="CGCNumeralList"/>
              <w:numPr>
                <w:ilvl w:val="0"/>
                <w:numId w:val="0"/>
              </w:numPr>
              <w:tabs>
                <w:tab w:val="left" w:pos="2268"/>
              </w:tabs>
            </w:pPr>
          </w:p>
        </w:tc>
      </w:tr>
    </w:tbl>
    <w:p w:rsidR="00CF1EB5" w:rsidRPr="00970E6D" w:rsidRDefault="00CF1EB5" w:rsidP="00CF1EB5">
      <w:pPr>
        <w:pStyle w:val="Heading3"/>
      </w:pPr>
      <w:bookmarkStart w:id="13" w:name="_Toc404157427"/>
      <w:bookmarkStart w:id="14" w:name="_Toc404157473"/>
      <w:bookmarkStart w:id="15" w:name="_Toc404164790"/>
      <w:r w:rsidRPr="00970E6D">
        <w:lastRenderedPageBreak/>
        <w:t>BACKGROUND</w:t>
      </w:r>
      <w:bookmarkEnd w:id="5"/>
      <w:bookmarkEnd w:id="6"/>
      <w:bookmarkEnd w:id="7"/>
      <w:bookmarkEnd w:id="8"/>
      <w:bookmarkEnd w:id="9"/>
      <w:bookmarkEnd w:id="10"/>
      <w:bookmarkEnd w:id="11"/>
      <w:bookmarkEnd w:id="12"/>
      <w:bookmarkEnd w:id="13"/>
      <w:bookmarkEnd w:id="14"/>
      <w:bookmarkEnd w:id="15"/>
    </w:p>
    <w:p w:rsidR="00CF1EB5" w:rsidRPr="0024720A" w:rsidRDefault="00CF1EB5" w:rsidP="00CF1EB5">
      <w:pPr>
        <w:pStyle w:val="CGCNumberedPara"/>
        <w:numPr>
          <w:ilvl w:val="1"/>
          <w:numId w:val="12"/>
        </w:numPr>
      </w:pPr>
      <w:bookmarkStart w:id="16" w:name="_Toc155675723"/>
      <w:bookmarkEnd w:id="16"/>
      <w:r>
        <w:t xml:space="preserve">The terms of reference for the 2015 Review ask the Commission to consult further with States if we expect to make significant changes following consultation on the draft report. This </w:t>
      </w:r>
      <w:r w:rsidR="003435A4">
        <w:t>position</w:t>
      </w:r>
      <w:r>
        <w:t xml:space="preserve"> paper sets out the </w:t>
      </w:r>
      <w:r w:rsidR="00E953AB">
        <w:t xml:space="preserve">method </w:t>
      </w:r>
      <w:r>
        <w:t xml:space="preserve">changes on which we have made decisions and seeks State views on them by the end of December this year. </w:t>
      </w:r>
      <w:r w:rsidRPr="0024720A">
        <w:t xml:space="preserve">The paper attempts to provide sufficient information </w:t>
      </w:r>
      <w:r>
        <w:t xml:space="preserve">for States </w:t>
      </w:r>
      <w:r w:rsidRPr="0024720A">
        <w:t>to understand the change and the reason for it. It does not attempt to respond to all State arguments concerning the issue. This will be done in the final report.</w:t>
      </w:r>
    </w:p>
    <w:p w:rsidR="00CF1EB5" w:rsidRDefault="00CF1EB5" w:rsidP="00CF1EB5">
      <w:pPr>
        <w:pStyle w:val="CGCNumberedPara"/>
        <w:numPr>
          <w:ilvl w:val="1"/>
          <w:numId w:val="12"/>
        </w:numPr>
      </w:pPr>
      <w:r>
        <w:t xml:space="preserve">The paper does not provide details of every change the Commission will be making to draft report assessments. In a number of areas, we have not yet completed our consideration of State views and the analyses required to make informed decisions. For example, the treatment of the Water for the Future payments required data from the States and we have not yet been able to analyse them and make a decision. </w:t>
      </w:r>
      <w:r w:rsidRPr="006E3145">
        <w:t xml:space="preserve">We are also still considering </w:t>
      </w:r>
      <w:r w:rsidR="006E3145">
        <w:t xml:space="preserve">Western Australia’s arguments about whether the Mining Royalties assessment should be more contemporaneous and </w:t>
      </w:r>
      <w:r w:rsidRPr="006E3145">
        <w:t>if and how the inclusion of iron ore fines with the rest of iron ore is to be phased in.</w:t>
      </w:r>
    </w:p>
    <w:p w:rsidR="00CF1EB5" w:rsidRDefault="00CF1EB5" w:rsidP="00CF1EB5">
      <w:pPr>
        <w:pStyle w:val="CGCNumberedPara"/>
        <w:numPr>
          <w:ilvl w:val="1"/>
          <w:numId w:val="12"/>
        </w:numPr>
      </w:pPr>
      <w:r>
        <w:t>In addition, changes relating to new data for all three assessment years, method changes that are not material, or any changes on which State views are very clear and further consultation is not required, are not covered. For example, State views have been received on matters covered in the New and Supplementary Issue</w:t>
      </w:r>
      <w:r w:rsidR="00B12E6C">
        <w:t>s</w:t>
      </w:r>
      <w:r>
        <w:t xml:space="preserve"> paper, such as in relation to Schools and Justice, </w:t>
      </w:r>
      <w:r w:rsidR="00E953AB">
        <w:t xml:space="preserve">but this paper does not cover </w:t>
      </w:r>
      <w:r>
        <w:t xml:space="preserve">those proposed changes </w:t>
      </w:r>
      <w:r w:rsidR="0082775D">
        <w:t xml:space="preserve">where they </w:t>
      </w:r>
      <w:r>
        <w:t xml:space="preserve">have been adopted by the Commission. </w:t>
      </w:r>
    </w:p>
    <w:p w:rsidR="00CF1EB5" w:rsidRPr="00970E6D" w:rsidRDefault="00CF1EB5" w:rsidP="00CF1EB5">
      <w:pPr>
        <w:pStyle w:val="CGCNumberedPara"/>
        <w:numPr>
          <w:ilvl w:val="1"/>
          <w:numId w:val="12"/>
        </w:numPr>
      </w:pPr>
      <w:r>
        <w:t xml:space="preserve">States should also be aware the Commission intends, at a late stage in the review, to re-examine all assessments, including all discounts, to ensure they pass a reality test and are internally consistent. This is consistent with our assessment guidelines. </w:t>
      </w:r>
    </w:p>
    <w:p w:rsidR="00CF1EB5" w:rsidRPr="00970E6D" w:rsidRDefault="00CF1EB5" w:rsidP="00CF1EB5">
      <w:pPr>
        <w:pStyle w:val="Heading3"/>
      </w:pPr>
      <w:bookmarkStart w:id="17" w:name="_Toc106707726"/>
      <w:bookmarkStart w:id="18" w:name="_Toc155675936"/>
      <w:bookmarkStart w:id="19" w:name="_Toc174415771"/>
      <w:bookmarkStart w:id="20" w:name="_Toc174415845"/>
      <w:bookmarkStart w:id="21" w:name="_Toc174415936"/>
      <w:bookmarkStart w:id="22" w:name="_Toc174416621"/>
      <w:bookmarkStart w:id="23" w:name="_Toc174416663"/>
      <w:bookmarkStart w:id="24" w:name="_Toc174416676"/>
      <w:bookmarkStart w:id="25" w:name="_Toc404157428"/>
      <w:bookmarkStart w:id="26" w:name="_Toc404157474"/>
      <w:bookmarkStart w:id="27" w:name="_Toc404164791"/>
      <w:r w:rsidRPr="00970E6D">
        <w:t>ISSUES</w:t>
      </w:r>
      <w:bookmarkEnd w:id="17"/>
      <w:bookmarkEnd w:id="18"/>
      <w:bookmarkEnd w:id="19"/>
      <w:bookmarkEnd w:id="20"/>
      <w:bookmarkEnd w:id="21"/>
      <w:bookmarkEnd w:id="22"/>
      <w:bookmarkEnd w:id="23"/>
      <w:bookmarkEnd w:id="24"/>
      <w:bookmarkEnd w:id="25"/>
      <w:bookmarkEnd w:id="26"/>
      <w:bookmarkEnd w:id="27"/>
    </w:p>
    <w:p w:rsidR="00CF1EB5" w:rsidRPr="00970E6D" w:rsidRDefault="00CF1EB5" w:rsidP="00CF1EB5">
      <w:pPr>
        <w:pStyle w:val="CGCNumberedPara"/>
        <w:numPr>
          <w:ilvl w:val="1"/>
          <w:numId w:val="12"/>
        </w:numPr>
      </w:pPr>
      <w:r>
        <w:t>The paper discusses proposed changes to the following assessments:</w:t>
      </w:r>
    </w:p>
    <w:p w:rsidR="00CF1EB5" w:rsidRPr="00602BEE" w:rsidRDefault="00CF1EB5" w:rsidP="00CF1EB5">
      <w:pPr>
        <w:pStyle w:val="CGCBulletlist"/>
        <w:numPr>
          <w:ilvl w:val="0"/>
          <w:numId w:val="11"/>
        </w:numPr>
        <w:tabs>
          <w:tab w:val="left" w:pos="1134"/>
        </w:tabs>
      </w:pPr>
      <w:r w:rsidRPr="00602BEE">
        <w:t>Mining revenue assessment – contemporaneity and phasing</w:t>
      </w:r>
    </w:p>
    <w:p w:rsidR="00CF1EB5" w:rsidRDefault="00CF1EB5" w:rsidP="00CF1EB5">
      <w:pPr>
        <w:pStyle w:val="CGCBulletlist"/>
        <w:numPr>
          <w:ilvl w:val="0"/>
          <w:numId w:val="11"/>
        </w:numPr>
        <w:tabs>
          <w:tab w:val="left" w:pos="1134"/>
        </w:tabs>
      </w:pPr>
      <w:r>
        <w:t>Mining related expenditure</w:t>
      </w:r>
    </w:p>
    <w:p w:rsidR="00CF1EB5" w:rsidRPr="00B60CF6" w:rsidRDefault="00CF1EB5" w:rsidP="00CF1EB5">
      <w:pPr>
        <w:pStyle w:val="CGCBulletlist"/>
        <w:numPr>
          <w:ilvl w:val="0"/>
          <w:numId w:val="11"/>
        </w:numPr>
        <w:tabs>
          <w:tab w:val="left" w:pos="1134"/>
        </w:tabs>
      </w:pPr>
      <w:r w:rsidRPr="00B60CF6">
        <w:t>Health</w:t>
      </w:r>
      <w:r w:rsidR="00BF52A3">
        <w:t xml:space="preserve"> assessment</w:t>
      </w:r>
    </w:p>
    <w:p w:rsidR="00CF1EB5" w:rsidRDefault="00CF1EB5" w:rsidP="00CF1EB5">
      <w:pPr>
        <w:pStyle w:val="CGCBulletlist"/>
        <w:numPr>
          <w:ilvl w:val="0"/>
          <w:numId w:val="11"/>
        </w:numPr>
        <w:tabs>
          <w:tab w:val="left" w:pos="1134"/>
        </w:tabs>
      </w:pPr>
      <w:r>
        <w:t>Welfare</w:t>
      </w:r>
      <w:r w:rsidR="00BF52A3">
        <w:t xml:space="preserve"> assessment</w:t>
      </w:r>
    </w:p>
    <w:p w:rsidR="00BF52A3" w:rsidRDefault="00BF52A3" w:rsidP="00BF52A3">
      <w:pPr>
        <w:pStyle w:val="CGCBulletlist"/>
        <w:numPr>
          <w:ilvl w:val="0"/>
          <w:numId w:val="11"/>
        </w:numPr>
        <w:tabs>
          <w:tab w:val="left" w:pos="1134"/>
        </w:tabs>
      </w:pPr>
      <w:r>
        <w:t>Regional cost gradients</w:t>
      </w:r>
    </w:p>
    <w:p w:rsidR="003435A4" w:rsidRPr="00B60CF6" w:rsidRDefault="003435A4" w:rsidP="00CF1EB5">
      <w:pPr>
        <w:pStyle w:val="CGCBulletlist"/>
        <w:numPr>
          <w:ilvl w:val="0"/>
          <w:numId w:val="11"/>
        </w:numPr>
        <w:tabs>
          <w:tab w:val="left" w:pos="1134"/>
        </w:tabs>
      </w:pPr>
      <w:r w:rsidRPr="00B60CF6">
        <w:t>Urban transport infrastructure</w:t>
      </w:r>
      <w:r w:rsidR="00BF52A3">
        <w:t xml:space="preserve"> assessment</w:t>
      </w:r>
    </w:p>
    <w:p w:rsidR="00CF1EB5" w:rsidRDefault="00CF1EB5" w:rsidP="00CF1EB5">
      <w:pPr>
        <w:pStyle w:val="CGCBulletlist"/>
        <w:numPr>
          <w:ilvl w:val="0"/>
          <w:numId w:val="11"/>
        </w:numPr>
        <w:tabs>
          <w:tab w:val="left" w:pos="1134"/>
        </w:tabs>
      </w:pPr>
      <w:r>
        <w:t>Treatment of nationally significant infrastructure projects</w:t>
      </w:r>
      <w:r w:rsidR="00F20585">
        <w:t>.</w:t>
      </w:r>
    </w:p>
    <w:p w:rsidR="00CF1EB5" w:rsidRDefault="00CF1EB5" w:rsidP="00CF1EB5">
      <w:pPr>
        <w:pStyle w:val="Heading3"/>
      </w:pPr>
      <w:bookmarkStart w:id="28" w:name="_Toc404157429"/>
      <w:bookmarkStart w:id="29" w:name="_Toc404157475"/>
      <w:bookmarkStart w:id="30" w:name="_Toc404164792"/>
      <w:bookmarkStart w:id="31" w:name="_Toc106707727"/>
      <w:bookmarkStart w:id="32" w:name="_Toc155675937"/>
      <w:bookmarkStart w:id="33" w:name="_Toc174415772"/>
      <w:bookmarkStart w:id="34" w:name="_Toc174415846"/>
      <w:bookmarkStart w:id="35" w:name="_Toc174415937"/>
      <w:bookmarkStart w:id="36" w:name="_Toc174416622"/>
      <w:bookmarkStart w:id="37" w:name="_Toc174416664"/>
      <w:bookmarkStart w:id="38" w:name="_Toc174416677"/>
      <w:r>
        <w:lastRenderedPageBreak/>
        <w:t>Mining Revenue assessment</w:t>
      </w:r>
      <w:bookmarkEnd w:id="28"/>
      <w:bookmarkEnd w:id="29"/>
      <w:bookmarkEnd w:id="30"/>
    </w:p>
    <w:p w:rsidR="00602BEE" w:rsidRPr="00602BEE" w:rsidRDefault="00602BEE" w:rsidP="00602BEE">
      <w:pPr>
        <w:pStyle w:val="CGCNumberedPara"/>
        <w:numPr>
          <w:ilvl w:val="1"/>
          <w:numId w:val="12"/>
        </w:numPr>
      </w:pPr>
      <w:r w:rsidRPr="00602BEE">
        <w:t xml:space="preserve">Western Australia has stated that with a major fall forecast for iron ore royalties, using average royalties for 2011-12 to 2013-14 as the basis of the 2015-16 GST distribution would be inappropriate. </w:t>
      </w:r>
      <w:r>
        <w:t>It</w:t>
      </w:r>
      <w:r w:rsidRPr="00602BEE">
        <w:t xml:space="preserve"> suggest</w:t>
      </w:r>
      <w:r>
        <w:t>s</w:t>
      </w:r>
      <w:r w:rsidRPr="00602BEE">
        <w:t xml:space="preserve"> that a distribution based on prospective 2015-16 conditions would be preferable. </w:t>
      </w:r>
      <w:r>
        <w:t>Its</w:t>
      </w:r>
      <w:r w:rsidRPr="00602BEE">
        <w:t xml:space="preserve"> position is set out at page 20 of Western Australia’s September 2014 submission.</w:t>
      </w:r>
      <w:r w:rsidR="00DD64A4">
        <w:rPr>
          <w:rStyle w:val="FootnoteReference"/>
        </w:rPr>
        <w:footnoteReference w:id="1"/>
      </w:r>
      <w:r w:rsidRPr="00602BEE">
        <w:t xml:space="preserve"> We have also received comments on this proposal from a number of other States.</w:t>
      </w:r>
    </w:p>
    <w:p w:rsidR="00602BEE" w:rsidRPr="00602BEE" w:rsidRDefault="00602BEE" w:rsidP="00602BEE">
      <w:pPr>
        <w:pStyle w:val="CGCNumberedPara"/>
        <w:numPr>
          <w:ilvl w:val="1"/>
          <w:numId w:val="12"/>
        </w:numPr>
      </w:pPr>
      <w:r w:rsidRPr="00602BEE">
        <w:t xml:space="preserve">We have not finalised our position on this issue, but propose to give it further consideration before completing our report. In this section we note some matters that we propose to take into account and invite any further views of the States. We note that our only objective in recommending relativities is to achieve </w:t>
      </w:r>
      <w:r>
        <w:t>horizontal fiscal equalisation (</w:t>
      </w:r>
      <w:r w:rsidRPr="00602BEE">
        <w:t>HFE</w:t>
      </w:r>
      <w:r>
        <w:t>)</w:t>
      </w:r>
      <w:r w:rsidRPr="00602BEE">
        <w:t>. Our supporting principles for the development of assessment methods are always to be read in the light of that single objective.</w:t>
      </w:r>
    </w:p>
    <w:p w:rsidR="00602BEE" w:rsidRPr="00602BEE" w:rsidRDefault="00602BEE" w:rsidP="00602BEE">
      <w:pPr>
        <w:pStyle w:val="CGCNumberedPara"/>
        <w:numPr>
          <w:ilvl w:val="1"/>
          <w:numId w:val="12"/>
        </w:numPr>
      </w:pPr>
      <w:r w:rsidRPr="00602BEE">
        <w:t xml:space="preserve">We have adopted a contemporaneity supporting principle which means that, bearing in mind our objective and other supporting principles such as policy neutrality and practicality, the distribution of GST provided to States in a year should reflect State circumstances in that year as far as possible. We consider that a 3 year lagged assessment is, at least in most circumstances, the most reliable practical approach to providing a reasonable estimate of State circumstances in the application year. In the June 2014 draft report, setting out our preliminary views, the Commission made reference to the limited exception to this principle, essentially in the case of backcasting major changes in Commonwealth-State financial arrangements, only where the change is reliably known. It noted the considerable difficulties in extending this approach beyond such cases. </w:t>
      </w:r>
    </w:p>
    <w:p w:rsidR="00602BEE" w:rsidRPr="00602BEE" w:rsidRDefault="00602BEE" w:rsidP="00602BEE">
      <w:pPr>
        <w:pStyle w:val="CGCNumberedPara"/>
        <w:numPr>
          <w:ilvl w:val="1"/>
          <w:numId w:val="12"/>
        </w:numPr>
      </w:pPr>
      <w:r w:rsidRPr="00602BEE">
        <w:t xml:space="preserve">We propose to maintain that general approach in this methodology review. If any adjustment is to be made to our general assessment approach it must improve the HFE outcome consistent with our objective and the supporting principles. </w:t>
      </w:r>
    </w:p>
    <w:p w:rsidR="00602BEE" w:rsidRPr="00602BEE" w:rsidRDefault="00602BEE" w:rsidP="00602BEE">
      <w:pPr>
        <w:pStyle w:val="CGCNumberedPara"/>
        <w:numPr>
          <w:ilvl w:val="1"/>
          <w:numId w:val="12"/>
        </w:numPr>
      </w:pPr>
      <w:r w:rsidRPr="00602BEE">
        <w:t>We do not consider that State, or independent, forecasts of revenues in the application year, for example for royalties, are sufficiently reliable for us to use as the basis of the GST distribution. In recent years, the errors in these forecasts have been very</w:t>
      </w:r>
      <w:r w:rsidR="00F20585">
        <w:t xml:space="preserve"> large. </w:t>
      </w:r>
      <w:r w:rsidRPr="00602BEE">
        <w:t xml:space="preserve">Such an approach raises a range of issues, including that it </w:t>
      </w:r>
      <w:r w:rsidR="00F20585">
        <w:t xml:space="preserve">would almost certainly require </w:t>
      </w:r>
      <w:r w:rsidRPr="00602BEE">
        <w:t>consequent GST adjustments in future to compensate for errors which could itself then undermine the contemporaneity of future years GST distributions.</w:t>
      </w:r>
    </w:p>
    <w:p w:rsidR="00602BEE" w:rsidRPr="00602BEE" w:rsidRDefault="00602BEE" w:rsidP="00602BEE">
      <w:pPr>
        <w:pStyle w:val="CGCNumberedPara"/>
        <w:numPr>
          <w:ilvl w:val="1"/>
          <w:numId w:val="12"/>
        </w:numPr>
      </w:pPr>
      <w:r w:rsidRPr="00602BEE">
        <w:t>However, the Commission would like to seek a response from the States on to what extent CGC methodology should, or should not, respond to sudden or large scale shocks to revenue bases. Conceptually</w:t>
      </w:r>
      <w:r w:rsidR="00F20585">
        <w:t>,</w:t>
      </w:r>
      <w:r w:rsidRPr="00602BEE">
        <w:t xml:space="preserve"> there may be other options to smooth over a </w:t>
      </w:r>
      <w:r w:rsidRPr="00602BEE">
        <w:lastRenderedPageBreak/>
        <w:t>greater number of years, or to otherwise ameliorate, the impact of expected major changes in State circumstances. This may be appropriate if it is practical and its result is to improve HFE outcomes.</w:t>
      </w:r>
    </w:p>
    <w:p w:rsidR="00602BEE" w:rsidRPr="00602BEE" w:rsidRDefault="00602BEE" w:rsidP="00602BEE">
      <w:pPr>
        <w:pStyle w:val="CGCNumberedPara"/>
        <w:numPr>
          <w:ilvl w:val="1"/>
          <w:numId w:val="12"/>
        </w:numPr>
      </w:pPr>
      <w:r w:rsidRPr="00602BEE">
        <w:t>To pursue such adjustments would require us to establish an appropriate mechanism, and guidelines and processes to identify when and what level of adjustments should be made.</w:t>
      </w:r>
    </w:p>
    <w:p w:rsidR="00602BEE" w:rsidRPr="00602BEE" w:rsidRDefault="00602BEE" w:rsidP="00602BEE">
      <w:pPr>
        <w:pStyle w:val="CGCNumberedPara"/>
        <w:numPr>
          <w:ilvl w:val="1"/>
          <w:numId w:val="12"/>
        </w:numPr>
      </w:pPr>
      <w:r w:rsidRPr="00602BEE">
        <w:t>We welcome State views on the general principles, guidelines and processes which should surround any such adjustment process. For example</w:t>
      </w:r>
      <w:r w:rsidR="00F20585">
        <w:t>,</w:t>
      </w:r>
      <w:r w:rsidRPr="00602BEE">
        <w:t xml:space="preserve"> these would need to address:</w:t>
      </w:r>
    </w:p>
    <w:p w:rsidR="00602BEE" w:rsidRPr="00602BEE" w:rsidRDefault="00602BEE" w:rsidP="00602BEE">
      <w:pPr>
        <w:pStyle w:val="CGCBulletlist"/>
      </w:pPr>
      <w:r w:rsidRPr="00602BEE">
        <w:t xml:space="preserve">How to identify exceptional circumstances warranting an adjustment, recognising that forecasts of prospective conditions are subject to large errors. </w:t>
      </w:r>
    </w:p>
    <w:p w:rsidR="00602BEE" w:rsidRPr="00602BEE" w:rsidRDefault="00602BEE" w:rsidP="00602BEE">
      <w:pPr>
        <w:pStyle w:val="CGCBulletlist"/>
      </w:pPr>
      <w:r w:rsidRPr="00602BEE">
        <w:t xml:space="preserve">Avoiding any possibility for </w:t>
      </w:r>
      <w:r>
        <w:t xml:space="preserve">a </w:t>
      </w:r>
      <w:r w:rsidRPr="00602BEE">
        <w:t>State to game the system</w:t>
      </w:r>
      <w:r>
        <w:t>,</w:t>
      </w:r>
      <w:r w:rsidRPr="00602BEE">
        <w:t xml:space="preserve"> or generate other policy neutrality concerns</w:t>
      </w:r>
      <w:r>
        <w:t>.</w:t>
      </w:r>
    </w:p>
    <w:p w:rsidR="00602BEE" w:rsidRPr="00602BEE" w:rsidRDefault="00602BEE" w:rsidP="00602BEE">
      <w:pPr>
        <w:pStyle w:val="CGCBulletlist"/>
      </w:pPr>
      <w:r w:rsidRPr="00602BEE">
        <w:t>The impact in each year, and over time, on other States</w:t>
      </w:r>
      <w:r>
        <w:t>.</w:t>
      </w:r>
    </w:p>
    <w:p w:rsidR="00602BEE" w:rsidRPr="00602BEE" w:rsidRDefault="00602BEE" w:rsidP="00602BEE">
      <w:pPr>
        <w:pStyle w:val="CGCBulletlist"/>
      </w:pPr>
      <w:r w:rsidRPr="00602BEE">
        <w:t>The appropriateness of having any adjustment processes dealing symmetrically with exceptional changes in State circumstances.</w:t>
      </w:r>
    </w:p>
    <w:p w:rsidR="00602BEE" w:rsidRPr="00602BEE" w:rsidRDefault="00602BEE" w:rsidP="00602BEE">
      <w:pPr>
        <w:pStyle w:val="CGCNumberedPara"/>
        <w:numPr>
          <w:ilvl w:val="1"/>
          <w:numId w:val="12"/>
        </w:numPr>
      </w:pPr>
      <w:r w:rsidRPr="00602BEE">
        <w:t>At this point we have made no decisions on whether to make any adjustments. We are exploring whether, and if so under what conditions, any adjustments might improve HFE, consistent with the supporting principles we have adopted in the review.</w:t>
      </w:r>
    </w:p>
    <w:p w:rsidR="00CF1EB5" w:rsidRDefault="00CF1EB5" w:rsidP="00CF1EB5">
      <w:pPr>
        <w:pStyle w:val="Heading3"/>
      </w:pPr>
      <w:bookmarkStart w:id="39" w:name="_Toc404157430"/>
      <w:bookmarkStart w:id="40" w:name="_Toc404157476"/>
      <w:bookmarkStart w:id="41" w:name="_Toc404164793"/>
      <w:r>
        <w:t>Mining related expenditure</w:t>
      </w:r>
      <w:bookmarkEnd w:id="39"/>
      <w:bookmarkEnd w:id="40"/>
      <w:bookmarkEnd w:id="41"/>
    </w:p>
    <w:p w:rsidR="00CF1EB5" w:rsidRDefault="00CF1EB5" w:rsidP="00CF1EB5">
      <w:pPr>
        <w:pStyle w:val="CGCNumberedPara"/>
        <w:numPr>
          <w:ilvl w:val="1"/>
          <w:numId w:val="12"/>
        </w:numPr>
      </w:pPr>
      <w:r>
        <w:t>The Commission intends to introduce a</w:t>
      </w:r>
      <w:r w:rsidRPr="007B47E5">
        <w:t xml:space="preserve">ssessments of expenditure related to the planning and regulation of </w:t>
      </w:r>
      <w:r>
        <w:t>investment</w:t>
      </w:r>
      <w:r w:rsidRPr="007B47E5">
        <w:t xml:space="preserve"> projects and capital grants to local governments relating to community development and amenities and culture and recreation</w:t>
      </w:r>
      <w:r>
        <w:t>. These relate not only to support for the mining industry but to where private investment and population growth requires differential spending by States.</w:t>
      </w:r>
    </w:p>
    <w:p w:rsidR="00CF1EB5" w:rsidRDefault="00CF1EB5" w:rsidP="00CF1EB5">
      <w:pPr>
        <w:pStyle w:val="Heading4"/>
      </w:pPr>
      <w:bookmarkStart w:id="42" w:name="_Toc404157431"/>
      <w:bookmarkStart w:id="43" w:name="_Toc404164794"/>
      <w:r>
        <w:t>P</w:t>
      </w:r>
      <w:r w:rsidRPr="007B47E5">
        <w:t xml:space="preserve">lanning and regulation of </w:t>
      </w:r>
      <w:r>
        <w:t>investment</w:t>
      </w:r>
      <w:r w:rsidRPr="007B47E5">
        <w:t xml:space="preserve"> projects</w:t>
      </w:r>
      <w:bookmarkEnd w:id="42"/>
      <w:bookmarkEnd w:id="43"/>
    </w:p>
    <w:p w:rsidR="00CF1EB5" w:rsidRDefault="00CF1EB5" w:rsidP="00CF1EB5">
      <w:pPr>
        <w:pStyle w:val="CGCNumberedPara"/>
        <w:numPr>
          <w:ilvl w:val="1"/>
          <w:numId w:val="12"/>
        </w:numPr>
      </w:pPr>
      <w:r w:rsidRPr="00234044">
        <w:t xml:space="preserve">The Commission </w:t>
      </w:r>
      <w:r>
        <w:t>considers</w:t>
      </w:r>
      <w:r w:rsidRPr="00234044">
        <w:t xml:space="preserve"> there is a conceptual case for including a disability reflecting the additional planning and regulation costs incurred by States to</w:t>
      </w:r>
      <w:r>
        <w:t xml:space="preserve"> facilitate investment projects. </w:t>
      </w:r>
      <w:r w:rsidRPr="00234044">
        <w:t xml:space="preserve">States with expanding mining </w:t>
      </w:r>
      <w:r>
        <w:t xml:space="preserve">or other </w:t>
      </w:r>
      <w:r w:rsidRPr="00234044">
        <w:t xml:space="preserve">industries </w:t>
      </w:r>
      <w:r>
        <w:t xml:space="preserve">usually </w:t>
      </w:r>
      <w:r w:rsidRPr="00234044">
        <w:t xml:space="preserve">have higher levels of construction activity that result in higher project planning and approval expenses, including environmental assessment costs. We have </w:t>
      </w:r>
      <w:r>
        <w:t xml:space="preserve">decided to </w:t>
      </w:r>
      <w:r w:rsidRPr="00234044">
        <w:t>assess</w:t>
      </w:r>
      <w:r>
        <w:t xml:space="preserve"> </w:t>
      </w:r>
      <w:r w:rsidRPr="00234044">
        <w:t>these expenses using State shares of private non-dw</w:t>
      </w:r>
      <w:r>
        <w:t>elling construction expenditure. This will allow us to recognise the</w:t>
      </w:r>
      <w:r w:rsidRPr="00234044">
        <w:t xml:space="preserve"> higher costs</w:t>
      </w:r>
      <w:r>
        <w:t xml:space="preserve"> of mining States but </w:t>
      </w:r>
      <w:r w:rsidRPr="00234044">
        <w:t xml:space="preserve">not discriminate between industries. </w:t>
      </w:r>
    </w:p>
    <w:p w:rsidR="00CF1EB5" w:rsidRDefault="00CF1EB5" w:rsidP="00CF1EB5">
      <w:pPr>
        <w:pStyle w:val="CGCNumberedPara"/>
        <w:numPr>
          <w:ilvl w:val="1"/>
          <w:numId w:val="12"/>
        </w:numPr>
      </w:pPr>
      <w:r>
        <w:lastRenderedPageBreak/>
        <w:t xml:space="preserve">We will use State provided data to determine the national </w:t>
      </w:r>
      <w:r w:rsidRPr="00234044">
        <w:t xml:space="preserve">average net </w:t>
      </w:r>
      <w:r>
        <w:t xml:space="preserve">State </w:t>
      </w:r>
      <w:r w:rsidRPr="00234044">
        <w:t xml:space="preserve">expense </w:t>
      </w:r>
      <w:r>
        <w:t>on planning and regulation of investment projects. Using State provided data for 2010-11 to 2012-</w:t>
      </w:r>
      <w:proofErr w:type="gramStart"/>
      <w:r>
        <w:t>13,</w:t>
      </w:r>
      <w:proofErr w:type="gramEnd"/>
      <w:r>
        <w:t xml:space="preserve"> we have set this amount at </w:t>
      </w:r>
      <w:r w:rsidRPr="00F87791">
        <w:t>$18 per capita in 2011</w:t>
      </w:r>
      <w:r>
        <w:noBreakHyphen/>
      </w:r>
      <w:r w:rsidRPr="00F87791">
        <w:t>12, the first year of the 2015 Review assessment period. This amount will be indexed in following years, based on real growth in private non-dwelling construction and the price index for State and local government final consumption expenditure. This will capture growth in both the quantum of services and cost of providing the services.</w:t>
      </w:r>
    </w:p>
    <w:p w:rsidR="00CF1EB5" w:rsidRDefault="00CF1EB5" w:rsidP="00CF1EB5">
      <w:pPr>
        <w:pStyle w:val="CGCNumberedPara"/>
        <w:numPr>
          <w:ilvl w:val="1"/>
          <w:numId w:val="12"/>
        </w:numPr>
      </w:pPr>
      <w:r>
        <w:t xml:space="preserve">The impact on the GST of </w:t>
      </w:r>
      <w:r w:rsidRPr="00603443">
        <w:t xml:space="preserve">assessing State spending on planning and regulation of investment projects </w:t>
      </w:r>
      <w:r>
        <w:t xml:space="preserve">for 2012-13 is set out in </w:t>
      </w:r>
      <w:r>
        <w:fldChar w:fldCharType="begin"/>
      </w:r>
      <w:r>
        <w:instrText xml:space="preserve"> REF _Ref403989887 \h </w:instrText>
      </w:r>
      <w:r>
        <w:fldChar w:fldCharType="separate"/>
      </w:r>
      <w:r w:rsidR="00781EF8" w:rsidRPr="003B3B8F">
        <w:t xml:space="preserve">Table </w:t>
      </w:r>
      <w:r w:rsidR="00781EF8">
        <w:rPr>
          <w:noProof/>
        </w:rPr>
        <w:t>1</w:t>
      </w:r>
      <w:r>
        <w:fldChar w:fldCharType="end"/>
      </w:r>
      <w:r>
        <w:t>.</w:t>
      </w:r>
    </w:p>
    <w:p w:rsidR="00CF1EB5" w:rsidRPr="003B3B8F" w:rsidRDefault="00CF1EB5" w:rsidP="00CF1EB5">
      <w:pPr>
        <w:pStyle w:val="CGCTableHeading"/>
      </w:pPr>
      <w:bookmarkStart w:id="44" w:name="_Ref403989887"/>
      <w:r w:rsidRPr="003B3B8F">
        <w:t xml:space="preserve">Table </w:t>
      </w:r>
      <w:r w:rsidR="00781EF8">
        <w:fldChar w:fldCharType="begin"/>
      </w:r>
      <w:r w:rsidR="00781EF8">
        <w:instrText xml:space="preserve"> SEQ Table \* ARABIC </w:instrText>
      </w:r>
      <w:r w:rsidR="00781EF8">
        <w:fldChar w:fldCharType="separate"/>
      </w:r>
      <w:r w:rsidR="00781EF8">
        <w:rPr>
          <w:noProof/>
        </w:rPr>
        <w:t>1</w:t>
      </w:r>
      <w:r w:rsidR="00781EF8">
        <w:rPr>
          <w:noProof/>
        </w:rPr>
        <w:fldChar w:fldCharType="end"/>
      </w:r>
      <w:bookmarkEnd w:id="44"/>
      <w:r w:rsidRPr="003B3B8F">
        <w:tab/>
        <w:t>GST impact of assessing State spending on planning and regulation of investment projects, 201</w:t>
      </w:r>
      <w:r>
        <w:t>2</w:t>
      </w:r>
      <w:r w:rsidRPr="003B3B8F">
        <w:t>-1</w:t>
      </w:r>
      <w:r>
        <w:t>3</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CF1EB5" w:rsidRPr="00FE3F73" w:rsidTr="00CF1EB5">
        <w:tc>
          <w:tcPr>
            <w:tcW w:w="1354" w:type="pct"/>
            <w:tcBorders>
              <w:top w:val="single" w:sz="6" w:space="0" w:color="auto"/>
              <w:bottom w:val="single" w:sz="6" w:space="0" w:color="auto"/>
            </w:tcBorders>
            <w:vAlign w:val="bottom"/>
          </w:tcPr>
          <w:p w:rsidR="00CF1EB5" w:rsidRPr="00FE3F73" w:rsidRDefault="00CF1EB5" w:rsidP="00CF1EB5">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CF1EB5" w:rsidRPr="00FE3F73" w:rsidRDefault="006D48CC" w:rsidP="00CF1EB5">
            <w:pPr>
              <w:pStyle w:val="TableColHeadings"/>
              <w:rPr>
                <w:rFonts w:cstheme="minorHAnsi"/>
              </w:rPr>
            </w:pPr>
            <w:r>
              <w:rPr>
                <w:rFonts w:cstheme="minorHAnsi"/>
              </w:rPr>
              <w:t>Redist</w:t>
            </w:r>
          </w:p>
        </w:tc>
      </w:tr>
      <w:tr w:rsidR="00CF1EB5" w:rsidRPr="00FE3F73" w:rsidTr="00CF1EB5">
        <w:tc>
          <w:tcPr>
            <w:tcW w:w="1354" w:type="pct"/>
            <w:tcMar>
              <w:top w:w="0" w:type="dxa"/>
              <w:bottom w:w="0" w:type="dxa"/>
            </w:tcMar>
            <w:vAlign w:val="bottom"/>
          </w:tcPr>
          <w:p w:rsidR="00CF1EB5" w:rsidRPr="00FE3F73" w:rsidRDefault="00CF1EB5" w:rsidP="00CF1EB5">
            <w:pPr>
              <w:pStyle w:val="CGCTableStub"/>
              <w:spacing w:before="0" w:after="0" w:line="240" w:lineRule="auto"/>
              <w:jc w:val="right"/>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r>
      <w:tr w:rsidR="00CF1EB5" w:rsidRPr="00FE3F73" w:rsidTr="00CF1EB5">
        <w:tc>
          <w:tcPr>
            <w:tcW w:w="1354" w:type="pct"/>
            <w:vAlign w:val="bottom"/>
          </w:tcPr>
          <w:p w:rsidR="00CF1EB5" w:rsidRPr="00FE3F73" w:rsidRDefault="00CF1EB5" w:rsidP="00CF1EB5">
            <w:pPr>
              <w:pStyle w:val="CGCTableStub"/>
              <w:tabs>
                <w:tab w:val="left" w:pos="142"/>
                <w:tab w:val="left" w:pos="425"/>
                <w:tab w:val="left" w:pos="709"/>
                <w:tab w:val="left" w:pos="851"/>
              </w:tabs>
              <w:ind w:left="142" w:hanging="142"/>
              <w:rPr>
                <w:rFonts w:cstheme="minorHAnsi"/>
              </w:rPr>
            </w:pPr>
            <w:r>
              <w:rPr>
                <w:rFonts w:cstheme="minorHAnsi"/>
              </w:rPr>
              <w:t>$m</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-62</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-71</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37</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103</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-15</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-8</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-4</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20</w:t>
            </w:r>
          </w:p>
        </w:tc>
        <w:tc>
          <w:tcPr>
            <w:tcW w:w="405" w:type="pct"/>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160</w:t>
            </w:r>
          </w:p>
        </w:tc>
      </w:tr>
      <w:tr w:rsidR="00CF1EB5" w:rsidRPr="00FE3F73" w:rsidTr="00CF1EB5">
        <w:tc>
          <w:tcPr>
            <w:tcW w:w="1354" w:type="pct"/>
            <w:tcBorders>
              <w:bottom w:val="single" w:sz="4" w:space="0" w:color="auto"/>
            </w:tcBorders>
            <w:vAlign w:val="bottom"/>
          </w:tcPr>
          <w:p w:rsidR="00CF1EB5" w:rsidRPr="00FE3F73" w:rsidRDefault="00CF1EB5" w:rsidP="00CF1EB5">
            <w:pPr>
              <w:pStyle w:val="CGCTableStub"/>
              <w:tabs>
                <w:tab w:val="left" w:pos="142"/>
                <w:tab w:val="left" w:pos="425"/>
                <w:tab w:val="left" w:pos="709"/>
                <w:tab w:val="left" w:pos="851"/>
              </w:tabs>
              <w:ind w:left="142" w:hanging="142"/>
              <w:rPr>
                <w:rFonts w:cstheme="minorHAnsi"/>
              </w:rPr>
            </w:pPr>
            <w:r>
              <w:rPr>
                <w:rFonts w:cstheme="minorHAnsi"/>
              </w:rPr>
              <w:t>$pc</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-13</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42</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-9</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-15</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-9</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85</w:t>
            </w:r>
          </w:p>
        </w:tc>
        <w:tc>
          <w:tcPr>
            <w:tcW w:w="405" w:type="pct"/>
            <w:tcBorders>
              <w:bottom w:val="single" w:sz="4" w:space="0" w:color="auto"/>
            </w:tcBorders>
            <w:vAlign w:val="bottom"/>
          </w:tcPr>
          <w:p w:rsidR="00CF1EB5" w:rsidRDefault="00CF1EB5" w:rsidP="00CF1EB5">
            <w:pPr>
              <w:jc w:val="right"/>
              <w:rPr>
                <w:rFonts w:ascii="Calibri" w:hAnsi="Calibri"/>
                <w:color w:val="000000"/>
                <w:sz w:val="20"/>
                <w:szCs w:val="20"/>
              </w:rPr>
            </w:pPr>
            <w:r>
              <w:rPr>
                <w:rFonts w:ascii="Calibri" w:hAnsi="Calibri"/>
                <w:color w:val="000000"/>
                <w:sz w:val="20"/>
                <w:szCs w:val="20"/>
              </w:rPr>
              <w:t>7 </w:t>
            </w:r>
          </w:p>
        </w:tc>
      </w:tr>
    </w:tbl>
    <w:p w:rsidR="00CF1EB5" w:rsidRDefault="00CF1EB5" w:rsidP="00CF1EB5">
      <w:pPr>
        <w:pStyle w:val="CGCTableFootnote"/>
        <w:ind w:left="0" w:firstLine="0"/>
      </w:pPr>
      <w:r>
        <w:t>Source:</w:t>
      </w:r>
      <w:r>
        <w:tab/>
        <w:t>CGC calculation.</w:t>
      </w:r>
    </w:p>
    <w:p w:rsidR="00CF1EB5" w:rsidRDefault="00CF1EB5" w:rsidP="00CF1EB5">
      <w:pPr>
        <w:pStyle w:val="Heading4"/>
      </w:pPr>
      <w:bookmarkStart w:id="45" w:name="_Toc404157432"/>
      <w:bookmarkStart w:id="46" w:name="_Toc404164795"/>
      <w:r>
        <w:t>Capital grants to local government</w:t>
      </w:r>
      <w:bookmarkEnd w:id="45"/>
      <w:bookmarkEnd w:id="46"/>
    </w:p>
    <w:p w:rsidR="00CF1EB5" w:rsidRDefault="00CF1EB5" w:rsidP="00CF1EB5">
      <w:pPr>
        <w:pStyle w:val="CGCNumberedPara"/>
        <w:numPr>
          <w:ilvl w:val="1"/>
          <w:numId w:val="12"/>
        </w:numPr>
      </w:pPr>
      <w:r>
        <w:t xml:space="preserve">The Commission considers there is a conceptual case for including a disability reflecting the additional costs incurred by States to support local government infrastructure provision relating to </w:t>
      </w:r>
      <w:r w:rsidRPr="007B47E5">
        <w:t>community development and amenities and culture and recreation</w:t>
      </w:r>
      <w:r>
        <w:t xml:space="preserve">. The current assessment of these expenses recognises the impact of population growth but only to the extent that increased population results in greater population shares of the GST. We consider local governments experiencing rapid population growth will </w:t>
      </w:r>
      <w:r w:rsidR="00CC7888">
        <w:t xml:space="preserve">undertake more investment, </w:t>
      </w:r>
      <w:r>
        <w:t>requir</w:t>
      </w:r>
      <w:r w:rsidR="00CC7888">
        <w:t>ing</w:t>
      </w:r>
      <w:r>
        <w:t xml:space="preserve"> more than a per capita share of capital grants </w:t>
      </w:r>
      <w:r w:rsidR="00CC7888">
        <w:t xml:space="preserve">from State governments </w:t>
      </w:r>
      <w:r>
        <w:t xml:space="preserve">to maintain their per capita levels of infrastructure. We have assessed these grants using population growth </w:t>
      </w:r>
      <w:r w:rsidR="00F20585">
        <w:t>rather than population shares.</w:t>
      </w:r>
    </w:p>
    <w:p w:rsidR="00CF1EB5" w:rsidRDefault="00CF1EB5" w:rsidP="00CF1EB5">
      <w:pPr>
        <w:pStyle w:val="CGCNumberedPara"/>
        <w:numPr>
          <w:ilvl w:val="1"/>
          <w:numId w:val="12"/>
        </w:numPr>
      </w:pPr>
      <w:r>
        <w:t xml:space="preserve">The impact on the GST of </w:t>
      </w:r>
      <w:r w:rsidRPr="00603443">
        <w:t xml:space="preserve">assessing </w:t>
      </w:r>
      <w:r>
        <w:t xml:space="preserve">capital grants to local government relating to </w:t>
      </w:r>
      <w:r w:rsidRPr="007B47E5">
        <w:t>community development and amenities and culture and recreation</w:t>
      </w:r>
      <w:r>
        <w:t xml:space="preserve"> for 2012-13 is set out in </w:t>
      </w:r>
      <w:r>
        <w:fldChar w:fldCharType="begin"/>
      </w:r>
      <w:r>
        <w:instrText xml:space="preserve"> REF _Ref403991997 \h </w:instrText>
      </w:r>
      <w:r>
        <w:fldChar w:fldCharType="separate"/>
      </w:r>
      <w:r w:rsidR="00781EF8" w:rsidRPr="003B3B8F">
        <w:t xml:space="preserve">Table </w:t>
      </w:r>
      <w:r w:rsidR="00781EF8">
        <w:rPr>
          <w:noProof/>
        </w:rPr>
        <w:t>2</w:t>
      </w:r>
      <w:r>
        <w:fldChar w:fldCharType="end"/>
      </w:r>
      <w:r>
        <w:t>. Since the population growth disability is already material elsewhere, we propose to include this assessment.</w:t>
      </w:r>
    </w:p>
    <w:p w:rsidR="00CF1EB5" w:rsidRPr="003B3B8F" w:rsidRDefault="00CF1EB5" w:rsidP="00CF1EB5">
      <w:pPr>
        <w:pStyle w:val="CGCTableHeading"/>
        <w:ind w:left="0" w:firstLine="0"/>
      </w:pPr>
      <w:bookmarkStart w:id="47" w:name="_Ref403991997"/>
      <w:r w:rsidRPr="003B3B8F">
        <w:t xml:space="preserve">Table </w:t>
      </w:r>
      <w:r w:rsidR="00781EF8">
        <w:fldChar w:fldCharType="begin"/>
      </w:r>
      <w:r w:rsidR="00781EF8">
        <w:instrText xml:space="preserve"> SEQ Table \* ARABIC </w:instrText>
      </w:r>
      <w:r w:rsidR="00781EF8">
        <w:fldChar w:fldCharType="separate"/>
      </w:r>
      <w:r w:rsidR="00781EF8">
        <w:rPr>
          <w:noProof/>
        </w:rPr>
        <w:t>2</w:t>
      </w:r>
      <w:r w:rsidR="00781EF8">
        <w:rPr>
          <w:noProof/>
        </w:rPr>
        <w:fldChar w:fldCharType="end"/>
      </w:r>
      <w:bookmarkEnd w:id="47"/>
      <w:r w:rsidRPr="003B3B8F">
        <w:tab/>
        <w:t xml:space="preserve">GST impact of assessing </w:t>
      </w:r>
      <w:r>
        <w:t>capital grants to local government</w:t>
      </w:r>
      <w:r w:rsidRPr="003B3B8F">
        <w:t>, 201</w:t>
      </w:r>
      <w:r>
        <w:t>2</w:t>
      </w:r>
      <w:r w:rsidRPr="003B3B8F">
        <w:t>-1</w:t>
      </w:r>
      <w:r>
        <w:t>3</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CF1EB5" w:rsidRPr="00FE3F73" w:rsidTr="00CF1EB5">
        <w:tc>
          <w:tcPr>
            <w:tcW w:w="1354" w:type="pct"/>
            <w:tcBorders>
              <w:top w:val="single" w:sz="6" w:space="0" w:color="auto"/>
              <w:bottom w:val="single" w:sz="6" w:space="0" w:color="auto"/>
            </w:tcBorders>
            <w:vAlign w:val="bottom"/>
          </w:tcPr>
          <w:p w:rsidR="00CF1EB5" w:rsidRPr="00FE3F73" w:rsidRDefault="00CF1EB5" w:rsidP="00CF1EB5">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CF1EB5" w:rsidRPr="00FE3F73" w:rsidRDefault="006D48CC" w:rsidP="00CF1EB5">
            <w:pPr>
              <w:pStyle w:val="TableColHeadings"/>
              <w:rPr>
                <w:rFonts w:cstheme="minorHAnsi"/>
              </w:rPr>
            </w:pPr>
            <w:r>
              <w:rPr>
                <w:rFonts w:cstheme="minorHAnsi"/>
              </w:rPr>
              <w:t>Redist</w:t>
            </w:r>
          </w:p>
        </w:tc>
      </w:tr>
      <w:tr w:rsidR="00CF1EB5" w:rsidRPr="00FE3F73" w:rsidTr="00CF1EB5">
        <w:tc>
          <w:tcPr>
            <w:tcW w:w="1354" w:type="pct"/>
            <w:tcMar>
              <w:top w:w="0" w:type="dxa"/>
              <w:bottom w:w="0" w:type="dxa"/>
            </w:tcMar>
            <w:vAlign w:val="bottom"/>
          </w:tcPr>
          <w:p w:rsidR="00CF1EB5" w:rsidRPr="00FE3F73" w:rsidRDefault="00CF1EB5" w:rsidP="00CF1EB5">
            <w:pPr>
              <w:pStyle w:val="CGCTableStub"/>
              <w:spacing w:before="0" w:after="0" w:line="240" w:lineRule="auto"/>
              <w:jc w:val="right"/>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r>
      <w:tr w:rsidR="00CF1EB5" w:rsidRPr="00FE3F73" w:rsidTr="00CF1EB5">
        <w:tc>
          <w:tcPr>
            <w:tcW w:w="1354" w:type="pct"/>
            <w:vAlign w:val="bottom"/>
          </w:tcPr>
          <w:p w:rsidR="00CF1EB5" w:rsidRPr="00FE3F73" w:rsidRDefault="00CF1EB5" w:rsidP="00CF1EB5">
            <w:pPr>
              <w:pStyle w:val="CGCTableStub"/>
              <w:tabs>
                <w:tab w:val="left" w:pos="142"/>
                <w:tab w:val="left" w:pos="425"/>
                <w:tab w:val="left" w:pos="709"/>
                <w:tab w:val="left" w:pos="851"/>
              </w:tabs>
              <w:ind w:left="142" w:hanging="142"/>
              <w:rPr>
                <w:rFonts w:cstheme="minorHAnsi"/>
              </w:rPr>
            </w:pPr>
            <w:r>
              <w:rPr>
                <w:rFonts w:cstheme="minorHAnsi"/>
              </w:rPr>
              <w:t>$m</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-15</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0</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5</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19</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-6</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-4</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0</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1</w:t>
            </w:r>
          </w:p>
        </w:tc>
        <w:tc>
          <w:tcPr>
            <w:tcW w:w="405" w:type="pct"/>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25</w:t>
            </w:r>
          </w:p>
        </w:tc>
      </w:tr>
      <w:tr w:rsidR="00CF1EB5" w:rsidRPr="00FE3F73" w:rsidTr="00CF1EB5">
        <w:tc>
          <w:tcPr>
            <w:tcW w:w="1354" w:type="pct"/>
            <w:tcBorders>
              <w:bottom w:val="single" w:sz="4" w:space="0" w:color="auto"/>
            </w:tcBorders>
            <w:vAlign w:val="bottom"/>
          </w:tcPr>
          <w:p w:rsidR="00CF1EB5" w:rsidRPr="00FE3F73" w:rsidRDefault="00CF1EB5" w:rsidP="00CF1EB5">
            <w:pPr>
              <w:pStyle w:val="CGCTableStub"/>
              <w:tabs>
                <w:tab w:val="left" w:pos="142"/>
                <w:tab w:val="left" w:pos="425"/>
                <w:tab w:val="left" w:pos="709"/>
                <w:tab w:val="left" w:pos="851"/>
              </w:tabs>
              <w:ind w:left="142" w:hanging="142"/>
              <w:rPr>
                <w:rFonts w:cstheme="minorHAnsi"/>
              </w:rPr>
            </w:pPr>
            <w:r>
              <w:rPr>
                <w:rFonts w:cstheme="minorHAnsi"/>
              </w:rPr>
              <w:t>$pc</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-2</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0</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1</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8</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-4</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-7</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0</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3</w:t>
            </w:r>
          </w:p>
        </w:tc>
        <w:tc>
          <w:tcPr>
            <w:tcW w:w="405" w:type="pct"/>
            <w:tcBorders>
              <w:bottom w:val="single" w:sz="4" w:space="0" w:color="auto"/>
            </w:tcBorders>
            <w:vAlign w:val="bottom"/>
          </w:tcPr>
          <w:p w:rsidR="00CF1EB5" w:rsidRPr="0084253D" w:rsidRDefault="00CF1EB5" w:rsidP="00CF1EB5">
            <w:pPr>
              <w:jc w:val="right"/>
              <w:rPr>
                <w:rFonts w:ascii="Calibri" w:hAnsi="Calibri"/>
                <w:color w:val="000000"/>
                <w:sz w:val="20"/>
                <w:szCs w:val="20"/>
              </w:rPr>
            </w:pPr>
            <w:r w:rsidRPr="0084253D">
              <w:rPr>
                <w:rFonts w:ascii="Calibri" w:hAnsi="Calibri"/>
                <w:color w:val="000000"/>
                <w:sz w:val="20"/>
                <w:szCs w:val="20"/>
              </w:rPr>
              <w:t> </w:t>
            </w:r>
            <w:r>
              <w:rPr>
                <w:rFonts w:ascii="Calibri" w:hAnsi="Calibri"/>
                <w:color w:val="000000"/>
                <w:sz w:val="20"/>
                <w:szCs w:val="20"/>
              </w:rPr>
              <w:t>1</w:t>
            </w:r>
          </w:p>
        </w:tc>
      </w:tr>
    </w:tbl>
    <w:p w:rsidR="00CF1EB5" w:rsidRDefault="00CF1EB5" w:rsidP="00CF1EB5">
      <w:pPr>
        <w:pStyle w:val="CGCTableFootnote"/>
        <w:ind w:left="0" w:firstLine="0"/>
      </w:pPr>
      <w:r>
        <w:t>Source:</w:t>
      </w:r>
      <w:r>
        <w:tab/>
        <w:t>CGC calculation.</w:t>
      </w:r>
    </w:p>
    <w:p w:rsidR="00CF1EB5" w:rsidRDefault="00CF1EB5" w:rsidP="00CF1EB5">
      <w:pPr>
        <w:pStyle w:val="Heading3"/>
      </w:pPr>
      <w:bookmarkStart w:id="48" w:name="_Toc404157433"/>
      <w:bookmarkStart w:id="49" w:name="_Toc404157477"/>
      <w:bookmarkStart w:id="50" w:name="_Toc404164796"/>
      <w:bookmarkEnd w:id="31"/>
      <w:bookmarkEnd w:id="32"/>
      <w:bookmarkEnd w:id="33"/>
      <w:bookmarkEnd w:id="34"/>
      <w:bookmarkEnd w:id="35"/>
      <w:bookmarkEnd w:id="36"/>
      <w:bookmarkEnd w:id="37"/>
      <w:bookmarkEnd w:id="38"/>
      <w:r>
        <w:lastRenderedPageBreak/>
        <w:t>Health</w:t>
      </w:r>
      <w:bookmarkEnd w:id="48"/>
      <w:bookmarkEnd w:id="49"/>
      <w:bookmarkEnd w:id="50"/>
      <w:r w:rsidR="00914585">
        <w:t xml:space="preserve"> assessment</w:t>
      </w:r>
    </w:p>
    <w:p w:rsidR="00CC7888" w:rsidRDefault="00CC7888" w:rsidP="00CC7888">
      <w:pPr>
        <w:pStyle w:val="CGCNumberedPara"/>
      </w:pPr>
      <w:r>
        <w:t>The Commission is not considering changes to the structure of the Health assessment. Health will be assessed as outlined in the draft report, using a direct approach based upon administrative data on State provided services, with economic environment factors used to reflect the effect of private provision on State provided services.</w:t>
      </w:r>
    </w:p>
    <w:p w:rsidR="00CC7888" w:rsidRDefault="00CC7888" w:rsidP="00CC7888">
      <w:pPr>
        <w:pStyle w:val="CGCNumberedPara"/>
      </w:pPr>
      <w:r>
        <w:t>In the calculation of the economic environment factors for each component, the Commission intends to standardise bulk billed services by Indigeneity, remoteness, SES and age (the draft report standardised just for Indigeneity and remoteness).</w:t>
      </w:r>
    </w:p>
    <w:p w:rsidR="00CC7888" w:rsidRDefault="00CC7888" w:rsidP="00CC7888">
      <w:pPr>
        <w:pStyle w:val="CGCNumberedPara"/>
      </w:pPr>
      <w:r>
        <w:t>In relation to the level of State provided services affected by private provision (substitutability) we are awaiting the final reports from the two consultants looking into this issue. These reports will be made available to States once they have been received. States may wish to comment on the findings of the consultants</w:t>
      </w:r>
      <w:r w:rsidR="00602BEE">
        <w:t xml:space="preserve">. </w:t>
      </w:r>
      <w:r w:rsidR="00602BEE" w:rsidRPr="00186D9B">
        <w:t>In particular we draw States</w:t>
      </w:r>
      <w:r w:rsidR="00F20585">
        <w:t>’</w:t>
      </w:r>
      <w:r w:rsidR="00602BEE" w:rsidRPr="00186D9B">
        <w:t xml:space="preserve"> attention to the consultants’ comments on the level of substitutability in admitted patient services, and what might be an appropriate indicator of the impact of the non-State sector on State provision of these services.</w:t>
      </w:r>
    </w:p>
    <w:p w:rsidR="00CF1EB5" w:rsidRDefault="00CF1EB5" w:rsidP="00CF1EB5">
      <w:pPr>
        <w:pStyle w:val="Heading3"/>
      </w:pPr>
      <w:bookmarkStart w:id="51" w:name="_Toc404157434"/>
      <w:bookmarkStart w:id="52" w:name="_Toc404157478"/>
      <w:bookmarkStart w:id="53" w:name="_Toc404164797"/>
      <w:r>
        <w:t>Welfare</w:t>
      </w:r>
      <w:bookmarkEnd w:id="51"/>
      <w:bookmarkEnd w:id="52"/>
      <w:bookmarkEnd w:id="53"/>
      <w:r w:rsidR="00914585">
        <w:t xml:space="preserve"> assessment</w:t>
      </w:r>
    </w:p>
    <w:p w:rsidR="00CF1EB5" w:rsidRDefault="00CF1EB5" w:rsidP="00CF1EB5">
      <w:pPr>
        <w:pStyle w:val="CGCNumberedPara"/>
        <w:numPr>
          <w:ilvl w:val="1"/>
          <w:numId w:val="12"/>
        </w:numPr>
      </w:pPr>
      <w:r>
        <w:t xml:space="preserve">The Commission intends to assess other general welfare expenses using the </w:t>
      </w:r>
      <w:r w:rsidR="00D02A04">
        <w:t xml:space="preserve">relative </w:t>
      </w:r>
      <w:r w:rsidR="00BF52A3">
        <w:t>proportion</w:t>
      </w:r>
      <w:r w:rsidR="00D02A04">
        <w:t>s of State</w:t>
      </w:r>
      <w:r w:rsidR="00BF52A3">
        <w:t xml:space="preserve"> population</w:t>
      </w:r>
      <w:r w:rsidR="00D02A04">
        <w:t>s</w:t>
      </w:r>
      <w:r w:rsidR="00BF52A3">
        <w:t xml:space="preserve"> in the bottom q</w:t>
      </w:r>
      <w:r w:rsidR="00D02A04">
        <w:t xml:space="preserve">uintile of the </w:t>
      </w:r>
      <w:r>
        <w:t>2006 Census SEIFI</w:t>
      </w:r>
      <w:r w:rsidR="00D02A04">
        <w:t>. This will be</w:t>
      </w:r>
      <w:r>
        <w:t xml:space="preserve"> adjusted by the change in the relative proportions of State populations with Health Care Cards between the 2006 and 2011 Censuses</w:t>
      </w:r>
      <w:r w:rsidR="00D02A04">
        <w:t xml:space="preserve"> to account for changes in social disadvantage over that period. The Commission will continue to use this measure,</w:t>
      </w:r>
      <w:r w:rsidRPr="00615DDB">
        <w:t xml:space="preserve"> pending the availability of a household level index f</w:t>
      </w:r>
      <w:r w:rsidR="00D02A04">
        <w:t>r</w:t>
      </w:r>
      <w:r w:rsidRPr="00615DDB">
        <w:t>o</w:t>
      </w:r>
      <w:r w:rsidR="00D02A04">
        <w:t>m</w:t>
      </w:r>
      <w:r w:rsidRPr="00615DDB">
        <w:t xml:space="preserve"> the 2011 Census</w:t>
      </w:r>
      <w:r>
        <w:t xml:space="preserve">. </w:t>
      </w:r>
    </w:p>
    <w:p w:rsidR="00CF1EB5" w:rsidRDefault="00CF1EB5" w:rsidP="00CF1EB5">
      <w:pPr>
        <w:pStyle w:val="CGCNumberedPara"/>
        <w:numPr>
          <w:ilvl w:val="1"/>
          <w:numId w:val="12"/>
        </w:numPr>
      </w:pPr>
      <w:r>
        <w:t xml:space="preserve">We consider SEIFI an appropriate measure because it is a broad indicator of social disadvantage. However, the 2006 SEIFI </w:t>
      </w:r>
      <w:r w:rsidR="00D02A04">
        <w:t xml:space="preserve">measure </w:t>
      </w:r>
      <w:r>
        <w:t xml:space="preserve">could not be used </w:t>
      </w:r>
      <w:r w:rsidR="00D02A04">
        <w:t xml:space="preserve">unadjusted </w:t>
      </w:r>
      <w:r>
        <w:t xml:space="preserve">because State circumstances have changed. </w:t>
      </w:r>
      <w:r w:rsidR="00AB4996">
        <w:t>W</w:t>
      </w:r>
      <w:r>
        <w:t xml:space="preserve">e </w:t>
      </w:r>
      <w:r w:rsidR="00AB4996">
        <w:t xml:space="preserve">intend to use </w:t>
      </w:r>
      <w:r>
        <w:t>the change in relative levels of Health Care Card holders</w:t>
      </w:r>
      <w:r w:rsidR="00AB4996">
        <w:t xml:space="preserve"> to measure those changes in circumstances</w:t>
      </w:r>
      <w:r>
        <w:t xml:space="preserve"> because the 2006 measure correlated w</w:t>
      </w:r>
      <w:r w:rsidR="00D02A04">
        <w:t>ell with the 2006 SEIFI measure</w:t>
      </w:r>
      <w:r>
        <w:t>.</w:t>
      </w:r>
    </w:p>
    <w:p w:rsidR="00CF1EB5" w:rsidRDefault="00CF1EB5" w:rsidP="00CF1EB5">
      <w:pPr>
        <w:pStyle w:val="CGCNumberedPara"/>
        <w:numPr>
          <w:ilvl w:val="1"/>
          <w:numId w:val="12"/>
        </w:numPr>
      </w:pPr>
      <w:r>
        <w:fldChar w:fldCharType="begin"/>
      </w:r>
      <w:r>
        <w:instrText xml:space="preserve"> REF _Ref404064567 \h </w:instrText>
      </w:r>
      <w:r>
        <w:fldChar w:fldCharType="separate"/>
      </w:r>
      <w:r w:rsidR="00781EF8" w:rsidRPr="00EF0A4F">
        <w:t xml:space="preserve">Table </w:t>
      </w:r>
      <w:r w:rsidR="00781EF8">
        <w:rPr>
          <w:noProof/>
        </w:rPr>
        <w:t>3</w:t>
      </w:r>
      <w:r>
        <w:fldChar w:fldCharType="end"/>
      </w:r>
      <w:r>
        <w:t xml:space="preserve"> shows the 2006 SEIFI and how it would be adjusted. The main change is a </w:t>
      </w:r>
      <w:r w:rsidR="00AB4996">
        <w:t xml:space="preserve">reduction </w:t>
      </w:r>
      <w:r>
        <w:t xml:space="preserve">in the </w:t>
      </w:r>
      <w:r w:rsidR="00D02A04">
        <w:t xml:space="preserve">relative measures </w:t>
      </w:r>
      <w:r>
        <w:t xml:space="preserve">for Western Australia and the Northern Territory. </w:t>
      </w:r>
    </w:p>
    <w:p w:rsidR="00CF1EB5" w:rsidRDefault="00CF1EB5" w:rsidP="00CF1EB5">
      <w:pPr>
        <w:pStyle w:val="CGCNumberedPara"/>
        <w:numPr>
          <w:ilvl w:val="1"/>
          <w:numId w:val="12"/>
        </w:numPr>
      </w:pPr>
      <w:r>
        <w:t xml:space="preserve">SEIFA or NISEIFA and IRSEO, as proposed by some States, are not appropriate alternatives because these are area-based measures of socio-economic status and we do not have service user data to estimate how many people in each type of area would use general welfare services. </w:t>
      </w:r>
    </w:p>
    <w:p w:rsidR="00CF1EB5" w:rsidRPr="00EF0A4F" w:rsidRDefault="00CF1EB5" w:rsidP="00CF1EB5">
      <w:pPr>
        <w:pStyle w:val="CGCTableHeading"/>
      </w:pPr>
      <w:bookmarkStart w:id="54" w:name="_Ref404064567"/>
      <w:r w:rsidRPr="00EF0A4F">
        <w:lastRenderedPageBreak/>
        <w:t xml:space="preserve">Table </w:t>
      </w:r>
      <w:r w:rsidR="00781EF8">
        <w:fldChar w:fldCharType="begin"/>
      </w:r>
      <w:r w:rsidR="00781EF8">
        <w:instrText xml:space="preserve"> SEQ Table \* ARABIC </w:instrText>
      </w:r>
      <w:r w:rsidR="00781EF8">
        <w:fldChar w:fldCharType="separate"/>
      </w:r>
      <w:r w:rsidR="00781EF8">
        <w:rPr>
          <w:noProof/>
        </w:rPr>
        <w:t>3</w:t>
      </w:r>
      <w:r w:rsidR="00781EF8">
        <w:rPr>
          <w:noProof/>
        </w:rPr>
        <w:fldChar w:fldCharType="end"/>
      </w:r>
      <w:bookmarkEnd w:id="54"/>
      <w:r w:rsidRPr="00EF0A4F">
        <w:tab/>
      </w:r>
      <w:r w:rsidR="00D02A04">
        <w:t xml:space="preserve">Relative proportions of State populations in bottom </w:t>
      </w:r>
      <w:r>
        <w:t>2006 Census</w:t>
      </w:r>
      <w:r w:rsidRPr="00EF0A4F">
        <w:t xml:space="preserve"> SEIFI </w:t>
      </w:r>
      <w:r w:rsidR="00D02A04">
        <w:t xml:space="preserve">quintile, </w:t>
      </w:r>
      <w:r>
        <w:t xml:space="preserve">adjusted for change in the </w:t>
      </w:r>
      <w:r w:rsidRPr="00EF0A4F">
        <w:t xml:space="preserve">relative proportions of State populations </w:t>
      </w:r>
      <w:r>
        <w:t>with</w:t>
      </w:r>
      <w:r w:rsidRPr="00EF0A4F">
        <w:t xml:space="preserve"> a Health Care Card</w:t>
      </w:r>
    </w:p>
    <w:tbl>
      <w:tblPr>
        <w:tblW w:w="9221" w:type="dxa"/>
        <w:tblInd w:w="93" w:type="dxa"/>
        <w:tblLook w:val="04A0" w:firstRow="1" w:lastRow="0" w:firstColumn="1" w:lastColumn="0" w:noHBand="0" w:noVBand="1"/>
      </w:tblPr>
      <w:tblGrid>
        <w:gridCol w:w="2256"/>
        <w:gridCol w:w="760"/>
        <w:gridCol w:w="760"/>
        <w:gridCol w:w="760"/>
        <w:gridCol w:w="760"/>
        <w:gridCol w:w="760"/>
        <w:gridCol w:w="760"/>
        <w:gridCol w:w="760"/>
        <w:gridCol w:w="760"/>
        <w:gridCol w:w="885"/>
      </w:tblGrid>
      <w:tr w:rsidR="00CF1EB5" w:rsidRPr="0030797C" w:rsidTr="00CF1EB5">
        <w:trPr>
          <w:trHeight w:val="379"/>
        </w:trPr>
        <w:tc>
          <w:tcPr>
            <w:tcW w:w="2256" w:type="dxa"/>
            <w:tcBorders>
              <w:top w:val="single" w:sz="4" w:space="0" w:color="auto"/>
              <w:left w:val="nil"/>
              <w:bottom w:val="single" w:sz="4" w:space="0" w:color="auto"/>
              <w:right w:val="nil"/>
            </w:tcBorders>
            <w:shd w:val="clear" w:color="auto" w:fill="auto"/>
            <w:noWrap/>
            <w:vAlign w:val="center"/>
            <w:hideMark/>
          </w:tcPr>
          <w:p w:rsidR="00CF1EB5" w:rsidRPr="006F0630" w:rsidRDefault="00D02A04" w:rsidP="00CF1EB5">
            <w:pPr>
              <w:pStyle w:val="ListParagraph"/>
              <w:keepNext/>
              <w:spacing w:after="0" w:line="240" w:lineRule="auto"/>
              <w:ind w:left="0"/>
              <w:jc w:val="center"/>
              <w:rPr>
                <w:rFonts w:ascii="Calibri" w:eastAsia="Times New Roman" w:hAnsi="Calibri" w:cs="Times New Roman"/>
                <w:sz w:val="20"/>
                <w:szCs w:val="20"/>
                <w:lang w:eastAsia="en-AU"/>
              </w:rPr>
            </w:pPr>
            <w:r>
              <w:rPr>
                <w:rFonts w:ascii="Calibri" w:eastAsia="Times New Roman" w:hAnsi="Calibri" w:cs="Times New Roman"/>
                <w:sz w:val="20"/>
                <w:szCs w:val="20"/>
                <w:lang w:eastAsia="en-AU"/>
              </w:rPr>
              <w:t>Relative proportions of State populations</w:t>
            </w:r>
            <w:r w:rsidR="00CF1EB5" w:rsidRPr="006F0630">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Tas</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NT</w:t>
            </w:r>
          </w:p>
        </w:tc>
        <w:tc>
          <w:tcPr>
            <w:tcW w:w="885" w:type="dxa"/>
            <w:tcBorders>
              <w:top w:val="single" w:sz="4" w:space="0" w:color="auto"/>
              <w:left w:val="nil"/>
              <w:bottom w:val="single" w:sz="4" w:space="0" w:color="auto"/>
              <w:right w:val="nil"/>
            </w:tcBorders>
            <w:shd w:val="clear" w:color="auto" w:fill="auto"/>
            <w:noWrap/>
            <w:vAlign w:val="center"/>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Average</w:t>
            </w:r>
          </w:p>
        </w:tc>
      </w:tr>
      <w:tr w:rsidR="00CF1EB5" w:rsidRPr="0030797C" w:rsidTr="00CF1EB5">
        <w:trPr>
          <w:trHeight w:val="259"/>
        </w:trPr>
        <w:tc>
          <w:tcPr>
            <w:tcW w:w="2256"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c>
          <w:tcPr>
            <w:tcW w:w="885"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w:t>
            </w:r>
          </w:p>
        </w:tc>
      </w:tr>
      <w:tr w:rsidR="00CF1EB5" w:rsidRPr="0030797C" w:rsidTr="00CF1EB5">
        <w:trPr>
          <w:trHeight w:val="315"/>
        </w:trPr>
        <w:tc>
          <w:tcPr>
            <w:tcW w:w="2256"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 xml:space="preserve">2006 SEIFI </w:t>
            </w:r>
            <w:r w:rsidR="00D02A04">
              <w:rPr>
                <w:rFonts w:ascii="Calibri" w:eastAsia="Times New Roman" w:hAnsi="Calibri" w:cs="Times New Roman"/>
                <w:sz w:val="20"/>
                <w:szCs w:val="20"/>
                <w:lang w:eastAsia="en-AU"/>
              </w:rPr>
              <w:t xml:space="preserve">bottom quintile </w:t>
            </w:r>
            <w:r>
              <w:rPr>
                <w:rFonts w:ascii="Calibri" w:eastAsia="Times New Roman" w:hAnsi="Calibri" w:cs="Times New Roman"/>
                <w:sz w:val="20"/>
                <w:szCs w:val="20"/>
                <w:lang w:eastAsia="en-AU"/>
              </w:rPr>
              <w:t>(a)</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96</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91</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99</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88</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116</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137</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63</w:t>
            </w:r>
          </w:p>
        </w:tc>
        <w:tc>
          <w:tcPr>
            <w:tcW w:w="760"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156</w:t>
            </w:r>
          </w:p>
        </w:tc>
        <w:tc>
          <w:tcPr>
            <w:tcW w:w="885" w:type="dxa"/>
            <w:tcBorders>
              <w:top w:val="nil"/>
              <w:left w:val="nil"/>
              <w:bottom w:val="nil"/>
              <w:right w:val="nil"/>
            </w:tcBorders>
            <w:shd w:val="clear" w:color="auto" w:fill="auto"/>
            <w:noWrap/>
            <w:vAlign w:val="bottom"/>
            <w:hideMark/>
          </w:tcPr>
          <w:p w:rsidR="00CF1EB5" w:rsidRPr="0030797C" w:rsidRDefault="00CF1EB5" w:rsidP="00CF1EB5">
            <w:pPr>
              <w:keepNext/>
              <w:tabs>
                <w:tab w:val="clear" w:pos="567"/>
              </w:tabs>
              <w:spacing w:after="0" w:line="240" w:lineRule="auto"/>
              <w:jc w:val="right"/>
              <w:rPr>
                <w:rFonts w:ascii="Calibri" w:eastAsia="Times New Roman" w:hAnsi="Calibri" w:cs="Times New Roman"/>
                <w:sz w:val="20"/>
                <w:szCs w:val="20"/>
                <w:lang w:eastAsia="en-AU"/>
              </w:rPr>
            </w:pPr>
            <w:r w:rsidRPr="0030797C">
              <w:rPr>
                <w:rFonts w:ascii="Calibri" w:eastAsia="Times New Roman" w:hAnsi="Calibri" w:cs="Times New Roman"/>
                <w:sz w:val="20"/>
                <w:szCs w:val="20"/>
                <w:lang w:eastAsia="en-AU"/>
              </w:rPr>
              <w:t>100</w:t>
            </w:r>
          </w:p>
        </w:tc>
      </w:tr>
      <w:tr w:rsidR="00CF1EB5" w:rsidRPr="0030797C" w:rsidTr="00CF1EB5">
        <w:trPr>
          <w:trHeight w:val="315"/>
        </w:trPr>
        <w:tc>
          <w:tcPr>
            <w:tcW w:w="2256" w:type="dxa"/>
            <w:tcBorders>
              <w:top w:val="nil"/>
              <w:left w:val="nil"/>
              <w:bottom w:val="nil"/>
              <w:right w:val="nil"/>
            </w:tcBorders>
            <w:shd w:val="clear" w:color="auto" w:fill="auto"/>
            <w:noWrap/>
            <w:vAlign w:val="bottom"/>
          </w:tcPr>
          <w:p w:rsidR="00CF1EB5" w:rsidRDefault="00CF1EB5" w:rsidP="00D02A04">
            <w:pPr>
              <w:keepNext/>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 xml:space="preserve">2006 HCC </w:t>
            </w:r>
            <w:r w:rsidR="00D02A04">
              <w:rPr>
                <w:rFonts w:ascii="Calibri" w:eastAsia="Times New Roman" w:hAnsi="Calibri" w:cs="Times New Roman"/>
                <w:sz w:val="20"/>
                <w:szCs w:val="20"/>
                <w:lang w:eastAsia="en-AU"/>
              </w:rPr>
              <w:t>holders</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94</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110</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97</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87</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106</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130</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58</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181</w:t>
            </w:r>
          </w:p>
        </w:tc>
        <w:tc>
          <w:tcPr>
            <w:tcW w:w="885"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100</w:t>
            </w:r>
          </w:p>
        </w:tc>
      </w:tr>
      <w:tr w:rsidR="00CF1EB5" w:rsidRPr="0030797C" w:rsidTr="00CF1EB5">
        <w:trPr>
          <w:trHeight w:val="315"/>
        </w:trPr>
        <w:tc>
          <w:tcPr>
            <w:tcW w:w="2256" w:type="dxa"/>
            <w:tcBorders>
              <w:top w:val="nil"/>
              <w:left w:val="nil"/>
              <w:bottom w:val="nil"/>
              <w:right w:val="nil"/>
            </w:tcBorders>
            <w:shd w:val="clear" w:color="auto" w:fill="auto"/>
            <w:noWrap/>
            <w:vAlign w:val="bottom"/>
          </w:tcPr>
          <w:p w:rsidR="00CF1EB5" w:rsidRDefault="00D02A04" w:rsidP="00D02A04">
            <w:pPr>
              <w:keepNext/>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2011 HCC holders</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95</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111</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101</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80</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108</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125</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55</w:t>
            </w:r>
          </w:p>
        </w:tc>
        <w:tc>
          <w:tcPr>
            <w:tcW w:w="760"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133</w:t>
            </w:r>
          </w:p>
        </w:tc>
        <w:tc>
          <w:tcPr>
            <w:tcW w:w="885" w:type="dxa"/>
            <w:tcBorders>
              <w:top w:val="nil"/>
              <w:left w:val="nil"/>
              <w:bottom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100</w:t>
            </w:r>
          </w:p>
        </w:tc>
      </w:tr>
      <w:tr w:rsidR="00CF1EB5" w:rsidRPr="0030797C" w:rsidTr="00CF1EB5">
        <w:trPr>
          <w:trHeight w:val="315"/>
        </w:trPr>
        <w:tc>
          <w:tcPr>
            <w:tcW w:w="2256" w:type="dxa"/>
            <w:tcBorders>
              <w:top w:val="nil"/>
              <w:left w:val="nil"/>
              <w:right w:val="nil"/>
            </w:tcBorders>
            <w:shd w:val="clear" w:color="auto" w:fill="auto"/>
            <w:noWrap/>
            <w:vAlign w:val="bottom"/>
          </w:tcPr>
          <w:p w:rsidR="00CF1EB5" w:rsidRDefault="00CF1EB5" w:rsidP="00FD5DB0">
            <w:pPr>
              <w:keepNext/>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 xml:space="preserve">% </w:t>
            </w:r>
            <w:r w:rsidR="00FD5DB0">
              <w:rPr>
                <w:rFonts w:ascii="Calibri" w:eastAsia="Times New Roman" w:hAnsi="Calibri" w:cs="Times New Roman"/>
                <w:sz w:val="20"/>
                <w:szCs w:val="20"/>
                <w:lang w:eastAsia="en-AU"/>
              </w:rPr>
              <w:t>c</w:t>
            </w:r>
            <w:r>
              <w:rPr>
                <w:rFonts w:ascii="Calibri" w:eastAsia="Times New Roman" w:hAnsi="Calibri" w:cs="Times New Roman"/>
                <w:sz w:val="20"/>
                <w:szCs w:val="20"/>
                <w:lang w:eastAsia="en-AU"/>
              </w:rPr>
              <w:t xml:space="preserve">hange in HCC </w:t>
            </w:r>
            <w:r w:rsidR="00D02A04">
              <w:rPr>
                <w:rFonts w:ascii="Calibri" w:eastAsia="Times New Roman" w:hAnsi="Calibri" w:cs="Times New Roman"/>
                <w:sz w:val="20"/>
                <w:szCs w:val="20"/>
                <w:lang w:eastAsia="en-AU"/>
              </w:rPr>
              <w:t xml:space="preserve">holders </w:t>
            </w:r>
            <w:r>
              <w:rPr>
                <w:rFonts w:ascii="Calibri" w:eastAsia="Times New Roman" w:hAnsi="Calibri" w:cs="Times New Roman"/>
                <w:sz w:val="20"/>
                <w:szCs w:val="20"/>
                <w:lang w:eastAsia="en-AU"/>
              </w:rPr>
              <w:t>(b)</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0</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2</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4</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-9</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2</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-4</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-6</w:t>
            </w:r>
          </w:p>
        </w:tc>
        <w:tc>
          <w:tcPr>
            <w:tcW w:w="760"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-27</w:t>
            </w:r>
          </w:p>
        </w:tc>
        <w:tc>
          <w:tcPr>
            <w:tcW w:w="885" w:type="dxa"/>
            <w:tcBorders>
              <w:top w:val="nil"/>
              <w:left w:val="nil"/>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0</w:t>
            </w:r>
          </w:p>
        </w:tc>
      </w:tr>
      <w:tr w:rsidR="00CF1EB5" w:rsidRPr="0030797C" w:rsidTr="00CF1EB5">
        <w:trPr>
          <w:trHeight w:val="315"/>
        </w:trPr>
        <w:tc>
          <w:tcPr>
            <w:tcW w:w="2256" w:type="dxa"/>
            <w:tcBorders>
              <w:top w:val="nil"/>
              <w:left w:val="nil"/>
              <w:bottom w:val="single" w:sz="4" w:space="0" w:color="auto"/>
              <w:right w:val="nil"/>
            </w:tcBorders>
            <w:shd w:val="clear" w:color="auto" w:fill="auto"/>
            <w:noWrap/>
            <w:vAlign w:val="bottom"/>
          </w:tcPr>
          <w:p w:rsidR="00CF1EB5" w:rsidRDefault="00CF1EB5" w:rsidP="00CF1EB5">
            <w:pPr>
              <w:keepNext/>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2006 adjusted SEIFI measure (a) scaled by (b)</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96</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92</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103</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80</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118</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131</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59</w:t>
            </w:r>
          </w:p>
        </w:tc>
        <w:tc>
          <w:tcPr>
            <w:tcW w:w="760"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114</w:t>
            </w:r>
          </w:p>
        </w:tc>
        <w:tc>
          <w:tcPr>
            <w:tcW w:w="885" w:type="dxa"/>
            <w:tcBorders>
              <w:top w:val="nil"/>
              <w:left w:val="nil"/>
              <w:bottom w:val="single" w:sz="4" w:space="0" w:color="auto"/>
              <w:right w:val="nil"/>
            </w:tcBorders>
            <w:shd w:val="clear" w:color="auto" w:fill="auto"/>
            <w:noWrap/>
            <w:vAlign w:val="bottom"/>
          </w:tcPr>
          <w:p w:rsidR="00CF1EB5" w:rsidRDefault="00CF1EB5" w:rsidP="00CF1EB5">
            <w:pPr>
              <w:spacing w:after="0" w:line="240" w:lineRule="auto"/>
              <w:jc w:val="right"/>
              <w:rPr>
                <w:rFonts w:ascii="Calibri" w:hAnsi="Calibri"/>
                <w:color w:val="000000"/>
                <w:sz w:val="20"/>
                <w:szCs w:val="20"/>
              </w:rPr>
            </w:pPr>
            <w:r>
              <w:rPr>
                <w:rFonts w:ascii="Calibri" w:hAnsi="Calibri"/>
                <w:color w:val="000000"/>
                <w:sz w:val="20"/>
                <w:szCs w:val="20"/>
              </w:rPr>
              <w:t>100</w:t>
            </w:r>
          </w:p>
        </w:tc>
      </w:tr>
    </w:tbl>
    <w:p w:rsidR="00CF1EB5" w:rsidRDefault="00CF1EB5" w:rsidP="00CF1EB5">
      <w:pPr>
        <w:pStyle w:val="CGCTableFootnote"/>
      </w:pPr>
      <w:r>
        <w:t>Source:</w:t>
      </w:r>
      <w:r>
        <w:tab/>
      </w:r>
      <w:r w:rsidRPr="00C33C19">
        <w:t>Commission</w:t>
      </w:r>
      <w:r>
        <w:t xml:space="preserve"> calculation, derived from ABS 2006 Census SEIFI data and Centrelink Health Care Card data.</w:t>
      </w:r>
    </w:p>
    <w:p w:rsidR="00914585" w:rsidRPr="008461E9" w:rsidRDefault="00914585" w:rsidP="00914585">
      <w:pPr>
        <w:pStyle w:val="Heading3"/>
      </w:pPr>
      <w:bookmarkStart w:id="55" w:name="_Toc404157436"/>
      <w:bookmarkStart w:id="56" w:name="_Toc404157480"/>
      <w:bookmarkStart w:id="57" w:name="_Toc404164798"/>
      <w:bookmarkStart w:id="58" w:name="_Toc404157435"/>
      <w:bookmarkStart w:id="59" w:name="_Toc404157479"/>
      <w:r w:rsidRPr="008461E9">
        <w:t>Regional cost gradient</w:t>
      </w:r>
      <w:bookmarkEnd w:id="55"/>
      <w:bookmarkEnd w:id="56"/>
      <w:bookmarkEnd w:id="57"/>
    </w:p>
    <w:p w:rsidR="00914585" w:rsidRPr="00970E6D" w:rsidRDefault="00914585" w:rsidP="00914585">
      <w:pPr>
        <w:pStyle w:val="CGCNumberedPara"/>
        <w:numPr>
          <w:ilvl w:val="1"/>
          <w:numId w:val="12"/>
        </w:numPr>
      </w:pPr>
      <w:r>
        <w:t xml:space="preserve">The Commission intends to use a general regional cost gradient where a regional cost disability is to be extrapolated to categories other than Schools education or Justice. This </w:t>
      </w:r>
      <w:r w:rsidR="00FD5DB0">
        <w:t xml:space="preserve">general regional cost gradient </w:t>
      </w:r>
      <w:r>
        <w:t xml:space="preserve">has been calculated as the average of the Schools education and Police gradients, derived respectively from ACARA and State provided data. </w:t>
      </w:r>
      <w:r w:rsidRPr="007B6908">
        <w:t>This</w:t>
      </w:r>
      <w:r>
        <w:t xml:space="preserve"> </w:t>
      </w:r>
      <w:r w:rsidR="00FD5DB0">
        <w:t xml:space="preserve">approach </w:t>
      </w:r>
      <w:r w:rsidRPr="007B6908">
        <w:t xml:space="preserve">draws on </w:t>
      </w:r>
      <w:r>
        <w:t>two different</w:t>
      </w:r>
      <w:r w:rsidRPr="007B6908">
        <w:t xml:space="preserve"> service delivery models</w:t>
      </w:r>
      <w:r>
        <w:t>,</w:t>
      </w:r>
      <w:r w:rsidRPr="007B6908">
        <w:t xml:space="preserve"> c</w:t>
      </w:r>
      <w:r w:rsidR="00D02A04">
        <w:t xml:space="preserve">reates a smoother gradient and </w:t>
      </w:r>
      <w:r w:rsidRPr="007B6908">
        <w:t>assist</w:t>
      </w:r>
      <w:r w:rsidR="00D02A04">
        <w:t>s</w:t>
      </w:r>
      <w:r w:rsidRPr="007B6908">
        <w:t xml:space="preserve"> in reducing the sensitivity of the gradient to changes in ACARA data over time.</w:t>
      </w:r>
    </w:p>
    <w:p w:rsidR="00914585" w:rsidRDefault="00914585" w:rsidP="00914585">
      <w:pPr>
        <w:pStyle w:val="CGCNumberedPara"/>
        <w:numPr>
          <w:ilvl w:val="1"/>
          <w:numId w:val="12"/>
        </w:numPr>
      </w:pPr>
      <w:r w:rsidRPr="007B6908">
        <w:t>The schools education, police and a general (average) gradient are shown in</w:t>
      </w:r>
      <w:r>
        <w:t xml:space="preserve"> </w:t>
      </w:r>
      <w:r>
        <w:fldChar w:fldCharType="begin"/>
      </w:r>
      <w:r>
        <w:instrText xml:space="preserve"> REF _Ref403744082 \h </w:instrText>
      </w:r>
      <w:r>
        <w:fldChar w:fldCharType="separate"/>
      </w:r>
      <w:r w:rsidR="00781EF8" w:rsidRPr="007B6908">
        <w:t xml:space="preserve">Figure </w:t>
      </w:r>
      <w:r w:rsidR="00781EF8">
        <w:rPr>
          <w:noProof/>
        </w:rPr>
        <w:t>1</w:t>
      </w:r>
      <w:r>
        <w:fldChar w:fldCharType="end"/>
      </w:r>
      <w:r w:rsidRPr="007B6908">
        <w:t>.</w:t>
      </w:r>
    </w:p>
    <w:p w:rsidR="00914585" w:rsidRDefault="00914585" w:rsidP="00914585">
      <w:pPr>
        <w:pStyle w:val="CGCNumberedPara"/>
        <w:numPr>
          <w:ilvl w:val="1"/>
          <w:numId w:val="12"/>
        </w:numPr>
      </w:pPr>
      <w:r w:rsidRPr="007B6908">
        <w:t xml:space="preserve">The </w:t>
      </w:r>
      <w:r>
        <w:t>R</w:t>
      </w:r>
      <w:r w:rsidRPr="007B6908">
        <w:t>egional cost factor</w:t>
      </w:r>
      <w:r>
        <w:t>s</w:t>
      </w:r>
      <w:r w:rsidRPr="007B6908">
        <w:t xml:space="preserve"> for all categories</w:t>
      </w:r>
      <w:r>
        <w:t xml:space="preserve"> other than Schools education and Justice</w:t>
      </w:r>
      <w:r w:rsidRPr="007B6908">
        <w:t xml:space="preserve"> ha</w:t>
      </w:r>
      <w:r>
        <w:t>ve</w:t>
      </w:r>
      <w:r w:rsidRPr="007B6908">
        <w:t xml:space="preserve"> been derived using the general cost gradient and a client base or expense base applicable to the category.</w:t>
      </w:r>
    </w:p>
    <w:p w:rsidR="00914585" w:rsidRPr="007B6908" w:rsidRDefault="00914585" w:rsidP="00914585">
      <w:pPr>
        <w:pStyle w:val="CGCNumberedPara"/>
        <w:numPr>
          <w:ilvl w:val="1"/>
          <w:numId w:val="12"/>
        </w:numPr>
      </w:pPr>
      <w:r>
        <w:fldChar w:fldCharType="begin"/>
      </w:r>
      <w:r>
        <w:instrText xml:space="preserve"> REF _Ref403744215 \h </w:instrText>
      </w:r>
      <w:r>
        <w:fldChar w:fldCharType="separate"/>
      </w:r>
      <w:r w:rsidR="00781EF8">
        <w:t xml:space="preserve">Table </w:t>
      </w:r>
      <w:r w:rsidR="00781EF8">
        <w:rPr>
          <w:noProof/>
        </w:rPr>
        <w:t>4</w:t>
      </w:r>
      <w:r>
        <w:fldChar w:fldCharType="end"/>
      </w:r>
      <w:r>
        <w:t xml:space="preserve"> </w:t>
      </w:r>
      <w:r w:rsidRPr="007B6908">
        <w:t>shows the assessments</w:t>
      </w:r>
      <w:r>
        <w:t xml:space="preserve"> in</w:t>
      </w:r>
      <w:r w:rsidRPr="007B6908">
        <w:t xml:space="preserve"> which</w:t>
      </w:r>
      <w:r>
        <w:t xml:space="preserve"> the</w:t>
      </w:r>
      <w:r w:rsidRPr="007B6908">
        <w:t xml:space="preserve"> regional costs </w:t>
      </w:r>
      <w:r>
        <w:t xml:space="preserve">disability </w:t>
      </w:r>
      <w:r w:rsidRPr="007B6908">
        <w:t xml:space="preserve">is applied and the data used. </w:t>
      </w:r>
      <w:r w:rsidR="00F20585">
        <w:t>A 12.5</w:t>
      </w:r>
      <w:r>
        <w:t>% discount has been applied to the regional cost factors for all categories in which the general cost gradient has been used.</w:t>
      </w:r>
    </w:p>
    <w:p w:rsidR="00914585" w:rsidRPr="007B6908" w:rsidRDefault="00914585" w:rsidP="00914585">
      <w:pPr>
        <w:pStyle w:val="Caption"/>
      </w:pPr>
      <w:bookmarkStart w:id="60" w:name="_Ref403744082"/>
      <w:bookmarkStart w:id="61" w:name="_Ref403744077"/>
      <w:r w:rsidRPr="007B6908">
        <w:lastRenderedPageBreak/>
        <w:t xml:space="preserve">Figure </w:t>
      </w:r>
      <w:r w:rsidR="00781EF8">
        <w:fldChar w:fldCharType="begin"/>
      </w:r>
      <w:r w:rsidR="00781EF8">
        <w:instrText xml:space="preserve"> SEQ Figure \* ARABIC </w:instrText>
      </w:r>
      <w:r w:rsidR="00781EF8">
        <w:fldChar w:fldCharType="separate"/>
      </w:r>
      <w:r w:rsidR="00781EF8">
        <w:rPr>
          <w:noProof/>
        </w:rPr>
        <w:t>1</w:t>
      </w:r>
      <w:r w:rsidR="00781EF8">
        <w:rPr>
          <w:noProof/>
        </w:rPr>
        <w:fldChar w:fldCharType="end"/>
      </w:r>
      <w:bookmarkEnd w:id="60"/>
      <w:r w:rsidRPr="007B6908">
        <w:tab/>
        <w:t>Schools education and illustrative police Regional costs gradient</w:t>
      </w:r>
      <w:bookmarkEnd w:id="61"/>
    </w:p>
    <w:p w:rsidR="00914585" w:rsidRPr="007B6908" w:rsidRDefault="00914585" w:rsidP="00914585">
      <w:r w:rsidRPr="007B6908">
        <w:rPr>
          <w:noProof/>
          <w:lang w:eastAsia="en-AU"/>
        </w:rPr>
        <w:drawing>
          <wp:inline distT="0" distB="0" distL="0" distR="0" wp14:anchorId="257E8020" wp14:editId="01060001">
            <wp:extent cx="5657587" cy="3275938"/>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7850" cy="3276090"/>
                    </a:xfrm>
                    <a:prstGeom prst="rect">
                      <a:avLst/>
                    </a:prstGeom>
                    <a:noFill/>
                    <a:ln>
                      <a:noFill/>
                    </a:ln>
                  </pic:spPr>
                </pic:pic>
              </a:graphicData>
            </a:graphic>
          </wp:inline>
        </w:drawing>
      </w:r>
    </w:p>
    <w:p w:rsidR="00914585" w:rsidRDefault="00914585" w:rsidP="00914585">
      <w:pPr>
        <w:pStyle w:val="CGCTableFootnote"/>
      </w:pPr>
      <w:r w:rsidRPr="007B6908">
        <w:t>Source:</w:t>
      </w:r>
      <w:r w:rsidRPr="007B6908">
        <w:tab/>
        <w:t>Commission calculation using ACARA data, 2010-11 and State provided data, 2008-09.</w:t>
      </w:r>
    </w:p>
    <w:p w:rsidR="00914585" w:rsidRPr="00A62177" w:rsidRDefault="00914585" w:rsidP="00914585">
      <w:pPr>
        <w:pStyle w:val="NoSpacing"/>
      </w:pPr>
    </w:p>
    <w:p w:rsidR="00914585" w:rsidRDefault="00914585" w:rsidP="00914585">
      <w:pPr>
        <w:pStyle w:val="Caption"/>
      </w:pPr>
      <w:bookmarkStart w:id="62" w:name="_Ref403744215"/>
      <w:r>
        <w:t xml:space="preserve">Table </w:t>
      </w:r>
      <w:r w:rsidR="00781EF8">
        <w:fldChar w:fldCharType="begin"/>
      </w:r>
      <w:r w:rsidR="00781EF8">
        <w:instrText xml:space="preserve"> SEQ Table \* ARABIC </w:instrText>
      </w:r>
      <w:r w:rsidR="00781EF8">
        <w:fldChar w:fldCharType="separate"/>
      </w:r>
      <w:r w:rsidR="00781EF8">
        <w:rPr>
          <w:noProof/>
        </w:rPr>
        <w:t>4</w:t>
      </w:r>
      <w:r w:rsidR="00781EF8">
        <w:rPr>
          <w:noProof/>
        </w:rPr>
        <w:fldChar w:fldCharType="end"/>
      </w:r>
      <w:bookmarkEnd w:id="62"/>
      <w:r>
        <w:tab/>
      </w:r>
      <w:r w:rsidRPr="007B6908">
        <w:t>Regional costs client or expense base and gradient used for each assessment</w:t>
      </w:r>
    </w:p>
    <w:tbl>
      <w:tblPr>
        <w:tblW w:w="8960" w:type="dxa"/>
        <w:tblInd w:w="93" w:type="dxa"/>
        <w:tblLook w:val="04A0" w:firstRow="1" w:lastRow="0" w:firstColumn="1" w:lastColumn="0" w:noHBand="0" w:noVBand="1"/>
      </w:tblPr>
      <w:tblGrid>
        <w:gridCol w:w="4860"/>
        <w:gridCol w:w="2860"/>
        <w:gridCol w:w="1240"/>
      </w:tblGrid>
      <w:tr w:rsidR="00914585" w:rsidRPr="00127DB7" w:rsidTr="00FA4107">
        <w:trPr>
          <w:trHeight w:val="315"/>
        </w:trPr>
        <w:tc>
          <w:tcPr>
            <w:tcW w:w="4860" w:type="dxa"/>
            <w:tcBorders>
              <w:top w:val="single" w:sz="4" w:space="0" w:color="auto"/>
              <w:left w:val="nil"/>
              <w:bottom w:val="single" w:sz="4" w:space="0" w:color="auto"/>
              <w:right w:val="nil"/>
            </w:tcBorders>
            <w:shd w:val="clear" w:color="auto" w:fill="auto"/>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bookmarkStart w:id="63" w:name="RANGE!A4:C18"/>
            <w:r w:rsidRPr="00127DB7">
              <w:rPr>
                <w:rFonts w:ascii="Calibri" w:eastAsia="Times New Roman" w:hAnsi="Calibri" w:cs="Times New Roman"/>
                <w:color w:val="000000"/>
                <w:sz w:val="20"/>
                <w:szCs w:val="20"/>
                <w:lang w:eastAsia="en-AU"/>
              </w:rPr>
              <w:t>Category or component</w:t>
            </w:r>
            <w:bookmarkEnd w:id="63"/>
          </w:p>
        </w:tc>
        <w:tc>
          <w:tcPr>
            <w:tcW w:w="2860" w:type="dxa"/>
            <w:tcBorders>
              <w:top w:val="single" w:sz="4" w:space="0" w:color="auto"/>
              <w:left w:val="nil"/>
              <w:bottom w:val="single" w:sz="4" w:space="0" w:color="auto"/>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Client base</w:t>
            </w:r>
          </w:p>
        </w:tc>
        <w:tc>
          <w:tcPr>
            <w:tcW w:w="1240" w:type="dxa"/>
            <w:tcBorders>
              <w:top w:val="single" w:sz="4" w:space="0" w:color="auto"/>
              <w:left w:val="nil"/>
              <w:bottom w:val="single" w:sz="4" w:space="0" w:color="auto"/>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Gradient</w:t>
            </w: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Health – outpatients (a)</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Housing</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Welfare</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Services to communities</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Community development</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Use-</w:t>
            </w:r>
            <w:r w:rsidRPr="00127DB7">
              <w:rPr>
                <w:rFonts w:ascii="Calibri" w:eastAsia="Times New Roman" w:hAnsi="Calibri" w:cs="Times New Roman"/>
                <w:color w:val="000000"/>
                <w:sz w:val="20"/>
                <w:szCs w:val="20"/>
                <w:lang w:eastAsia="en-AU"/>
              </w:rPr>
              <w:t>weighted 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Community amenities</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Small communities utilities subsidies</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Use</w:t>
            </w:r>
            <w:r>
              <w:rPr>
                <w:rFonts w:ascii="Calibri" w:eastAsia="Times New Roman" w:hAnsi="Calibri" w:cs="Times New Roman"/>
                <w:color w:val="000000"/>
                <w:sz w:val="20"/>
                <w:szCs w:val="20"/>
                <w:lang w:eastAsia="en-AU"/>
              </w:rPr>
              <w:t>-</w:t>
            </w:r>
            <w:r w:rsidRPr="00127DB7">
              <w:rPr>
                <w:rFonts w:ascii="Calibri" w:eastAsia="Times New Roman" w:hAnsi="Calibri" w:cs="Times New Roman"/>
                <w:color w:val="000000"/>
                <w:sz w:val="20"/>
                <w:szCs w:val="20"/>
                <w:lang w:eastAsia="en-AU"/>
              </w:rPr>
              <w:t>weighted 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 xml:space="preserve">Justice </w:t>
            </w:r>
            <w:r w:rsidR="00CC7888">
              <w:rPr>
                <w:rFonts w:ascii="Calibri" w:eastAsia="Times New Roman" w:hAnsi="Calibri" w:cs="Times New Roman"/>
                <w:color w:val="000000"/>
                <w:sz w:val="20"/>
                <w:szCs w:val="20"/>
                <w:lang w:eastAsia="en-AU"/>
              </w:rPr>
              <w:t>–</w:t>
            </w:r>
            <w:r w:rsidRPr="00127DB7">
              <w:rPr>
                <w:rFonts w:ascii="Calibri" w:eastAsia="Times New Roman" w:hAnsi="Calibri" w:cs="Times New Roman"/>
                <w:color w:val="000000"/>
                <w:sz w:val="20"/>
                <w:szCs w:val="20"/>
                <w:lang w:eastAsia="en-AU"/>
              </w:rPr>
              <w:t xml:space="preserve"> police</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Police use-</w:t>
            </w:r>
            <w:r w:rsidRPr="00127DB7">
              <w:rPr>
                <w:rFonts w:ascii="Calibri" w:eastAsia="Times New Roman" w:hAnsi="Calibri" w:cs="Times New Roman"/>
                <w:color w:val="000000"/>
                <w:sz w:val="20"/>
                <w:szCs w:val="20"/>
                <w:lang w:eastAsia="en-AU"/>
              </w:rPr>
              <w:t>weighted 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Police</w:t>
            </w: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Justice - courts and prisons</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Police use</w:t>
            </w:r>
            <w:r>
              <w:rPr>
                <w:rFonts w:ascii="Calibri" w:eastAsia="Times New Roman" w:hAnsi="Calibri" w:cs="Times New Roman"/>
                <w:color w:val="000000"/>
                <w:sz w:val="20"/>
                <w:szCs w:val="20"/>
                <w:lang w:eastAsia="en-AU"/>
              </w:rPr>
              <w:t>-</w:t>
            </w:r>
            <w:r w:rsidRPr="00127DB7">
              <w:rPr>
                <w:rFonts w:ascii="Calibri" w:eastAsia="Times New Roman" w:hAnsi="Calibri" w:cs="Times New Roman"/>
                <w:color w:val="000000"/>
                <w:sz w:val="20"/>
                <w:szCs w:val="20"/>
                <w:lang w:eastAsia="en-AU"/>
              </w:rPr>
              <w:t>weighted 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Police</w:t>
            </w:r>
          </w:p>
        </w:tc>
      </w:tr>
      <w:tr w:rsidR="00914585" w:rsidRPr="00127DB7" w:rsidTr="00FA4107">
        <w:trPr>
          <w:trHeight w:val="315"/>
        </w:trPr>
        <w:tc>
          <w:tcPr>
            <w:tcW w:w="4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Transport services – non-urban subsidies</w:t>
            </w:r>
          </w:p>
        </w:tc>
        <w:tc>
          <w:tcPr>
            <w:tcW w:w="286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Non-urban 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Roads - rural roads (road length expenses)</w:t>
            </w:r>
          </w:p>
        </w:tc>
        <w:tc>
          <w:tcPr>
            <w:tcW w:w="2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Assessed rural road lengths</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Services to industry</w:t>
            </w:r>
            <w:r>
              <w:rPr>
                <w:rFonts w:ascii="Calibri" w:eastAsia="Times New Roman" w:hAnsi="Calibri" w:cs="Times New Roman"/>
                <w:color w:val="000000"/>
                <w:sz w:val="20"/>
                <w:szCs w:val="20"/>
                <w:lang w:eastAsia="en-AU"/>
              </w:rPr>
              <w:t xml:space="preserve"> </w:t>
            </w:r>
            <w:r w:rsidR="00CC7888">
              <w:rPr>
                <w:rFonts w:ascii="Calibri" w:eastAsia="Times New Roman" w:hAnsi="Calibri" w:cs="Times New Roman"/>
                <w:color w:val="000000"/>
                <w:sz w:val="20"/>
                <w:szCs w:val="20"/>
                <w:lang w:eastAsia="en-AU"/>
              </w:rPr>
              <w:t>–</w:t>
            </w:r>
            <w:r>
              <w:rPr>
                <w:rFonts w:ascii="Calibri" w:eastAsia="Times New Roman" w:hAnsi="Calibri" w:cs="Times New Roman"/>
                <w:color w:val="000000"/>
                <w:sz w:val="20"/>
                <w:szCs w:val="20"/>
                <w:lang w:eastAsia="en-AU"/>
              </w:rPr>
              <w:t xml:space="preserve"> regulation</w:t>
            </w:r>
          </w:p>
        </w:tc>
        <w:tc>
          <w:tcPr>
            <w:tcW w:w="2860" w:type="dxa"/>
            <w:tcBorders>
              <w:top w:val="nil"/>
              <w:left w:val="nil"/>
              <w:bottom w:val="nil"/>
              <w:right w:val="nil"/>
            </w:tcBorders>
            <w:shd w:val="clear" w:color="auto" w:fill="auto"/>
            <w:noWrap/>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Use-weighted population</w:t>
            </w:r>
          </w:p>
        </w:tc>
        <w:tc>
          <w:tcPr>
            <w:tcW w:w="1240" w:type="dxa"/>
            <w:tcBorders>
              <w:top w:val="nil"/>
              <w:left w:val="nil"/>
              <w:bottom w:val="nil"/>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r w:rsidR="00914585" w:rsidRPr="00127DB7" w:rsidTr="00FA4107">
        <w:trPr>
          <w:trHeight w:val="315"/>
        </w:trPr>
        <w:tc>
          <w:tcPr>
            <w:tcW w:w="4860" w:type="dxa"/>
            <w:tcBorders>
              <w:top w:val="nil"/>
              <w:left w:val="nil"/>
              <w:bottom w:val="single" w:sz="4" w:space="0" w:color="auto"/>
              <w:right w:val="nil"/>
            </w:tcBorders>
            <w:shd w:val="clear" w:color="auto" w:fill="auto"/>
            <w:noWrap/>
            <w:vAlign w:val="bottom"/>
            <w:hideMark/>
          </w:tcPr>
          <w:p w:rsidR="00914585" w:rsidRPr="00127DB7" w:rsidRDefault="00914585" w:rsidP="00FA4107">
            <w:pPr>
              <w:keepNext/>
              <w:tabs>
                <w:tab w:val="clear" w:pos="567"/>
              </w:tabs>
              <w:spacing w:after="0" w:line="240" w:lineRule="auto"/>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Other expenses – 50% of service expenses</w:t>
            </w:r>
          </w:p>
        </w:tc>
        <w:tc>
          <w:tcPr>
            <w:tcW w:w="2860" w:type="dxa"/>
            <w:tcBorders>
              <w:top w:val="nil"/>
              <w:left w:val="nil"/>
              <w:bottom w:val="single" w:sz="4" w:space="0" w:color="auto"/>
              <w:right w:val="nil"/>
            </w:tcBorders>
            <w:shd w:val="clear" w:color="auto" w:fill="auto"/>
            <w:noWrap/>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Population</w:t>
            </w:r>
          </w:p>
        </w:tc>
        <w:tc>
          <w:tcPr>
            <w:tcW w:w="1240" w:type="dxa"/>
            <w:tcBorders>
              <w:top w:val="nil"/>
              <w:left w:val="nil"/>
              <w:bottom w:val="single" w:sz="4" w:space="0" w:color="auto"/>
              <w:right w:val="nil"/>
            </w:tcBorders>
            <w:shd w:val="clear" w:color="auto" w:fill="auto"/>
            <w:vAlign w:val="bottom"/>
            <w:hideMark/>
          </w:tcPr>
          <w:p w:rsidR="00914585" w:rsidRPr="00127DB7" w:rsidRDefault="00914585" w:rsidP="00FA4107">
            <w:pPr>
              <w:keepNext/>
              <w:tabs>
                <w:tab w:val="clear" w:pos="567"/>
              </w:tabs>
              <w:spacing w:after="0" w:line="240" w:lineRule="auto"/>
              <w:jc w:val="right"/>
              <w:rPr>
                <w:rFonts w:ascii="Calibri" w:eastAsia="Times New Roman" w:hAnsi="Calibri" w:cs="Times New Roman"/>
                <w:color w:val="000000"/>
                <w:sz w:val="20"/>
                <w:szCs w:val="20"/>
                <w:lang w:eastAsia="en-AU"/>
              </w:rPr>
            </w:pPr>
            <w:r w:rsidRPr="00127DB7">
              <w:rPr>
                <w:rFonts w:ascii="Calibri" w:eastAsia="Times New Roman" w:hAnsi="Calibri" w:cs="Times New Roman"/>
                <w:color w:val="000000"/>
                <w:sz w:val="20"/>
                <w:szCs w:val="20"/>
                <w:lang w:eastAsia="en-AU"/>
              </w:rPr>
              <w:t>General</w:t>
            </w:r>
          </w:p>
        </w:tc>
      </w:tr>
    </w:tbl>
    <w:p w:rsidR="00914585" w:rsidRPr="007B6908" w:rsidRDefault="00914585" w:rsidP="00D02A04">
      <w:pPr>
        <w:pStyle w:val="CGCDataCaption"/>
        <w:widowControl w:val="0"/>
      </w:pPr>
      <w:r w:rsidRPr="007B6908">
        <w:t>(a)</w:t>
      </w:r>
      <w:r w:rsidRPr="007B6908">
        <w:tab/>
        <w:t>Regional costs for other components in the Health category assessment are calculated within the socio</w:t>
      </w:r>
      <w:r w:rsidRPr="007B6908">
        <w:noBreakHyphen/>
        <w:t xml:space="preserve">demographic composition disability. </w:t>
      </w:r>
    </w:p>
    <w:p w:rsidR="003435A4" w:rsidRPr="00914585" w:rsidRDefault="003435A4" w:rsidP="00914585">
      <w:pPr>
        <w:pStyle w:val="Heading3"/>
      </w:pPr>
      <w:bookmarkStart w:id="64" w:name="_Toc404164799"/>
      <w:r w:rsidRPr="00914585">
        <w:lastRenderedPageBreak/>
        <w:t>Urban transport infrastructure</w:t>
      </w:r>
      <w:bookmarkEnd w:id="58"/>
      <w:bookmarkEnd w:id="59"/>
      <w:r w:rsidR="00914585" w:rsidRPr="00914585">
        <w:t xml:space="preserve"> assessment</w:t>
      </w:r>
      <w:bookmarkEnd w:id="64"/>
    </w:p>
    <w:p w:rsidR="002A0B10" w:rsidRDefault="002A0B10" w:rsidP="002A0B10">
      <w:pPr>
        <w:pStyle w:val="CGCNumberedPara"/>
        <w:numPr>
          <w:ilvl w:val="1"/>
          <w:numId w:val="12"/>
        </w:numPr>
      </w:pPr>
      <w:r>
        <w:t>Given State concerns about the quality and policy neutrality of the data on urban transport infrastructure by city</w:t>
      </w:r>
      <w:r w:rsidR="0098115E">
        <w:t>,</w:t>
      </w:r>
      <w:r>
        <w:t xml:space="preserve"> and the nature of the regression model used to capture the relationship</w:t>
      </w:r>
      <w:r w:rsidR="001E34EA">
        <w:t xml:space="preserve"> in the draft report</w:t>
      </w:r>
      <w:r>
        <w:t xml:space="preserve">, the Commission intends, for this review, to adopt a simple population based model for the urban transport infrastructure assessment. The assessment of State urban transport infrastructure requirements in each year will be based on the sum of the square of the population of each urban centre </w:t>
      </w:r>
      <w:r w:rsidRPr="00C43EB8">
        <w:t>above 20 000 in each State</w:t>
      </w:r>
      <w:r>
        <w:t>. The assessed investment will then be calculated by subtracting the opening stock required in each State from the closing stock. The calculation is set out in Box 1. A three year average of city populations will be used for each year to reduce any volatility in the stock disabilities.</w:t>
      </w:r>
    </w:p>
    <w:p w:rsidR="002A0B10" w:rsidRDefault="002A0B10" w:rsidP="002A0B10">
      <w:pPr>
        <w:pStyle w:val="Caption"/>
      </w:pPr>
      <w:r>
        <w:t xml:space="preserve">Box </w:t>
      </w:r>
      <w:r w:rsidR="00781EF8">
        <w:fldChar w:fldCharType="begin"/>
      </w:r>
      <w:r w:rsidR="00781EF8">
        <w:instrText xml:space="preserve"> SEQ Box \* ARABIC </w:instrText>
      </w:r>
      <w:r w:rsidR="00781EF8">
        <w:fldChar w:fldCharType="separate"/>
      </w:r>
      <w:r w:rsidR="00781EF8">
        <w:rPr>
          <w:noProof/>
        </w:rPr>
        <w:t>1</w:t>
      </w:r>
      <w:r w:rsidR="00781EF8">
        <w:rPr>
          <w:noProof/>
        </w:rPr>
        <w:fldChar w:fldCharType="end"/>
      </w:r>
      <w:r>
        <w:tab/>
        <w:t>Calculation of State shares of urban transport assets</w:t>
      </w:r>
    </w:p>
    <w:tbl>
      <w:tblPr>
        <w:tblStyle w:val="TableGrid"/>
        <w:tblW w:w="0" w:type="auto"/>
        <w:tblLook w:val="04A0" w:firstRow="1" w:lastRow="0" w:firstColumn="1" w:lastColumn="0" w:noHBand="0" w:noVBand="1"/>
      </w:tblPr>
      <w:tblGrid>
        <w:gridCol w:w="9167"/>
      </w:tblGrid>
      <w:tr w:rsidR="002A0B10" w:rsidTr="00B60CF6">
        <w:tc>
          <w:tcPr>
            <w:tcW w:w="9167" w:type="dxa"/>
            <w:tcBorders>
              <w:top w:val="nil"/>
              <w:left w:val="nil"/>
              <w:bottom w:val="nil"/>
              <w:right w:val="nil"/>
            </w:tcBorders>
            <w:shd w:val="clear" w:color="auto" w:fill="D9F3E6"/>
          </w:tcPr>
          <w:p w:rsidR="002A0B10" w:rsidRDefault="002A0B10" w:rsidP="00B60CF6">
            <w:pPr>
              <w:tabs>
                <w:tab w:val="clear" w:pos="567"/>
              </w:tabs>
              <w:ind w:left="1418" w:hanging="1418"/>
            </w:pPr>
            <w:r>
              <w:t>State j’s share (</w:t>
            </w:r>
            <m:oMath>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 xml:space="preserve">) </m:t>
              </m:r>
            </m:oMath>
            <w:r>
              <w:t>of urban transport assets is:</w:t>
            </w:r>
          </w:p>
          <w:p w:rsidR="002A0B10" w:rsidRPr="00935F91" w:rsidRDefault="00781EF8" w:rsidP="00B60CF6">
            <w:pPr>
              <w:tabs>
                <w:tab w:val="clear" w:pos="567"/>
              </w:tabs>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sub>
                      <m:sup>
                        <m:r>
                          <w:rPr>
                            <w:rFonts w:ascii="Cambria Math" w:hAnsi="Cambria Math"/>
                          </w:rPr>
                          <m:t>all i</m:t>
                        </m:r>
                      </m:sup>
                      <m:e>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2</m:t>
                            </m:r>
                          </m:sup>
                        </m:sSubSup>
                      </m:e>
                    </m:nary>
                  </m:num>
                  <m:den>
                    <m:nary>
                      <m:naryPr>
                        <m:chr m:val="∑"/>
                        <m:limLoc m:val="subSup"/>
                        <m:ctrlPr>
                          <w:rPr>
                            <w:rFonts w:ascii="Cambria Math" w:hAnsi="Cambria Math"/>
                            <w:i/>
                          </w:rPr>
                        </m:ctrlPr>
                      </m:naryPr>
                      <m:sub>
                        <m:r>
                          <w:rPr>
                            <w:rFonts w:ascii="Cambria Math" w:hAnsi="Cambria Math"/>
                          </w:rPr>
                          <m:t>ij</m:t>
                        </m:r>
                      </m:sub>
                      <m:sup>
                        <m:r>
                          <w:rPr>
                            <w:rFonts w:ascii="Cambria Math" w:hAnsi="Cambria Math"/>
                          </w:rPr>
                          <m:t>all j</m:t>
                        </m:r>
                      </m:sup>
                      <m:e>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2</m:t>
                            </m:r>
                          </m:sup>
                        </m:sSubSup>
                      </m:e>
                    </m:nary>
                  </m:den>
                </m:f>
                <m:r>
                  <w:rPr>
                    <w:rFonts w:ascii="Cambria Math" w:hAnsi="Cambria Math"/>
                  </w:rPr>
                  <m:t xml:space="preserve">     </m:t>
                </m:r>
              </m:oMath>
            </m:oMathPara>
          </w:p>
          <w:p w:rsidR="002A0B10" w:rsidRDefault="002A0B10" w:rsidP="00B60CF6">
            <w:pPr>
              <w:ind w:left="1418" w:hanging="1418"/>
            </w:pPr>
            <w:r>
              <w:rPr>
                <w:rFonts w:eastAsiaTheme="minorEastAsia"/>
              </w:rPr>
              <w:t xml:space="preserve">where </w:t>
            </w:r>
            <w:r>
              <w:rPr>
                <w:rFonts w:eastAsiaTheme="minorEastAsia"/>
              </w:rPr>
              <w:tab/>
            </w:r>
            <w:proofErr w:type="spellStart"/>
            <w:r>
              <w:rPr>
                <w:rFonts w:eastAsiaTheme="minorEastAsia"/>
              </w:rPr>
              <w:t>P</w:t>
            </w:r>
            <w:r>
              <w:rPr>
                <w:rFonts w:eastAsiaTheme="minorEastAsia"/>
                <w:vertAlign w:val="subscript"/>
              </w:rPr>
              <w:t>ij</w:t>
            </w:r>
            <w:proofErr w:type="spellEnd"/>
            <w:r>
              <w:rPr>
                <w:rFonts w:eastAsiaTheme="minorEastAsia"/>
                <w:vertAlign w:val="subscript"/>
              </w:rPr>
              <w:t xml:space="preserve"> </w:t>
            </w:r>
            <w:r w:rsidRPr="00676824">
              <w:rPr>
                <w:rFonts w:eastAsiaTheme="minorEastAsia"/>
              </w:rPr>
              <w:t>is the</w:t>
            </w:r>
            <w:r>
              <w:rPr>
                <w:rFonts w:eastAsiaTheme="minorEastAsia"/>
              </w:rPr>
              <w:t xml:space="preserve"> three year average of the </w:t>
            </w:r>
            <w:r w:rsidRPr="00676824">
              <w:rPr>
                <w:rFonts w:eastAsiaTheme="minorEastAsia"/>
              </w:rPr>
              <w:t xml:space="preserve"> population</w:t>
            </w:r>
            <w:r>
              <w:rPr>
                <w:rFonts w:eastAsiaTheme="minorEastAsia"/>
              </w:rPr>
              <w:t xml:space="preserve"> of State j’s </w:t>
            </w:r>
            <w:proofErr w:type="spellStart"/>
            <w:r>
              <w:rPr>
                <w:rFonts w:eastAsiaTheme="minorEastAsia"/>
              </w:rPr>
              <w:t>ith</w:t>
            </w:r>
            <w:proofErr w:type="spellEnd"/>
            <w:r>
              <w:rPr>
                <w:rFonts w:eastAsiaTheme="minorEastAsia"/>
              </w:rPr>
              <w:t xml:space="preserve"> city </w:t>
            </w:r>
          </w:p>
          <w:p w:rsidR="002A0B10" w:rsidRDefault="002A0B10" w:rsidP="00B60CF6">
            <w:pPr>
              <w:tabs>
                <w:tab w:val="clear" w:pos="567"/>
              </w:tabs>
              <w:rPr>
                <w:rFonts w:eastAsiaTheme="minorEastAsia"/>
              </w:rPr>
            </w:pPr>
          </w:p>
          <w:p w:rsidR="002A0B10" w:rsidRDefault="002A0B10" w:rsidP="00B60CF6">
            <w:pPr>
              <w:tabs>
                <w:tab w:val="clear" w:pos="567"/>
              </w:tabs>
            </w:pPr>
            <w:r>
              <w:t>State j’s investment (</w:t>
            </w:r>
            <w:proofErr w:type="spellStart"/>
            <w:r>
              <w:t>I</w:t>
            </w:r>
            <w:r>
              <w:rPr>
                <w:vertAlign w:val="subscript"/>
              </w:rPr>
              <w:t>j</w:t>
            </w:r>
            <w:proofErr w:type="spellEnd"/>
            <w:r>
              <w:t>) in urban transport assets is:</w:t>
            </w:r>
          </w:p>
          <w:p w:rsidR="002A0B10" w:rsidRDefault="00781EF8" w:rsidP="00B60CF6">
            <w:pPr>
              <w:tabs>
                <w:tab w:val="clear" w:pos="567"/>
              </w:tabs>
              <w:rPr>
                <w:rFonts w:eastAsiaTheme="minorEastAsia"/>
              </w:rPr>
            </w:pPr>
            <m:oMath>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j1</m:t>
                  </m:r>
                </m:sub>
              </m:sSub>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β</m:t>
                  </m:r>
                </m:e>
                <m:sub>
                  <m:r>
                    <w:rPr>
                      <w:rFonts w:ascii="Cambria Math" w:hAnsi="Cambria Math"/>
                    </w:rPr>
                    <m:t>j0</m:t>
                  </m:r>
                </m:sub>
              </m:sSub>
              <m:sSub>
                <m:sSubPr>
                  <m:ctrlPr>
                    <w:rPr>
                      <w:rFonts w:ascii="Cambria Math" w:hAnsi="Cambria Math"/>
                      <w:i/>
                    </w:rPr>
                  </m:ctrlPr>
                </m:sSubPr>
                <m:e>
                  <m:r>
                    <w:rPr>
                      <w:rFonts w:ascii="Cambria Math" w:hAnsi="Cambria Math"/>
                    </w:rPr>
                    <m:t>K</m:t>
                  </m:r>
                </m:e>
                <m:sub>
                  <m:r>
                    <w:rPr>
                      <w:rFonts w:ascii="Cambria Math" w:hAnsi="Cambria Math"/>
                    </w:rPr>
                    <m:t>0</m:t>
                  </m:r>
                </m:sub>
              </m:sSub>
            </m:oMath>
            <w:r w:rsidR="002A0B10">
              <w:rPr>
                <w:rFonts w:eastAsiaTheme="minorEastAsia"/>
              </w:rPr>
              <w:t xml:space="preserve">  </w:t>
            </w:r>
          </w:p>
          <w:p w:rsidR="002A0B10" w:rsidRDefault="002A0B10" w:rsidP="00914585">
            <w:pPr>
              <w:tabs>
                <w:tab w:val="clear" w:pos="567"/>
              </w:tabs>
            </w:pPr>
            <w:proofErr w:type="gramStart"/>
            <w:r>
              <w:rPr>
                <w:rFonts w:eastAsiaTheme="minorEastAsia"/>
              </w:rPr>
              <w:t>where</w:t>
            </w:r>
            <w:proofErr w:type="gramEnd"/>
            <w:r>
              <w:rPr>
                <w:rFonts w:eastAsiaTheme="minorEastAsia"/>
              </w:rPr>
              <w:t xml:space="preserve"> subscripts 1 and 0 denote beginning and end of year observations.  </w:t>
            </w:r>
          </w:p>
        </w:tc>
      </w:tr>
    </w:tbl>
    <w:p w:rsidR="002A0B10" w:rsidRDefault="002A0B10" w:rsidP="002A0B10">
      <w:pPr>
        <w:pStyle w:val="CGCNumberedPara"/>
        <w:numPr>
          <w:ilvl w:val="1"/>
          <w:numId w:val="12"/>
        </w:numPr>
      </w:pPr>
      <w:r>
        <w:t>We consider the conceptual case that larger cities require more assets per capita to deliver urban transport services has been established and is supported by the available data.</w:t>
      </w:r>
      <w:r w:rsidR="00CB2F22">
        <w:t xml:space="preserve"> This feature is retained in the simple population based model.</w:t>
      </w:r>
    </w:p>
    <w:p w:rsidR="00914585" w:rsidRDefault="00914585" w:rsidP="00914585">
      <w:pPr>
        <w:pStyle w:val="CGCNumberedPara"/>
      </w:pPr>
      <w:r w:rsidRPr="00A006F2">
        <w:t xml:space="preserve">We </w:t>
      </w:r>
      <w:r w:rsidR="00CB2F22">
        <w:t xml:space="preserve">also </w:t>
      </w:r>
      <w:r w:rsidRPr="00A006F2">
        <w:t>consider the data are good enough to establish a broad relationship between asset values per capita and city size. They confirm the relationship is upward sloping</w:t>
      </w:r>
      <w:r>
        <w:t>, linear</w:t>
      </w:r>
      <w:r w:rsidRPr="00A006F2">
        <w:t xml:space="preserve"> and are very close to passing through the origin. Adopting the assumptions that the relationship between city size and asset values per capita are upward sloping, linear and </w:t>
      </w:r>
      <w:r>
        <w:t xml:space="preserve">passes </w:t>
      </w:r>
      <w:r w:rsidRPr="00A006F2">
        <w:t>through the origin simplifies the relationship</w:t>
      </w:r>
      <w:r w:rsidR="00F51FBD">
        <w:t xml:space="preserve">. It can be shown </w:t>
      </w:r>
      <w:r w:rsidRPr="00A006F2">
        <w:t>that it is independent of the slope of the curve.</w:t>
      </w:r>
      <w:r>
        <w:t xml:space="preserve"> </w:t>
      </w:r>
    </w:p>
    <w:p w:rsidR="002A0B10" w:rsidRPr="00A006F2" w:rsidRDefault="002A0B10" w:rsidP="002A0B10">
      <w:pPr>
        <w:pStyle w:val="CGCNumberedPara"/>
        <w:numPr>
          <w:ilvl w:val="1"/>
          <w:numId w:val="12"/>
        </w:numPr>
      </w:pPr>
      <w:r>
        <w:fldChar w:fldCharType="begin"/>
      </w:r>
      <w:r>
        <w:instrText xml:space="preserve"> REF _Ref404155343 \h </w:instrText>
      </w:r>
      <w:r>
        <w:fldChar w:fldCharType="separate"/>
      </w:r>
      <w:r w:rsidR="00781EF8">
        <w:t xml:space="preserve">Table </w:t>
      </w:r>
      <w:r w:rsidR="00781EF8">
        <w:rPr>
          <w:noProof/>
        </w:rPr>
        <w:t>5</w:t>
      </w:r>
      <w:r>
        <w:fldChar w:fldCharType="end"/>
      </w:r>
      <w:r>
        <w:t xml:space="preserve"> </w:t>
      </w:r>
      <w:r w:rsidRPr="00A006F2">
        <w:t xml:space="preserve">shows the assessed investment under the two methods (with no discounting applied). </w:t>
      </w:r>
    </w:p>
    <w:p w:rsidR="002A0B10" w:rsidRDefault="002A0B10" w:rsidP="002A0B10">
      <w:pPr>
        <w:pStyle w:val="CGCTableHeading"/>
      </w:pPr>
      <w:bookmarkStart w:id="65" w:name="_Ref404155343"/>
      <w:r>
        <w:lastRenderedPageBreak/>
        <w:t xml:space="preserve">Table </w:t>
      </w:r>
      <w:r w:rsidR="00781EF8">
        <w:fldChar w:fldCharType="begin"/>
      </w:r>
      <w:r w:rsidR="00781EF8">
        <w:instrText xml:space="preserve"> SEQ Table \* ARABIC </w:instrText>
      </w:r>
      <w:r w:rsidR="00781EF8">
        <w:fldChar w:fldCharType="separate"/>
      </w:r>
      <w:r w:rsidR="00781EF8">
        <w:rPr>
          <w:noProof/>
        </w:rPr>
        <w:t>5</w:t>
      </w:r>
      <w:r w:rsidR="00781EF8">
        <w:rPr>
          <w:noProof/>
        </w:rPr>
        <w:fldChar w:fldCharType="end"/>
      </w:r>
      <w:bookmarkEnd w:id="65"/>
      <w:r>
        <w:tab/>
        <w:t>Assessed investment</w:t>
      </w:r>
    </w:p>
    <w:tbl>
      <w:tblPr>
        <w:tblW w:w="5000" w:type="pct"/>
        <w:tblCellMar>
          <w:left w:w="85" w:type="dxa"/>
          <w:right w:w="85" w:type="dxa"/>
        </w:tblCellMar>
        <w:tblLook w:val="04A0" w:firstRow="1" w:lastRow="0" w:firstColumn="1" w:lastColumn="0" w:noHBand="0" w:noVBand="1"/>
      </w:tblPr>
      <w:tblGrid>
        <w:gridCol w:w="1645"/>
        <w:gridCol w:w="832"/>
        <w:gridCol w:w="830"/>
        <w:gridCol w:w="830"/>
        <w:gridCol w:w="551"/>
        <w:gridCol w:w="279"/>
        <w:gridCol w:w="460"/>
        <w:gridCol w:w="370"/>
        <w:gridCol w:w="368"/>
        <w:gridCol w:w="462"/>
        <w:gridCol w:w="277"/>
        <w:gridCol w:w="553"/>
        <w:gridCol w:w="186"/>
        <w:gridCol w:w="644"/>
        <w:gridCol w:w="95"/>
        <w:gridCol w:w="739"/>
      </w:tblGrid>
      <w:tr w:rsidR="002A0B10" w:rsidTr="00B60CF6">
        <w:tc>
          <w:tcPr>
            <w:tcW w:w="902" w:type="pct"/>
            <w:tcBorders>
              <w:top w:val="single" w:sz="6" w:space="0" w:color="auto"/>
              <w:left w:val="nil"/>
              <w:bottom w:val="single" w:sz="6" w:space="0" w:color="auto"/>
              <w:right w:val="nil"/>
            </w:tcBorders>
            <w:vAlign w:val="bottom"/>
          </w:tcPr>
          <w:p w:rsidR="002A0B10" w:rsidRDefault="002A0B10" w:rsidP="00B60CF6">
            <w:pPr>
              <w:pStyle w:val="CGCTableStub"/>
              <w:spacing w:line="240" w:lineRule="auto"/>
              <w:ind w:left="142" w:hanging="142"/>
              <w:rPr>
                <w:rFonts w:cstheme="minorHAnsi"/>
              </w:rPr>
            </w:pPr>
          </w:p>
        </w:tc>
        <w:tc>
          <w:tcPr>
            <w:tcW w:w="456" w:type="pct"/>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NSW</w:t>
            </w:r>
          </w:p>
        </w:tc>
        <w:tc>
          <w:tcPr>
            <w:tcW w:w="455" w:type="pct"/>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Vic</w:t>
            </w:r>
          </w:p>
        </w:tc>
        <w:tc>
          <w:tcPr>
            <w:tcW w:w="455" w:type="pct"/>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Qld</w:t>
            </w:r>
          </w:p>
        </w:tc>
        <w:tc>
          <w:tcPr>
            <w:tcW w:w="455" w:type="pct"/>
            <w:gridSpan w:val="2"/>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WA</w:t>
            </w:r>
          </w:p>
        </w:tc>
        <w:tc>
          <w:tcPr>
            <w:tcW w:w="455" w:type="pct"/>
            <w:gridSpan w:val="2"/>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SA</w:t>
            </w:r>
          </w:p>
        </w:tc>
        <w:tc>
          <w:tcPr>
            <w:tcW w:w="455" w:type="pct"/>
            <w:gridSpan w:val="2"/>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Tas</w:t>
            </w:r>
          </w:p>
        </w:tc>
        <w:tc>
          <w:tcPr>
            <w:tcW w:w="455" w:type="pct"/>
            <w:gridSpan w:val="2"/>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ACT</w:t>
            </w:r>
          </w:p>
        </w:tc>
        <w:tc>
          <w:tcPr>
            <w:tcW w:w="455" w:type="pct"/>
            <w:gridSpan w:val="2"/>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NT</w:t>
            </w:r>
          </w:p>
        </w:tc>
        <w:tc>
          <w:tcPr>
            <w:tcW w:w="457" w:type="pct"/>
            <w:gridSpan w:val="2"/>
            <w:tcBorders>
              <w:top w:val="single" w:sz="6" w:space="0" w:color="auto"/>
              <w:left w:val="nil"/>
              <w:bottom w:val="single" w:sz="6" w:space="0" w:color="auto"/>
              <w:right w:val="nil"/>
            </w:tcBorders>
            <w:vAlign w:val="bottom"/>
            <w:hideMark/>
          </w:tcPr>
          <w:p w:rsidR="002A0B10" w:rsidRDefault="002A0B10" w:rsidP="00B60CF6">
            <w:pPr>
              <w:pStyle w:val="TableColHeadings"/>
              <w:spacing w:line="320" w:lineRule="atLeast"/>
              <w:rPr>
                <w:rFonts w:cstheme="minorHAnsi"/>
              </w:rPr>
            </w:pPr>
            <w:r>
              <w:rPr>
                <w:rFonts w:cstheme="minorHAnsi"/>
              </w:rPr>
              <w:t>Total</w:t>
            </w:r>
          </w:p>
        </w:tc>
      </w:tr>
      <w:tr w:rsidR="002A0B10" w:rsidTr="00B60CF6">
        <w:tc>
          <w:tcPr>
            <w:tcW w:w="902" w:type="pct"/>
            <w:vAlign w:val="bottom"/>
          </w:tcPr>
          <w:p w:rsidR="002A0B10" w:rsidRDefault="002A0B10" w:rsidP="00B60CF6">
            <w:pPr>
              <w:pStyle w:val="CGCTableStub"/>
              <w:spacing w:before="0" w:after="0" w:line="240" w:lineRule="auto"/>
              <w:jc w:val="right"/>
              <w:rPr>
                <w:rFonts w:cstheme="minorHAnsi"/>
              </w:rPr>
            </w:pPr>
          </w:p>
        </w:tc>
        <w:tc>
          <w:tcPr>
            <w:tcW w:w="456" w:type="pct"/>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gridSpan w:val="2"/>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gridSpan w:val="2"/>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gridSpan w:val="2"/>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gridSpan w:val="2"/>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5" w:type="pct"/>
            <w:gridSpan w:val="2"/>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c>
          <w:tcPr>
            <w:tcW w:w="457" w:type="pct"/>
            <w:gridSpan w:val="2"/>
            <w:vAlign w:val="bottom"/>
            <w:hideMark/>
          </w:tcPr>
          <w:p w:rsidR="002A0B10" w:rsidRDefault="002A0B10" w:rsidP="00B60CF6">
            <w:pPr>
              <w:pStyle w:val="TableRowNormal"/>
              <w:spacing w:before="0" w:after="0" w:line="240" w:lineRule="auto"/>
              <w:ind w:left="0" w:firstLine="0"/>
              <w:rPr>
                <w:rFonts w:cstheme="minorHAnsi"/>
              </w:rPr>
            </w:pPr>
            <w:r>
              <w:rPr>
                <w:rFonts w:cstheme="minorHAnsi"/>
              </w:rPr>
              <w:t>$m</w:t>
            </w:r>
          </w:p>
        </w:tc>
      </w:tr>
      <w:tr w:rsidR="002A0B10" w:rsidTr="00B60CF6">
        <w:tc>
          <w:tcPr>
            <w:tcW w:w="2570" w:type="pct"/>
            <w:gridSpan w:val="5"/>
            <w:vAlign w:val="bottom"/>
            <w:hideMark/>
          </w:tcPr>
          <w:p w:rsidR="002A0B10" w:rsidRDefault="00CB2F22" w:rsidP="00B60CF6">
            <w:pPr>
              <w:pStyle w:val="TableRowNormal"/>
              <w:ind w:left="0" w:firstLine="0"/>
              <w:jc w:val="left"/>
              <w:rPr>
                <w:rFonts w:cstheme="minorHAnsi"/>
              </w:rPr>
            </w:pPr>
            <w:r>
              <w:rPr>
                <w:rFonts w:cstheme="minorHAnsi"/>
              </w:rPr>
              <w:t>Draft report</w:t>
            </w:r>
            <w:r w:rsidR="002A0B10">
              <w:rPr>
                <w:rFonts w:cstheme="minorHAnsi"/>
              </w:rPr>
              <w:t xml:space="preserve"> method no discount</w:t>
            </w:r>
          </w:p>
        </w:tc>
        <w:tc>
          <w:tcPr>
            <w:tcW w:w="405" w:type="pct"/>
            <w:gridSpan w:val="2"/>
            <w:vAlign w:val="bottom"/>
          </w:tcPr>
          <w:p w:rsidR="002A0B10" w:rsidRDefault="002A0B10" w:rsidP="00B60CF6">
            <w:pPr>
              <w:pStyle w:val="TableRowNormal"/>
              <w:ind w:left="0" w:firstLine="0"/>
              <w:rPr>
                <w:rFonts w:cstheme="minorHAnsi"/>
              </w:rPr>
            </w:pPr>
          </w:p>
        </w:tc>
        <w:tc>
          <w:tcPr>
            <w:tcW w:w="405" w:type="pct"/>
            <w:gridSpan w:val="2"/>
            <w:vAlign w:val="bottom"/>
          </w:tcPr>
          <w:p w:rsidR="002A0B10" w:rsidRDefault="002A0B10" w:rsidP="00B60CF6">
            <w:pPr>
              <w:pStyle w:val="TableRowNormal"/>
              <w:ind w:left="0" w:firstLine="0"/>
              <w:rPr>
                <w:rFonts w:cstheme="minorHAnsi"/>
              </w:rPr>
            </w:pPr>
          </w:p>
        </w:tc>
        <w:tc>
          <w:tcPr>
            <w:tcW w:w="405" w:type="pct"/>
            <w:gridSpan w:val="2"/>
            <w:vAlign w:val="bottom"/>
          </w:tcPr>
          <w:p w:rsidR="002A0B10" w:rsidRDefault="002A0B10" w:rsidP="00B60CF6">
            <w:pPr>
              <w:pStyle w:val="TableRowNormal"/>
              <w:ind w:left="0" w:firstLine="0"/>
              <w:rPr>
                <w:rFonts w:cstheme="minorHAnsi"/>
              </w:rPr>
            </w:pPr>
          </w:p>
        </w:tc>
        <w:tc>
          <w:tcPr>
            <w:tcW w:w="405" w:type="pct"/>
            <w:gridSpan w:val="2"/>
            <w:vAlign w:val="bottom"/>
          </w:tcPr>
          <w:p w:rsidR="002A0B10" w:rsidRDefault="002A0B10" w:rsidP="00B60CF6">
            <w:pPr>
              <w:pStyle w:val="TableRowNormal"/>
              <w:ind w:left="0" w:firstLine="0"/>
              <w:rPr>
                <w:rFonts w:cstheme="minorHAnsi"/>
              </w:rPr>
            </w:pPr>
          </w:p>
        </w:tc>
        <w:tc>
          <w:tcPr>
            <w:tcW w:w="405" w:type="pct"/>
            <w:gridSpan w:val="2"/>
            <w:vAlign w:val="bottom"/>
          </w:tcPr>
          <w:p w:rsidR="002A0B10" w:rsidRDefault="002A0B10" w:rsidP="00B60CF6">
            <w:pPr>
              <w:pStyle w:val="TableRowNormal"/>
              <w:ind w:left="0" w:firstLine="0"/>
              <w:rPr>
                <w:rFonts w:cstheme="minorHAnsi"/>
              </w:rPr>
            </w:pPr>
          </w:p>
        </w:tc>
        <w:tc>
          <w:tcPr>
            <w:tcW w:w="405" w:type="pct"/>
            <w:vAlign w:val="bottom"/>
          </w:tcPr>
          <w:p w:rsidR="002A0B10" w:rsidRDefault="002A0B10" w:rsidP="00B60CF6">
            <w:pPr>
              <w:pStyle w:val="TableRowNormal"/>
              <w:ind w:left="0" w:firstLine="0"/>
              <w:rPr>
                <w:rFonts w:cstheme="minorHAnsi"/>
              </w:rPr>
            </w:pPr>
          </w:p>
        </w:tc>
      </w:tr>
      <w:tr w:rsidR="002A0B10" w:rsidTr="00B60CF6">
        <w:tc>
          <w:tcPr>
            <w:tcW w:w="902" w:type="pct"/>
            <w:vAlign w:val="bottom"/>
            <w:hideMark/>
          </w:tcPr>
          <w:p w:rsidR="002A0B10" w:rsidRDefault="002A0B10" w:rsidP="00B60CF6">
            <w:pPr>
              <w:pStyle w:val="CGCTableStub"/>
              <w:tabs>
                <w:tab w:val="left" w:pos="142"/>
                <w:tab w:val="left" w:pos="425"/>
                <w:tab w:val="left" w:pos="709"/>
                <w:tab w:val="left" w:pos="851"/>
              </w:tabs>
              <w:ind w:left="142" w:hanging="142"/>
              <w:rPr>
                <w:rFonts w:cstheme="minorHAnsi"/>
              </w:rPr>
            </w:pPr>
            <w:r>
              <w:rPr>
                <w:rFonts w:cstheme="minorHAnsi"/>
              </w:rPr>
              <w:t>2010-11</w:t>
            </w:r>
          </w:p>
        </w:tc>
        <w:tc>
          <w:tcPr>
            <w:tcW w:w="456" w:type="pct"/>
            <w:vAlign w:val="bottom"/>
            <w:hideMark/>
          </w:tcPr>
          <w:p w:rsidR="002A0B10" w:rsidRDefault="002A0B10" w:rsidP="00B60CF6">
            <w:pPr>
              <w:pStyle w:val="TableRowNormal"/>
              <w:ind w:left="0" w:firstLine="0"/>
              <w:rPr>
                <w:rFonts w:cstheme="minorHAnsi"/>
              </w:rPr>
            </w:pPr>
            <w:r>
              <w:rPr>
                <w:rFonts w:cstheme="minorHAnsi"/>
              </w:rPr>
              <w:t>3 064.7</w:t>
            </w:r>
          </w:p>
        </w:tc>
        <w:tc>
          <w:tcPr>
            <w:tcW w:w="455" w:type="pct"/>
            <w:vAlign w:val="bottom"/>
            <w:hideMark/>
          </w:tcPr>
          <w:p w:rsidR="002A0B10" w:rsidRDefault="002A0B10" w:rsidP="00B60CF6">
            <w:pPr>
              <w:pStyle w:val="TableRowNormal"/>
              <w:ind w:left="0" w:firstLine="0"/>
              <w:rPr>
                <w:rFonts w:cstheme="minorHAnsi"/>
              </w:rPr>
            </w:pPr>
            <w:r>
              <w:rPr>
                <w:rFonts w:cstheme="minorHAnsi"/>
              </w:rPr>
              <w:t>2 703.0</w:t>
            </w:r>
          </w:p>
        </w:tc>
        <w:tc>
          <w:tcPr>
            <w:tcW w:w="455" w:type="pct"/>
            <w:vAlign w:val="bottom"/>
            <w:hideMark/>
          </w:tcPr>
          <w:p w:rsidR="002A0B10" w:rsidRDefault="002A0B10" w:rsidP="00B60CF6">
            <w:pPr>
              <w:pStyle w:val="TableRowNormal"/>
              <w:ind w:left="0" w:firstLine="0"/>
              <w:rPr>
                <w:rFonts w:cstheme="minorHAnsi"/>
              </w:rPr>
            </w:pPr>
            <w:r>
              <w:rPr>
                <w:rFonts w:cstheme="minorHAnsi"/>
              </w:rPr>
              <w:t xml:space="preserve"> 737.5</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504.0</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256.7</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10.6</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24.2</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6.2</w:t>
            </w:r>
          </w:p>
        </w:tc>
        <w:tc>
          <w:tcPr>
            <w:tcW w:w="457" w:type="pct"/>
            <w:gridSpan w:val="2"/>
            <w:vAlign w:val="bottom"/>
            <w:hideMark/>
          </w:tcPr>
          <w:p w:rsidR="002A0B10" w:rsidRDefault="002A0B10" w:rsidP="00B60CF6">
            <w:pPr>
              <w:pStyle w:val="TableRowNormal"/>
              <w:ind w:left="0" w:firstLine="0"/>
              <w:rPr>
                <w:rFonts w:cstheme="minorHAnsi"/>
              </w:rPr>
            </w:pPr>
            <w:r>
              <w:rPr>
                <w:rFonts w:cstheme="minorHAnsi"/>
              </w:rPr>
              <w:t>7 307.0</w:t>
            </w:r>
          </w:p>
        </w:tc>
      </w:tr>
      <w:tr w:rsidR="002A0B10" w:rsidTr="00B60CF6">
        <w:tc>
          <w:tcPr>
            <w:tcW w:w="902" w:type="pct"/>
            <w:vAlign w:val="bottom"/>
            <w:hideMark/>
          </w:tcPr>
          <w:p w:rsidR="002A0B10" w:rsidRDefault="002A0B10" w:rsidP="00B60CF6">
            <w:pPr>
              <w:pStyle w:val="CGCTableStub"/>
              <w:tabs>
                <w:tab w:val="left" w:pos="142"/>
                <w:tab w:val="left" w:pos="425"/>
                <w:tab w:val="left" w:pos="709"/>
                <w:tab w:val="left" w:pos="851"/>
              </w:tabs>
              <w:ind w:left="142" w:hanging="142"/>
              <w:rPr>
                <w:rFonts w:cstheme="minorHAnsi"/>
              </w:rPr>
            </w:pPr>
            <w:r>
              <w:rPr>
                <w:rFonts w:cstheme="minorHAnsi"/>
              </w:rPr>
              <w:t>2011-12</w:t>
            </w:r>
          </w:p>
        </w:tc>
        <w:tc>
          <w:tcPr>
            <w:tcW w:w="456" w:type="pct"/>
            <w:vAlign w:val="bottom"/>
            <w:hideMark/>
          </w:tcPr>
          <w:p w:rsidR="002A0B10" w:rsidRDefault="002A0B10" w:rsidP="00B60CF6">
            <w:pPr>
              <w:pStyle w:val="TableRowNormal"/>
              <w:ind w:left="0" w:firstLine="0"/>
              <w:rPr>
                <w:rFonts w:cstheme="minorHAnsi"/>
              </w:rPr>
            </w:pPr>
            <w:r>
              <w:rPr>
                <w:rFonts w:cstheme="minorHAnsi"/>
              </w:rPr>
              <w:t>1 367.2</w:t>
            </w:r>
          </w:p>
        </w:tc>
        <w:tc>
          <w:tcPr>
            <w:tcW w:w="455" w:type="pct"/>
            <w:vAlign w:val="bottom"/>
            <w:hideMark/>
          </w:tcPr>
          <w:p w:rsidR="002A0B10" w:rsidRDefault="002A0B10" w:rsidP="00B60CF6">
            <w:pPr>
              <w:pStyle w:val="TableRowNormal"/>
              <w:ind w:left="0" w:firstLine="0"/>
              <w:rPr>
                <w:rFonts w:cstheme="minorHAnsi"/>
              </w:rPr>
            </w:pPr>
            <w:r>
              <w:rPr>
                <w:rFonts w:cstheme="minorHAnsi"/>
              </w:rPr>
              <w:t>1 350.1</w:t>
            </w:r>
          </w:p>
        </w:tc>
        <w:tc>
          <w:tcPr>
            <w:tcW w:w="455" w:type="pct"/>
            <w:vAlign w:val="bottom"/>
            <w:hideMark/>
          </w:tcPr>
          <w:p w:rsidR="002A0B10" w:rsidRDefault="002A0B10" w:rsidP="00B60CF6">
            <w:pPr>
              <w:pStyle w:val="TableRowNormal"/>
              <w:ind w:left="0" w:firstLine="0"/>
              <w:rPr>
                <w:rFonts w:cstheme="minorHAnsi"/>
              </w:rPr>
            </w:pPr>
            <w:r>
              <w:rPr>
                <w:rFonts w:cstheme="minorHAnsi"/>
              </w:rPr>
              <w:t xml:space="preserve"> 394.1</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334.2</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102.4</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3.2</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12.4</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1.4</w:t>
            </w:r>
          </w:p>
        </w:tc>
        <w:tc>
          <w:tcPr>
            <w:tcW w:w="457" w:type="pct"/>
            <w:gridSpan w:val="2"/>
            <w:vAlign w:val="bottom"/>
            <w:hideMark/>
          </w:tcPr>
          <w:p w:rsidR="002A0B10" w:rsidRDefault="002A0B10" w:rsidP="00B60CF6">
            <w:pPr>
              <w:pStyle w:val="TableRowNormal"/>
              <w:ind w:left="0" w:firstLine="0"/>
              <w:rPr>
                <w:rFonts w:cstheme="minorHAnsi"/>
              </w:rPr>
            </w:pPr>
            <w:r>
              <w:rPr>
                <w:rFonts w:cstheme="minorHAnsi"/>
              </w:rPr>
              <w:t>3 565.0</w:t>
            </w:r>
          </w:p>
        </w:tc>
      </w:tr>
      <w:tr w:rsidR="002A0B10" w:rsidTr="00B60CF6">
        <w:tc>
          <w:tcPr>
            <w:tcW w:w="902" w:type="pct"/>
            <w:vAlign w:val="bottom"/>
            <w:hideMark/>
          </w:tcPr>
          <w:p w:rsidR="002A0B10" w:rsidRDefault="002A0B10" w:rsidP="00B60CF6">
            <w:pPr>
              <w:pStyle w:val="CGCTableStub"/>
              <w:tabs>
                <w:tab w:val="left" w:pos="142"/>
                <w:tab w:val="left" w:pos="425"/>
                <w:tab w:val="left" w:pos="709"/>
                <w:tab w:val="left" w:pos="851"/>
              </w:tabs>
              <w:ind w:left="142" w:hanging="142"/>
              <w:rPr>
                <w:rFonts w:cstheme="minorHAnsi"/>
              </w:rPr>
            </w:pPr>
            <w:r>
              <w:rPr>
                <w:rFonts w:cstheme="minorHAnsi"/>
              </w:rPr>
              <w:t>2012-13</w:t>
            </w:r>
          </w:p>
        </w:tc>
        <w:tc>
          <w:tcPr>
            <w:tcW w:w="456" w:type="pct"/>
            <w:vAlign w:val="bottom"/>
            <w:hideMark/>
          </w:tcPr>
          <w:p w:rsidR="002A0B10" w:rsidRDefault="002A0B10" w:rsidP="00B60CF6">
            <w:pPr>
              <w:pStyle w:val="TableRowNormal"/>
              <w:ind w:left="0" w:firstLine="0"/>
              <w:rPr>
                <w:rFonts w:cstheme="minorHAnsi"/>
              </w:rPr>
            </w:pPr>
            <w:r>
              <w:rPr>
                <w:rFonts w:cstheme="minorHAnsi"/>
              </w:rPr>
              <w:t>1 658.2</w:t>
            </w:r>
          </w:p>
        </w:tc>
        <w:tc>
          <w:tcPr>
            <w:tcW w:w="455" w:type="pct"/>
            <w:vAlign w:val="bottom"/>
            <w:hideMark/>
          </w:tcPr>
          <w:p w:rsidR="002A0B10" w:rsidRDefault="002A0B10" w:rsidP="00B60CF6">
            <w:pPr>
              <w:pStyle w:val="TableRowNormal"/>
              <w:ind w:left="0" w:firstLine="0"/>
              <w:rPr>
                <w:rFonts w:cstheme="minorHAnsi"/>
              </w:rPr>
            </w:pPr>
            <w:r>
              <w:rPr>
                <w:rFonts w:cstheme="minorHAnsi"/>
              </w:rPr>
              <w:t>1 619.2</w:t>
            </w:r>
          </w:p>
        </w:tc>
        <w:tc>
          <w:tcPr>
            <w:tcW w:w="455" w:type="pct"/>
            <w:vAlign w:val="bottom"/>
            <w:hideMark/>
          </w:tcPr>
          <w:p w:rsidR="002A0B10" w:rsidRDefault="002A0B10" w:rsidP="00B60CF6">
            <w:pPr>
              <w:pStyle w:val="TableRowNormal"/>
              <w:ind w:left="0" w:firstLine="0"/>
              <w:rPr>
                <w:rFonts w:cstheme="minorHAnsi"/>
              </w:rPr>
            </w:pPr>
            <w:r>
              <w:rPr>
                <w:rFonts w:cstheme="minorHAnsi"/>
              </w:rPr>
              <w:t xml:space="preserve"> 731.1</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565.7</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205.4</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30.1</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47.8</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12.5</w:t>
            </w:r>
          </w:p>
        </w:tc>
        <w:tc>
          <w:tcPr>
            <w:tcW w:w="457" w:type="pct"/>
            <w:gridSpan w:val="2"/>
            <w:vAlign w:val="bottom"/>
            <w:hideMark/>
          </w:tcPr>
          <w:p w:rsidR="002A0B10" w:rsidRDefault="002A0B10" w:rsidP="00B60CF6">
            <w:pPr>
              <w:pStyle w:val="TableRowNormal"/>
              <w:ind w:left="0" w:firstLine="0"/>
              <w:rPr>
                <w:rFonts w:cstheme="minorHAnsi"/>
              </w:rPr>
            </w:pPr>
            <w:r>
              <w:rPr>
                <w:rFonts w:cstheme="minorHAnsi"/>
              </w:rPr>
              <w:t>4 870.0</w:t>
            </w:r>
          </w:p>
        </w:tc>
      </w:tr>
      <w:tr w:rsidR="002A0B10" w:rsidTr="00B60CF6">
        <w:tc>
          <w:tcPr>
            <w:tcW w:w="2268" w:type="pct"/>
            <w:gridSpan w:val="4"/>
            <w:vAlign w:val="bottom"/>
            <w:hideMark/>
          </w:tcPr>
          <w:p w:rsidR="002A0B10" w:rsidRDefault="002A0B10" w:rsidP="00B60CF6">
            <w:pPr>
              <w:pStyle w:val="TableRowNormal"/>
              <w:ind w:left="0" w:firstLine="0"/>
              <w:jc w:val="left"/>
              <w:rPr>
                <w:rFonts w:cstheme="minorHAnsi"/>
              </w:rPr>
            </w:pPr>
            <w:r>
              <w:rPr>
                <w:rFonts w:cstheme="minorHAnsi"/>
              </w:rPr>
              <w:t>Square of population</w:t>
            </w:r>
          </w:p>
        </w:tc>
        <w:tc>
          <w:tcPr>
            <w:tcW w:w="455" w:type="pct"/>
            <w:gridSpan w:val="2"/>
            <w:vAlign w:val="bottom"/>
          </w:tcPr>
          <w:p w:rsidR="002A0B10" w:rsidRDefault="002A0B10" w:rsidP="00B60CF6">
            <w:pPr>
              <w:pStyle w:val="TableRowNormal"/>
              <w:ind w:left="0" w:firstLine="0"/>
              <w:rPr>
                <w:rFonts w:cstheme="minorHAnsi"/>
              </w:rPr>
            </w:pPr>
          </w:p>
        </w:tc>
        <w:tc>
          <w:tcPr>
            <w:tcW w:w="455" w:type="pct"/>
            <w:gridSpan w:val="2"/>
            <w:vAlign w:val="bottom"/>
          </w:tcPr>
          <w:p w:rsidR="002A0B10" w:rsidRDefault="002A0B10" w:rsidP="00B60CF6">
            <w:pPr>
              <w:pStyle w:val="TableRowNormal"/>
              <w:ind w:left="0" w:firstLine="0"/>
              <w:rPr>
                <w:rFonts w:cstheme="minorHAnsi"/>
              </w:rPr>
            </w:pPr>
          </w:p>
        </w:tc>
        <w:tc>
          <w:tcPr>
            <w:tcW w:w="455" w:type="pct"/>
            <w:gridSpan w:val="2"/>
            <w:vAlign w:val="bottom"/>
          </w:tcPr>
          <w:p w:rsidR="002A0B10" w:rsidRDefault="002A0B10" w:rsidP="00B60CF6">
            <w:pPr>
              <w:pStyle w:val="TableRowNormal"/>
              <w:ind w:left="0" w:firstLine="0"/>
              <w:rPr>
                <w:rFonts w:cstheme="minorHAnsi"/>
              </w:rPr>
            </w:pPr>
          </w:p>
        </w:tc>
        <w:tc>
          <w:tcPr>
            <w:tcW w:w="455" w:type="pct"/>
            <w:gridSpan w:val="2"/>
            <w:vAlign w:val="bottom"/>
          </w:tcPr>
          <w:p w:rsidR="002A0B10" w:rsidRDefault="002A0B10" w:rsidP="00B60CF6">
            <w:pPr>
              <w:pStyle w:val="TableRowNormal"/>
              <w:ind w:left="0" w:firstLine="0"/>
              <w:rPr>
                <w:rFonts w:cstheme="minorHAnsi"/>
              </w:rPr>
            </w:pPr>
          </w:p>
        </w:tc>
        <w:tc>
          <w:tcPr>
            <w:tcW w:w="455" w:type="pct"/>
            <w:gridSpan w:val="2"/>
            <w:vAlign w:val="bottom"/>
          </w:tcPr>
          <w:p w:rsidR="002A0B10" w:rsidRDefault="002A0B10" w:rsidP="00B60CF6">
            <w:pPr>
              <w:pStyle w:val="TableRowNormal"/>
              <w:ind w:left="0" w:firstLine="0"/>
              <w:rPr>
                <w:rFonts w:cstheme="minorHAnsi"/>
              </w:rPr>
            </w:pPr>
          </w:p>
        </w:tc>
        <w:tc>
          <w:tcPr>
            <w:tcW w:w="457" w:type="pct"/>
            <w:gridSpan w:val="2"/>
            <w:vAlign w:val="bottom"/>
          </w:tcPr>
          <w:p w:rsidR="002A0B10" w:rsidRDefault="002A0B10" w:rsidP="00B60CF6">
            <w:pPr>
              <w:pStyle w:val="TableRowNormal"/>
              <w:ind w:left="0" w:firstLine="0"/>
              <w:rPr>
                <w:rFonts w:cstheme="minorHAnsi"/>
              </w:rPr>
            </w:pPr>
          </w:p>
        </w:tc>
      </w:tr>
      <w:tr w:rsidR="002A0B10" w:rsidTr="00B60CF6">
        <w:tc>
          <w:tcPr>
            <w:tcW w:w="902" w:type="pct"/>
            <w:vAlign w:val="bottom"/>
            <w:hideMark/>
          </w:tcPr>
          <w:p w:rsidR="002A0B10" w:rsidRDefault="002A0B10" w:rsidP="00B60CF6">
            <w:pPr>
              <w:pStyle w:val="CGCTableStub"/>
              <w:tabs>
                <w:tab w:val="left" w:pos="142"/>
                <w:tab w:val="left" w:pos="425"/>
                <w:tab w:val="left" w:pos="709"/>
                <w:tab w:val="left" w:pos="851"/>
              </w:tabs>
              <w:ind w:left="142" w:hanging="142"/>
              <w:rPr>
                <w:rFonts w:cstheme="minorHAnsi"/>
              </w:rPr>
            </w:pPr>
            <w:r>
              <w:rPr>
                <w:rFonts w:cstheme="minorHAnsi"/>
              </w:rPr>
              <w:t>2010-11</w:t>
            </w:r>
          </w:p>
        </w:tc>
        <w:tc>
          <w:tcPr>
            <w:tcW w:w="456" w:type="pct"/>
            <w:vAlign w:val="bottom"/>
            <w:hideMark/>
          </w:tcPr>
          <w:p w:rsidR="002A0B10" w:rsidRDefault="002A0B10" w:rsidP="00B60CF6">
            <w:pPr>
              <w:pStyle w:val="TableRowNormal"/>
              <w:ind w:left="0" w:firstLine="0"/>
              <w:rPr>
                <w:rFonts w:cstheme="minorHAnsi"/>
              </w:rPr>
            </w:pPr>
            <w:r>
              <w:rPr>
                <w:rFonts w:cstheme="minorHAnsi"/>
              </w:rPr>
              <w:t>3 072.6</w:t>
            </w:r>
          </w:p>
        </w:tc>
        <w:tc>
          <w:tcPr>
            <w:tcW w:w="455" w:type="pct"/>
            <w:vAlign w:val="bottom"/>
            <w:hideMark/>
          </w:tcPr>
          <w:p w:rsidR="002A0B10" w:rsidRDefault="002A0B10" w:rsidP="00B60CF6">
            <w:pPr>
              <w:pStyle w:val="TableRowNormal"/>
              <w:ind w:left="0" w:firstLine="0"/>
              <w:rPr>
                <w:rFonts w:cstheme="minorHAnsi"/>
              </w:rPr>
            </w:pPr>
            <w:r>
              <w:rPr>
                <w:rFonts w:cstheme="minorHAnsi"/>
              </w:rPr>
              <w:t>2 658.1</w:t>
            </w:r>
          </w:p>
        </w:tc>
        <w:tc>
          <w:tcPr>
            <w:tcW w:w="455" w:type="pct"/>
            <w:vAlign w:val="bottom"/>
            <w:hideMark/>
          </w:tcPr>
          <w:p w:rsidR="002A0B10" w:rsidRDefault="002A0B10" w:rsidP="00B60CF6">
            <w:pPr>
              <w:pStyle w:val="TableRowNormal"/>
              <w:ind w:left="0" w:firstLine="0"/>
              <w:rPr>
                <w:rFonts w:cstheme="minorHAnsi"/>
              </w:rPr>
            </w:pPr>
            <w:r>
              <w:rPr>
                <w:rFonts w:cstheme="minorHAnsi"/>
              </w:rPr>
              <w:t xml:space="preserve"> 738.9</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529.1</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261.7</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12.7</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26.0</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7.8</w:t>
            </w:r>
          </w:p>
        </w:tc>
        <w:tc>
          <w:tcPr>
            <w:tcW w:w="457" w:type="pct"/>
            <w:gridSpan w:val="2"/>
            <w:vAlign w:val="bottom"/>
            <w:hideMark/>
          </w:tcPr>
          <w:p w:rsidR="002A0B10" w:rsidRDefault="002A0B10" w:rsidP="00B60CF6">
            <w:pPr>
              <w:pStyle w:val="TableRowNormal"/>
              <w:ind w:left="0" w:firstLine="0"/>
              <w:rPr>
                <w:rFonts w:cstheme="minorHAnsi"/>
              </w:rPr>
            </w:pPr>
            <w:r>
              <w:rPr>
                <w:rFonts w:cstheme="minorHAnsi"/>
              </w:rPr>
              <w:t>7 307.0</w:t>
            </w:r>
          </w:p>
        </w:tc>
      </w:tr>
      <w:tr w:rsidR="002A0B10" w:rsidTr="00B60CF6">
        <w:tc>
          <w:tcPr>
            <w:tcW w:w="902" w:type="pct"/>
            <w:vAlign w:val="bottom"/>
            <w:hideMark/>
          </w:tcPr>
          <w:p w:rsidR="002A0B10" w:rsidRDefault="002A0B10" w:rsidP="00B60CF6">
            <w:pPr>
              <w:pStyle w:val="CGCTableStub"/>
              <w:tabs>
                <w:tab w:val="left" w:pos="142"/>
                <w:tab w:val="left" w:pos="425"/>
                <w:tab w:val="left" w:pos="709"/>
                <w:tab w:val="left" w:pos="851"/>
              </w:tabs>
              <w:ind w:left="142" w:hanging="142"/>
              <w:rPr>
                <w:rFonts w:cstheme="minorHAnsi"/>
              </w:rPr>
            </w:pPr>
            <w:r>
              <w:rPr>
                <w:rFonts w:cstheme="minorHAnsi"/>
              </w:rPr>
              <w:t>2011-12</w:t>
            </w:r>
          </w:p>
        </w:tc>
        <w:tc>
          <w:tcPr>
            <w:tcW w:w="456" w:type="pct"/>
            <w:vAlign w:val="bottom"/>
            <w:hideMark/>
          </w:tcPr>
          <w:p w:rsidR="002A0B10" w:rsidRDefault="002A0B10" w:rsidP="00B60CF6">
            <w:pPr>
              <w:pStyle w:val="TableRowNormal"/>
              <w:ind w:left="0" w:firstLine="0"/>
              <w:rPr>
                <w:rFonts w:cstheme="minorHAnsi"/>
              </w:rPr>
            </w:pPr>
            <w:r>
              <w:rPr>
                <w:rFonts w:cstheme="minorHAnsi"/>
              </w:rPr>
              <w:t>1 380.2</w:t>
            </w:r>
          </w:p>
        </w:tc>
        <w:tc>
          <w:tcPr>
            <w:tcW w:w="455" w:type="pct"/>
            <w:vAlign w:val="bottom"/>
            <w:hideMark/>
          </w:tcPr>
          <w:p w:rsidR="002A0B10" w:rsidRDefault="002A0B10" w:rsidP="00B60CF6">
            <w:pPr>
              <w:pStyle w:val="TableRowNormal"/>
              <w:ind w:left="0" w:firstLine="0"/>
              <w:rPr>
                <w:rFonts w:cstheme="minorHAnsi"/>
              </w:rPr>
            </w:pPr>
            <w:r>
              <w:rPr>
                <w:rFonts w:cstheme="minorHAnsi"/>
              </w:rPr>
              <w:t>1 322.4</w:t>
            </w:r>
          </w:p>
        </w:tc>
        <w:tc>
          <w:tcPr>
            <w:tcW w:w="455" w:type="pct"/>
            <w:vAlign w:val="bottom"/>
            <w:hideMark/>
          </w:tcPr>
          <w:p w:rsidR="002A0B10" w:rsidRDefault="002A0B10" w:rsidP="00B60CF6">
            <w:pPr>
              <w:pStyle w:val="TableRowNormal"/>
              <w:ind w:left="0" w:firstLine="0"/>
              <w:rPr>
                <w:rFonts w:cstheme="minorHAnsi"/>
              </w:rPr>
            </w:pPr>
            <w:r>
              <w:rPr>
                <w:rFonts w:cstheme="minorHAnsi"/>
              </w:rPr>
              <w:t xml:space="preserve"> 390.0</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348.2</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104.6</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3.9</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13.7</w:t>
            </w:r>
          </w:p>
        </w:tc>
        <w:tc>
          <w:tcPr>
            <w:tcW w:w="455" w:type="pct"/>
            <w:gridSpan w:val="2"/>
            <w:vAlign w:val="bottom"/>
            <w:hideMark/>
          </w:tcPr>
          <w:p w:rsidR="002A0B10" w:rsidRDefault="002A0B10" w:rsidP="00B60CF6">
            <w:pPr>
              <w:pStyle w:val="TableRowNormal"/>
              <w:ind w:left="0" w:firstLine="0"/>
              <w:rPr>
                <w:rFonts w:cstheme="minorHAnsi"/>
              </w:rPr>
            </w:pPr>
            <w:r>
              <w:rPr>
                <w:rFonts w:cstheme="minorHAnsi"/>
              </w:rPr>
              <w:t xml:space="preserve"> 1.9</w:t>
            </w:r>
          </w:p>
        </w:tc>
        <w:tc>
          <w:tcPr>
            <w:tcW w:w="457" w:type="pct"/>
            <w:gridSpan w:val="2"/>
            <w:vAlign w:val="bottom"/>
            <w:hideMark/>
          </w:tcPr>
          <w:p w:rsidR="002A0B10" w:rsidRDefault="002A0B10" w:rsidP="00B60CF6">
            <w:pPr>
              <w:pStyle w:val="TableRowNormal"/>
              <w:ind w:left="0" w:firstLine="0"/>
              <w:rPr>
                <w:rFonts w:cstheme="minorHAnsi"/>
              </w:rPr>
            </w:pPr>
            <w:r>
              <w:rPr>
                <w:rFonts w:cstheme="minorHAnsi"/>
              </w:rPr>
              <w:t>3 565.0</w:t>
            </w:r>
          </w:p>
        </w:tc>
      </w:tr>
      <w:tr w:rsidR="002A0B10" w:rsidTr="00B60CF6">
        <w:tc>
          <w:tcPr>
            <w:tcW w:w="902" w:type="pct"/>
            <w:tcBorders>
              <w:top w:val="nil"/>
              <w:left w:val="nil"/>
              <w:bottom w:val="single" w:sz="4" w:space="0" w:color="auto"/>
              <w:right w:val="nil"/>
            </w:tcBorders>
            <w:vAlign w:val="bottom"/>
            <w:hideMark/>
          </w:tcPr>
          <w:p w:rsidR="002A0B10" w:rsidRDefault="002A0B10" w:rsidP="00B60CF6">
            <w:pPr>
              <w:pStyle w:val="CGCTableStub"/>
              <w:tabs>
                <w:tab w:val="left" w:pos="142"/>
                <w:tab w:val="left" w:pos="425"/>
                <w:tab w:val="left" w:pos="709"/>
                <w:tab w:val="left" w:pos="851"/>
              </w:tabs>
              <w:ind w:left="142" w:hanging="142"/>
              <w:rPr>
                <w:rFonts w:cstheme="minorHAnsi"/>
              </w:rPr>
            </w:pPr>
            <w:r>
              <w:rPr>
                <w:rFonts w:cstheme="minorHAnsi"/>
              </w:rPr>
              <w:t>2012-13</w:t>
            </w:r>
          </w:p>
        </w:tc>
        <w:tc>
          <w:tcPr>
            <w:tcW w:w="456" w:type="pct"/>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1 841.2</w:t>
            </w:r>
          </w:p>
        </w:tc>
        <w:tc>
          <w:tcPr>
            <w:tcW w:w="455" w:type="pct"/>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1 794.4</w:t>
            </w:r>
          </w:p>
        </w:tc>
        <w:tc>
          <w:tcPr>
            <w:tcW w:w="455" w:type="pct"/>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 xml:space="preserve"> 551.4</w:t>
            </w:r>
          </w:p>
        </w:tc>
        <w:tc>
          <w:tcPr>
            <w:tcW w:w="455" w:type="pct"/>
            <w:gridSpan w:val="2"/>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 xml:space="preserve"> 519.4</w:t>
            </w:r>
          </w:p>
        </w:tc>
        <w:tc>
          <w:tcPr>
            <w:tcW w:w="455" w:type="pct"/>
            <w:gridSpan w:val="2"/>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 xml:space="preserve"> 141.5</w:t>
            </w:r>
          </w:p>
        </w:tc>
        <w:tc>
          <w:tcPr>
            <w:tcW w:w="455" w:type="pct"/>
            <w:gridSpan w:val="2"/>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 xml:space="preserve"> 4.0</w:t>
            </w:r>
          </w:p>
        </w:tc>
        <w:tc>
          <w:tcPr>
            <w:tcW w:w="455" w:type="pct"/>
            <w:gridSpan w:val="2"/>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 xml:space="preserve"> 16.2</w:t>
            </w:r>
          </w:p>
        </w:tc>
        <w:tc>
          <w:tcPr>
            <w:tcW w:w="455" w:type="pct"/>
            <w:gridSpan w:val="2"/>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 xml:space="preserve"> 1.9</w:t>
            </w:r>
          </w:p>
        </w:tc>
        <w:tc>
          <w:tcPr>
            <w:tcW w:w="457" w:type="pct"/>
            <w:gridSpan w:val="2"/>
            <w:tcBorders>
              <w:top w:val="nil"/>
              <w:left w:val="nil"/>
              <w:bottom w:val="single" w:sz="4" w:space="0" w:color="auto"/>
              <w:right w:val="nil"/>
            </w:tcBorders>
            <w:vAlign w:val="bottom"/>
            <w:hideMark/>
          </w:tcPr>
          <w:p w:rsidR="002A0B10" w:rsidRDefault="002A0B10" w:rsidP="00B60CF6">
            <w:pPr>
              <w:pStyle w:val="TableRowNormal"/>
              <w:ind w:left="0" w:firstLine="0"/>
              <w:rPr>
                <w:rFonts w:cstheme="minorHAnsi"/>
              </w:rPr>
            </w:pPr>
            <w:r>
              <w:rPr>
                <w:rFonts w:cstheme="minorHAnsi"/>
              </w:rPr>
              <w:t>4 870.0</w:t>
            </w:r>
          </w:p>
        </w:tc>
      </w:tr>
    </w:tbl>
    <w:p w:rsidR="0098115E" w:rsidRPr="006D48CC" w:rsidRDefault="0098115E" w:rsidP="006D48CC">
      <w:pPr>
        <w:pStyle w:val="CGCTableFootnote"/>
      </w:pPr>
      <w:r w:rsidRPr="006D48CC">
        <w:t xml:space="preserve">Note: </w:t>
      </w:r>
      <w:r w:rsidR="006D48CC" w:rsidRPr="006D48CC">
        <w:tab/>
      </w:r>
      <w:r w:rsidRPr="006D48CC">
        <w:t>Three year averages have not been used in the stock disabilities for either calculation but will be in the final 2015 Review assessment.</w:t>
      </w:r>
    </w:p>
    <w:p w:rsidR="002A0B10" w:rsidRDefault="002A0B10" w:rsidP="006D48CC">
      <w:pPr>
        <w:pStyle w:val="CGCTableFootnote"/>
      </w:pPr>
      <w:r>
        <w:t>Source:</w:t>
      </w:r>
      <w:r>
        <w:tab/>
        <w:t>Staff calculation.</w:t>
      </w:r>
    </w:p>
    <w:p w:rsidR="002A0B10" w:rsidRPr="002A0B10" w:rsidRDefault="002A0B10" w:rsidP="002A0B10">
      <w:pPr>
        <w:pStyle w:val="CGCNumberedPara"/>
      </w:pPr>
      <w:r w:rsidRPr="002A0B10">
        <w:t xml:space="preserve">Given the conceptual case is strong and concerns about the sensitivity and non-policy neutrality of asset data have been reduced, the Commission is inclined to reduce the placeholder discount of 50% adopted in the draft report. </w:t>
      </w:r>
      <w:r w:rsidR="00F51FBD">
        <w:t>The Commission will be reviewing all discounts</w:t>
      </w:r>
      <w:r w:rsidRPr="002A0B10">
        <w:t xml:space="preserve"> </w:t>
      </w:r>
      <w:r w:rsidR="00F51FBD">
        <w:t>before the completion of the review.</w:t>
      </w:r>
    </w:p>
    <w:p w:rsidR="00CF1EB5" w:rsidRPr="008461E9" w:rsidRDefault="00CF1EB5" w:rsidP="00CF1EB5">
      <w:pPr>
        <w:pStyle w:val="Heading3"/>
      </w:pPr>
      <w:bookmarkStart w:id="66" w:name="_Toc404157437"/>
      <w:bookmarkStart w:id="67" w:name="_Toc404157481"/>
      <w:bookmarkStart w:id="68" w:name="_Toc404164800"/>
      <w:r w:rsidRPr="008461E9">
        <w:t>Nationally significant infrastructure projects</w:t>
      </w:r>
      <w:bookmarkEnd w:id="66"/>
      <w:bookmarkEnd w:id="67"/>
      <w:bookmarkEnd w:id="68"/>
    </w:p>
    <w:p w:rsidR="00CF1EB5" w:rsidRDefault="00CF1EB5" w:rsidP="00CF1EB5">
      <w:pPr>
        <w:pStyle w:val="CGCNumberedPara"/>
        <w:numPr>
          <w:ilvl w:val="1"/>
          <w:numId w:val="12"/>
        </w:numPr>
      </w:pPr>
      <w:r w:rsidRPr="0024720A">
        <w:t xml:space="preserve">The Commission </w:t>
      </w:r>
      <w:r>
        <w:t>intends</w:t>
      </w:r>
      <w:r w:rsidRPr="0024720A">
        <w:t xml:space="preserve"> to treat all Commonwealth payments for projects which the Department advises affect the national road or rail networks in the same way. </w:t>
      </w:r>
      <w:r>
        <w:t>They will impact on the relativities and n</w:t>
      </w:r>
      <w:r w:rsidRPr="0024720A">
        <w:t xml:space="preserve">eeds </w:t>
      </w:r>
      <w:r>
        <w:t xml:space="preserve">relating to their national significance </w:t>
      </w:r>
      <w:r w:rsidRPr="0024720A">
        <w:t>will be assessed</w:t>
      </w:r>
      <w:r>
        <w:t xml:space="preserve">. </w:t>
      </w:r>
    </w:p>
    <w:p w:rsidR="00CF1EB5" w:rsidRPr="0024720A" w:rsidRDefault="00CF1EB5" w:rsidP="00CF1EB5">
      <w:pPr>
        <w:pStyle w:val="CGCNumberedPara"/>
        <w:numPr>
          <w:ilvl w:val="1"/>
          <w:numId w:val="12"/>
        </w:numPr>
      </w:pPr>
      <w:r>
        <w:t>T</w:t>
      </w:r>
      <w:r w:rsidRPr="0024720A">
        <w:t>he Department of Infrastructure and Regional Development has advised that most rail infrastructure projects are not on the national rail network</w:t>
      </w:r>
      <w:r w:rsidR="00F20585">
        <w:t>.</w:t>
      </w:r>
      <w:r w:rsidR="00F51FBD" w:rsidRPr="0024720A">
        <w:rPr>
          <w:rStyle w:val="FootnoteReference"/>
        </w:rPr>
        <w:footnoteReference w:id="2"/>
      </w:r>
      <w:r>
        <w:t xml:space="preserve"> However, </w:t>
      </w:r>
      <w:r w:rsidRPr="0024720A">
        <w:t xml:space="preserve">some payments are being made </w:t>
      </w:r>
      <w:r w:rsidR="00DA58FF">
        <w:t xml:space="preserve">to States </w:t>
      </w:r>
      <w:r w:rsidR="00CA4B56">
        <w:t xml:space="preserve">for projects on </w:t>
      </w:r>
      <w:r w:rsidRPr="0024720A">
        <w:t xml:space="preserve">track </w:t>
      </w:r>
      <w:r w:rsidR="00CA4B56">
        <w:t xml:space="preserve">which </w:t>
      </w:r>
      <w:r w:rsidRPr="0024720A">
        <w:t xml:space="preserve">is </w:t>
      </w:r>
      <w:r w:rsidR="00CA4B56">
        <w:t xml:space="preserve">part of the national network but </w:t>
      </w:r>
      <w:r w:rsidRPr="0024720A">
        <w:t xml:space="preserve">not owned or under the control of Australian Rail Track Corporation (ARTC). </w:t>
      </w:r>
      <w:r>
        <w:t>For example, in</w:t>
      </w:r>
      <w:r w:rsidRPr="0024720A">
        <w:t xml:space="preserve"> 2013</w:t>
      </w:r>
      <w:r w:rsidRPr="0024720A">
        <w:noBreakHyphen/>
        <w:t>14, the rail projects included</w:t>
      </w:r>
      <w:r w:rsidR="00F20585">
        <w:t>.</w:t>
      </w:r>
      <w:r>
        <w:rPr>
          <w:rStyle w:val="FootnoteReference"/>
        </w:rPr>
        <w:footnoteReference w:id="3"/>
      </w:r>
    </w:p>
    <w:p w:rsidR="00CF1EB5" w:rsidRPr="0024720A" w:rsidRDefault="00CF1EB5" w:rsidP="00CF1EB5">
      <w:pPr>
        <w:pStyle w:val="CGCBulletlist"/>
        <w:numPr>
          <w:ilvl w:val="0"/>
          <w:numId w:val="11"/>
        </w:numPr>
        <w:tabs>
          <w:tab w:val="left" w:pos="1134"/>
        </w:tabs>
      </w:pPr>
      <w:r w:rsidRPr="0024720A">
        <w:t>$336 million paid to New South Wales for upgrading freight rail facilities between Sydney and Newcastle. The State owns this track, but it is part of the national rail network and there is an agreement with the Commonwealth that benefits from the investment will flow to freight o</w:t>
      </w:r>
      <w:r>
        <w:t>perators.</w:t>
      </w:r>
    </w:p>
    <w:p w:rsidR="00CF1EB5" w:rsidRPr="0024720A" w:rsidRDefault="00CF1EB5" w:rsidP="00CF1EB5">
      <w:pPr>
        <w:pStyle w:val="CGCBulletlist"/>
        <w:numPr>
          <w:ilvl w:val="0"/>
          <w:numId w:val="11"/>
        </w:numPr>
        <w:tabs>
          <w:tab w:val="left" w:pos="1134"/>
        </w:tabs>
      </w:pPr>
      <w:r w:rsidRPr="0024720A">
        <w:lastRenderedPageBreak/>
        <w:t>$17 million paid to Western Australia for the Kewdale intermodal rail supply chain</w:t>
      </w:r>
      <w:r>
        <w:t>.</w:t>
      </w:r>
      <w:r w:rsidRPr="0024720A">
        <w:t xml:space="preserve"> </w:t>
      </w:r>
      <w:r>
        <w:t>This</w:t>
      </w:r>
      <w:r w:rsidRPr="0024720A">
        <w:t xml:space="preserve"> will be owned by the State but is on the national rail network</w:t>
      </w:r>
      <w:r>
        <w:t>.</w:t>
      </w:r>
    </w:p>
    <w:p w:rsidR="00CF1EB5" w:rsidRPr="0024720A" w:rsidRDefault="00CF1EB5" w:rsidP="00CF1EB5">
      <w:pPr>
        <w:pStyle w:val="CGCBulletlist"/>
        <w:numPr>
          <w:ilvl w:val="0"/>
          <w:numId w:val="11"/>
        </w:numPr>
        <w:tabs>
          <w:tab w:val="left" w:pos="1134"/>
        </w:tabs>
      </w:pPr>
      <w:r w:rsidRPr="0024720A">
        <w:t xml:space="preserve">$17 million paid to Tasmania for freight capacity improvements. The relevant track is part of the national rail network but owned by Tasmania. </w:t>
      </w:r>
    </w:p>
    <w:p w:rsidR="00CF1EB5" w:rsidRDefault="00CF1EB5" w:rsidP="00CF1EB5">
      <w:pPr>
        <w:pStyle w:val="CGCNumberedPara"/>
        <w:numPr>
          <w:ilvl w:val="1"/>
          <w:numId w:val="12"/>
        </w:numPr>
      </w:pPr>
      <w:r>
        <w:t xml:space="preserve">We have therefore decided Commonwealth payments to the States which the Department of Infrastructure and Regional Development advises affect the national road and rail networks will impact on the relativities and national needs will be assessed in relation to </w:t>
      </w:r>
      <w:r w:rsidRPr="0024720A">
        <w:t xml:space="preserve">50% of </w:t>
      </w:r>
      <w:r>
        <w:t>them</w:t>
      </w:r>
      <w:r w:rsidRPr="0024720A">
        <w:t xml:space="preserve"> on the basis of their distribution among States. </w:t>
      </w:r>
      <w:r>
        <w:t>As a result, 50% of them will have no effect on the GST distribution. The treatment of road and rail payments will be consistent.</w:t>
      </w:r>
    </w:p>
    <w:p w:rsidR="00CF1EB5" w:rsidRDefault="00CF1EB5" w:rsidP="00CF1EB5">
      <w:pPr>
        <w:pStyle w:val="CGCNumberedPara"/>
        <w:numPr>
          <w:ilvl w:val="1"/>
          <w:numId w:val="12"/>
        </w:numPr>
      </w:pPr>
      <w:r w:rsidRPr="0024720A">
        <w:t xml:space="preserve">We consider the other investment assessments appropriately allow for the main factors driving on-going and relatively divisible investment needs of States (such as for schools and hospitals). We do not propose to recognise any other national needs unless instructed by terms of reference. </w:t>
      </w:r>
    </w:p>
    <w:p w:rsidR="00CF1EB5" w:rsidRDefault="00CF1EB5" w:rsidP="00CF1EB5">
      <w:pPr>
        <w:pStyle w:val="CGCNumberedPara"/>
        <w:numPr>
          <w:ilvl w:val="1"/>
          <w:numId w:val="12"/>
        </w:numPr>
      </w:pPr>
      <w:r>
        <w:t xml:space="preserve">The impact on the GST of treating the on-network rail payments for 2013-14 as impacting on the relativities but with nationally significant needs assessed in relation to 50% of them is set out in </w:t>
      </w:r>
      <w:r w:rsidR="00F85EF1">
        <w:fldChar w:fldCharType="begin"/>
      </w:r>
      <w:r w:rsidR="00F85EF1">
        <w:instrText xml:space="preserve"> REF _Ref404162080 \h </w:instrText>
      </w:r>
      <w:r w:rsidR="00F85EF1">
        <w:fldChar w:fldCharType="separate"/>
      </w:r>
      <w:r w:rsidR="00781EF8">
        <w:t xml:space="preserve">Table </w:t>
      </w:r>
      <w:r w:rsidR="00781EF8">
        <w:rPr>
          <w:noProof/>
        </w:rPr>
        <w:t>6</w:t>
      </w:r>
      <w:r w:rsidR="00F85EF1">
        <w:fldChar w:fldCharType="end"/>
      </w:r>
      <w:r>
        <w:t xml:space="preserve">. The </w:t>
      </w:r>
      <w:r w:rsidR="006D48CC">
        <w:t>d</w:t>
      </w:r>
      <w:r>
        <w:t>epartment is to provide final advice on the relevant payments for all years.</w:t>
      </w:r>
    </w:p>
    <w:p w:rsidR="00CF1EB5" w:rsidRDefault="00CF1EB5" w:rsidP="00CF1EB5">
      <w:pPr>
        <w:pStyle w:val="CGCTableHeading"/>
      </w:pPr>
      <w:bookmarkStart w:id="69" w:name="_Ref404162080"/>
      <w:r>
        <w:t xml:space="preserve">Table </w:t>
      </w:r>
      <w:r w:rsidR="00781EF8">
        <w:fldChar w:fldCharType="begin"/>
      </w:r>
      <w:r w:rsidR="00781EF8">
        <w:instrText xml:space="preserve"> SEQ Table \* ARABIC </w:instrText>
      </w:r>
      <w:r w:rsidR="00781EF8">
        <w:fldChar w:fldCharType="separate"/>
      </w:r>
      <w:r w:rsidR="00781EF8">
        <w:rPr>
          <w:noProof/>
        </w:rPr>
        <w:t>6</w:t>
      </w:r>
      <w:r w:rsidR="00781EF8">
        <w:rPr>
          <w:noProof/>
        </w:rPr>
        <w:fldChar w:fldCharType="end"/>
      </w:r>
      <w:bookmarkEnd w:id="69"/>
      <w:r>
        <w:tab/>
        <w:t>GST impact of nationally significant rail payments made in 2013-14</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CF1EB5" w:rsidRPr="00FE3F73" w:rsidTr="00CF1EB5">
        <w:tc>
          <w:tcPr>
            <w:tcW w:w="1354" w:type="pct"/>
            <w:tcBorders>
              <w:top w:val="single" w:sz="6" w:space="0" w:color="auto"/>
              <w:bottom w:val="single" w:sz="6" w:space="0" w:color="auto"/>
            </w:tcBorders>
            <w:vAlign w:val="bottom"/>
          </w:tcPr>
          <w:p w:rsidR="00CF1EB5" w:rsidRPr="00FE3F73" w:rsidRDefault="00CF1EB5" w:rsidP="00CF1EB5">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CF1EB5" w:rsidRPr="00FE3F73" w:rsidRDefault="00CF1EB5" w:rsidP="00CF1EB5">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CF1EB5" w:rsidRPr="00FE3F73" w:rsidRDefault="00F85EF1" w:rsidP="00F20585">
            <w:pPr>
              <w:pStyle w:val="TableColHeadings"/>
              <w:rPr>
                <w:rFonts w:cstheme="minorHAnsi"/>
              </w:rPr>
            </w:pPr>
            <w:r>
              <w:rPr>
                <w:rFonts w:cstheme="minorHAnsi"/>
              </w:rPr>
              <w:t>Redist</w:t>
            </w:r>
          </w:p>
        </w:tc>
      </w:tr>
      <w:tr w:rsidR="00CF1EB5" w:rsidRPr="00FE3F73" w:rsidTr="00CF1EB5">
        <w:tc>
          <w:tcPr>
            <w:tcW w:w="1354" w:type="pct"/>
            <w:tcMar>
              <w:top w:w="0" w:type="dxa"/>
              <w:bottom w:w="0" w:type="dxa"/>
            </w:tcMar>
            <w:vAlign w:val="bottom"/>
          </w:tcPr>
          <w:p w:rsidR="00CF1EB5" w:rsidRPr="00FE3F73" w:rsidRDefault="00CF1EB5" w:rsidP="00CF1EB5">
            <w:pPr>
              <w:pStyle w:val="CGCTableStub"/>
              <w:spacing w:before="0" w:after="0" w:line="240" w:lineRule="auto"/>
              <w:jc w:val="right"/>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c>
          <w:tcPr>
            <w:tcW w:w="405" w:type="pct"/>
            <w:tcMar>
              <w:top w:w="0" w:type="dxa"/>
              <w:bottom w:w="0" w:type="dxa"/>
            </w:tcMar>
            <w:vAlign w:val="bottom"/>
          </w:tcPr>
          <w:p w:rsidR="00CF1EB5" w:rsidRPr="00FE3F73" w:rsidRDefault="00CF1EB5" w:rsidP="00CF1EB5">
            <w:pPr>
              <w:pStyle w:val="TableRowNormal"/>
              <w:spacing w:before="0" w:after="0" w:line="240" w:lineRule="auto"/>
              <w:ind w:left="0" w:firstLine="0"/>
              <w:rPr>
                <w:rFonts w:cstheme="minorHAnsi"/>
              </w:rPr>
            </w:pPr>
          </w:p>
        </w:tc>
      </w:tr>
      <w:tr w:rsidR="00F85EF1" w:rsidRPr="00FE3F73" w:rsidTr="00CF1EB5">
        <w:tc>
          <w:tcPr>
            <w:tcW w:w="1354" w:type="pct"/>
            <w:vAlign w:val="bottom"/>
          </w:tcPr>
          <w:p w:rsidR="00F85EF1" w:rsidRPr="00FE3F73" w:rsidRDefault="00F85EF1" w:rsidP="00CF1EB5">
            <w:pPr>
              <w:pStyle w:val="CGCTableStub"/>
              <w:tabs>
                <w:tab w:val="left" w:pos="142"/>
                <w:tab w:val="left" w:pos="425"/>
                <w:tab w:val="left" w:pos="709"/>
                <w:tab w:val="left" w:pos="851"/>
              </w:tabs>
              <w:ind w:left="142" w:hanging="142"/>
              <w:rPr>
                <w:rFonts w:cstheme="minorHAnsi"/>
              </w:rPr>
            </w:pPr>
            <w:r>
              <w:rPr>
                <w:rFonts w:cstheme="minorHAnsi"/>
              </w:rPr>
              <w:t>$m</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-106</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48</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39</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12</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14</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-12</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2</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3</w:t>
            </w:r>
          </w:p>
        </w:tc>
        <w:tc>
          <w:tcPr>
            <w:tcW w:w="405" w:type="pct"/>
            <w:vAlign w:val="bottom"/>
          </w:tcPr>
          <w:p w:rsidR="00F85EF1" w:rsidRDefault="00F85EF1">
            <w:pPr>
              <w:jc w:val="right"/>
              <w:rPr>
                <w:rFonts w:ascii="Calibri" w:hAnsi="Calibri"/>
                <w:color w:val="000000"/>
                <w:sz w:val="20"/>
                <w:szCs w:val="20"/>
              </w:rPr>
            </w:pPr>
            <w:r>
              <w:rPr>
                <w:rFonts w:ascii="Calibri" w:hAnsi="Calibri"/>
                <w:color w:val="000000"/>
                <w:sz w:val="20"/>
                <w:szCs w:val="20"/>
              </w:rPr>
              <w:t>118</w:t>
            </w:r>
          </w:p>
        </w:tc>
      </w:tr>
      <w:tr w:rsidR="00F85EF1" w:rsidRPr="00FE3F73" w:rsidTr="00CF1EB5">
        <w:tc>
          <w:tcPr>
            <w:tcW w:w="1354" w:type="pct"/>
            <w:tcBorders>
              <w:bottom w:val="single" w:sz="4" w:space="0" w:color="auto"/>
            </w:tcBorders>
            <w:vAlign w:val="bottom"/>
          </w:tcPr>
          <w:p w:rsidR="00F85EF1" w:rsidRPr="00FE3F73" w:rsidRDefault="00F85EF1" w:rsidP="00CF1EB5">
            <w:pPr>
              <w:pStyle w:val="CGCTableStub"/>
              <w:tabs>
                <w:tab w:val="left" w:pos="142"/>
                <w:tab w:val="left" w:pos="425"/>
                <w:tab w:val="left" w:pos="709"/>
                <w:tab w:val="left" w:pos="851"/>
              </w:tabs>
              <w:ind w:left="142" w:hanging="142"/>
              <w:rPr>
                <w:rFonts w:cstheme="minorHAnsi"/>
              </w:rPr>
            </w:pPr>
            <w:r>
              <w:rPr>
                <w:rFonts w:cstheme="minorHAnsi"/>
              </w:rPr>
              <w:t>$pc</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-14</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5</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-24</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8</w:t>
            </w:r>
          </w:p>
        </w:tc>
        <w:tc>
          <w:tcPr>
            <w:tcW w:w="405" w:type="pct"/>
            <w:tcBorders>
              <w:bottom w:val="single" w:sz="4" w:space="0" w:color="auto"/>
            </w:tcBorders>
            <w:vAlign w:val="bottom"/>
          </w:tcPr>
          <w:p w:rsidR="00F85EF1" w:rsidRDefault="00F85EF1">
            <w:pPr>
              <w:jc w:val="right"/>
              <w:rPr>
                <w:rFonts w:ascii="Calibri" w:hAnsi="Calibri"/>
                <w:color w:val="000000"/>
                <w:sz w:val="20"/>
                <w:szCs w:val="20"/>
              </w:rPr>
            </w:pPr>
            <w:r>
              <w:rPr>
                <w:rFonts w:ascii="Calibri" w:hAnsi="Calibri"/>
                <w:color w:val="000000"/>
                <w:sz w:val="20"/>
                <w:szCs w:val="20"/>
              </w:rPr>
              <w:t>5</w:t>
            </w:r>
          </w:p>
        </w:tc>
      </w:tr>
    </w:tbl>
    <w:p w:rsidR="00CF1EB5" w:rsidRDefault="00CF1EB5" w:rsidP="00CF1EB5">
      <w:pPr>
        <w:pStyle w:val="CGCTableFootnote"/>
      </w:pPr>
      <w:r>
        <w:t>Source:</w:t>
      </w:r>
      <w:r>
        <w:tab/>
        <w:t>CGC calculation.</w:t>
      </w:r>
    </w:p>
    <w:p w:rsidR="00CF1EB5" w:rsidRPr="00970E6D" w:rsidRDefault="00CF1EB5" w:rsidP="00CF1EB5">
      <w:pPr>
        <w:pStyle w:val="Heading3"/>
      </w:pPr>
      <w:bookmarkStart w:id="70" w:name="_Toc404157382"/>
      <w:bookmarkStart w:id="71" w:name="_Toc404157438"/>
      <w:bookmarkStart w:id="72" w:name="_Toc404157482"/>
      <w:bookmarkStart w:id="73" w:name="_Toc404164801"/>
      <w:r w:rsidRPr="00970E6D">
        <w:t>Seeking State views</w:t>
      </w:r>
      <w:bookmarkEnd w:id="70"/>
      <w:bookmarkEnd w:id="71"/>
      <w:bookmarkEnd w:id="72"/>
      <w:bookmarkEnd w:id="73"/>
    </w:p>
    <w:tbl>
      <w:tblPr>
        <w:tblW w:w="0" w:type="auto"/>
        <w:tblInd w:w="108" w:type="dxa"/>
        <w:shd w:val="clear" w:color="auto" w:fill="D9F3E6"/>
        <w:tblLook w:val="04A0" w:firstRow="1" w:lastRow="0" w:firstColumn="1" w:lastColumn="0" w:noHBand="0" w:noVBand="1"/>
      </w:tblPr>
      <w:tblGrid>
        <w:gridCol w:w="8931"/>
      </w:tblGrid>
      <w:tr w:rsidR="00CF1EB5" w:rsidRPr="00970E6D" w:rsidTr="00CF1EB5">
        <w:tc>
          <w:tcPr>
            <w:tcW w:w="8931" w:type="dxa"/>
            <w:shd w:val="clear" w:color="auto" w:fill="D9F3E6"/>
          </w:tcPr>
          <w:p w:rsidR="00CF1EB5" w:rsidRPr="00970E6D" w:rsidRDefault="00CF1EB5" w:rsidP="0098115E">
            <w:pPr>
              <w:tabs>
                <w:tab w:val="clear" w:pos="567"/>
              </w:tabs>
            </w:pPr>
            <w:r w:rsidRPr="00970E6D">
              <w:t>State</w:t>
            </w:r>
            <w:r w:rsidR="006D48CC">
              <w:t>s</w:t>
            </w:r>
            <w:r w:rsidRPr="00970E6D">
              <w:t xml:space="preserve"> </w:t>
            </w:r>
            <w:r w:rsidR="0098115E">
              <w:t xml:space="preserve">are invited to provide any comments they may have </w:t>
            </w:r>
            <w:r w:rsidR="0098115E" w:rsidRPr="00970E6D">
              <w:t>on</w:t>
            </w:r>
            <w:r w:rsidR="0098115E">
              <w:t xml:space="preserve"> the approach to assessments set out above</w:t>
            </w:r>
            <w:r w:rsidR="0098115E" w:rsidRPr="00970E6D">
              <w:t xml:space="preserve"> </w:t>
            </w:r>
            <w:r w:rsidR="0098115E">
              <w:t>by</w:t>
            </w:r>
            <w:r>
              <w:t xml:space="preserve"> </w:t>
            </w:r>
            <w:r w:rsidR="0098115E">
              <w:t>29</w:t>
            </w:r>
            <w:r>
              <w:t xml:space="preserve"> December</w:t>
            </w:r>
            <w:r w:rsidR="0098115E">
              <w:t xml:space="preserve"> 2014</w:t>
            </w:r>
            <w:r>
              <w:t>.</w:t>
            </w:r>
          </w:p>
        </w:tc>
      </w:tr>
    </w:tbl>
    <w:p w:rsidR="00B63A83" w:rsidRDefault="00B63A83" w:rsidP="00CC7888"/>
    <w:sectPr w:rsidR="00B63A83" w:rsidSect="001E34EA">
      <w:footerReference w:type="default" r:id="rId20"/>
      <w:footerReference w:type="first" r:id="rId21"/>
      <w:pgSz w:w="11899" w:h="16838" w:code="9"/>
      <w:pgMar w:top="1701" w:right="1474" w:bottom="1701" w:left="1474"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22" w:rsidRDefault="00CB2F22" w:rsidP="00410163">
      <w:pPr>
        <w:spacing w:after="0" w:line="240" w:lineRule="auto"/>
      </w:pPr>
      <w:r>
        <w:separator/>
      </w:r>
    </w:p>
  </w:endnote>
  <w:endnote w:type="continuationSeparator" w:id="0">
    <w:p w:rsidR="00CB2F22" w:rsidRDefault="00CB2F22"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Pr="00875C0F" w:rsidRDefault="00CB2F22" w:rsidP="00CF1EB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CB2F22" w:rsidRPr="00875C0F" w:rsidRDefault="00CB2F22" w:rsidP="00CF1EB5">
        <w:pPr>
          <w:pStyle w:val="Footer"/>
          <w:rPr>
            <w:sz w:val="20"/>
            <w:szCs w:val="20"/>
          </w:rPr>
        </w:pPr>
        <w:r w:rsidRPr="00875C0F">
          <w:rPr>
            <w:snapToGrid w:val="0"/>
            <w:sz w:val="20"/>
            <w:szCs w:val="20"/>
          </w:rPr>
          <w:fldChar w:fldCharType="begin"/>
        </w:r>
        <w:r w:rsidRPr="00875C0F">
          <w:rPr>
            <w:snapToGrid w:val="0"/>
            <w:sz w:val="20"/>
            <w:szCs w:val="20"/>
          </w:rPr>
          <w:instrText xml:space="preserve"> FILENAME \p </w:instrText>
        </w:r>
        <w:r w:rsidRPr="00875C0F">
          <w:rPr>
            <w:snapToGrid w:val="0"/>
            <w:sz w:val="20"/>
            <w:szCs w:val="20"/>
          </w:rPr>
          <w:fldChar w:fldCharType="separate"/>
        </w:r>
        <w:r w:rsidR="00781EF8">
          <w:rPr>
            <w:noProof/>
            <w:snapToGrid w:val="0"/>
            <w:sz w:val="20"/>
            <w:szCs w:val="20"/>
          </w:rPr>
          <w:t>I:\R2015\Discussion papers\FINALS\CGC 2014-04 - Significant changes since the draft report.docx</w:t>
        </w:r>
        <w:r w:rsidRPr="00875C0F">
          <w:rPr>
            <w:snapToGrid w:val="0"/>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Pr="00875C0F" w:rsidRDefault="00CB2F22" w:rsidP="00CF1EB5">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Pr="00875C0F" w:rsidRDefault="00CB2F22" w:rsidP="00CF1EB5">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Pr="00410163" w:rsidRDefault="00CB2F22" w:rsidP="00410163">
    <w:pPr>
      <w:pStyle w:val="Footer"/>
      <w:tabs>
        <w:tab w:val="clear" w:pos="4513"/>
        <w:tab w:val="right" w:pos="8931"/>
      </w:tabs>
      <w:rPr>
        <w:rFonts w:cstheme="minorHAnsi"/>
      </w:rPr>
    </w:pPr>
    <w:r w:rsidRPr="00410163">
      <w:rPr>
        <w:rFonts w:cstheme="minorHAnsi"/>
      </w:rPr>
      <w:ptab w:relativeTo="margin" w:alignment="right" w:leader="none"/>
    </w:r>
    <w:r>
      <w:rPr>
        <w:rFonts w:cstheme="minorHAnsi"/>
      </w:rPr>
      <w:fldChar w:fldCharType="begin"/>
    </w:r>
    <w:r>
      <w:rPr>
        <w:rFonts w:cstheme="minorHAnsi"/>
      </w:rPr>
      <w:instrText xml:space="preserve"> PAGE \* MERGEFORMAT </w:instrText>
    </w:r>
    <w:r>
      <w:rPr>
        <w:rFonts w:cstheme="minorHAnsi"/>
      </w:rPr>
      <w:fldChar w:fldCharType="separate"/>
    </w:r>
    <w:r w:rsidR="00781EF8">
      <w:rPr>
        <w:rFonts w:cstheme="minorHAnsi"/>
        <w:noProof/>
      </w:rPr>
      <w:t>11</w:t>
    </w:r>
    <w:r>
      <w:rPr>
        <w:rFonts w:cstheme="minorHAns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Default="00CB2F22" w:rsidP="00410163">
    <w:pPr>
      <w:pStyle w:val="Footer"/>
      <w:tabs>
        <w:tab w:val="clear" w:pos="4513"/>
      </w:tabs>
    </w:pPr>
    <w:r>
      <w:tab/>
    </w:r>
    <w:r>
      <w:fldChar w:fldCharType="begin"/>
    </w:r>
    <w:r>
      <w:instrText xml:space="preserve"> PAGE \* MERGEFORMAT </w:instrText>
    </w:r>
    <w:r>
      <w:fldChar w:fldCharType="separate"/>
    </w:r>
    <w:r w:rsidR="00781EF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22" w:rsidRDefault="00CB2F22" w:rsidP="00410163">
      <w:pPr>
        <w:spacing w:after="0" w:line="240" w:lineRule="auto"/>
      </w:pPr>
      <w:r>
        <w:separator/>
      </w:r>
    </w:p>
  </w:footnote>
  <w:footnote w:type="continuationSeparator" w:id="0">
    <w:p w:rsidR="00CB2F22" w:rsidRDefault="00CB2F22" w:rsidP="00410163">
      <w:pPr>
        <w:spacing w:after="0" w:line="240" w:lineRule="auto"/>
      </w:pPr>
      <w:r>
        <w:continuationSeparator/>
      </w:r>
    </w:p>
  </w:footnote>
  <w:footnote w:id="1">
    <w:p w:rsidR="00DD64A4" w:rsidRDefault="00DD64A4">
      <w:pPr>
        <w:pStyle w:val="FootnoteText"/>
      </w:pPr>
      <w:r>
        <w:rPr>
          <w:rStyle w:val="FootnoteReference"/>
        </w:rPr>
        <w:footnoteRef/>
      </w:r>
      <w:r>
        <w:t xml:space="preserve"> </w:t>
      </w:r>
      <w:r>
        <w:tab/>
      </w:r>
      <w:hyperlink r:id="rId1" w:history="1">
        <w:r w:rsidRPr="0092088C">
          <w:rPr>
            <w:rStyle w:val="Hyperlink"/>
          </w:rPr>
          <w:t>https://cgc.gov.au/index.php?option=com_attachments&amp;task=download&amp;id=2092</w:t>
        </w:r>
      </w:hyperlink>
    </w:p>
  </w:footnote>
  <w:footnote w:id="2">
    <w:p w:rsidR="00CB2F22" w:rsidRDefault="00CB2F22" w:rsidP="00F51FBD">
      <w:pPr>
        <w:pStyle w:val="FootnoteText"/>
      </w:pPr>
      <w:r>
        <w:rPr>
          <w:rStyle w:val="FootnoteReference"/>
        </w:rPr>
        <w:footnoteRef/>
      </w:r>
      <w:r>
        <w:t xml:space="preserve"> </w:t>
      </w:r>
      <w:r>
        <w:tab/>
        <w:t xml:space="preserve">Most of the national rail network is owned or leased by the </w:t>
      </w:r>
      <w:r w:rsidRPr="0024720A">
        <w:t>Australian Rail Track Corporation</w:t>
      </w:r>
      <w:r>
        <w:t xml:space="preserve"> (ARTC), which is a Commonwealth-</w:t>
      </w:r>
      <w:r w:rsidRPr="00D75919">
        <w:t>owned company</w:t>
      </w:r>
      <w:r>
        <w:t>.</w:t>
      </w:r>
      <w:r w:rsidRPr="00584F91">
        <w:t xml:space="preserve"> </w:t>
      </w:r>
      <w:r>
        <w:t>But there are exceptions, such as the Sydney-Newcastle track and some track in Western Australia and Tasmania.</w:t>
      </w:r>
    </w:p>
  </w:footnote>
  <w:footnote w:id="3">
    <w:p w:rsidR="00CB2F22" w:rsidRDefault="00CB2F22" w:rsidP="00CF1EB5">
      <w:pPr>
        <w:pStyle w:val="FootnoteText"/>
      </w:pPr>
      <w:r>
        <w:rPr>
          <w:rStyle w:val="FootnoteReference"/>
        </w:rPr>
        <w:footnoteRef/>
      </w:r>
      <w:r>
        <w:t xml:space="preserve"> </w:t>
      </w:r>
      <w:r>
        <w:tab/>
      </w:r>
      <w:r w:rsidRPr="0024720A">
        <w:t>In addition, $45 million to be paid in 2013-14 for the Port Botany line</w:t>
      </w:r>
      <w:r>
        <w:t xml:space="preserve"> was paid </w:t>
      </w:r>
      <w:r w:rsidRPr="0024720A">
        <w:t>to the ARTC</w:t>
      </w:r>
      <w:r>
        <w:t>, not New South Wales, and will have no impact on the relativities</w:t>
      </w:r>
      <w:r w:rsidRPr="0024720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Default="00CB2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22" w:rsidRDefault="00CB2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661824"/>
    <w:multiLevelType w:val="hybridMultilevel"/>
    <w:tmpl w:val="E1E0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B10C8F"/>
    <w:multiLevelType w:val="multilevel"/>
    <w:tmpl w:val="F7D2D87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517EA6"/>
    <w:multiLevelType w:val="multilevel"/>
    <w:tmpl w:val="B71C65A6"/>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nsid w:val="77D62F87"/>
    <w:multiLevelType w:val="hybridMultilevel"/>
    <w:tmpl w:val="D25CA2F6"/>
    <w:lvl w:ilvl="0" w:tplc="5F501E4E">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7"/>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16"/>
  </w:num>
  <w:num w:numId="20">
    <w:abstractNumId w:val="10"/>
  </w:num>
  <w:num w:numId="21">
    <w:abstractNumId w:val="12"/>
  </w:num>
  <w:num w:numId="22">
    <w:abstractNumId w:val="17"/>
  </w:num>
  <w:num w:numId="23">
    <w:abstractNumId w:val="14"/>
  </w:num>
  <w:num w:numId="24">
    <w:abstractNumId w:val="13"/>
  </w:num>
  <w:num w:numId="25">
    <w:abstractNumId w:val="15"/>
  </w:num>
  <w:num w:numId="26">
    <w:abstractNumId w:val="10"/>
  </w:num>
  <w:num w:numId="27">
    <w:abstractNumId w:val="10"/>
  </w:num>
  <w:num w:numId="28">
    <w:abstractNumId w:val="10"/>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97"/>
    <w:rsid w:val="00001731"/>
    <w:rsid w:val="000153C9"/>
    <w:rsid w:val="00025411"/>
    <w:rsid w:val="00093F4A"/>
    <w:rsid w:val="000A474C"/>
    <w:rsid w:val="000F6176"/>
    <w:rsid w:val="000F629D"/>
    <w:rsid w:val="00144676"/>
    <w:rsid w:val="001478C0"/>
    <w:rsid w:val="00186D9B"/>
    <w:rsid w:val="001E34EA"/>
    <w:rsid w:val="001E7B72"/>
    <w:rsid w:val="002351F8"/>
    <w:rsid w:val="00266164"/>
    <w:rsid w:val="00267A1A"/>
    <w:rsid w:val="002A0B10"/>
    <w:rsid w:val="002A5E93"/>
    <w:rsid w:val="002C14E6"/>
    <w:rsid w:val="00301F7C"/>
    <w:rsid w:val="00312379"/>
    <w:rsid w:val="00335BB8"/>
    <w:rsid w:val="003435A4"/>
    <w:rsid w:val="003544CA"/>
    <w:rsid w:val="0036453E"/>
    <w:rsid w:val="0038548A"/>
    <w:rsid w:val="003C35F5"/>
    <w:rsid w:val="003E0C86"/>
    <w:rsid w:val="003F3FED"/>
    <w:rsid w:val="0040562E"/>
    <w:rsid w:val="00410163"/>
    <w:rsid w:val="004260E5"/>
    <w:rsid w:val="0045461D"/>
    <w:rsid w:val="004733A5"/>
    <w:rsid w:val="00481CA0"/>
    <w:rsid w:val="00484FBC"/>
    <w:rsid w:val="004E2E8B"/>
    <w:rsid w:val="004F7822"/>
    <w:rsid w:val="00512424"/>
    <w:rsid w:val="00526FCD"/>
    <w:rsid w:val="00553347"/>
    <w:rsid w:val="005A7AF1"/>
    <w:rsid w:val="005D68CF"/>
    <w:rsid w:val="005F5CF3"/>
    <w:rsid w:val="00602BEE"/>
    <w:rsid w:val="00677B70"/>
    <w:rsid w:val="006833E8"/>
    <w:rsid w:val="006C65C2"/>
    <w:rsid w:val="006D48CC"/>
    <w:rsid w:val="006E3145"/>
    <w:rsid w:val="007309F4"/>
    <w:rsid w:val="00737836"/>
    <w:rsid w:val="007669A6"/>
    <w:rsid w:val="0077044E"/>
    <w:rsid w:val="007710CD"/>
    <w:rsid w:val="00781EF8"/>
    <w:rsid w:val="007A4828"/>
    <w:rsid w:val="007C10EB"/>
    <w:rsid w:val="007F0BCB"/>
    <w:rsid w:val="0081714D"/>
    <w:rsid w:val="0082775D"/>
    <w:rsid w:val="00832FE7"/>
    <w:rsid w:val="0084020E"/>
    <w:rsid w:val="00845645"/>
    <w:rsid w:val="00850051"/>
    <w:rsid w:val="00872071"/>
    <w:rsid w:val="00872FF0"/>
    <w:rsid w:val="00873373"/>
    <w:rsid w:val="00875DAD"/>
    <w:rsid w:val="00882A68"/>
    <w:rsid w:val="008F30EF"/>
    <w:rsid w:val="00914585"/>
    <w:rsid w:val="00931996"/>
    <w:rsid w:val="00943F8C"/>
    <w:rsid w:val="00956945"/>
    <w:rsid w:val="00962852"/>
    <w:rsid w:val="0098115E"/>
    <w:rsid w:val="00981B60"/>
    <w:rsid w:val="009844EA"/>
    <w:rsid w:val="00996ED6"/>
    <w:rsid w:val="009B695D"/>
    <w:rsid w:val="009D6A5C"/>
    <w:rsid w:val="00A04430"/>
    <w:rsid w:val="00A25FA6"/>
    <w:rsid w:val="00A62177"/>
    <w:rsid w:val="00AA4ABD"/>
    <w:rsid w:val="00AB4996"/>
    <w:rsid w:val="00AB731B"/>
    <w:rsid w:val="00AD1999"/>
    <w:rsid w:val="00AF6B89"/>
    <w:rsid w:val="00B00E09"/>
    <w:rsid w:val="00B12C06"/>
    <w:rsid w:val="00B12E6C"/>
    <w:rsid w:val="00B40487"/>
    <w:rsid w:val="00B5214A"/>
    <w:rsid w:val="00B524EE"/>
    <w:rsid w:val="00B60CF6"/>
    <w:rsid w:val="00B61C9C"/>
    <w:rsid w:val="00B63A83"/>
    <w:rsid w:val="00B64065"/>
    <w:rsid w:val="00BC5219"/>
    <w:rsid w:val="00BC6482"/>
    <w:rsid w:val="00BD1799"/>
    <w:rsid w:val="00BD18E8"/>
    <w:rsid w:val="00BE1181"/>
    <w:rsid w:val="00BF52A3"/>
    <w:rsid w:val="00C32C64"/>
    <w:rsid w:val="00C43EB8"/>
    <w:rsid w:val="00CA4B56"/>
    <w:rsid w:val="00CB2F22"/>
    <w:rsid w:val="00CC3EBB"/>
    <w:rsid w:val="00CC7888"/>
    <w:rsid w:val="00CE05AE"/>
    <w:rsid w:val="00CF1DD3"/>
    <w:rsid w:val="00CF1EB5"/>
    <w:rsid w:val="00D02A04"/>
    <w:rsid w:val="00D32A97"/>
    <w:rsid w:val="00D37CA9"/>
    <w:rsid w:val="00D94D6C"/>
    <w:rsid w:val="00DA58FF"/>
    <w:rsid w:val="00DB6FA7"/>
    <w:rsid w:val="00DD64A4"/>
    <w:rsid w:val="00DF2652"/>
    <w:rsid w:val="00E44745"/>
    <w:rsid w:val="00E54F93"/>
    <w:rsid w:val="00E778B1"/>
    <w:rsid w:val="00E92226"/>
    <w:rsid w:val="00E953AB"/>
    <w:rsid w:val="00ED2213"/>
    <w:rsid w:val="00F16987"/>
    <w:rsid w:val="00F20585"/>
    <w:rsid w:val="00F51FBD"/>
    <w:rsid w:val="00F85EF1"/>
    <w:rsid w:val="00F902BE"/>
    <w:rsid w:val="00F96193"/>
    <w:rsid w:val="00FA3ECB"/>
    <w:rsid w:val="00FA4107"/>
    <w:rsid w:val="00FC4285"/>
    <w:rsid w:val="00FC6407"/>
    <w:rsid w:val="00FC7CAF"/>
    <w:rsid w:val="00FD5DB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26FCD"/>
    <w:pPr>
      <w:tabs>
        <w:tab w:val="left" w:pos="567"/>
      </w:tabs>
    </w:pPr>
    <w:rPr>
      <w:sz w:val="24"/>
    </w:rPr>
  </w:style>
  <w:style w:type="paragraph" w:styleId="Heading1">
    <w:name w:val="heading 1"/>
    <w:basedOn w:val="Normal"/>
    <w:next w:val="Heading2"/>
    <w:link w:val="Heading1Char"/>
    <w:qFormat/>
    <w:rsid w:val="00526FCD"/>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526FCD"/>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526FCD"/>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526FCD"/>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526FC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526FCD"/>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526FC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26FCD"/>
    <w:rPr>
      <w:rFonts w:eastAsiaTheme="majorEastAsia" w:cstheme="majorBidi"/>
      <w:b/>
      <w:i/>
      <w:iCs/>
      <w:color w:val="2C8558"/>
      <w:sz w:val="28"/>
    </w:rPr>
  </w:style>
  <w:style w:type="character" w:customStyle="1" w:styleId="Heading1Char">
    <w:name w:val="Heading 1 Char"/>
    <w:basedOn w:val="DefaultParagraphFont"/>
    <w:link w:val="Heading1"/>
    <w:rsid w:val="00526FCD"/>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526FCD"/>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526FCD"/>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526FCD"/>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526FCD"/>
    <w:rPr>
      <w:rFonts w:eastAsiaTheme="majorEastAsia" w:cstheme="majorBidi"/>
      <w:b/>
      <w:bCs/>
      <w:iCs/>
      <w:color w:val="2C8558"/>
      <w:sz w:val="32"/>
    </w:rPr>
  </w:style>
  <w:style w:type="character" w:customStyle="1" w:styleId="Heading5Char">
    <w:name w:val="Heading 5 Char"/>
    <w:basedOn w:val="DefaultParagraphFont"/>
    <w:link w:val="Heading5"/>
    <w:uiPriority w:val="9"/>
    <w:rsid w:val="00526FCD"/>
    <w:rPr>
      <w:rFonts w:eastAsiaTheme="majorEastAsia" w:cstheme="majorBidi"/>
      <w:b/>
      <w:i/>
      <w:color w:val="2C8558"/>
      <w:sz w:val="28"/>
    </w:rPr>
  </w:style>
  <w:style w:type="paragraph" w:customStyle="1" w:styleId="CGCBulletlist">
    <w:name w:val="CGC Bullet list"/>
    <w:aliases w:val="CGC List 1"/>
    <w:basedOn w:val="Normal"/>
    <w:link w:val="CGCBulletlistCharChar"/>
    <w:qFormat/>
    <w:rsid w:val="001E7B72"/>
    <w:pPr>
      <w:numPr>
        <w:numId w:val="19"/>
      </w:numPr>
      <w:tabs>
        <w:tab w:val="clear" w:pos="567"/>
      </w:tabs>
      <w:spacing w:before="80" w:line="300" w:lineRule="atLeast"/>
    </w:pPr>
    <w:rPr>
      <w:szCs w:val="20"/>
    </w:rPr>
  </w:style>
  <w:style w:type="paragraph" w:customStyle="1" w:styleId="CGCNumberedPara">
    <w:name w:val="CGC Numbered Para"/>
    <w:aliases w:val="CGC Para No"/>
    <w:basedOn w:val="Normal"/>
    <w:link w:val="CGCParaNoChar"/>
    <w:qFormat/>
    <w:rsid w:val="00526FCD"/>
    <w:pPr>
      <w:numPr>
        <w:ilvl w:val="1"/>
        <w:numId w:val="20"/>
      </w:numPr>
      <w:spacing w:before="120"/>
    </w:pPr>
    <w:rPr>
      <w:szCs w:val="24"/>
    </w:rPr>
  </w:style>
  <w:style w:type="paragraph" w:customStyle="1" w:styleId="CGCTableFootnote">
    <w:name w:val="CGC Table Footnote"/>
    <w:basedOn w:val="CGCNumberedPara"/>
    <w:next w:val="NoSpacing"/>
    <w:link w:val="CGCTableFootnoteChar"/>
    <w:qFormat/>
    <w:rsid w:val="00526FCD"/>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526FCD"/>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526FCD"/>
  </w:style>
  <w:style w:type="character" w:customStyle="1" w:styleId="DataCaptionChar">
    <w:name w:val="Data Caption Char"/>
    <w:basedOn w:val="DefaultParagraphFont"/>
    <w:link w:val="CGCDataCaption"/>
    <w:rsid w:val="00526FCD"/>
    <w:rPr>
      <w:sz w:val="20"/>
      <w:szCs w:val="24"/>
    </w:rPr>
  </w:style>
  <w:style w:type="paragraph" w:customStyle="1" w:styleId="CGCNumeralList">
    <w:name w:val="CGC Numeral List"/>
    <w:aliases w:val="CGC List 3"/>
    <w:basedOn w:val="Normal"/>
    <w:qFormat/>
    <w:rsid w:val="00526FCD"/>
    <w:pPr>
      <w:numPr>
        <w:numId w:val="21"/>
      </w:numPr>
      <w:tabs>
        <w:tab w:val="clear" w:pos="567"/>
      </w:tabs>
      <w:spacing w:line="300" w:lineRule="atLeast"/>
    </w:pPr>
    <w:rPr>
      <w:szCs w:val="20"/>
    </w:rPr>
  </w:style>
  <w:style w:type="paragraph" w:customStyle="1" w:styleId="CGCQuotation">
    <w:name w:val="CGC Quotation"/>
    <w:basedOn w:val="Normal"/>
    <w:next w:val="CGCNumberedPara"/>
    <w:rsid w:val="00526FCD"/>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1E7B72"/>
    <w:pPr>
      <w:numPr>
        <w:numId w:val="22"/>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526FCD"/>
    <w:pPr>
      <w:numPr>
        <w:numId w:val="23"/>
      </w:numPr>
      <w:ind w:right="1134"/>
    </w:pPr>
    <w:rPr>
      <w:sz w:val="22"/>
    </w:rPr>
  </w:style>
  <w:style w:type="paragraph" w:customStyle="1" w:styleId="CGCTableHeading">
    <w:name w:val="CGC Table Heading"/>
    <w:basedOn w:val="Normal"/>
    <w:next w:val="Normal"/>
    <w:qFormat/>
    <w:rsid w:val="00526FCD"/>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link w:val="CGCTableStubChar"/>
    <w:qFormat/>
    <w:rsid w:val="00526FCD"/>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526FCD"/>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526FCD"/>
    <w:rPr>
      <w:sz w:val="24"/>
    </w:rPr>
  </w:style>
  <w:style w:type="paragraph" w:styleId="Footer">
    <w:name w:val="footer"/>
    <w:basedOn w:val="Normal"/>
    <w:link w:val="FooterChar"/>
    <w:uiPriority w:val="99"/>
    <w:unhideWhenUsed/>
    <w:rsid w:val="00526FC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526FCD"/>
    <w:rPr>
      <w:sz w:val="24"/>
    </w:rPr>
  </w:style>
  <w:style w:type="paragraph" w:styleId="BalloonText">
    <w:name w:val="Balloon Text"/>
    <w:basedOn w:val="Normal"/>
    <w:link w:val="BalloonTextChar"/>
    <w:uiPriority w:val="99"/>
    <w:semiHidden/>
    <w:unhideWhenUsed/>
    <w:rsid w:val="0052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FCD"/>
    <w:rPr>
      <w:rFonts w:ascii="Tahoma" w:hAnsi="Tahoma" w:cs="Tahoma"/>
      <w:sz w:val="16"/>
      <w:szCs w:val="16"/>
    </w:rPr>
  </w:style>
  <w:style w:type="paragraph" w:styleId="ListParagraph">
    <w:name w:val="List Paragraph"/>
    <w:basedOn w:val="Normal"/>
    <w:uiPriority w:val="34"/>
    <w:qFormat/>
    <w:rsid w:val="00526FCD"/>
    <w:pPr>
      <w:tabs>
        <w:tab w:val="clear" w:pos="567"/>
      </w:tabs>
      <w:spacing w:line="300" w:lineRule="atLeast"/>
      <w:ind w:left="1134"/>
    </w:pPr>
    <w:rPr>
      <w:szCs w:val="24"/>
    </w:rPr>
  </w:style>
  <w:style w:type="character" w:styleId="Hyperlink">
    <w:name w:val="Hyperlink"/>
    <w:basedOn w:val="DefaultParagraphFont"/>
    <w:rsid w:val="007710CD"/>
    <w:rPr>
      <w:color w:val="0000FF"/>
      <w:u w:val="single"/>
    </w:rPr>
  </w:style>
  <w:style w:type="paragraph" w:styleId="Caption">
    <w:name w:val="caption"/>
    <w:basedOn w:val="Normal"/>
    <w:next w:val="Normal"/>
    <w:link w:val="CaptionChar"/>
    <w:qFormat/>
    <w:rsid w:val="00526FCD"/>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26FCD"/>
    <w:rPr>
      <w:b/>
      <w:bCs/>
      <w:sz w:val="24"/>
      <w:szCs w:val="20"/>
    </w:rPr>
  </w:style>
  <w:style w:type="paragraph" w:styleId="FootnoteText">
    <w:name w:val="footnote text"/>
    <w:basedOn w:val="Normal"/>
    <w:link w:val="FootnoteTextChar"/>
    <w:rsid w:val="00526FCD"/>
    <w:pPr>
      <w:spacing w:after="0" w:line="240" w:lineRule="auto"/>
      <w:ind w:left="567" w:hanging="567"/>
    </w:pPr>
    <w:rPr>
      <w:sz w:val="20"/>
      <w:szCs w:val="20"/>
    </w:rPr>
  </w:style>
  <w:style w:type="character" w:customStyle="1" w:styleId="FootnoteTextChar">
    <w:name w:val="Footnote Text Char"/>
    <w:basedOn w:val="DefaultParagraphFont"/>
    <w:link w:val="FootnoteText"/>
    <w:rsid w:val="00526FCD"/>
    <w:rPr>
      <w:sz w:val="20"/>
      <w:szCs w:val="20"/>
    </w:rPr>
  </w:style>
  <w:style w:type="table" w:styleId="TableGrid">
    <w:name w:val="Table Grid"/>
    <w:basedOn w:val="TableNormal"/>
    <w:uiPriority w:val="59"/>
    <w:rsid w:val="0052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14D"/>
    <w:rPr>
      <w:color w:val="800080" w:themeColor="followedHyperlink"/>
      <w:u w:val="single"/>
    </w:rPr>
  </w:style>
  <w:style w:type="paragraph" w:styleId="TOC1">
    <w:name w:val="toc 1"/>
    <w:basedOn w:val="Normal"/>
    <w:next w:val="Normal"/>
    <w:autoRedefine/>
    <w:uiPriority w:val="39"/>
    <w:unhideWhenUsed/>
    <w:rsid w:val="00962852"/>
    <w:pPr>
      <w:tabs>
        <w:tab w:val="clear" w:pos="567"/>
      </w:tabs>
      <w:spacing w:after="100"/>
    </w:pPr>
  </w:style>
  <w:style w:type="paragraph" w:styleId="TOC2">
    <w:name w:val="toc 2"/>
    <w:basedOn w:val="Normal"/>
    <w:next w:val="Normal"/>
    <w:autoRedefine/>
    <w:uiPriority w:val="39"/>
    <w:unhideWhenUsed/>
    <w:rsid w:val="00914585"/>
    <w:pPr>
      <w:tabs>
        <w:tab w:val="clear" w:pos="567"/>
        <w:tab w:val="right" w:pos="8941"/>
      </w:tabs>
      <w:spacing w:after="100"/>
      <w:ind w:left="284"/>
    </w:pPr>
  </w:style>
  <w:style w:type="paragraph" w:styleId="TOC3">
    <w:name w:val="toc 3"/>
    <w:basedOn w:val="Normal"/>
    <w:next w:val="Normal"/>
    <w:autoRedefine/>
    <w:uiPriority w:val="39"/>
    <w:unhideWhenUsed/>
    <w:rsid w:val="00B60CF6"/>
    <w:pPr>
      <w:tabs>
        <w:tab w:val="clear" w:pos="567"/>
        <w:tab w:val="right" w:pos="8941"/>
      </w:tabs>
      <w:spacing w:after="100"/>
    </w:pPr>
  </w:style>
  <w:style w:type="character" w:customStyle="1" w:styleId="CGCParaNoChar">
    <w:name w:val="CGC Para No Char"/>
    <w:aliases w:val="CGC Numbered Para Char"/>
    <w:basedOn w:val="DefaultParagraphFont"/>
    <w:link w:val="CGCNumberedPara"/>
    <w:rsid w:val="00F96193"/>
    <w:rPr>
      <w:sz w:val="24"/>
      <w:szCs w:val="24"/>
    </w:rPr>
  </w:style>
  <w:style w:type="paragraph" w:customStyle="1" w:styleId="TableRowNormal">
    <w:name w:val="TableRowNormal"/>
    <w:basedOn w:val="Normal"/>
    <w:rsid w:val="00E54F93"/>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Single">
    <w:name w:val="Single"/>
    <w:basedOn w:val="Normal"/>
    <w:next w:val="CGCNumberedPara"/>
    <w:rsid w:val="00E54F93"/>
    <w:pPr>
      <w:spacing w:after="0" w:line="240" w:lineRule="auto"/>
    </w:pPr>
  </w:style>
  <w:style w:type="paragraph" w:customStyle="1" w:styleId="TableColHeadings">
    <w:name w:val="TableColHeadings"/>
    <w:basedOn w:val="Normal"/>
    <w:rsid w:val="00E54F93"/>
    <w:pPr>
      <w:keepNext/>
      <w:keepLines/>
      <w:tabs>
        <w:tab w:val="left" w:pos="475"/>
        <w:tab w:val="left" w:pos="1440"/>
        <w:tab w:val="left" w:pos="2160"/>
        <w:tab w:val="left" w:pos="2880"/>
      </w:tabs>
      <w:spacing w:before="60" w:after="60" w:line="240" w:lineRule="auto"/>
      <w:jc w:val="right"/>
    </w:pPr>
    <w:rPr>
      <w:sz w:val="20"/>
      <w:szCs w:val="20"/>
    </w:rPr>
  </w:style>
  <w:style w:type="character" w:customStyle="1" w:styleId="CGCBulletlistCharChar">
    <w:name w:val="CGC Bullet list Char Char"/>
    <w:basedOn w:val="DefaultParagraphFont"/>
    <w:link w:val="CGCBulletlist"/>
    <w:rsid w:val="00E54F93"/>
    <w:rPr>
      <w:sz w:val="24"/>
      <w:szCs w:val="20"/>
    </w:rPr>
  </w:style>
  <w:style w:type="character" w:styleId="FootnoteReference">
    <w:name w:val="footnote reference"/>
    <w:basedOn w:val="DefaultParagraphFont"/>
    <w:unhideWhenUsed/>
    <w:rsid w:val="00CF1EB5"/>
    <w:rPr>
      <w:vertAlign w:val="superscript"/>
    </w:rPr>
  </w:style>
  <w:style w:type="character" w:customStyle="1" w:styleId="CGCTableFootnoteChar">
    <w:name w:val="CGC Table Footnote Char"/>
    <w:basedOn w:val="DefaultParagraphFont"/>
    <w:link w:val="CGCTableFootnote"/>
    <w:rsid w:val="00CF1EB5"/>
    <w:rPr>
      <w:sz w:val="20"/>
      <w:szCs w:val="24"/>
    </w:rPr>
  </w:style>
  <w:style w:type="character" w:customStyle="1" w:styleId="CGCTableStubChar">
    <w:name w:val="CGC Table Stub Char"/>
    <w:basedOn w:val="DefaultParagraphFont"/>
    <w:link w:val="CGCTableStub"/>
    <w:rsid w:val="007309F4"/>
    <w:rPr>
      <w:sz w:val="20"/>
      <w:szCs w:val="20"/>
    </w:rPr>
  </w:style>
  <w:style w:type="character" w:customStyle="1" w:styleId="NoSpacingChar">
    <w:name w:val="No Spacing Char"/>
    <w:basedOn w:val="DefaultParagraphFont"/>
    <w:link w:val="NoSpacing"/>
    <w:uiPriority w:val="1"/>
    <w:rsid w:val="002A0B10"/>
    <w:rPr>
      <w:sz w:val="24"/>
    </w:rPr>
  </w:style>
  <w:style w:type="paragraph" w:styleId="TOC4">
    <w:name w:val="toc 4"/>
    <w:basedOn w:val="Normal"/>
    <w:next w:val="Normal"/>
    <w:autoRedefine/>
    <w:uiPriority w:val="39"/>
    <w:semiHidden/>
    <w:unhideWhenUsed/>
    <w:rsid w:val="00B60CF6"/>
    <w:pPr>
      <w:tabs>
        <w:tab w:val="clear" w:pos="567"/>
      </w:tabs>
      <w:spacing w:after="100"/>
      <w:ind w:left="720"/>
    </w:pPr>
  </w:style>
  <w:style w:type="paragraph" w:styleId="TOC5">
    <w:name w:val="toc 5"/>
    <w:basedOn w:val="Normal"/>
    <w:next w:val="Normal"/>
    <w:autoRedefine/>
    <w:uiPriority w:val="39"/>
    <w:semiHidden/>
    <w:unhideWhenUsed/>
    <w:rsid w:val="00B60CF6"/>
    <w:pPr>
      <w:tabs>
        <w:tab w:val="clear" w:pos="567"/>
      </w:tabs>
      <w:spacing w:after="100"/>
      <w:ind w:left="960"/>
    </w:pPr>
  </w:style>
  <w:style w:type="paragraph" w:styleId="TOC6">
    <w:name w:val="toc 6"/>
    <w:basedOn w:val="Normal"/>
    <w:next w:val="Normal"/>
    <w:autoRedefine/>
    <w:uiPriority w:val="39"/>
    <w:semiHidden/>
    <w:unhideWhenUsed/>
    <w:rsid w:val="00B60CF6"/>
    <w:pPr>
      <w:tabs>
        <w:tab w:val="clear" w:pos="567"/>
      </w:tabs>
      <w:spacing w:after="100"/>
      <w:ind w:left="1200"/>
    </w:pPr>
  </w:style>
  <w:style w:type="paragraph" w:styleId="TOC7">
    <w:name w:val="toc 7"/>
    <w:basedOn w:val="Normal"/>
    <w:next w:val="Normal"/>
    <w:autoRedefine/>
    <w:uiPriority w:val="39"/>
    <w:semiHidden/>
    <w:unhideWhenUsed/>
    <w:rsid w:val="00B60CF6"/>
    <w:pPr>
      <w:tabs>
        <w:tab w:val="clear" w:pos="567"/>
      </w:tabs>
      <w:spacing w:after="100"/>
      <w:ind w:left="1440"/>
    </w:pPr>
  </w:style>
  <w:style w:type="paragraph" w:styleId="TOC8">
    <w:name w:val="toc 8"/>
    <w:basedOn w:val="Normal"/>
    <w:next w:val="Normal"/>
    <w:autoRedefine/>
    <w:uiPriority w:val="39"/>
    <w:semiHidden/>
    <w:unhideWhenUsed/>
    <w:rsid w:val="00B60CF6"/>
    <w:pPr>
      <w:tabs>
        <w:tab w:val="clear" w:pos="567"/>
      </w:tabs>
      <w:spacing w:after="100"/>
      <w:ind w:left="1680"/>
    </w:pPr>
  </w:style>
  <w:style w:type="paragraph" w:styleId="TOC9">
    <w:name w:val="toc 9"/>
    <w:basedOn w:val="Normal"/>
    <w:next w:val="Normal"/>
    <w:autoRedefine/>
    <w:uiPriority w:val="39"/>
    <w:semiHidden/>
    <w:unhideWhenUsed/>
    <w:rsid w:val="00B60CF6"/>
    <w:pPr>
      <w:tabs>
        <w:tab w:val="clear" w:pos="567"/>
      </w:tabs>
      <w:spacing w:after="100"/>
      <w:ind w:left="1920"/>
    </w:pPr>
  </w:style>
  <w:style w:type="paragraph" w:styleId="TOCHeading">
    <w:name w:val="TOC Heading"/>
    <w:basedOn w:val="Heading1"/>
    <w:next w:val="Normal"/>
    <w:uiPriority w:val="39"/>
    <w:unhideWhenUsed/>
    <w:qFormat/>
    <w:rsid w:val="00B60CF6"/>
    <w:pPr>
      <w:keepLines/>
      <w:widowControl/>
      <w:pBdr>
        <w:bottom w:val="none" w:sz="0" w:space="0" w:color="auto"/>
      </w:pBdr>
      <w:tabs>
        <w:tab w:val="clear" w:pos="567"/>
      </w:tabs>
      <w:spacing w:before="480" w:line="276" w:lineRule="auto"/>
      <w:outlineLvl w:val="9"/>
    </w:pPr>
    <w:rPr>
      <w:rFonts w:asciiTheme="majorHAnsi" w:hAnsiTheme="majorHAnsi"/>
      <w:caps w:val="0"/>
      <w:color w:val="365F91" w:themeColor="accent1" w:themeShade="BF"/>
      <w:sz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9" w:unhideWhenUsed="0"/>
    <w:lsdException w:name="heading 9"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26FCD"/>
    <w:pPr>
      <w:tabs>
        <w:tab w:val="left" w:pos="567"/>
      </w:tabs>
    </w:pPr>
    <w:rPr>
      <w:sz w:val="24"/>
    </w:rPr>
  </w:style>
  <w:style w:type="paragraph" w:styleId="Heading1">
    <w:name w:val="heading 1"/>
    <w:basedOn w:val="Normal"/>
    <w:next w:val="Heading2"/>
    <w:link w:val="Heading1Char"/>
    <w:qFormat/>
    <w:rsid w:val="00526FCD"/>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526FCD"/>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526FCD"/>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526FCD"/>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526FC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526FCD"/>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526FC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26FCD"/>
    <w:rPr>
      <w:rFonts w:eastAsiaTheme="majorEastAsia" w:cstheme="majorBidi"/>
      <w:b/>
      <w:i/>
      <w:iCs/>
      <w:color w:val="2C8558"/>
      <w:sz w:val="28"/>
    </w:rPr>
  </w:style>
  <w:style w:type="character" w:customStyle="1" w:styleId="Heading1Char">
    <w:name w:val="Heading 1 Char"/>
    <w:basedOn w:val="DefaultParagraphFont"/>
    <w:link w:val="Heading1"/>
    <w:rsid w:val="00526FCD"/>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526FCD"/>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526FCD"/>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526FCD"/>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526FCD"/>
    <w:rPr>
      <w:rFonts w:eastAsiaTheme="majorEastAsia" w:cstheme="majorBidi"/>
      <w:b/>
      <w:bCs/>
      <w:iCs/>
      <w:color w:val="2C8558"/>
      <w:sz w:val="32"/>
    </w:rPr>
  </w:style>
  <w:style w:type="character" w:customStyle="1" w:styleId="Heading5Char">
    <w:name w:val="Heading 5 Char"/>
    <w:basedOn w:val="DefaultParagraphFont"/>
    <w:link w:val="Heading5"/>
    <w:uiPriority w:val="9"/>
    <w:rsid w:val="00526FCD"/>
    <w:rPr>
      <w:rFonts w:eastAsiaTheme="majorEastAsia" w:cstheme="majorBidi"/>
      <w:b/>
      <w:i/>
      <w:color w:val="2C8558"/>
      <w:sz w:val="28"/>
    </w:rPr>
  </w:style>
  <w:style w:type="paragraph" w:customStyle="1" w:styleId="CGCBulletlist">
    <w:name w:val="CGC Bullet list"/>
    <w:aliases w:val="CGC List 1"/>
    <w:basedOn w:val="Normal"/>
    <w:link w:val="CGCBulletlistCharChar"/>
    <w:qFormat/>
    <w:rsid w:val="001E7B72"/>
    <w:pPr>
      <w:numPr>
        <w:numId w:val="19"/>
      </w:numPr>
      <w:tabs>
        <w:tab w:val="clear" w:pos="567"/>
      </w:tabs>
      <w:spacing w:before="80" w:line="300" w:lineRule="atLeast"/>
    </w:pPr>
    <w:rPr>
      <w:szCs w:val="20"/>
    </w:rPr>
  </w:style>
  <w:style w:type="paragraph" w:customStyle="1" w:styleId="CGCNumberedPara">
    <w:name w:val="CGC Numbered Para"/>
    <w:aliases w:val="CGC Para No"/>
    <w:basedOn w:val="Normal"/>
    <w:link w:val="CGCParaNoChar"/>
    <w:qFormat/>
    <w:rsid w:val="00526FCD"/>
    <w:pPr>
      <w:numPr>
        <w:ilvl w:val="1"/>
        <w:numId w:val="20"/>
      </w:numPr>
      <w:spacing w:before="120"/>
    </w:pPr>
    <w:rPr>
      <w:szCs w:val="24"/>
    </w:rPr>
  </w:style>
  <w:style w:type="paragraph" w:customStyle="1" w:styleId="CGCTableFootnote">
    <w:name w:val="CGC Table Footnote"/>
    <w:basedOn w:val="CGCNumberedPara"/>
    <w:next w:val="NoSpacing"/>
    <w:link w:val="CGCTableFootnoteChar"/>
    <w:qFormat/>
    <w:rsid w:val="00526FCD"/>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526FCD"/>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526FCD"/>
  </w:style>
  <w:style w:type="character" w:customStyle="1" w:styleId="DataCaptionChar">
    <w:name w:val="Data Caption Char"/>
    <w:basedOn w:val="DefaultParagraphFont"/>
    <w:link w:val="CGCDataCaption"/>
    <w:rsid w:val="00526FCD"/>
    <w:rPr>
      <w:sz w:val="20"/>
      <w:szCs w:val="24"/>
    </w:rPr>
  </w:style>
  <w:style w:type="paragraph" w:customStyle="1" w:styleId="CGCNumeralList">
    <w:name w:val="CGC Numeral List"/>
    <w:aliases w:val="CGC List 3"/>
    <w:basedOn w:val="Normal"/>
    <w:qFormat/>
    <w:rsid w:val="00526FCD"/>
    <w:pPr>
      <w:numPr>
        <w:numId w:val="21"/>
      </w:numPr>
      <w:tabs>
        <w:tab w:val="clear" w:pos="567"/>
      </w:tabs>
      <w:spacing w:line="300" w:lineRule="atLeast"/>
    </w:pPr>
    <w:rPr>
      <w:szCs w:val="20"/>
    </w:rPr>
  </w:style>
  <w:style w:type="paragraph" w:customStyle="1" w:styleId="CGCQuotation">
    <w:name w:val="CGC Quotation"/>
    <w:basedOn w:val="Normal"/>
    <w:next w:val="CGCNumberedPara"/>
    <w:rsid w:val="00526FCD"/>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1E7B72"/>
    <w:pPr>
      <w:numPr>
        <w:numId w:val="22"/>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526FCD"/>
    <w:pPr>
      <w:numPr>
        <w:numId w:val="23"/>
      </w:numPr>
      <w:ind w:right="1134"/>
    </w:pPr>
    <w:rPr>
      <w:sz w:val="22"/>
    </w:rPr>
  </w:style>
  <w:style w:type="paragraph" w:customStyle="1" w:styleId="CGCTableHeading">
    <w:name w:val="CGC Table Heading"/>
    <w:basedOn w:val="Normal"/>
    <w:next w:val="Normal"/>
    <w:qFormat/>
    <w:rsid w:val="00526FCD"/>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link w:val="CGCTableStubChar"/>
    <w:qFormat/>
    <w:rsid w:val="00526FCD"/>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526FCD"/>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526FCD"/>
    <w:rPr>
      <w:sz w:val="24"/>
    </w:rPr>
  </w:style>
  <w:style w:type="paragraph" w:styleId="Footer">
    <w:name w:val="footer"/>
    <w:basedOn w:val="Normal"/>
    <w:link w:val="FooterChar"/>
    <w:uiPriority w:val="99"/>
    <w:unhideWhenUsed/>
    <w:rsid w:val="00526FC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526FCD"/>
    <w:rPr>
      <w:sz w:val="24"/>
    </w:rPr>
  </w:style>
  <w:style w:type="paragraph" w:styleId="BalloonText">
    <w:name w:val="Balloon Text"/>
    <w:basedOn w:val="Normal"/>
    <w:link w:val="BalloonTextChar"/>
    <w:uiPriority w:val="99"/>
    <w:semiHidden/>
    <w:unhideWhenUsed/>
    <w:rsid w:val="0052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FCD"/>
    <w:rPr>
      <w:rFonts w:ascii="Tahoma" w:hAnsi="Tahoma" w:cs="Tahoma"/>
      <w:sz w:val="16"/>
      <w:szCs w:val="16"/>
    </w:rPr>
  </w:style>
  <w:style w:type="paragraph" w:styleId="ListParagraph">
    <w:name w:val="List Paragraph"/>
    <w:basedOn w:val="Normal"/>
    <w:uiPriority w:val="34"/>
    <w:qFormat/>
    <w:rsid w:val="00526FCD"/>
    <w:pPr>
      <w:tabs>
        <w:tab w:val="clear" w:pos="567"/>
      </w:tabs>
      <w:spacing w:line="300" w:lineRule="atLeast"/>
      <w:ind w:left="1134"/>
    </w:pPr>
    <w:rPr>
      <w:szCs w:val="24"/>
    </w:rPr>
  </w:style>
  <w:style w:type="character" w:styleId="Hyperlink">
    <w:name w:val="Hyperlink"/>
    <w:basedOn w:val="DefaultParagraphFont"/>
    <w:rsid w:val="007710CD"/>
    <w:rPr>
      <w:color w:val="0000FF"/>
      <w:u w:val="single"/>
    </w:rPr>
  </w:style>
  <w:style w:type="paragraph" w:styleId="Caption">
    <w:name w:val="caption"/>
    <w:basedOn w:val="Normal"/>
    <w:next w:val="Normal"/>
    <w:link w:val="CaptionChar"/>
    <w:qFormat/>
    <w:rsid w:val="00526FCD"/>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26FCD"/>
    <w:rPr>
      <w:b/>
      <w:bCs/>
      <w:sz w:val="24"/>
      <w:szCs w:val="20"/>
    </w:rPr>
  </w:style>
  <w:style w:type="paragraph" w:styleId="FootnoteText">
    <w:name w:val="footnote text"/>
    <w:basedOn w:val="Normal"/>
    <w:link w:val="FootnoteTextChar"/>
    <w:rsid w:val="00526FCD"/>
    <w:pPr>
      <w:spacing w:after="0" w:line="240" w:lineRule="auto"/>
      <w:ind w:left="567" w:hanging="567"/>
    </w:pPr>
    <w:rPr>
      <w:sz w:val="20"/>
      <w:szCs w:val="20"/>
    </w:rPr>
  </w:style>
  <w:style w:type="character" w:customStyle="1" w:styleId="FootnoteTextChar">
    <w:name w:val="Footnote Text Char"/>
    <w:basedOn w:val="DefaultParagraphFont"/>
    <w:link w:val="FootnoteText"/>
    <w:rsid w:val="00526FCD"/>
    <w:rPr>
      <w:sz w:val="20"/>
      <w:szCs w:val="20"/>
    </w:rPr>
  </w:style>
  <w:style w:type="table" w:styleId="TableGrid">
    <w:name w:val="Table Grid"/>
    <w:basedOn w:val="TableNormal"/>
    <w:uiPriority w:val="59"/>
    <w:rsid w:val="0052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14D"/>
    <w:rPr>
      <w:color w:val="800080" w:themeColor="followedHyperlink"/>
      <w:u w:val="single"/>
    </w:rPr>
  </w:style>
  <w:style w:type="paragraph" w:styleId="TOC1">
    <w:name w:val="toc 1"/>
    <w:basedOn w:val="Normal"/>
    <w:next w:val="Normal"/>
    <w:autoRedefine/>
    <w:uiPriority w:val="39"/>
    <w:unhideWhenUsed/>
    <w:rsid w:val="00962852"/>
    <w:pPr>
      <w:tabs>
        <w:tab w:val="clear" w:pos="567"/>
      </w:tabs>
      <w:spacing w:after="100"/>
    </w:pPr>
  </w:style>
  <w:style w:type="paragraph" w:styleId="TOC2">
    <w:name w:val="toc 2"/>
    <w:basedOn w:val="Normal"/>
    <w:next w:val="Normal"/>
    <w:autoRedefine/>
    <w:uiPriority w:val="39"/>
    <w:unhideWhenUsed/>
    <w:rsid w:val="00914585"/>
    <w:pPr>
      <w:tabs>
        <w:tab w:val="clear" w:pos="567"/>
        <w:tab w:val="right" w:pos="8941"/>
      </w:tabs>
      <w:spacing w:after="100"/>
      <w:ind w:left="284"/>
    </w:pPr>
  </w:style>
  <w:style w:type="paragraph" w:styleId="TOC3">
    <w:name w:val="toc 3"/>
    <w:basedOn w:val="Normal"/>
    <w:next w:val="Normal"/>
    <w:autoRedefine/>
    <w:uiPriority w:val="39"/>
    <w:unhideWhenUsed/>
    <w:rsid w:val="00B60CF6"/>
    <w:pPr>
      <w:tabs>
        <w:tab w:val="clear" w:pos="567"/>
        <w:tab w:val="right" w:pos="8941"/>
      </w:tabs>
      <w:spacing w:after="100"/>
    </w:pPr>
  </w:style>
  <w:style w:type="character" w:customStyle="1" w:styleId="CGCParaNoChar">
    <w:name w:val="CGC Para No Char"/>
    <w:aliases w:val="CGC Numbered Para Char"/>
    <w:basedOn w:val="DefaultParagraphFont"/>
    <w:link w:val="CGCNumberedPara"/>
    <w:rsid w:val="00F96193"/>
    <w:rPr>
      <w:sz w:val="24"/>
      <w:szCs w:val="24"/>
    </w:rPr>
  </w:style>
  <w:style w:type="paragraph" w:customStyle="1" w:styleId="TableRowNormal">
    <w:name w:val="TableRowNormal"/>
    <w:basedOn w:val="Normal"/>
    <w:rsid w:val="00E54F93"/>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Single">
    <w:name w:val="Single"/>
    <w:basedOn w:val="Normal"/>
    <w:next w:val="CGCNumberedPara"/>
    <w:rsid w:val="00E54F93"/>
    <w:pPr>
      <w:spacing w:after="0" w:line="240" w:lineRule="auto"/>
    </w:pPr>
  </w:style>
  <w:style w:type="paragraph" w:customStyle="1" w:styleId="TableColHeadings">
    <w:name w:val="TableColHeadings"/>
    <w:basedOn w:val="Normal"/>
    <w:rsid w:val="00E54F93"/>
    <w:pPr>
      <w:keepNext/>
      <w:keepLines/>
      <w:tabs>
        <w:tab w:val="left" w:pos="475"/>
        <w:tab w:val="left" w:pos="1440"/>
        <w:tab w:val="left" w:pos="2160"/>
        <w:tab w:val="left" w:pos="2880"/>
      </w:tabs>
      <w:spacing w:before="60" w:after="60" w:line="240" w:lineRule="auto"/>
      <w:jc w:val="right"/>
    </w:pPr>
    <w:rPr>
      <w:sz w:val="20"/>
      <w:szCs w:val="20"/>
    </w:rPr>
  </w:style>
  <w:style w:type="character" w:customStyle="1" w:styleId="CGCBulletlistCharChar">
    <w:name w:val="CGC Bullet list Char Char"/>
    <w:basedOn w:val="DefaultParagraphFont"/>
    <w:link w:val="CGCBulletlist"/>
    <w:rsid w:val="00E54F93"/>
    <w:rPr>
      <w:sz w:val="24"/>
      <w:szCs w:val="20"/>
    </w:rPr>
  </w:style>
  <w:style w:type="character" w:styleId="FootnoteReference">
    <w:name w:val="footnote reference"/>
    <w:basedOn w:val="DefaultParagraphFont"/>
    <w:unhideWhenUsed/>
    <w:rsid w:val="00CF1EB5"/>
    <w:rPr>
      <w:vertAlign w:val="superscript"/>
    </w:rPr>
  </w:style>
  <w:style w:type="character" w:customStyle="1" w:styleId="CGCTableFootnoteChar">
    <w:name w:val="CGC Table Footnote Char"/>
    <w:basedOn w:val="DefaultParagraphFont"/>
    <w:link w:val="CGCTableFootnote"/>
    <w:rsid w:val="00CF1EB5"/>
    <w:rPr>
      <w:sz w:val="20"/>
      <w:szCs w:val="24"/>
    </w:rPr>
  </w:style>
  <w:style w:type="character" w:customStyle="1" w:styleId="CGCTableStubChar">
    <w:name w:val="CGC Table Stub Char"/>
    <w:basedOn w:val="DefaultParagraphFont"/>
    <w:link w:val="CGCTableStub"/>
    <w:rsid w:val="007309F4"/>
    <w:rPr>
      <w:sz w:val="20"/>
      <w:szCs w:val="20"/>
    </w:rPr>
  </w:style>
  <w:style w:type="character" w:customStyle="1" w:styleId="NoSpacingChar">
    <w:name w:val="No Spacing Char"/>
    <w:basedOn w:val="DefaultParagraphFont"/>
    <w:link w:val="NoSpacing"/>
    <w:uiPriority w:val="1"/>
    <w:rsid w:val="002A0B10"/>
    <w:rPr>
      <w:sz w:val="24"/>
    </w:rPr>
  </w:style>
  <w:style w:type="paragraph" w:styleId="TOC4">
    <w:name w:val="toc 4"/>
    <w:basedOn w:val="Normal"/>
    <w:next w:val="Normal"/>
    <w:autoRedefine/>
    <w:uiPriority w:val="39"/>
    <w:semiHidden/>
    <w:unhideWhenUsed/>
    <w:rsid w:val="00B60CF6"/>
    <w:pPr>
      <w:tabs>
        <w:tab w:val="clear" w:pos="567"/>
      </w:tabs>
      <w:spacing w:after="100"/>
      <w:ind w:left="720"/>
    </w:pPr>
  </w:style>
  <w:style w:type="paragraph" w:styleId="TOC5">
    <w:name w:val="toc 5"/>
    <w:basedOn w:val="Normal"/>
    <w:next w:val="Normal"/>
    <w:autoRedefine/>
    <w:uiPriority w:val="39"/>
    <w:semiHidden/>
    <w:unhideWhenUsed/>
    <w:rsid w:val="00B60CF6"/>
    <w:pPr>
      <w:tabs>
        <w:tab w:val="clear" w:pos="567"/>
      </w:tabs>
      <w:spacing w:after="100"/>
      <w:ind w:left="960"/>
    </w:pPr>
  </w:style>
  <w:style w:type="paragraph" w:styleId="TOC6">
    <w:name w:val="toc 6"/>
    <w:basedOn w:val="Normal"/>
    <w:next w:val="Normal"/>
    <w:autoRedefine/>
    <w:uiPriority w:val="39"/>
    <w:semiHidden/>
    <w:unhideWhenUsed/>
    <w:rsid w:val="00B60CF6"/>
    <w:pPr>
      <w:tabs>
        <w:tab w:val="clear" w:pos="567"/>
      </w:tabs>
      <w:spacing w:after="100"/>
      <w:ind w:left="1200"/>
    </w:pPr>
  </w:style>
  <w:style w:type="paragraph" w:styleId="TOC7">
    <w:name w:val="toc 7"/>
    <w:basedOn w:val="Normal"/>
    <w:next w:val="Normal"/>
    <w:autoRedefine/>
    <w:uiPriority w:val="39"/>
    <w:semiHidden/>
    <w:unhideWhenUsed/>
    <w:rsid w:val="00B60CF6"/>
    <w:pPr>
      <w:tabs>
        <w:tab w:val="clear" w:pos="567"/>
      </w:tabs>
      <w:spacing w:after="100"/>
      <w:ind w:left="1440"/>
    </w:pPr>
  </w:style>
  <w:style w:type="paragraph" w:styleId="TOC8">
    <w:name w:val="toc 8"/>
    <w:basedOn w:val="Normal"/>
    <w:next w:val="Normal"/>
    <w:autoRedefine/>
    <w:uiPriority w:val="39"/>
    <w:semiHidden/>
    <w:unhideWhenUsed/>
    <w:rsid w:val="00B60CF6"/>
    <w:pPr>
      <w:tabs>
        <w:tab w:val="clear" w:pos="567"/>
      </w:tabs>
      <w:spacing w:after="100"/>
      <w:ind w:left="1680"/>
    </w:pPr>
  </w:style>
  <w:style w:type="paragraph" w:styleId="TOC9">
    <w:name w:val="toc 9"/>
    <w:basedOn w:val="Normal"/>
    <w:next w:val="Normal"/>
    <w:autoRedefine/>
    <w:uiPriority w:val="39"/>
    <w:semiHidden/>
    <w:unhideWhenUsed/>
    <w:rsid w:val="00B60CF6"/>
    <w:pPr>
      <w:tabs>
        <w:tab w:val="clear" w:pos="567"/>
      </w:tabs>
      <w:spacing w:after="100"/>
      <w:ind w:left="1920"/>
    </w:pPr>
  </w:style>
  <w:style w:type="paragraph" w:styleId="TOCHeading">
    <w:name w:val="TOC Heading"/>
    <w:basedOn w:val="Heading1"/>
    <w:next w:val="Normal"/>
    <w:uiPriority w:val="39"/>
    <w:unhideWhenUsed/>
    <w:qFormat/>
    <w:rsid w:val="00B60CF6"/>
    <w:pPr>
      <w:keepLines/>
      <w:widowControl/>
      <w:pBdr>
        <w:bottom w:val="none" w:sz="0" w:space="0" w:color="auto"/>
      </w:pBdr>
      <w:tabs>
        <w:tab w:val="clear" w:pos="567"/>
      </w:tabs>
      <w:spacing w:before="480" w:line="276" w:lineRule="auto"/>
      <w:outlineLvl w:val="9"/>
    </w:pPr>
    <w:rPr>
      <w:rFonts w:asciiTheme="majorHAnsi" w:hAnsiTheme="majorHAnsi"/>
      <w:caps w:val="0"/>
      <w:color w:val="365F91" w:themeColor="accent1" w:themeShade="BF"/>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9978">
      <w:bodyDiv w:val="1"/>
      <w:marLeft w:val="0"/>
      <w:marRight w:val="0"/>
      <w:marTop w:val="0"/>
      <w:marBottom w:val="0"/>
      <w:divBdr>
        <w:top w:val="none" w:sz="0" w:space="0" w:color="auto"/>
        <w:left w:val="none" w:sz="0" w:space="0" w:color="auto"/>
        <w:bottom w:val="none" w:sz="0" w:space="0" w:color="auto"/>
        <w:right w:val="none" w:sz="0" w:space="0" w:color="auto"/>
      </w:divBdr>
    </w:div>
    <w:div w:id="948201214">
      <w:bodyDiv w:val="1"/>
      <w:marLeft w:val="0"/>
      <w:marRight w:val="0"/>
      <w:marTop w:val="0"/>
      <w:marBottom w:val="0"/>
      <w:divBdr>
        <w:top w:val="none" w:sz="0" w:space="0" w:color="auto"/>
        <w:left w:val="none" w:sz="0" w:space="0" w:color="auto"/>
        <w:bottom w:val="none" w:sz="0" w:space="0" w:color="auto"/>
        <w:right w:val="none" w:sz="0" w:space="0" w:color="auto"/>
      </w:divBdr>
    </w:div>
    <w:div w:id="1004628571">
      <w:bodyDiv w:val="1"/>
      <w:marLeft w:val="0"/>
      <w:marRight w:val="0"/>
      <w:marTop w:val="0"/>
      <w:marBottom w:val="0"/>
      <w:divBdr>
        <w:top w:val="none" w:sz="0" w:space="0" w:color="auto"/>
        <w:left w:val="none" w:sz="0" w:space="0" w:color="auto"/>
        <w:bottom w:val="none" w:sz="0" w:space="0" w:color="auto"/>
        <w:right w:val="none" w:sz="0" w:space="0" w:color="auto"/>
      </w:divBdr>
    </w:div>
    <w:div w:id="1520970285">
      <w:bodyDiv w:val="1"/>
      <w:marLeft w:val="0"/>
      <w:marRight w:val="0"/>
      <w:marTop w:val="0"/>
      <w:marBottom w:val="0"/>
      <w:divBdr>
        <w:top w:val="none" w:sz="0" w:space="0" w:color="auto"/>
        <w:left w:val="none" w:sz="0" w:space="0" w:color="auto"/>
        <w:bottom w:val="none" w:sz="0" w:space="0" w:color="auto"/>
        <w:right w:val="none" w:sz="0" w:space="0" w:color="auto"/>
      </w:divBdr>
    </w:div>
    <w:div w:id="1654289436">
      <w:bodyDiv w:val="1"/>
      <w:marLeft w:val="0"/>
      <w:marRight w:val="0"/>
      <w:marTop w:val="0"/>
      <w:marBottom w:val="0"/>
      <w:divBdr>
        <w:top w:val="none" w:sz="0" w:space="0" w:color="auto"/>
        <w:left w:val="none" w:sz="0" w:space="0" w:color="auto"/>
        <w:bottom w:val="none" w:sz="0" w:space="0" w:color="auto"/>
        <w:right w:val="none" w:sz="0" w:space="0" w:color="auto"/>
      </w:divBdr>
    </w:div>
    <w:div w:id="20304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secretary@cg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ativecommons.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gc.gov.au/index.php?option=com_attachments&amp;task=download&amp;id=2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4F53-1525-46B4-AC6A-9BE7C56E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127</TotalTime>
  <Pages>14</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2014-12-01T05:53:00Z</cp:lastPrinted>
  <dcterms:created xsi:type="dcterms:W3CDTF">2014-11-26T21:22:00Z</dcterms:created>
  <dcterms:modified xsi:type="dcterms:W3CDTF">2014-12-01T05:53:00Z</dcterms:modified>
</cp:coreProperties>
</file>