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061" w:rsidRDefault="00C00061" w:rsidP="00C00061">
      <w:pPr>
        <w:pStyle w:val="Heading1"/>
      </w:pPr>
      <w:bookmarkStart w:id="0" w:name="_Toc106707122"/>
      <w:bookmarkStart w:id="1" w:name="_Toc155675722"/>
      <w:bookmarkStart w:id="2" w:name="_Toc155675934"/>
      <w:bookmarkStart w:id="3" w:name="_Toc155675975"/>
      <w:bookmarkStart w:id="4" w:name="_Toc155676245"/>
      <w:bookmarkStart w:id="5" w:name="_Toc174415768"/>
      <w:bookmarkStart w:id="6" w:name="_Toc405559292"/>
      <w:bookmarkStart w:id="7" w:name="_Toc405559328"/>
      <w:bookmarkStart w:id="8" w:name="_Toc405559410"/>
      <w:bookmarkStart w:id="9" w:name="_Toc405559478"/>
      <w:bookmarkStart w:id="10" w:name="_Toc406659086"/>
      <w:bookmarkStart w:id="11" w:name="_Toc406659144"/>
      <w:bookmarkStart w:id="12" w:name="_Toc406659207"/>
      <w:bookmarkStart w:id="13" w:name="_Toc106707725"/>
      <w:bookmarkStart w:id="14" w:name="_Toc155675935"/>
      <w:bookmarkStart w:id="15" w:name="_Toc174415770"/>
      <w:bookmarkStart w:id="16" w:name="_Toc174415844"/>
      <w:bookmarkStart w:id="17" w:name="_Toc174415935"/>
      <w:bookmarkStart w:id="18" w:name="_Toc174416620"/>
      <w:bookmarkStart w:id="19" w:name="_Toc174416662"/>
      <w:bookmarkStart w:id="20" w:name="_Toc174416675"/>
      <w:bookmarkStart w:id="21" w:name="_GoBack"/>
      <w:bookmarkEnd w:id="21"/>
      <w:r>
        <w:t>Health substitutability</w:t>
      </w:r>
    </w:p>
    <w:p w:rsidR="00D1280C" w:rsidRPr="003E6BBA" w:rsidRDefault="00D1280C" w:rsidP="00D1280C">
      <w:pPr>
        <w:pStyle w:val="Heading1"/>
      </w:pPr>
      <w:r w:rsidRPr="003E6BBA">
        <w:t>C</w:t>
      </w:r>
      <w:r w:rsidR="00466F2D" w:rsidRPr="003E6BBA">
        <w:t>ontents</w:t>
      </w:r>
      <w:bookmarkEnd w:id="0"/>
      <w:bookmarkEnd w:id="1"/>
      <w:bookmarkEnd w:id="2"/>
      <w:bookmarkEnd w:id="3"/>
      <w:bookmarkEnd w:id="4"/>
      <w:bookmarkEnd w:id="5"/>
      <w:bookmarkEnd w:id="6"/>
      <w:bookmarkEnd w:id="7"/>
      <w:bookmarkEnd w:id="8"/>
      <w:bookmarkEnd w:id="9"/>
      <w:bookmarkEnd w:id="10"/>
      <w:bookmarkEnd w:id="11"/>
      <w:bookmarkEnd w:id="12"/>
    </w:p>
    <w:sdt>
      <w:sdtPr>
        <w:rPr>
          <w:b/>
          <w:bCs/>
        </w:rPr>
        <w:id w:val="-1737536165"/>
        <w:docPartObj>
          <w:docPartGallery w:val="Table of Contents"/>
          <w:docPartUnique/>
        </w:docPartObj>
      </w:sdtPr>
      <w:sdtEndPr>
        <w:rPr>
          <w:b w:val="0"/>
          <w:bCs w:val="0"/>
          <w:noProof/>
        </w:rPr>
      </w:sdtEndPr>
      <w:sdtContent>
        <w:p w:rsidR="00830CB4" w:rsidRDefault="00CA5421" w:rsidP="00830CB4">
          <w:pPr>
            <w:pStyle w:val="TOC1"/>
            <w:tabs>
              <w:tab w:val="right" w:pos="8948"/>
            </w:tabs>
            <w:rPr>
              <w:rFonts w:eastAsiaTheme="minorEastAsia"/>
              <w:noProof/>
              <w:sz w:val="22"/>
              <w:lang w:eastAsia="en-AU"/>
            </w:rPr>
          </w:pPr>
          <w:r w:rsidRPr="003E6BBA">
            <w:rPr>
              <w:b/>
              <w:bCs/>
            </w:rPr>
            <w:fldChar w:fldCharType="begin"/>
          </w:r>
          <w:r w:rsidRPr="003E6BBA">
            <w:rPr>
              <w:b/>
              <w:bCs/>
            </w:rPr>
            <w:instrText xml:space="preserve"> TOC \o "1-1" \f \h \z \u \t "Heading 2,1,Heading 3,2,Heading 4,3" </w:instrText>
          </w:r>
          <w:r w:rsidRPr="003E6BBA">
            <w:rPr>
              <w:b/>
              <w:bCs/>
            </w:rPr>
            <w:fldChar w:fldCharType="separate"/>
          </w:r>
          <w:hyperlink w:anchor="_Toc406659208" w:history="1">
            <w:r w:rsidR="00830CB4" w:rsidRPr="003C10B0">
              <w:rPr>
                <w:rStyle w:val="Hyperlink"/>
                <w:noProof/>
              </w:rPr>
              <w:t>Background</w:t>
            </w:r>
            <w:r w:rsidR="00830CB4">
              <w:rPr>
                <w:noProof/>
                <w:webHidden/>
              </w:rPr>
              <w:tab/>
            </w:r>
            <w:r w:rsidR="00830CB4">
              <w:rPr>
                <w:noProof/>
                <w:webHidden/>
              </w:rPr>
              <w:fldChar w:fldCharType="begin"/>
            </w:r>
            <w:r w:rsidR="00830CB4">
              <w:rPr>
                <w:noProof/>
                <w:webHidden/>
              </w:rPr>
              <w:instrText xml:space="preserve"> PAGEREF _Toc406659208 \h </w:instrText>
            </w:r>
            <w:r w:rsidR="00830CB4">
              <w:rPr>
                <w:noProof/>
                <w:webHidden/>
              </w:rPr>
            </w:r>
            <w:r w:rsidR="00830CB4">
              <w:rPr>
                <w:noProof/>
                <w:webHidden/>
              </w:rPr>
              <w:fldChar w:fldCharType="separate"/>
            </w:r>
            <w:r w:rsidR="00DC6FC3">
              <w:rPr>
                <w:noProof/>
                <w:webHidden/>
              </w:rPr>
              <w:t>2</w:t>
            </w:r>
            <w:r w:rsidR="00830CB4">
              <w:rPr>
                <w:noProof/>
                <w:webHidden/>
              </w:rPr>
              <w:fldChar w:fldCharType="end"/>
            </w:r>
          </w:hyperlink>
        </w:p>
        <w:p w:rsidR="00830CB4" w:rsidRDefault="00DC6FC3" w:rsidP="00830CB4">
          <w:pPr>
            <w:pStyle w:val="TOC2"/>
            <w:tabs>
              <w:tab w:val="right" w:pos="8948"/>
            </w:tabs>
            <w:ind w:left="0"/>
            <w:rPr>
              <w:rFonts w:eastAsiaTheme="minorEastAsia"/>
              <w:noProof/>
              <w:sz w:val="22"/>
              <w:lang w:eastAsia="en-AU"/>
            </w:rPr>
          </w:pPr>
          <w:hyperlink w:anchor="_Toc406659209" w:history="1">
            <w:r w:rsidR="00830CB4" w:rsidRPr="003C10B0">
              <w:rPr>
                <w:rStyle w:val="Hyperlink"/>
                <w:noProof/>
              </w:rPr>
              <w:t>Emergency departments</w:t>
            </w:r>
            <w:r w:rsidR="00830CB4">
              <w:rPr>
                <w:noProof/>
                <w:webHidden/>
              </w:rPr>
              <w:tab/>
            </w:r>
            <w:r w:rsidR="00830CB4">
              <w:rPr>
                <w:noProof/>
                <w:webHidden/>
              </w:rPr>
              <w:fldChar w:fldCharType="begin"/>
            </w:r>
            <w:r w:rsidR="00830CB4">
              <w:rPr>
                <w:noProof/>
                <w:webHidden/>
              </w:rPr>
              <w:instrText xml:space="preserve"> PAGEREF _Toc406659209 \h </w:instrText>
            </w:r>
            <w:r w:rsidR="00830CB4">
              <w:rPr>
                <w:noProof/>
                <w:webHidden/>
              </w:rPr>
            </w:r>
            <w:r w:rsidR="00830CB4">
              <w:rPr>
                <w:noProof/>
                <w:webHidden/>
              </w:rPr>
              <w:fldChar w:fldCharType="separate"/>
            </w:r>
            <w:r>
              <w:rPr>
                <w:noProof/>
                <w:webHidden/>
              </w:rPr>
              <w:t>3</w:t>
            </w:r>
            <w:r w:rsidR="00830CB4">
              <w:rPr>
                <w:noProof/>
                <w:webHidden/>
              </w:rPr>
              <w:fldChar w:fldCharType="end"/>
            </w:r>
          </w:hyperlink>
        </w:p>
        <w:p w:rsidR="00830CB4" w:rsidRDefault="00DC6FC3" w:rsidP="00830CB4">
          <w:pPr>
            <w:pStyle w:val="TOC2"/>
            <w:tabs>
              <w:tab w:val="right" w:pos="8948"/>
            </w:tabs>
            <w:ind w:left="0"/>
            <w:rPr>
              <w:rFonts w:eastAsiaTheme="minorEastAsia"/>
              <w:noProof/>
              <w:sz w:val="22"/>
              <w:lang w:eastAsia="en-AU"/>
            </w:rPr>
          </w:pPr>
          <w:hyperlink w:anchor="_Toc406659214" w:history="1">
            <w:r w:rsidR="00830CB4" w:rsidRPr="003C10B0">
              <w:rPr>
                <w:rStyle w:val="Hyperlink"/>
                <w:noProof/>
              </w:rPr>
              <w:t>Non-admitted patients</w:t>
            </w:r>
            <w:r w:rsidR="00830CB4">
              <w:rPr>
                <w:noProof/>
                <w:webHidden/>
              </w:rPr>
              <w:tab/>
            </w:r>
            <w:r w:rsidR="00830CB4">
              <w:rPr>
                <w:noProof/>
                <w:webHidden/>
              </w:rPr>
              <w:fldChar w:fldCharType="begin"/>
            </w:r>
            <w:r w:rsidR="00830CB4">
              <w:rPr>
                <w:noProof/>
                <w:webHidden/>
              </w:rPr>
              <w:instrText xml:space="preserve"> PAGEREF _Toc406659214 \h </w:instrText>
            </w:r>
            <w:r w:rsidR="00830CB4">
              <w:rPr>
                <w:noProof/>
                <w:webHidden/>
              </w:rPr>
            </w:r>
            <w:r w:rsidR="00830CB4">
              <w:rPr>
                <w:noProof/>
                <w:webHidden/>
              </w:rPr>
              <w:fldChar w:fldCharType="separate"/>
            </w:r>
            <w:r>
              <w:rPr>
                <w:noProof/>
                <w:webHidden/>
              </w:rPr>
              <w:t>8</w:t>
            </w:r>
            <w:r w:rsidR="00830CB4">
              <w:rPr>
                <w:noProof/>
                <w:webHidden/>
              </w:rPr>
              <w:fldChar w:fldCharType="end"/>
            </w:r>
          </w:hyperlink>
        </w:p>
        <w:p w:rsidR="00830CB4" w:rsidRDefault="00DC6FC3" w:rsidP="00830CB4">
          <w:pPr>
            <w:pStyle w:val="TOC2"/>
            <w:tabs>
              <w:tab w:val="right" w:pos="8948"/>
            </w:tabs>
            <w:ind w:left="0"/>
            <w:rPr>
              <w:rFonts w:eastAsiaTheme="minorEastAsia"/>
              <w:noProof/>
              <w:sz w:val="22"/>
              <w:lang w:eastAsia="en-AU"/>
            </w:rPr>
          </w:pPr>
          <w:hyperlink w:anchor="_Toc406659218" w:history="1">
            <w:r w:rsidR="00830CB4" w:rsidRPr="003C10B0">
              <w:rPr>
                <w:rStyle w:val="Hyperlink"/>
                <w:noProof/>
              </w:rPr>
              <w:t>Community health</w:t>
            </w:r>
            <w:r w:rsidR="00830CB4">
              <w:rPr>
                <w:noProof/>
                <w:webHidden/>
              </w:rPr>
              <w:tab/>
            </w:r>
            <w:r w:rsidR="00830CB4">
              <w:rPr>
                <w:noProof/>
                <w:webHidden/>
              </w:rPr>
              <w:fldChar w:fldCharType="begin"/>
            </w:r>
            <w:r w:rsidR="00830CB4">
              <w:rPr>
                <w:noProof/>
                <w:webHidden/>
              </w:rPr>
              <w:instrText xml:space="preserve"> PAGEREF _Toc406659218 \h </w:instrText>
            </w:r>
            <w:r w:rsidR="00830CB4">
              <w:rPr>
                <w:noProof/>
                <w:webHidden/>
              </w:rPr>
            </w:r>
            <w:r w:rsidR="00830CB4">
              <w:rPr>
                <w:noProof/>
                <w:webHidden/>
              </w:rPr>
              <w:fldChar w:fldCharType="separate"/>
            </w:r>
            <w:r>
              <w:rPr>
                <w:noProof/>
                <w:webHidden/>
              </w:rPr>
              <w:t>11</w:t>
            </w:r>
            <w:r w:rsidR="00830CB4">
              <w:rPr>
                <w:noProof/>
                <w:webHidden/>
              </w:rPr>
              <w:fldChar w:fldCharType="end"/>
            </w:r>
          </w:hyperlink>
        </w:p>
        <w:p w:rsidR="00830CB4" w:rsidRDefault="00DC6FC3" w:rsidP="00830CB4">
          <w:pPr>
            <w:pStyle w:val="TOC2"/>
            <w:tabs>
              <w:tab w:val="right" w:pos="8948"/>
            </w:tabs>
            <w:ind w:left="0"/>
            <w:rPr>
              <w:rFonts w:eastAsiaTheme="minorEastAsia"/>
              <w:noProof/>
              <w:sz w:val="22"/>
              <w:lang w:eastAsia="en-AU"/>
            </w:rPr>
          </w:pPr>
          <w:hyperlink w:anchor="_Toc406659222" w:history="1">
            <w:r w:rsidR="00830CB4" w:rsidRPr="003C10B0">
              <w:rPr>
                <w:rStyle w:val="Hyperlink"/>
                <w:noProof/>
              </w:rPr>
              <w:t>Admitted patients</w:t>
            </w:r>
            <w:r w:rsidR="00830CB4">
              <w:rPr>
                <w:noProof/>
                <w:webHidden/>
              </w:rPr>
              <w:tab/>
            </w:r>
            <w:r w:rsidR="00830CB4">
              <w:rPr>
                <w:noProof/>
                <w:webHidden/>
              </w:rPr>
              <w:fldChar w:fldCharType="begin"/>
            </w:r>
            <w:r w:rsidR="00830CB4">
              <w:rPr>
                <w:noProof/>
                <w:webHidden/>
              </w:rPr>
              <w:instrText xml:space="preserve"> PAGEREF _Toc406659222 \h </w:instrText>
            </w:r>
            <w:r w:rsidR="00830CB4">
              <w:rPr>
                <w:noProof/>
                <w:webHidden/>
              </w:rPr>
            </w:r>
            <w:r w:rsidR="00830CB4">
              <w:rPr>
                <w:noProof/>
                <w:webHidden/>
              </w:rPr>
              <w:fldChar w:fldCharType="separate"/>
            </w:r>
            <w:r>
              <w:rPr>
                <w:noProof/>
                <w:webHidden/>
              </w:rPr>
              <w:t>14</w:t>
            </w:r>
            <w:r w:rsidR="00830CB4">
              <w:rPr>
                <w:noProof/>
                <w:webHidden/>
              </w:rPr>
              <w:fldChar w:fldCharType="end"/>
            </w:r>
          </w:hyperlink>
        </w:p>
        <w:p w:rsidR="00830CB4" w:rsidRDefault="00DC6FC3" w:rsidP="00830CB4">
          <w:pPr>
            <w:pStyle w:val="TOC2"/>
            <w:tabs>
              <w:tab w:val="right" w:pos="8948"/>
            </w:tabs>
            <w:ind w:left="0"/>
            <w:rPr>
              <w:rFonts w:eastAsiaTheme="minorEastAsia"/>
              <w:noProof/>
              <w:sz w:val="22"/>
              <w:lang w:eastAsia="en-AU"/>
            </w:rPr>
          </w:pPr>
          <w:hyperlink w:anchor="_Toc406659227" w:history="1">
            <w:r w:rsidR="00830CB4" w:rsidRPr="003C10B0">
              <w:rPr>
                <w:rStyle w:val="Hyperlink"/>
                <w:noProof/>
              </w:rPr>
              <w:t>Change in assessment method</w:t>
            </w:r>
            <w:r w:rsidR="00830CB4">
              <w:rPr>
                <w:noProof/>
                <w:webHidden/>
              </w:rPr>
              <w:tab/>
            </w:r>
            <w:r w:rsidR="00830CB4">
              <w:rPr>
                <w:noProof/>
                <w:webHidden/>
              </w:rPr>
              <w:fldChar w:fldCharType="begin"/>
            </w:r>
            <w:r w:rsidR="00830CB4">
              <w:rPr>
                <w:noProof/>
                <w:webHidden/>
              </w:rPr>
              <w:instrText xml:space="preserve"> PAGEREF _Toc406659227 \h </w:instrText>
            </w:r>
            <w:r w:rsidR="00830CB4">
              <w:rPr>
                <w:noProof/>
                <w:webHidden/>
              </w:rPr>
            </w:r>
            <w:r w:rsidR="00830CB4">
              <w:rPr>
                <w:noProof/>
                <w:webHidden/>
              </w:rPr>
              <w:fldChar w:fldCharType="separate"/>
            </w:r>
            <w:r>
              <w:rPr>
                <w:noProof/>
                <w:webHidden/>
              </w:rPr>
              <w:t>24</w:t>
            </w:r>
            <w:r w:rsidR="00830CB4">
              <w:rPr>
                <w:noProof/>
                <w:webHidden/>
              </w:rPr>
              <w:fldChar w:fldCharType="end"/>
            </w:r>
          </w:hyperlink>
        </w:p>
        <w:p w:rsidR="00830CB4" w:rsidRDefault="00DC6FC3">
          <w:pPr>
            <w:pStyle w:val="TOC1"/>
            <w:tabs>
              <w:tab w:val="right" w:pos="8948"/>
            </w:tabs>
            <w:rPr>
              <w:rFonts w:eastAsiaTheme="minorEastAsia"/>
              <w:noProof/>
              <w:sz w:val="22"/>
              <w:lang w:eastAsia="en-AU"/>
            </w:rPr>
          </w:pPr>
          <w:hyperlink w:anchor="_Toc406659228" w:history="1">
            <w:r w:rsidR="00830CB4" w:rsidRPr="003C10B0">
              <w:rPr>
                <w:rStyle w:val="Hyperlink"/>
                <w:noProof/>
              </w:rPr>
              <w:t>ATTACHMENT A</w:t>
            </w:r>
            <w:r w:rsidR="00830CB4">
              <w:rPr>
                <w:noProof/>
                <w:webHidden/>
              </w:rPr>
              <w:tab/>
            </w:r>
            <w:r w:rsidR="00830CB4">
              <w:rPr>
                <w:noProof/>
                <w:webHidden/>
              </w:rPr>
              <w:fldChar w:fldCharType="begin"/>
            </w:r>
            <w:r w:rsidR="00830CB4">
              <w:rPr>
                <w:noProof/>
                <w:webHidden/>
              </w:rPr>
              <w:instrText xml:space="preserve"> PAGEREF _Toc406659228 \h </w:instrText>
            </w:r>
            <w:r w:rsidR="00830CB4">
              <w:rPr>
                <w:noProof/>
                <w:webHidden/>
              </w:rPr>
            </w:r>
            <w:r w:rsidR="00830CB4">
              <w:rPr>
                <w:noProof/>
                <w:webHidden/>
              </w:rPr>
              <w:fldChar w:fldCharType="separate"/>
            </w:r>
            <w:r>
              <w:rPr>
                <w:noProof/>
                <w:webHidden/>
              </w:rPr>
              <w:t>26</w:t>
            </w:r>
            <w:r w:rsidR="00830CB4">
              <w:rPr>
                <w:noProof/>
                <w:webHidden/>
              </w:rPr>
              <w:fldChar w:fldCharType="end"/>
            </w:r>
          </w:hyperlink>
        </w:p>
        <w:p w:rsidR="00D1280C" w:rsidRPr="003E6BBA" w:rsidRDefault="00CA5421" w:rsidP="00CA5421">
          <w:pPr>
            <w:pStyle w:val="TOC1"/>
            <w:tabs>
              <w:tab w:val="right" w:pos="8948"/>
            </w:tabs>
          </w:pPr>
          <w:r w:rsidRPr="003E6BBA">
            <w:rPr>
              <w:b/>
              <w:bCs/>
            </w:rPr>
            <w:fldChar w:fldCharType="end"/>
          </w:r>
        </w:p>
      </w:sdtContent>
    </w:sdt>
    <w:p w:rsidR="00D1280C" w:rsidRPr="003E6BBA" w:rsidRDefault="00D1280C" w:rsidP="00D1280C">
      <w:pPr>
        <w:tabs>
          <w:tab w:val="clear" w:pos="567"/>
        </w:tabs>
      </w:pPr>
    </w:p>
    <w:p w:rsidR="00D1280C" w:rsidRPr="003E6BBA" w:rsidRDefault="00D1280C" w:rsidP="007710CD">
      <w:pPr>
        <w:pStyle w:val="Heading3"/>
        <w:sectPr w:rsidR="00D1280C" w:rsidRPr="003E6BBA" w:rsidSect="00F15D2D">
          <w:footerReference w:type="default" r:id="rId9"/>
          <w:footerReference w:type="first" r:id="rId10"/>
          <w:pgSz w:w="11906" w:h="16838" w:code="9"/>
          <w:pgMar w:top="1701" w:right="1474" w:bottom="1701" w:left="1474" w:header="709" w:footer="709" w:gutter="0"/>
          <w:pgNumType w:start="1"/>
          <w:cols w:space="708"/>
          <w:titlePg/>
          <w:docGrid w:linePitch="360"/>
        </w:sectPr>
      </w:pPr>
    </w:p>
    <w:p w:rsidR="007710CD" w:rsidRPr="003E6BBA" w:rsidRDefault="007710CD" w:rsidP="007710CD">
      <w:pPr>
        <w:pStyle w:val="Heading3"/>
      </w:pPr>
      <w:bookmarkStart w:id="22" w:name="_Toc405559293"/>
      <w:bookmarkStart w:id="23" w:name="_Toc405559411"/>
      <w:bookmarkStart w:id="24" w:name="_Toc405559444"/>
      <w:bookmarkStart w:id="25" w:name="_Toc405559479"/>
      <w:bookmarkStart w:id="26" w:name="_Toc406659208"/>
      <w:r w:rsidRPr="003E6BBA">
        <w:lastRenderedPageBreak/>
        <w:t>B</w:t>
      </w:r>
      <w:r w:rsidR="006D4D4E" w:rsidRPr="003E6BBA">
        <w:t>ackground</w:t>
      </w:r>
      <w:bookmarkEnd w:id="13"/>
      <w:bookmarkEnd w:id="14"/>
      <w:bookmarkEnd w:id="15"/>
      <w:bookmarkEnd w:id="16"/>
      <w:bookmarkEnd w:id="17"/>
      <w:bookmarkEnd w:id="18"/>
      <w:bookmarkEnd w:id="19"/>
      <w:bookmarkEnd w:id="20"/>
      <w:bookmarkEnd w:id="22"/>
      <w:bookmarkEnd w:id="23"/>
      <w:bookmarkEnd w:id="24"/>
      <w:bookmarkEnd w:id="25"/>
      <w:bookmarkEnd w:id="26"/>
    </w:p>
    <w:p w:rsidR="003A7705" w:rsidRPr="003E6BBA" w:rsidRDefault="00BD45BE" w:rsidP="003A7705">
      <w:pPr>
        <w:pStyle w:val="CGCNumberedPara"/>
        <w:numPr>
          <w:ilvl w:val="1"/>
          <w:numId w:val="12"/>
        </w:numPr>
      </w:pPr>
      <w:bookmarkStart w:id="27" w:name="_Toc155675723"/>
      <w:bookmarkEnd w:id="27"/>
      <w:r w:rsidRPr="003E6BBA">
        <w:t>State governments are not the sole providers of health services. Health services are also provided by the private (non-State) sector.</w:t>
      </w:r>
      <w:r w:rsidR="003A7705" w:rsidRPr="003E6BBA">
        <w:t xml:space="preserve"> Some of these non-State services have no equivalent service provided by the State government (for example, States tend not to provide </w:t>
      </w:r>
      <w:r w:rsidR="00496B45" w:rsidRPr="003E6BBA">
        <w:t xml:space="preserve">cosmetic surgery or </w:t>
      </w:r>
      <w:r w:rsidR="003A7705" w:rsidRPr="003E6BBA">
        <w:t xml:space="preserve">optometry services). However, some of these health services can be provided either by State, or non-State providers. </w:t>
      </w:r>
    </w:p>
    <w:p w:rsidR="00984A01" w:rsidRPr="003E6BBA" w:rsidRDefault="003A7705" w:rsidP="00984A01">
      <w:pPr>
        <w:pStyle w:val="CGCNumberedPara"/>
        <w:numPr>
          <w:ilvl w:val="1"/>
          <w:numId w:val="12"/>
        </w:numPr>
      </w:pPr>
      <w:r w:rsidRPr="003E6BBA">
        <w:t xml:space="preserve">The Commission </w:t>
      </w:r>
      <w:r w:rsidR="00A4131E">
        <w:t>proposed</w:t>
      </w:r>
      <w:r w:rsidR="00A4131E" w:rsidRPr="003E6BBA">
        <w:t xml:space="preserve"> </w:t>
      </w:r>
      <w:r w:rsidRPr="003E6BBA">
        <w:t xml:space="preserve">that if a State has more </w:t>
      </w:r>
      <w:r w:rsidR="00A4131E">
        <w:t xml:space="preserve">residents that use </w:t>
      </w:r>
      <w:r w:rsidRPr="003E6BBA">
        <w:t xml:space="preserve">non-State health </w:t>
      </w:r>
      <w:r w:rsidR="00A4131E">
        <w:t>services</w:t>
      </w:r>
      <w:r w:rsidR="00A4131E" w:rsidRPr="003E6BBA">
        <w:t xml:space="preserve"> </w:t>
      </w:r>
      <w:r w:rsidRPr="003E6BBA">
        <w:t>than another, it should be able to provide the average standard of service to its population at a lower cost</w:t>
      </w:r>
      <w:r w:rsidR="00637279" w:rsidRPr="003E6BBA">
        <w:t xml:space="preserve"> to itself</w:t>
      </w:r>
      <w:r w:rsidRPr="003E6BBA">
        <w:t>.</w:t>
      </w:r>
      <w:r w:rsidR="00984A01" w:rsidRPr="003E6BBA">
        <w:t xml:space="preserve"> The impact that the </w:t>
      </w:r>
      <w:r w:rsidR="00090BBF" w:rsidRPr="003E6BBA">
        <w:t>non-State</w:t>
      </w:r>
      <w:r w:rsidR="00984A01" w:rsidRPr="003E6BBA">
        <w:t xml:space="preserve"> sector ha</w:t>
      </w:r>
      <w:r w:rsidR="00090BBF" w:rsidRPr="003E6BBA">
        <w:t>s</w:t>
      </w:r>
      <w:r w:rsidR="00984A01" w:rsidRPr="003E6BBA">
        <w:t xml:space="preserve"> on the demand for State government services is referred to as the substitutability</w:t>
      </w:r>
      <w:r w:rsidR="00BD45BE" w:rsidRPr="003E6BBA">
        <w:t xml:space="preserve"> of services</w:t>
      </w:r>
      <w:r w:rsidR="00984A01" w:rsidRPr="003E6BBA">
        <w:t>.</w:t>
      </w:r>
    </w:p>
    <w:p w:rsidR="00984A01" w:rsidRPr="003E6BBA" w:rsidRDefault="00984A01" w:rsidP="00984A01">
      <w:pPr>
        <w:pStyle w:val="CGCNumberedPara"/>
        <w:numPr>
          <w:ilvl w:val="1"/>
          <w:numId w:val="12"/>
        </w:numPr>
      </w:pPr>
      <w:r w:rsidRPr="003E6BBA">
        <w:t>While moving to a direct assessment approach</w:t>
      </w:r>
      <w:r w:rsidR="00090BBF" w:rsidRPr="003E6BBA">
        <w:t xml:space="preserve"> (from the subtraction model approach in the 2010 Review)</w:t>
      </w:r>
      <w:r w:rsidRPr="003E6BBA">
        <w:t>,</w:t>
      </w:r>
      <w:r w:rsidR="00090BBF" w:rsidRPr="003E6BBA">
        <w:t xml:space="preserve"> t</w:t>
      </w:r>
      <w:r w:rsidRPr="003E6BBA">
        <w:t xml:space="preserve">he Commission </w:t>
      </w:r>
      <w:r w:rsidR="00A4131E">
        <w:t>proposed</w:t>
      </w:r>
      <w:r w:rsidR="00A4131E" w:rsidRPr="003E6BBA">
        <w:t xml:space="preserve"> </w:t>
      </w:r>
      <w:r w:rsidRPr="003E6BBA">
        <w:t xml:space="preserve">that the impact of the </w:t>
      </w:r>
      <w:r w:rsidR="00090BBF" w:rsidRPr="003E6BBA">
        <w:t>non-State</w:t>
      </w:r>
      <w:r w:rsidRPr="003E6BBA">
        <w:t xml:space="preserve"> sector would be captured directly through economic environment factors. These factors would then be applied only to the proportion of expenses that are assessed as substitutable. A separate factor would be calculated for each component.</w:t>
      </w:r>
    </w:p>
    <w:p w:rsidR="00984A01" w:rsidRPr="003E6BBA" w:rsidRDefault="00984A01" w:rsidP="00984A01">
      <w:pPr>
        <w:pStyle w:val="CGCNumberedPara"/>
        <w:numPr>
          <w:ilvl w:val="1"/>
          <w:numId w:val="12"/>
        </w:numPr>
      </w:pPr>
      <w:r w:rsidRPr="003E6BBA">
        <w:t xml:space="preserve">In the draft report, the Commission stated that it was unsure of the level of substitutability </w:t>
      </w:r>
      <w:r w:rsidR="002062A8" w:rsidRPr="003E6BBA">
        <w:t>for</w:t>
      </w:r>
      <w:r w:rsidRPr="003E6BBA">
        <w:t xml:space="preserve"> each c</w:t>
      </w:r>
      <w:r w:rsidR="002062A8" w:rsidRPr="003E6BBA">
        <w:t>omponent</w:t>
      </w:r>
      <w:r w:rsidRPr="003E6BBA">
        <w:t xml:space="preserve"> and sought State views. It used placeholders for each component</w:t>
      </w:r>
      <w:r w:rsidR="00637279" w:rsidRPr="003E6BBA">
        <w:t>, while identifying the services it would use to generate the economic environment factor</w:t>
      </w:r>
      <w:r w:rsidRPr="003E6BBA">
        <w:t>.</w:t>
      </w:r>
    </w:p>
    <w:p w:rsidR="00984A01" w:rsidRPr="003E6BBA" w:rsidRDefault="00984A01" w:rsidP="00984A01">
      <w:pPr>
        <w:pStyle w:val="CGCBulletlist"/>
      </w:pPr>
      <w:r w:rsidRPr="003E6BBA">
        <w:t xml:space="preserve">Emergency departments </w:t>
      </w:r>
      <w:r w:rsidR="00EA59F6" w:rsidRPr="003E6BBA">
        <w:t xml:space="preserve">(EDs) </w:t>
      </w:r>
      <w:r w:rsidRPr="003E6BBA">
        <w:t>– 40%</w:t>
      </w:r>
      <w:r w:rsidR="00637279" w:rsidRPr="003E6BBA">
        <w:t>,</w:t>
      </w:r>
      <w:r w:rsidRPr="003E6BBA">
        <w:t xml:space="preserve"> </w:t>
      </w:r>
      <w:r w:rsidR="00637279" w:rsidRPr="003E6BBA">
        <w:t xml:space="preserve">with the economic environment factor </w:t>
      </w:r>
      <w:r w:rsidRPr="003E6BBA">
        <w:t xml:space="preserve">based on the level of bulk billed </w:t>
      </w:r>
      <w:r w:rsidR="00EA59F6" w:rsidRPr="003E6BBA">
        <w:t>general practitioner</w:t>
      </w:r>
      <w:r w:rsidR="00A4131E">
        <w:rPr>
          <w:rStyle w:val="FootnoteReference"/>
        </w:rPr>
        <w:footnoteReference w:id="1"/>
      </w:r>
      <w:r w:rsidR="00EA59F6" w:rsidRPr="003E6BBA">
        <w:t xml:space="preserve"> (</w:t>
      </w:r>
      <w:r w:rsidRPr="003E6BBA">
        <w:t>GP</w:t>
      </w:r>
      <w:r w:rsidR="00EA59F6" w:rsidRPr="003E6BBA">
        <w:t>)</w:t>
      </w:r>
      <w:r w:rsidRPr="003E6BBA">
        <w:t xml:space="preserve"> </w:t>
      </w:r>
      <w:r w:rsidR="00090BBF" w:rsidRPr="003E6BBA">
        <w:t>benefits paid from Medicare</w:t>
      </w:r>
    </w:p>
    <w:p w:rsidR="00984A01" w:rsidRPr="003E6BBA" w:rsidRDefault="00984A01" w:rsidP="00984A01">
      <w:pPr>
        <w:pStyle w:val="CGCBulletlist"/>
      </w:pPr>
      <w:r w:rsidRPr="003E6BBA">
        <w:t>Outpatients – 40%</w:t>
      </w:r>
      <w:r w:rsidR="00637279" w:rsidRPr="003E6BBA">
        <w:t>, with the economic environment factor</w:t>
      </w:r>
      <w:r w:rsidRPr="003E6BBA">
        <w:t xml:space="preserve"> based on the level of bulk billed specialists, pathology and imaging </w:t>
      </w:r>
      <w:r w:rsidR="00090BBF" w:rsidRPr="003E6BBA">
        <w:t>benefits paid from Medicare</w:t>
      </w:r>
    </w:p>
    <w:p w:rsidR="00307F52" w:rsidRPr="003E6BBA" w:rsidRDefault="00984A01" w:rsidP="00307F52">
      <w:pPr>
        <w:pStyle w:val="CGCBulletlist"/>
      </w:pPr>
      <w:r w:rsidRPr="003E6BBA">
        <w:t>Community health – 75%</w:t>
      </w:r>
      <w:r w:rsidR="00637279" w:rsidRPr="003E6BBA">
        <w:t>, with the economic environment factor</w:t>
      </w:r>
      <w:r w:rsidRPr="003E6BBA">
        <w:t xml:space="preserve"> based on the level of bulk billed GP </w:t>
      </w:r>
      <w:r w:rsidR="00090BBF" w:rsidRPr="003E6BBA">
        <w:t>benefits paid from Medicare</w:t>
      </w:r>
    </w:p>
    <w:p w:rsidR="00984A01" w:rsidRPr="003E6BBA" w:rsidRDefault="00307F52" w:rsidP="00984A01">
      <w:pPr>
        <w:pStyle w:val="CGCBulletlist"/>
      </w:pPr>
      <w:r w:rsidRPr="003E6BBA">
        <w:t>Admitted patients – 0% because these services are already largely accounted for by using remoteness in the SDC calculations.</w:t>
      </w:r>
    </w:p>
    <w:p w:rsidR="00984A01" w:rsidRPr="003E6BBA" w:rsidRDefault="00984A01" w:rsidP="00984A01">
      <w:pPr>
        <w:pStyle w:val="CGCNumberedPara"/>
        <w:numPr>
          <w:ilvl w:val="1"/>
          <w:numId w:val="12"/>
        </w:numPr>
      </w:pPr>
      <w:r w:rsidRPr="003E6BBA">
        <w:t xml:space="preserve">In response to the placeholders in the draft report, States had different views on the degrees of substitutability. New South Wales, Victoria and South Australia said that the placeholder levels were too high and needed to be reduced while the ACT and the Northern Territory thought the levels were either about right or </w:t>
      </w:r>
      <w:r w:rsidR="00637279" w:rsidRPr="003E6BBA">
        <w:t>could</w:t>
      </w:r>
      <w:r w:rsidRPr="003E6BBA">
        <w:t xml:space="preserve"> be increased.</w:t>
      </w:r>
    </w:p>
    <w:p w:rsidR="00984A01" w:rsidRPr="003E6BBA" w:rsidRDefault="00984A01" w:rsidP="00984A01">
      <w:pPr>
        <w:pStyle w:val="CGCNumberedPara"/>
        <w:numPr>
          <w:ilvl w:val="1"/>
          <w:numId w:val="12"/>
        </w:numPr>
      </w:pPr>
      <w:r w:rsidRPr="003E6BBA">
        <w:t>As such, staff engaged two consultants to report on the substitutability between State and non-State sector services</w:t>
      </w:r>
      <w:r w:rsidR="00637279" w:rsidRPr="003E6BBA">
        <w:t>. Their</w:t>
      </w:r>
      <w:r w:rsidRPr="003E6BBA">
        <w:t xml:space="preserve"> advice </w:t>
      </w:r>
      <w:r w:rsidR="00637279" w:rsidRPr="003E6BBA">
        <w:t>is</w:t>
      </w:r>
      <w:r w:rsidRPr="003E6BBA">
        <w:t xml:space="preserve"> </w:t>
      </w:r>
      <w:r w:rsidR="00090BBF" w:rsidRPr="003E6BBA">
        <w:t>considered in this</w:t>
      </w:r>
      <w:r w:rsidRPr="003E6BBA">
        <w:t xml:space="preserve"> paper.</w:t>
      </w:r>
    </w:p>
    <w:p w:rsidR="00984A01" w:rsidRPr="003E6BBA" w:rsidRDefault="00984A01" w:rsidP="00984A01">
      <w:pPr>
        <w:pStyle w:val="CGCBulletlist"/>
        <w:tabs>
          <w:tab w:val="left" w:pos="1134"/>
        </w:tabs>
      </w:pPr>
      <w:r w:rsidRPr="003E6BBA">
        <w:lastRenderedPageBreak/>
        <w:t>Elizabeth Savage</w:t>
      </w:r>
      <w:r w:rsidR="00E07C54">
        <w:t xml:space="preserve"> </w:t>
      </w:r>
      <w:r w:rsidRPr="003E6BBA">
        <w:t>– contracted for one day’s work, provide</w:t>
      </w:r>
      <w:r w:rsidR="00090BBF" w:rsidRPr="003E6BBA">
        <w:t>d</w:t>
      </w:r>
      <w:r w:rsidRPr="003E6BBA">
        <w:t xml:space="preserve"> general comments on the proposed levels of substitutability as outlined in the draft report.</w:t>
      </w:r>
    </w:p>
    <w:p w:rsidR="00984A01" w:rsidRPr="003E6BBA" w:rsidRDefault="00984A01" w:rsidP="00496B45">
      <w:pPr>
        <w:pStyle w:val="CGCBulletlist"/>
      </w:pPr>
      <w:r w:rsidRPr="003E6BBA">
        <w:t>James Downie</w:t>
      </w:r>
      <w:r w:rsidR="00E07C54">
        <w:t xml:space="preserve"> </w:t>
      </w:r>
      <w:r w:rsidRPr="003E6BBA">
        <w:t>– contracted for seven days work and provide</w:t>
      </w:r>
      <w:r w:rsidR="00090BBF" w:rsidRPr="003E6BBA">
        <w:t>d</w:t>
      </w:r>
      <w:r w:rsidRPr="003E6BBA">
        <w:t xml:space="preserve"> more detailed comments on our proposed levels of substitutability.</w:t>
      </w:r>
    </w:p>
    <w:p w:rsidR="008D59C1" w:rsidRPr="003E6BBA" w:rsidRDefault="008D59C1" w:rsidP="008D59C1">
      <w:pPr>
        <w:pStyle w:val="CGCNumberedPara"/>
      </w:pPr>
      <w:r w:rsidRPr="003E6BBA">
        <w:t xml:space="preserve">States </w:t>
      </w:r>
      <w:r w:rsidR="00B95F43">
        <w:t xml:space="preserve">have provided comments </w:t>
      </w:r>
      <w:r w:rsidRPr="003E6BBA">
        <w:t>on the content of these reports but their views have not fundamentally changed from previous submissions</w:t>
      </w:r>
      <w:r w:rsidR="00A11C83" w:rsidRPr="003E6BBA">
        <w:t>, which</w:t>
      </w:r>
      <w:r w:rsidRPr="003E6BBA">
        <w:t xml:space="preserve"> are reflected in this paper.</w:t>
      </w:r>
    </w:p>
    <w:p w:rsidR="00984A01" w:rsidRPr="003E6BBA" w:rsidRDefault="00090BBF" w:rsidP="003A7705">
      <w:pPr>
        <w:pStyle w:val="CGCNumberedPara"/>
        <w:numPr>
          <w:ilvl w:val="1"/>
          <w:numId w:val="12"/>
        </w:numPr>
      </w:pPr>
      <w:r w:rsidRPr="003E6BBA">
        <w:t>This paper examines the levels of substitutability for each component individually.</w:t>
      </w:r>
    </w:p>
    <w:p w:rsidR="009A494F" w:rsidRPr="003E6BBA" w:rsidRDefault="00D70554" w:rsidP="009A494F">
      <w:pPr>
        <w:pStyle w:val="Heading3"/>
      </w:pPr>
      <w:bookmarkStart w:id="28" w:name="_Toc405559294"/>
      <w:bookmarkStart w:id="29" w:name="_Toc405559412"/>
      <w:bookmarkStart w:id="30" w:name="_Toc405559445"/>
      <w:bookmarkStart w:id="31" w:name="_Toc406659209"/>
      <w:bookmarkStart w:id="32" w:name="_Toc106707731"/>
      <w:bookmarkStart w:id="33" w:name="_Toc155675942"/>
      <w:bookmarkStart w:id="34" w:name="_Toc174415777"/>
      <w:bookmarkStart w:id="35" w:name="_Toc174415851"/>
      <w:bookmarkStart w:id="36" w:name="_Toc174415942"/>
      <w:bookmarkStart w:id="37" w:name="_Toc174416627"/>
      <w:bookmarkStart w:id="38" w:name="_Toc174416669"/>
      <w:bookmarkStart w:id="39" w:name="_Toc174416682"/>
      <w:bookmarkStart w:id="40" w:name="_Toc91666152"/>
      <w:bookmarkStart w:id="41" w:name="_Toc92771233"/>
      <w:bookmarkStart w:id="42" w:name="_Toc92771627"/>
      <w:bookmarkStart w:id="43" w:name="_Toc92792304"/>
      <w:r w:rsidRPr="003E6BBA">
        <w:t>E</w:t>
      </w:r>
      <w:r w:rsidR="009A494F" w:rsidRPr="003E6BBA">
        <w:t>mergency departments</w:t>
      </w:r>
      <w:bookmarkEnd w:id="28"/>
      <w:bookmarkEnd w:id="29"/>
      <w:bookmarkEnd w:id="30"/>
      <w:bookmarkEnd w:id="31"/>
    </w:p>
    <w:p w:rsidR="00FA6D67" w:rsidRPr="003E6BBA" w:rsidRDefault="00EA59F6" w:rsidP="00FA6D67">
      <w:pPr>
        <w:pStyle w:val="CGCNumberedPara"/>
        <w:numPr>
          <w:ilvl w:val="1"/>
          <w:numId w:val="12"/>
        </w:numPr>
      </w:pPr>
      <w:r w:rsidRPr="003E6BBA">
        <w:t xml:space="preserve">In the draft report, </w:t>
      </w:r>
      <w:r w:rsidR="00B95F43">
        <w:t>the Commission</w:t>
      </w:r>
      <w:r w:rsidRPr="003E6BBA">
        <w:t xml:space="preserve"> </w:t>
      </w:r>
      <w:r w:rsidR="002062A8" w:rsidRPr="003E6BBA">
        <w:t>noted</w:t>
      </w:r>
      <w:r w:rsidR="00FA6D67" w:rsidRPr="003E6BBA">
        <w:t xml:space="preserve"> several studies that indicated a varied level of substitutability. Studies based on clinical assessments of ED presentations estimate the proportion that could have been managed by a GP.</w:t>
      </w:r>
    </w:p>
    <w:p w:rsidR="006E07E2" w:rsidRPr="003E6BBA" w:rsidRDefault="006E07E2" w:rsidP="006E07E2">
      <w:pPr>
        <w:pStyle w:val="CGCBulletlist"/>
        <w:tabs>
          <w:tab w:val="left" w:pos="1134"/>
        </w:tabs>
      </w:pPr>
      <w:r w:rsidRPr="003E6BBA">
        <w:t>An Australian Institute of Health and Welfare (AIHW) clinical assessment indicated that approximately 38% of ED visits are potentially substitutable</w:t>
      </w:r>
      <w:r w:rsidRPr="003E6BBA">
        <w:rPr>
          <w:vertAlign w:val="superscript"/>
        </w:rPr>
        <w:footnoteReference w:id="2"/>
      </w:r>
      <w:r w:rsidRPr="003E6BBA">
        <w:t>, based on patients allocated to triage 4 or 5, did not arrive by ambulance, police or correctional vehicle, were not admitted to the hospital or referred to another hospital and did not die.</w:t>
      </w:r>
    </w:p>
    <w:p w:rsidR="00FA6D67" w:rsidRPr="003E6BBA" w:rsidRDefault="00FA6D67" w:rsidP="00FA6D67">
      <w:pPr>
        <w:pStyle w:val="CGCBulletlist"/>
        <w:tabs>
          <w:tab w:val="left" w:pos="1134"/>
        </w:tabs>
      </w:pPr>
      <w:r w:rsidRPr="003E6BBA">
        <w:t xml:space="preserve">A study of 3 major metropolitan hospitals in Perth </w:t>
      </w:r>
      <w:r w:rsidR="002062A8" w:rsidRPr="003E6BBA">
        <w:t>published in</w:t>
      </w:r>
      <w:r w:rsidRPr="003E6BBA">
        <w:t xml:space="preserve"> the Medical Journal of Australia by Nagree et al estimated that 10-12% of presentations could have been managed by a GP.</w:t>
      </w:r>
      <w:r w:rsidRPr="003E6BBA">
        <w:rPr>
          <w:vertAlign w:val="superscript"/>
        </w:rPr>
        <w:footnoteReference w:id="3"/>
      </w:r>
      <w:r w:rsidRPr="003E6BBA">
        <w:t xml:space="preserve"> </w:t>
      </w:r>
      <w:r w:rsidR="006E07E2" w:rsidRPr="003E6BBA">
        <w:t>These attendances comprised 3-5% of total ED length of stay. This study concluded that the AIHW methodology overestimated the actual proportion of GP-type patient attendances.</w:t>
      </w:r>
    </w:p>
    <w:p w:rsidR="004A2BEA" w:rsidRPr="003E6BBA" w:rsidRDefault="00FA6D67" w:rsidP="00FA6D67">
      <w:pPr>
        <w:pStyle w:val="CGCBulletlist"/>
      </w:pPr>
      <w:r w:rsidRPr="003E6BBA">
        <w:t>The</w:t>
      </w:r>
      <w:r w:rsidR="004A2BEA" w:rsidRPr="003E6BBA">
        <w:t xml:space="preserve"> ABS </w:t>
      </w:r>
      <w:r w:rsidR="004A2BEA" w:rsidRPr="003E6BBA">
        <w:rPr>
          <w:i/>
        </w:rPr>
        <w:t xml:space="preserve">Patient Experiences in Australia </w:t>
      </w:r>
      <w:r w:rsidR="004A2BEA" w:rsidRPr="003E6BBA">
        <w:t>study found that 2</w:t>
      </w:r>
      <w:r w:rsidR="00496B45" w:rsidRPr="003E6BBA">
        <w:t>3</w:t>
      </w:r>
      <w:r w:rsidR="004A2BEA" w:rsidRPr="003E6BBA">
        <w:t xml:space="preserve">% of people that presented at the ED thought care could have been provided by a GP. Another 15% thought that the care could not be provided by a GP and cited the time or day as the main reason for not seeing a GP. </w:t>
      </w:r>
    </w:p>
    <w:p w:rsidR="004A2BEA" w:rsidRPr="003E6BBA" w:rsidRDefault="006E07E2" w:rsidP="004A2BEA">
      <w:pPr>
        <w:pStyle w:val="CGCNumberedPara"/>
        <w:numPr>
          <w:ilvl w:val="1"/>
          <w:numId w:val="12"/>
        </w:numPr>
      </w:pPr>
      <w:r w:rsidRPr="003E6BBA">
        <w:t>The Commission concluded that the ABS patient experience survey gave a measure of what patients (rather than clinicians) consider being substitutable, which was closer to the concept that we wanted to measure. As such, t</w:t>
      </w:r>
      <w:r w:rsidR="004A2BEA" w:rsidRPr="003E6BBA">
        <w:t xml:space="preserve">he </w:t>
      </w:r>
      <w:r w:rsidR="00E01260" w:rsidRPr="003E6BBA">
        <w:t xml:space="preserve">placeholder adopted by the </w:t>
      </w:r>
      <w:r w:rsidR="004A2BEA" w:rsidRPr="003E6BBA">
        <w:t xml:space="preserve">Commission </w:t>
      </w:r>
      <w:r w:rsidR="00E01260" w:rsidRPr="003E6BBA">
        <w:t xml:space="preserve">in the draft report was </w:t>
      </w:r>
      <w:r w:rsidR="003D652B" w:rsidRPr="003E6BBA">
        <w:t>40%</w:t>
      </w:r>
      <w:r w:rsidR="004A2BEA" w:rsidRPr="003E6BBA">
        <w:t xml:space="preserve"> substitu</w:t>
      </w:r>
      <w:r w:rsidR="008A7CCF" w:rsidRPr="003E6BBA">
        <w:t>tability of ED and GP services.</w:t>
      </w:r>
    </w:p>
    <w:p w:rsidR="001220B9" w:rsidRPr="003E6BBA" w:rsidRDefault="001220B9" w:rsidP="001220B9">
      <w:pPr>
        <w:pStyle w:val="Heading4"/>
      </w:pPr>
      <w:bookmarkStart w:id="44" w:name="_Toc405559331"/>
      <w:bookmarkStart w:id="45" w:name="_Toc405559413"/>
      <w:bookmarkStart w:id="46" w:name="_Toc405559446"/>
      <w:bookmarkStart w:id="47" w:name="_Toc405559481"/>
      <w:bookmarkStart w:id="48" w:name="_Toc406659089"/>
      <w:bookmarkStart w:id="49" w:name="_Toc406659210"/>
      <w:r w:rsidRPr="003E6BBA">
        <w:lastRenderedPageBreak/>
        <w:t>State views</w:t>
      </w:r>
      <w:bookmarkEnd w:id="44"/>
      <w:bookmarkEnd w:id="45"/>
      <w:bookmarkEnd w:id="46"/>
      <w:bookmarkEnd w:id="47"/>
      <w:bookmarkEnd w:id="48"/>
      <w:bookmarkEnd w:id="49"/>
    </w:p>
    <w:p w:rsidR="00DF3734" w:rsidRPr="003E6BBA" w:rsidRDefault="00690DB5" w:rsidP="001220B9">
      <w:pPr>
        <w:pStyle w:val="CGCNumberedPara"/>
        <w:numPr>
          <w:ilvl w:val="1"/>
          <w:numId w:val="12"/>
        </w:numPr>
      </w:pPr>
      <w:r w:rsidRPr="003E6BBA">
        <w:t xml:space="preserve">New South Wales provided data that showed </w:t>
      </w:r>
      <w:r w:rsidR="00DF3734" w:rsidRPr="003E6BBA">
        <w:t>a positive correlation between ED presentations and GP attendances in major cities</w:t>
      </w:r>
      <w:r w:rsidR="00A87B1C" w:rsidRPr="003E6BBA">
        <w:t xml:space="preserve"> (</w:t>
      </w:r>
      <w:r w:rsidR="005842B7" w:rsidRPr="003E6BBA">
        <w:fldChar w:fldCharType="begin"/>
      </w:r>
      <w:r w:rsidR="005842B7" w:rsidRPr="003E6BBA">
        <w:instrText xml:space="preserve"> REF _Ref405968089 \h </w:instrText>
      </w:r>
      <w:r w:rsidR="009C1BA7" w:rsidRPr="003E6BBA">
        <w:instrText xml:space="preserve"> \* MERGEFORMAT </w:instrText>
      </w:r>
      <w:r w:rsidR="005842B7" w:rsidRPr="003E6BBA">
        <w:fldChar w:fldCharType="separate"/>
      </w:r>
      <w:r w:rsidR="00DC6FC3" w:rsidRPr="003E6BBA">
        <w:t xml:space="preserve">Figure </w:t>
      </w:r>
      <w:r w:rsidR="00DC6FC3">
        <w:rPr>
          <w:noProof/>
        </w:rPr>
        <w:t>1</w:t>
      </w:r>
      <w:r w:rsidR="005842B7" w:rsidRPr="003E6BBA">
        <w:fldChar w:fldCharType="end"/>
      </w:r>
      <w:r w:rsidR="00A87B1C" w:rsidRPr="003E6BBA">
        <w:t>)</w:t>
      </w:r>
      <w:r w:rsidR="00DF3734" w:rsidRPr="003E6BBA">
        <w:t xml:space="preserve">. </w:t>
      </w:r>
      <w:r w:rsidR="00A94369" w:rsidRPr="003E6BBA">
        <w:t>It</w:t>
      </w:r>
      <w:r w:rsidR="00DF3734" w:rsidRPr="003E6BBA">
        <w:t xml:space="preserve"> consider</w:t>
      </w:r>
      <w:r w:rsidR="00A94369" w:rsidRPr="003E6BBA">
        <w:t>ed</w:t>
      </w:r>
      <w:r w:rsidR="00DF3734" w:rsidRPr="003E6BBA">
        <w:t xml:space="preserve"> that an inverse relationship would exist if the concept of substitutability held. However, </w:t>
      </w:r>
      <w:r w:rsidR="0008525A" w:rsidRPr="003E6BBA">
        <w:t>they concede</w:t>
      </w:r>
      <w:r w:rsidR="00A94369" w:rsidRPr="003E6BBA">
        <w:t>d</w:t>
      </w:r>
      <w:r w:rsidR="0008525A" w:rsidRPr="003E6BBA">
        <w:t xml:space="preserve"> that </w:t>
      </w:r>
      <w:r w:rsidR="00DF3734" w:rsidRPr="003E6BBA">
        <w:t>there was an inverse relationship in rural areas across Australia.</w:t>
      </w:r>
      <w:r w:rsidR="0008525A" w:rsidRPr="003E6BBA">
        <w:t xml:space="preserve"> As a result, </w:t>
      </w:r>
      <w:r w:rsidR="0030186F" w:rsidRPr="003E6BBA">
        <w:t xml:space="preserve">they said that </w:t>
      </w:r>
      <w:r w:rsidR="0008525A" w:rsidRPr="003E6BBA">
        <w:t>economic environment factors for ED</w:t>
      </w:r>
      <w:r w:rsidR="00A94369" w:rsidRPr="003E6BBA">
        <w:t>s</w:t>
      </w:r>
      <w:r w:rsidR="0008525A" w:rsidRPr="003E6BBA">
        <w:t xml:space="preserve"> and GP</w:t>
      </w:r>
      <w:r w:rsidR="00A94369" w:rsidRPr="003E6BBA">
        <w:t>s</w:t>
      </w:r>
      <w:r w:rsidR="0008525A" w:rsidRPr="003E6BBA">
        <w:t xml:space="preserve"> should be limited to rural areas given that substitutability does not hold for major metropolitan areas.</w:t>
      </w:r>
    </w:p>
    <w:p w:rsidR="00CE4056" w:rsidRPr="003E6BBA" w:rsidRDefault="005842B7" w:rsidP="005842B7">
      <w:pPr>
        <w:pStyle w:val="Caption"/>
      </w:pPr>
      <w:bookmarkStart w:id="50" w:name="_Ref405968089"/>
      <w:r w:rsidRPr="003E6BBA">
        <w:t xml:space="preserve">Figure </w:t>
      </w:r>
      <w:fldSimple w:instr=" SEQ Figure \* ARABIC ">
        <w:r w:rsidR="00DC6FC3">
          <w:rPr>
            <w:noProof/>
          </w:rPr>
          <w:t>1</w:t>
        </w:r>
      </w:fldSimple>
      <w:bookmarkEnd w:id="50"/>
      <w:r w:rsidR="00CE4056" w:rsidRPr="003E6BBA">
        <w:tab/>
        <w:t>Substitutability of GP and ED services in major cities and rural areas</w:t>
      </w:r>
    </w:p>
    <w:p w:rsidR="00A87B1C" w:rsidRPr="003E6BBA" w:rsidRDefault="00A87B1C" w:rsidP="00A87B1C">
      <w:pPr>
        <w:spacing w:after="0"/>
      </w:pPr>
      <w:r w:rsidRPr="003E6BBA">
        <w:rPr>
          <w:noProof/>
          <w:lang w:eastAsia="en-AU"/>
        </w:rPr>
        <w:drawing>
          <wp:inline distT="0" distB="0" distL="0" distR="0" wp14:anchorId="03ADA452" wp14:editId="378595D6">
            <wp:extent cx="5582093" cy="206242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3766" cy="2070435"/>
                    </a:xfrm>
                    <a:prstGeom prst="rect">
                      <a:avLst/>
                    </a:prstGeom>
                    <a:noFill/>
                    <a:ln>
                      <a:noFill/>
                    </a:ln>
                  </pic:spPr>
                </pic:pic>
              </a:graphicData>
            </a:graphic>
          </wp:inline>
        </w:drawing>
      </w:r>
    </w:p>
    <w:p w:rsidR="00A87B1C" w:rsidRPr="003E6BBA" w:rsidRDefault="00A87B1C" w:rsidP="002062A8">
      <w:pPr>
        <w:pStyle w:val="CGCTableFootnote"/>
      </w:pPr>
      <w:r w:rsidRPr="003E6BBA">
        <w:t>Source:</w:t>
      </w:r>
      <w:r w:rsidRPr="003E6BBA">
        <w:tab/>
        <w:t>NSW Health calculation</w:t>
      </w:r>
      <w:r w:rsidR="00AB2360" w:rsidRPr="003E6BBA">
        <w:t xml:space="preserve">, </w:t>
      </w:r>
      <w:r w:rsidR="002062A8" w:rsidRPr="003E6BBA">
        <w:t>Public Health Information Development Unit (</w:t>
      </w:r>
      <w:r w:rsidRPr="003E6BBA">
        <w:t>PHIDU</w:t>
      </w:r>
      <w:r w:rsidR="002062A8" w:rsidRPr="003E6BBA">
        <w:t>)</w:t>
      </w:r>
      <w:r w:rsidRPr="003E6BBA">
        <w:t xml:space="preserve"> data</w:t>
      </w:r>
      <w:r w:rsidR="00AB2360" w:rsidRPr="003E6BBA">
        <w:t xml:space="preserve"> </w:t>
      </w:r>
      <w:r w:rsidRPr="003E6BBA">
        <w:t>2009-10 and 2011-12.</w:t>
      </w:r>
    </w:p>
    <w:p w:rsidR="00CE4056" w:rsidRPr="003E6BBA" w:rsidRDefault="0008525A" w:rsidP="0008525A">
      <w:pPr>
        <w:pStyle w:val="CGCNumberedPara"/>
      </w:pPr>
      <w:r w:rsidRPr="003E6BBA">
        <w:t>New South Wales Health also conducted analysis of ED presentations in a number of hospitals from 2004-05 to 2008-09</w:t>
      </w:r>
      <w:r w:rsidR="00A94369" w:rsidRPr="003E6BBA">
        <w:t xml:space="preserve">. The results </w:t>
      </w:r>
      <w:r w:rsidRPr="003E6BBA">
        <w:t>showed that the level of avoidable presentations was 18% for metropolitan hospitals and 27% for regional hospitals</w:t>
      </w:r>
      <w:r w:rsidR="00A94369" w:rsidRPr="003E6BBA">
        <w:t>, which is</w:t>
      </w:r>
      <w:r w:rsidRPr="003E6BBA">
        <w:t xml:space="preserve"> considerably lower than the 40% outlined in the draft report.</w:t>
      </w:r>
    </w:p>
    <w:p w:rsidR="00923215" w:rsidRPr="003E6BBA" w:rsidRDefault="0008525A" w:rsidP="0008525A">
      <w:pPr>
        <w:pStyle w:val="CGCNumberedPara"/>
      </w:pPr>
      <w:r w:rsidRPr="003E6BBA">
        <w:t>Both New South Wales and Victoria</w:t>
      </w:r>
      <w:r w:rsidR="000A5F3F" w:rsidRPr="003E6BBA">
        <w:t xml:space="preserve"> believe the Commission made errors in its interpretation of the ABS </w:t>
      </w:r>
      <w:r w:rsidR="000A5F3F" w:rsidRPr="003E6BBA">
        <w:rPr>
          <w:i/>
        </w:rPr>
        <w:t xml:space="preserve">Patient Experiences </w:t>
      </w:r>
      <w:r w:rsidR="000A5F3F" w:rsidRPr="003E6BBA">
        <w:t xml:space="preserve">survey data. They believe that the additional 15% that cited the time or day as the main reason for not seeing a GP should be excluded because it was most likely due to the lack of GP availability after hours </w:t>
      </w:r>
      <w:r w:rsidR="00A94369" w:rsidRPr="003E6BBA">
        <w:t>either because it wa</w:t>
      </w:r>
      <w:r w:rsidR="000A5F3F" w:rsidRPr="003E6BBA">
        <w:t>s the weekend, or after business hours</w:t>
      </w:r>
      <w:r w:rsidR="00A94369" w:rsidRPr="003E6BBA">
        <w:t xml:space="preserve"> when their GP is closed.</w:t>
      </w:r>
    </w:p>
    <w:p w:rsidR="00690DB5" w:rsidRPr="003E6BBA" w:rsidRDefault="000A5F3F" w:rsidP="0008525A">
      <w:pPr>
        <w:pStyle w:val="CGCNumberedPara"/>
      </w:pPr>
      <w:r w:rsidRPr="003E6BBA">
        <w:t xml:space="preserve">Victoria </w:t>
      </w:r>
      <w:r w:rsidR="00A87B1C" w:rsidRPr="003E6BBA">
        <w:t>assert</w:t>
      </w:r>
      <w:r w:rsidR="00781FDF" w:rsidRPr="003E6BBA">
        <w:t>ed</w:t>
      </w:r>
      <w:r w:rsidR="00A87B1C" w:rsidRPr="003E6BBA">
        <w:t xml:space="preserve"> </w:t>
      </w:r>
      <w:r w:rsidRPr="003E6BBA">
        <w:t>that the level of substitutability is only 2.5%, where patient</w:t>
      </w:r>
      <w:r w:rsidR="000E5053" w:rsidRPr="003E6BBA">
        <w:t>s</w:t>
      </w:r>
      <w:r w:rsidRPr="003E6BBA">
        <w:t xml:space="preserve"> </w:t>
      </w:r>
      <w:r w:rsidR="00923215" w:rsidRPr="003E6BBA">
        <w:t xml:space="preserve">stated that they attended </w:t>
      </w:r>
      <w:r w:rsidRPr="003E6BBA">
        <w:t>the ED bec</w:t>
      </w:r>
      <w:r w:rsidR="00923215" w:rsidRPr="003E6BBA">
        <w:t>ause the waiting time for a GP wa</w:t>
      </w:r>
      <w:r w:rsidRPr="003E6BBA">
        <w:t>s too long.</w:t>
      </w:r>
      <w:r w:rsidR="00923215" w:rsidRPr="003E6BBA">
        <w:t xml:space="preserve"> However, they concede that, for an upper limit, the evidence does not support a rate of substitutability any higher than 2</w:t>
      </w:r>
      <w:r w:rsidR="00496B45" w:rsidRPr="003E6BBA">
        <w:t>3</w:t>
      </w:r>
      <w:r w:rsidR="00923215" w:rsidRPr="003E6BBA">
        <w:t>%.</w:t>
      </w:r>
    </w:p>
    <w:p w:rsidR="000A5F3F" w:rsidRPr="003E6BBA" w:rsidRDefault="00923215" w:rsidP="00923215">
      <w:pPr>
        <w:pStyle w:val="CGCNumberedPara"/>
      </w:pPr>
      <w:r w:rsidRPr="003E6BBA">
        <w:t xml:space="preserve">South Australia provided data on price weights for emergency services used by IHPA that showed that triage 4 and 5 presentations are significantly less costly than triage 1 to 3 presentations. South Australia said that the data to be used in the </w:t>
      </w:r>
      <w:r w:rsidRPr="003E6BBA">
        <w:lastRenderedPageBreak/>
        <w:t>calculations need to be cost-weighted, which would reduce the level of substitutability.</w:t>
      </w:r>
    </w:p>
    <w:p w:rsidR="00923215" w:rsidRPr="003E6BBA" w:rsidRDefault="00A94369" w:rsidP="00923215">
      <w:pPr>
        <w:pStyle w:val="CGCNumberedPara"/>
      </w:pPr>
      <w:r w:rsidRPr="003E6BBA">
        <w:t>O</w:t>
      </w:r>
      <w:r w:rsidR="00DB08F8" w:rsidRPr="003E6BBA">
        <w:t>n</w:t>
      </w:r>
      <w:r w:rsidRPr="003E6BBA">
        <w:t xml:space="preserve"> the other hand, t</w:t>
      </w:r>
      <w:r w:rsidR="00923215" w:rsidRPr="003E6BBA">
        <w:t>he ACT suggested a substitutability proportion of 45% while the Northern Territory said the rate should be substantially higher than 40%.</w:t>
      </w:r>
    </w:p>
    <w:p w:rsidR="000D61FF" w:rsidRPr="003E6BBA" w:rsidRDefault="000D61FF" w:rsidP="000D61FF">
      <w:pPr>
        <w:pStyle w:val="Heading4"/>
      </w:pPr>
      <w:bookmarkStart w:id="51" w:name="_Toc405559332"/>
      <w:bookmarkStart w:id="52" w:name="_Toc405559414"/>
      <w:bookmarkStart w:id="53" w:name="_Toc405559447"/>
      <w:bookmarkStart w:id="54" w:name="_Toc405559482"/>
      <w:bookmarkStart w:id="55" w:name="_Toc406659090"/>
      <w:bookmarkStart w:id="56" w:name="_Toc406659211"/>
      <w:r w:rsidRPr="003E6BBA">
        <w:t>Consultants’ views</w:t>
      </w:r>
      <w:bookmarkEnd w:id="51"/>
      <w:bookmarkEnd w:id="52"/>
      <w:bookmarkEnd w:id="53"/>
      <w:bookmarkEnd w:id="54"/>
      <w:bookmarkEnd w:id="55"/>
      <w:bookmarkEnd w:id="56"/>
    </w:p>
    <w:p w:rsidR="00EA59F6" w:rsidRPr="003E6BBA" w:rsidRDefault="00EA59F6" w:rsidP="001E483F">
      <w:pPr>
        <w:pStyle w:val="CGCNumberedPara"/>
      </w:pPr>
      <w:r w:rsidRPr="003E6BBA">
        <w:t>The consultants believe that the 40% level of substitution of ED services used as a placeholder in the draft report is too high and is more in the range of 10-20%.</w:t>
      </w:r>
    </w:p>
    <w:p w:rsidR="00AC66E5" w:rsidRPr="003E6BBA" w:rsidRDefault="00AC66E5" w:rsidP="00AC66E5">
      <w:pPr>
        <w:pStyle w:val="CGCNumberedPara"/>
      </w:pPr>
      <w:r w:rsidRPr="003E6BBA">
        <w:t xml:space="preserve">Savage said all GPs provide services that are technically substitutable with the triage 4 and 5 services provided in EDs. However, the extent to which people are willing to change an intended ED visit to a GP visit varies. GP clinics co-located with EDs have been the most successful strategy for reducing ED visits. Bulk billed services are also thought to be more effective. She concluded that 20% substitutability might be a </w:t>
      </w:r>
      <w:r w:rsidR="006E07E2" w:rsidRPr="003E6BBA">
        <w:t xml:space="preserve">more </w:t>
      </w:r>
      <w:r w:rsidRPr="003E6BBA">
        <w:t>suitable approximation level.</w:t>
      </w:r>
    </w:p>
    <w:p w:rsidR="00AC66E5" w:rsidRPr="003E6BBA" w:rsidRDefault="00AC66E5" w:rsidP="00AC66E5">
      <w:pPr>
        <w:pStyle w:val="CGCNumberedPara"/>
      </w:pPr>
      <w:r w:rsidRPr="003E6BBA">
        <w:t xml:space="preserve">She said the </w:t>
      </w:r>
      <w:r w:rsidR="006E07E2" w:rsidRPr="003E6BBA">
        <w:t>Commission</w:t>
      </w:r>
      <w:r w:rsidRPr="003E6BBA">
        <w:t xml:space="preserve"> will struggle to obtain data on, and a comprehensive model quantifying the impact of, the location of GPs, their opening hours and other factors. In the absence of this, the level of bulk billed GP throughput is a better measure of the level of substitutable private services than total GP throughput.</w:t>
      </w:r>
    </w:p>
    <w:p w:rsidR="001E483F" w:rsidRPr="003E6BBA" w:rsidRDefault="00AC66E5" w:rsidP="001E483F">
      <w:pPr>
        <w:pStyle w:val="CGCNumberedPara"/>
      </w:pPr>
      <w:r w:rsidRPr="003E6BBA">
        <w:t xml:space="preserve">Both consultants </w:t>
      </w:r>
      <w:r w:rsidR="001E483F" w:rsidRPr="003E6BBA">
        <w:t>did not support using the proportion</w:t>
      </w:r>
      <w:r w:rsidR="00A730DD" w:rsidRPr="003E6BBA">
        <w:t>s</w:t>
      </w:r>
      <w:r w:rsidR="001E483F" w:rsidRPr="003E6BBA">
        <w:t xml:space="preserve"> from the </w:t>
      </w:r>
      <w:r w:rsidR="00EA59F6" w:rsidRPr="003E6BBA">
        <w:t xml:space="preserve">ABS </w:t>
      </w:r>
      <w:r w:rsidR="001E483F" w:rsidRPr="003E6BBA">
        <w:rPr>
          <w:i/>
        </w:rPr>
        <w:t>Patient experiences</w:t>
      </w:r>
      <w:r w:rsidR="001E483F" w:rsidRPr="003E6BBA">
        <w:t xml:space="preserve"> survey. Downie said it is difficult to draw robust conclusions from the survey and it isn’t suited to making the estimates that the </w:t>
      </w:r>
      <w:r w:rsidR="006E07E2" w:rsidRPr="003E6BBA">
        <w:t>Commission</w:t>
      </w:r>
      <w:r w:rsidR="001E483F" w:rsidRPr="003E6BBA">
        <w:t xml:space="preserve"> need for this methodology. Savage said that surveys of patient intent or reasons are notoriously poor at explaining what people actually do</w:t>
      </w:r>
      <w:r w:rsidR="006E07E2" w:rsidRPr="003E6BBA">
        <w:t>. However, i</w:t>
      </w:r>
      <w:r w:rsidR="001E483F" w:rsidRPr="003E6BBA">
        <w:t xml:space="preserve">f the </w:t>
      </w:r>
      <w:r w:rsidR="006E07E2" w:rsidRPr="003E6BBA">
        <w:t>Commission</w:t>
      </w:r>
      <w:r w:rsidR="001E483F" w:rsidRPr="003E6BBA">
        <w:t xml:space="preserve"> does use the survey, it should be more explicit about the concepts it adds to derive the 40% estimate, and should not include groups that may not be substitutable.</w:t>
      </w:r>
    </w:p>
    <w:p w:rsidR="00A730DD" w:rsidRPr="003E6BBA" w:rsidRDefault="00AC66E5" w:rsidP="00A730DD">
      <w:pPr>
        <w:pStyle w:val="CGCNumberedPara"/>
      </w:pPr>
      <w:r w:rsidRPr="003E6BBA">
        <w:t>They</w:t>
      </w:r>
      <w:r w:rsidR="001E483F" w:rsidRPr="003E6BBA">
        <w:t xml:space="preserve"> expressed more support for the </w:t>
      </w:r>
      <w:r w:rsidR="006E07E2" w:rsidRPr="003E6BBA">
        <w:t xml:space="preserve">Perth hospital </w:t>
      </w:r>
      <w:r w:rsidR="001E483F" w:rsidRPr="003E6BBA">
        <w:t>study by Nagree et al</w:t>
      </w:r>
      <w:r w:rsidR="005774BA" w:rsidRPr="003E6BBA">
        <w:t>,</w:t>
      </w:r>
      <w:r w:rsidR="00DA1947" w:rsidRPr="003E6BBA">
        <w:t xml:space="preserve"> </w:t>
      </w:r>
      <w:r w:rsidR="001E483F" w:rsidRPr="003E6BBA">
        <w:t xml:space="preserve">although </w:t>
      </w:r>
      <w:r w:rsidR="000D61FF" w:rsidRPr="003E6BBA">
        <w:t xml:space="preserve">Savage </w:t>
      </w:r>
      <w:r w:rsidR="00A730DD" w:rsidRPr="003E6BBA">
        <w:t xml:space="preserve">noted that </w:t>
      </w:r>
      <w:r w:rsidR="00EA59F6" w:rsidRPr="003E6BBA">
        <w:t xml:space="preserve">the </w:t>
      </w:r>
      <w:r w:rsidR="00A730DD" w:rsidRPr="003E6BBA">
        <w:t>study was confined to a small sample of metropolitan hospitals and may not be representative of other regions.</w:t>
      </w:r>
    </w:p>
    <w:p w:rsidR="00A730DD" w:rsidRPr="003E6BBA" w:rsidRDefault="00A730DD" w:rsidP="00A730DD">
      <w:pPr>
        <w:pStyle w:val="CGCNumberedPara"/>
      </w:pPr>
      <w:r w:rsidRPr="003E6BBA">
        <w:t>Downie provided a new reference</w:t>
      </w:r>
      <w:r w:rsidR="006C38B5" w:rsidRPr="003E6BBA">
        <w:t xml:space="preserve"> — t</w:t>
      </w:r>
      <w:r w:rsidRPr="003E6BBA">
        <w:t xml:space="preserve">he Canadian Institute for Health Information (CIHI) released a report in 2014 </w:t>
      </w:r>
      <w:r w:rsidR="005774BA" w:rsidRPr="003E6BBA">
        <w:rPr>
          <w:rFonts w:eastAsia="Times New Roman" w:cs="Times New Roman"/>
          <w:lang w:eastAsia="en-GB"/>
        </w:rPr>
        <w:t xml:space="preserve">estimating that 20% of patients who are not admitted at the end of their ED presentation could have been treated by a GP. This equates to 17% of all ED presentations in the Canadian system. </w:t>
      </w:r>
      <w:r w:rsidRPr="003E6BBA">
        <w:t>In 2011-12, 70% of Australian ED presentations ended with the patient not being admitted or transferred to another hospital. Applying the Canadian estimate of 20% of non-admitted ED patients being potentially avoidable to the Australian data yields an estimate of 14% of total ED presentations being potentially avoidable.</w:t>
      </w:r>
    </w:p>
    <w:p w:rsidR="00DA1947" w:rsidRPr="003E6BBA" w:rsidRDefault="00DA1947" w:rsidP="00DA1947">
      <w:pPr>
        <w:pStyle w:val="CGCNumberedPara"/>
        <w:rPr>
          <w:lang w:eastAsia="en-GB"/>
        </w:rPr>
      </w:pPr>
      <w:r w:rsidRPr="003E6BBA">
        <w:rPr>
          <w:lang w:eastAsia="en-GB"/>
        </w:rPr>
        <w:t xml:space="preserve">On balance, the AIHW figure appears to be significantly overstated when compared with the </w:t>
      </w:r>
      <w:r w:rsidR="00BC4474" w:rsidRPr="003E6BBA">
        <w:rPr>
          <w:lang w:eastAsia="en-GB"/>
        </w:rPr>
        <w:t>Perth study</w:t>
      </w:r>
      <w:r w:rsidRPr="003E6BBA">
        <w:rPr>
          <w:lang w:eastAsia="en-GB"/>
        </w:rPr>
        <w:t xml:space="preserve"> and the more comprehensive approach adopted by CIHI.</w:t>
      </w:r>
    </w:p>
    <w:p w:rsidR="00DA1947" w:rsidRPr="003E6BBA" w:rsidRDefault="002F4241" w:rsidP="00DA1947">
      <w:pPr>
        <w:pStyle w:val="CGCNumberedPara"/>
        <w:rPr>
          <w:lang w:eastAsia="en-GB"/>
        </w:rPr>
      </w:pPr>
      <w:r w:rsidRPr="003E6BBA">
        <w:rPr>
          <w:lang w:eastAsia="en-GB"/>
        </w:rPr>
        <w:lastRenderedPageBreak/>
        <w:t xml:space="preserve">Downie </w:t>
      </w:r>
      <w:r w:rsidR="00DA1947" w:rsidRPr="003E6BBA">
        <w:rPr>
          <w:lang w:eastAsia="en-GB"/>
        </w:rPr>
        <w:t xml:space="preserve">said that given that the ABS survey data relies on patient perception, the clinically derived methodologies by Nagree et al and the more comprehensive approach adopted by CIHI should be given priority, especially given that they </w:t>
      </w:r>
      <w:r w:rsidR="00BC4474" w:rsidRPr="003E6BBA">
        <w:rPr>
          <w:lang w:eastAsia="en-GB"/>
        </w:rPr>
        <w:t>both</w:t>
      </w:r>
      <w:r w:rsidR="00DA1947" w:rsidRPr="003E6BBA">
        <w:rPr>
          <w:lang w:eastAsia="en-GB"/>
        </w:rPr>
        <w:t xml:space="preserve"> yield similar results.</w:t>
      </w:r>
    </w:p>
    <w:p w:rsidR="00DA1947" w:rsidRPr="003E6BBA" w:rsidRDefault="00DA1947" w:rsidP="00DA1947">
      <w:pPr>
        <w:pStyle w:val="CGCNumberedPara"/>
        <w:rPr>
          <w:lang w:eastAsia="en-GB"/>
        </w:rPr>
      </w:pPr>
      <w:r w:rsidRPr="003E6BBA">
        <w:rPr>
          <w:lang w:eastAsia="en-GB"/>
        </w:rPr>
        <w:t xml:space="preserve">For this reason, he said that a more appropriate estimate for the </w:t>
      </w:r>
      <w:r w:rsidR="005774BA" w:rsidRPr="003E6BBA">
        <w:rPr>
          <w:lang w:eastAsia="en-GB"/>
        </w:rPr>
        <w:t>Commission</w:t>
      </w:r>
      <w:r w:rsidRPr="003E6BBA">
        <w:rPr>
          <w:lang w:eastAsia="en-GB"/>
        </w:rPr>
        <w:t xml:space="preserve"> to use for the proportion of ED presentations that are potentially able to be provided by GPs is 15%.</w:t>
      </w:r>
      <w:r w:rsidR="00BC4474" w:rsidRPr="003E6BBA">
        <w:rPr>
          <w:lang w:eastAsia="en-GB"/>
        </w:rPr>
        <w:t xml:space="preserve"> </w:t>
      </w:r>
      <w:r w:rsidRPr="003E6BBA">
        <w:rPr>
          <w:rFonts w:eastAsia="Times New Roman" w:cs="Times New Roman"/>
          <w:lang w:eastAsia="en-GB"/>
        </w:rPr>
        <w:t xml:space="preserve">Although, considering triage 4 and 5 presentations are around half </w:t>
      </w:r>
      <w:r w:rsidR="00BC4474" w:rsidRPr="003E6BBA">
        <w:rPr>
          <w:rFonts w:eastAsia="Times New Roman" w:cs="Times New Roman"/>
          <w:lang w:eastAsia="en-GB"/>
        </w:rPr>
        <w:t xml:space="preserve">the cost </w:t>
      </w:r>
      <w:r w:rsidRPr="003E6BBA">
        <w:rPr>
          <w:rFonts w:eastAsia="Times New Roman" w:cs="Times New Roman"/>
          <w:lang w:eastAsia="en-GB"/>
        </w:rPr>
        <w:t>of other triage presentations, th</w:t>
      </w:r>
      <w:r w:rsidR="00BC4474" w:rsidRPr="003E6BBA">
        <w:rPr>
          <w:rFonts w:eastAsia="Times New Roman" w:cs="Times New Roman"/>
          <w:lang w:eastAsia="en-GB"/>
        </w:rPr>
        <w:t xml:space="preserve">e </w:t>
      </w:r>
      <w:r w:rsidR="002609C5" w:rsidRPr="003E6BBA">
        <w:rPr>
          <w:rFonts w:eastAsia="Times New Roman" w:cs="Times New Roman"/>
          <w:lang w:eastAsia="en-GB"/>
        </w:rPr>
        <w:t>substitutable expenses</w:t>
      </w:r>
      <w:r w:rsidRPr="003E6BBA">
        <w:rPr>
          <w:rFonts w:eastAsia="Times New Roman" w:cs="Times New Roman"/>
          <w:lang w:eastAsia="en-GB"/>
        </w:rPr>
        <w:t xml:space="preserve"> may be lower than 15%.</w:t>
      </w:r>
    </w:p>
    <w:p w:rsidR="00D70554" w:rsidRPr="003E6BBA" w:rsidRDefault="00D70554" w:rsidP="00D70554">
      <w:pPr>
        <w:pStyle w:val="Heading4"/>
      </w:pPr>
      <w:bookmarkStart w:id="57" w:name="_Toc405559333"/>
      <w:bookmarkStart w:id="58" w:name="_Toc405559415"/>
      <w:bookmarkStart w:id="59" w:name="_Toc405559448"/>
      <w:bookmarkStart w:id="60" w:name="_Toc405559483"/>
      <w:bookmarkStart w:id="61" w:name="_Toc406659091"/>
      <w:bookmarkStart w:id="62" w:name="_Toc406659212"/>
      <w:r w:rsidRPr="003E6BBA">
        <w:t>Analysis</w:t>
      </w:r>
      <w:bookmarkEnd w:id="57"/>
      <w:bookmarkEnd w:id="58"/>
      <w:bookmarkEnd w:id="59"/>
      <w:bookmarkEnd w:id="60"/>
      <w:bookmarkEnd w:id="61"/>
      <w:bookmarkEnd w:id="62"/>
    </w:p>
    <w:p w:rsidR="00A730DD" w:rsidRPr="003E6BBA" w:rsidRDefault="00496FB0" w:rsidP="00A730DD">
      <w:pPr>
        <w:pStyle w:val="CGCNumberedPara"/>
      </w:pPr>
      <w:r w:rsidRPr="003E6BBA">
        <w:t>Based on the analysis provided by the consultants, staff agree that the level of substitution of ED services should be reduced more in the range of 10-20%. However, if we consider each of the studies presented by States and the consultants, there are a number of issues the Commission needs to take into account.</w:t>
      </w:r>
    </w:p>
    <w:p w:rsidR="00AF758D" w:rsidRPr="003E6BBA" w:rsidRDefault="00AF758D" w:rsidP="00AF758D">
      <w:pPr>
        <w:pStyle w:val="CGCBulletlist"/>
        <w:rPr>
          <w:lang w:eastAsia="en-GB"/>
        </w:rPr>
      </w:pPr>
      <w:r w:rsidRPr="003E6BBA">
        <w:t xml:space="preserve">Compared with the other studies, the AIHW figure of 38% of substitutability appears high. Downie said that </w:t>
      </w:r>
      <w:r w:rsidRPr="003E6BBA">
        <w:rPr>
          <w:lang w:eastAsia="en-GB"/>
        </w:rPr>
        <w:t>the methodology used is likely to be revised in future years, partly in response to a reasonable degree of disagreement about whether or not the AIHW methodology produces a reasonable result.</w:t>
      </w:r>
    </w:p>
    <w:p w:rsidR="00AF758D" w:rsidRPr="003E6BBA" w:rsidRDefault="00AF758D" w:rsidP="00AF758D">
      <w:pPr>
        <w:pStyle w:val="CGCBulletlist"/>
      </w:pPr>
      <w:r w:rsidRPr="003E6BBA">
        <w:t xml:space="preserve">The Perth study by Nagree et al concludes that 10-12% of ED presentations could have been managed by a GP. However, Savage notes that this study was confined to three metropolitan hospitals in Perth and may not be representative of other regions. </w:t>
      </w:r>
      <w:r w:rsidR="00F904E5" w:rsidRPr="003E6BBA">
        <w:t xml:space="preserve">Staff agree </w:t>
      </w:r>
      <w:r w:rsidR="00EA0C58" w:rsidRPr="003E6BBA">
        <w:t>with Savage</w:t>
      </w:r>
      <w:r w:rsidR="005F1030" w:rsidRPr="003E6BBA">
        <w:t>. D</w:t>
      </w:r>
      <w:r w:rsidRPr="003E6BBA">
        <w:t>ata from IHPA</w:t>
      </w:r>
      <w:r w:rsidR="00F904E5" w:rsidRPr="003E6BBA">
        <w:t xml:space="preserve"> </w:t>
      </w:r>
      <w:r w:rsidRPr="003E6BBA">
        <w:t xml:space="preserve">show that outside major cities, </w:t>
      </w:r>
      <w:r w:rsidR="00F904E5" w:rsidRPr="003E6BBA">
        <w:t xml:space="preserve">there </w:t>
      </w:r>
      <w:r w:rsidR="005F1030" w:rsidRPr="003E6BBA">
        <w:t>are a greater proportion of triage 4 and 5 presentations</w:t>
      </w:r>
      <w:r w:rsidR="00F904E5" w:rsidRPr="003E6BBA">
        <w:t xml:space="preserve"> to an ED (</w:t>
      </w:r>
      <w:r w:rsidR="005842B7" w:rsidRPr="003E6BBA">
        <w:fldChar w:fldCharType="begin"/>
      </w:r>
      <w:r w:rsidR="005842B7" w:rsidRPr="003E6BBA">
        <w:instrText xml:space="preserve"> REF _Ref405968115 \h </w:instrText>
      </w:r>
      <w:r w:rsidR="009C1BA7" w:rsidRPr="003E6BBA">
        <w:instrText xml:space="preserve"> \* MERGEFORMAT </w:instrText>
      </w:r>
      <w:r w:rsidR="005842B7" w:rsidRPr="003E6BBA">
        <w:fldChar w:fldCharType="separate"/>
      </w:r>
      <w:r w:rsidR="00DC6FC3" w:rsidRPr="003E6BBA">
        <w:t xml:space="preserve">Table </w:t>
      </w:r>
      <w:r w:rsidR="00DC6FC3">
        <w:rPr>
          <w:noProof/>
        </w:rPr>
        <w:t>1</w:t>
      </w:r>
      <w:r w:rsidR="005842B7" w:rsidRPr="003E6BBA">
        <w:fldChar w:fldCharType="end"/>
      </w:r>
      <w:r w:rsidR="00F904E5" w:rsidRPr="003E6BBA">
        <w:t xml:space="preserve">). </w:t>
      </w:r>
      <w:r w:rsidR="002609C5" w:rsidRPr="003E6BBA">
        <w:t xml:space="preserve">In addition, staff consider the concept trying to be measured is not just technical clinical substitutability, there is a social element of where patients choose to be serviced. </w:t>
      </w:r>
      <w:r w:rsidR="00F904E5" w:rsidRPr="003E6BBA">
        <w:t xml:space="preserve">This indicates that the 10-12% level probably understates the </w:t>
      </w:r>
      <w:r w:rsidR="005F1030" w:rsidRPr="003E6BBA">
        <w:t xml:space="preserve">true </w:t>
      </w:r>
      <w:r w:rsidR="00F904E5" w:rsidRPr="003E6BBA">
        <w:t xml:space="preserve">level of </w:t>
      </w:r>
      <w:r w:rsidR="00132A4D" w:rsidRPr="003E6BBA">
        <w:t xml:space="preserve">presentation </w:t>
      </w:r>
      <w:r w:rsidR="00F904E5" w:rsidRPr="003E6BBA">
        <w:t>substitutability</w:t>
      </w:r>
      <w:r w:rsidR="005F1030" w:rsidRPr="003E6BBA">
        <w:t xml:space="preserve"> across all regions</w:t>
      </w:r>
      <w:r w:rsidR="00F904E5" w:rsidRPr="003E6BBA">
        <w:t>.</w:t>
      </w:r>
    </w:p>
    <w:p w:rsidR="005F1030" w:rsidRPr="003E6BBA" w:rsidRDefault="005842B7" w:rsidP="005842B7">
      <w:pPr>
        <w:pStyle w:val="Caption"/>
      </w:pPr>
      <w:bookmarkStart w:id="63" w:name="_Ref405968115"/>
      <w:r w:rsidRPr="003E6BBA">
        <w:t xml:space="preserve">Table </w:t>
      </w:r>
      <w:fldSimple w:instr=" SEQ Table \* ARABIC ">
        <w:r w:rsidR="00DC6FC3">
          <w:rPr>
            <w:noProof/>
          </w:rPr>
          <w:t>1</w:t>
        </w:r>
      </w:fldSimple>
      <w:bookmarkEnd w:id="63"/>
      <w:r w:rsidR="005F1030" w:rsidRPr="003E6BBA">
        <w:tab/>
        <w:t>ED presentation rates</w:t>
      </w:r>
      <w:r w:rsidR="00EA0C58" w:rsidRPr="003E6BBA">
        <w:t xml:space="preserve"> per 1 000 population</w:t>
      </w:r>
      <w:r w:rsidR="005F1030" w:rsidRPr="003E6BBA">
        <w:t>, by remoteness, 2012-13</w:t>
      </w:r>
    </w:p>
    <w:tbl>
      <w:tblPr>
        <w:tblW w:w="9040" w:type="dxa"/>
        <w:tblInd w:w="93" w:type="dxa"/>
        <w:tblLook w:val="04A0" w:firstRow="1" w:lastRow="0" w:firstColumn="1" w:lastColumn="0" w:noHBand="0" w:noVBand="1"/>
      </w:tblPr>
      <w:tblGrid>
        <w:gridCol w:w="2500"/>
        <w:gridCol w:w="1720"/>
        <w:gridCol w:w="2320"/>
        <w:gridCol w:w="2500"/>
      </w:tblGrid>
      <w:tr w:rsidR="00EA0C58" w:rsidRPr="003E6BBA" w:rsidTr="00EA0C58">
        <w:trPr>
          <w:trHeight w:val="315"/>
        </w:trPr>
        <w:tc>
          <w:tcPr>
            <w:tcW w:w="2500" w:type="dxa"/>
            <w:tcBorders>
              <w:top w:val="single" w:sz="4" w:space="0" w:color="auto"/>
              <w:left w:val="nil"/>
              <w:bottom w:val="single" w:sz="4" w:space="0" w:color="auto"/>
              <w:right w:val="nil"/>
            </w:tcBorders>
            <w:shd w:val="clear" w:color="auto" w:fill="auto"/>
            <w:noWrap/>
            <w:vAlign w:val="center"/>
            <w:hideMark/>
          </w:tcPr>
          <w:p w:rsidR="00EA0C58" w:rsidRPr="003E6BBA" w:rsidRDefault="00EA0C58" w:rsidP="00EA0C58">
            <w:pPr>
              <w:keepNext/>
              <w:tabs>
                <w:tab w:val="clear" w:pos="567"/>
              </w:tabs>
              <w:spacing w:after="0" w:line="240" w:lineRule="auto"/>
              <w:rPr>
                <w:rFonts w:ascii="Calibri" w:eastAsia="Times New Roman" w:hAnsi="Calibri" w:cs="Times New Roman"/>
                <w:sz w:val="20"/>
                <w:szCs w:val="20"/>
                <w:lang w:eastAsia="en-AU"/>
              </w:rPr>
            </w:pPr>
            <w:bookmarkStart w:id="64" w:name="RANGE!A2:D8"/>
            <w:bookmarkStart w:id="65" w:name="RANGE!A2:C8"/>
            <w:bookmarkEnd w:id="64"/>
            <w:r w:rsidRPr="003E6BBA">
              <w:rPr>
                <w:rFonts w:ascii="Calibri" w:eastAsia="Times New Roman" w:hAnsi="Calibri" w:cs="Times New Roman"/>
                <w:sz w:val="20"/>
                <w:szCs w:val="20"/>
                <w:lang w:eastAsia="en-AU"/>
              </w:rPr>
              <w:t>Remoteness</w:t>
            </w:r>
            <w:bookmarkEnd w:id="65"/>
          </w:p>
        </w:tc>
        <w:tc>
          <w:tcPr>
            <w:tcW w:w="1720" w:type="dxa"/>
            <w:tcBorders>
              <w:top w:val="single" w:sz="4" w:space="0" w:color="auto"/>
              <w:left w:val="nil"/>
              <w:bottom w:val="single" w:sz="4" w:space="0" w:color="auto"/>
              <w:right w:val="nil"/>
            </w:tcBorders>
            <w:shd w:val="clear" w:color="auto" w:fill="auto"/>
            <w:noWrap/>
            <w:vAlign w:val="center"/>
            <w:hideMark/>
          </w:tcPr>
          <w:p w:rsidR="00EA0C58" w:rsidRPr="003E6BBA" w:rsidRDefault="00EA0C58" w:rsidP="00EA0C5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All EDs</w:t>
            </w:r>
          </w:p>
        </w:tc>
        <w:tc>
          <w:tcPr>
            <w:tcW w:w="2320" w:type="dxa"/>
            <w:tcBorders>
              <w:top w:val="single" w:sz="4" w:space="0" w:color="auto"/>
              <w:left w:val="nil"/>
              <w:bottom w:val="single" w:sz="4" w:space="0" w:color="auto"/>
              <w:right w:val="nil"/>
            </w:tcBorders>
            <w:shd w:val="clear" w:color="auto" w:fill="auto"/>
            <w:noWrap/>
            <w:vAlign w:val="center"/>
            <w:hideMark/>
          </w:tcPr>
          <w:p w:rsidR="00EA0C58" w:rsidRPr="003E6BBA" w:rsidRDefault="00EA0C58" w:rsidP="00EA0C5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Triage 4 and 5</w:t>
            </w:r>
          </w:p>
        </w:tc>
        <w:tc>
          <w:tcPr>
            <w:tcW w:w="2500" w:type="dxa"/>
            <w:tcBorders>
              <w:top w:val="single" w:sz="4" w:space="0" w:color="auto"/>
              <w:left w:val="nil"/>
              <w:bottom w:val="single" w:sz="4" w:space="0" w:color="auto"/>
              <w:right w:val="nil"/>
            </w:tcBorders>
            <w:shd w:val="clear" w:color="auto" w:fill="auto"/>
            <w:noWrap/>
            <w:vAlign w:val="center"/>
            <w:hideMark/>
          </w:tcPr>
          <w:p w:rsidR="00EA0C58" w:rsidRPr="003E6BBA" w:rsidRDefault="00EA0C58" w:rsidP="00EA0C5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Triage 4 and 5</w:t>
            </w:r>
          </w:p>
        </w:tc>
      </w:tr>
      <w:tr w:rsidR="00EA0C58" w:rsidRPr="003E6BBA" w:rsidTr="00EA0C58">
        <w:trPr>
          <w:trHeight w:val="315"/>
        </w:trPr>
        <w:tc>
          <w:tcPr>
            <w:tcW w:w="2500" w:type="dxa"/>
            <w:tcBorders>
              <w:top w:val="nil"/>
              <w:left w:val="nil"/>
              <w:bottom w:val="nil"/>
              <w:right w:val="nil"/>
            </w:tcBorders>
            <w:shd w:val="clear" w:color="auto" w:fill="auto"/>
            <w:noWrap/>
            <w:vAlign w:val="bottom"/>
            <w:hideMark/>
          </w:tcPr>
          <w:p w:rsidR="00EA0C58" w:rsidRPr="003E6BBA" w:rsidRDefault="00EA0C58" w:rsidP="00EA0C58">
            <w:pPr>
              <w:keepNext/>
              <w:tabs>
                <w:tab w:val="clear" w:pos="567"/>
              </w:tabs>
              <w:spacing w:after="0" w:line="240" w:lineRule="auto"/>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Major cities</w:t>
            </w:r>
          </w:p>
        </w:tc>
        <w:tc>
          <w:tcPr>
            <w:tcW w:w="1720" w:type="dxa"/>
            <w:tcBorders>
              <w:top w:val="nil"/>
              <w:left w:val="nil"/>
              <w:bottom w:val="nil"/>
              <w:right w:val="nil"/>
            </w:tcBorders>
            <w:shd w:val="clear" w:color="auto" w:fill="auto"/>
            <w:noWrap/>
            <w:vAlign w:val="bottom"/>
            <w:hideMark/>
          </w:tcPr>
          <w:p w:rsidR="00EA0C58" w:rsidRPr="003E6BBA" w:rsidRDefault="00EA0C58" w:rsidP="00EA0C5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275</w:t>
            </w:r>
          </w:p>
        </w:tc>
        <w:tc>
          <w:tcPr>
            <w:tcW w:w="2320" w:type="dxa"/>
            <w:tcBorders>
              <w:top w:val="nil"/>
              <w:left w:val="nil"/>
              <w:bottom w:val="nil"/>
              <w:right w:val="nil"/>
            </w:tcBorders>
            <w:shd w:val="clear" w:color="auto" w:fill="auto"/>
            <w:noWrap/>
            <w:vAlign w:val="bottom"/>
            <w:hideMark/>
          </w:tcPr>
          <w:p w:rsidR="00EA0C58" w:rsidRPr="003E6BBA" w:rsidRDefault="00EA0C58" w:rsidP="00EA0C5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140</w:t>
            </w:r>
          </w:p>
        </w:tc>
        <w:tc>
          <w:tcPr>
            <w:tcW w:w="2500" w:type="dxa"/>
            <w:tcBorders>
              <w:top w:val="nil"/>
              <w:left w:val="nil"/>
              <w:bottom w:val="nil"/>
              <w:right w:val="nil"/>
            </w:tcBorders>
            <w:shd w:val="clear" w:color="auto" w:fill="auto"/>
            <w:noWrap/>
            <w:vAlign w:val="bottom"/>
            <w:hideMark/>
          </w:tcPr>
          <w:p w:rsidR="00EA0C58" w:rsidRPr="003E6BBA" w:rsidRDefault="00EA0C58" w:rsidP="00EA0C5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51%</w:t>
            </w:r>
          </w:p>
        </w:tc>
      </w:tr>
      <w:tr w:rsidR="00EA0C58" w:rsidRPr="003E6BBA" w:rsidTr="00EA0C58">
        <w:trPr>
          <w:trHeight w:val="315"/>
        </w:trPr>
        <w:tc>
          <w:tcPr>
            <w:tcW w:w="2500" w:type="dxa"/>
            <w:tcBorders>
              <w:top w:val="nil"/>
              <w:left w:val="nil"/>
              <w:bottom w:val="nil"/>
              <w:right w:val="nil"/>
            </w:tcBorders>
            <w:shd w:val="clear" w:color="auto" w:fill="auto"/>
            <w:noWrap/>
            <w:vAlign w:val="bottom"/>
            <w:hideMark/>
          </w:tcPr>
          <w:p w:rsidR="00EA0C58" w:rsidRPr="003E6BBA" w:rsidRDefault="00EA0C58" w:rsidP="00EA0C58">
            <w:pPr>
              <w:keepNext/>
              <w:tabs>
                <w:tab w:val="clear" w:pos="567"/>
              </w:tabs>
              <w:spacing w:after="0" w:line="240" w:lineRule="auto"/>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Inner regional</w:t>
            </w:r>
          </w:p>
        </w:tc>
        <w:tc>
          <w:tcPr>
            <w:tcW w:w="1720" w:type="dxa"/>
            <w:tcBorders>
              <w:top w:val="nil"/>
              <w:left w:val="nil"/>
              <w:bottom w:val="nil"/>
              <w:right w:val="nil"/>
            </w:tcBorders>
            <w:shd w:val="clear" w:color="auto" w:fill="auto"/>
            <w:noWrap/>
            <w:vAlign w:val="bottom"/>
            <w:hideMark/>
          </w:tcPr>
          <w:p w:rsidR="00EA0C58" w:rsidRPr="003E6BBA" w:rsidRDefault="00EA0C58" w:rsidP="00EA0C5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456</w:t>
            </w:r>
          </w:p>
        </w:tc>
        <w:tc>
          <w:tcPr>
            <w:tcW w:w="2320" w:type="dxa"/>
            <w:tcBorders>
              <w:top w:val="nil"/>
              <w:left w:val="nil"/>
              <w:bottom w:val="nil"/>
              <w:right w:val="nil"/>
            </w:tcBorders>
            <w:shd w:val="clear" w:color="auto" w:fill="auto"/>
            <w:noWrap/>
            <w:vAlign w:val="bottom"/>
            <w:hideMark/>
          </w:tcPr>
          <w:p w:rsidR="00EA0C58" w:rsidRPr="003E6BBA" w:rsidRDefault="00EA0C58" w:rsidP="00EA0C5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264</w:t>
            </w:r>
          </w:p>
        </w:tc>
        <w:tc>
          <w:tcPr>
            <w:tcW w:w="2500" w:type="dxa"/>
            <w:tcBorders>
              <w:top w:val="nil"/>
              <w:left w:val="nil"/>
              <w:bottom w:val="nil"/>
              <w:right w:val="nil"/>
            </w:tcBorders>
            <w:shd w:val="clear" w:color="auto" w:fill="auto"/>
            <w:noWrap/>
            <w:vAlign w:val="bottom"/>
            <w:hideMark/>
          </w:tcPr>
          <w:p w:rsidR="00EA0C58" w:rsidRPr="003E6BBA" w:rsidRDefault="00EA0C58" w:rsidP="00EA0C5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58%</w:t>
            </w:r>
          </w:p>
        </w:tc>
      </w:tr>
      <w:tr w:rsidR="00EA0C58" w:rsidRPr="003E6BBA" w:rsidTr="00EA0C58">
        <w:trPr>
          <w:trHeight w:val="315"/>
        </w:trPr>
        <w:tc>
          <w:tcPr>
            <w:tcW w:w="2500" w:type="dxa"/>
            <w:tcBorders>
              <w:top w:val="nil"/>
              <w:left w:val="nil"/>
              <w:bottom w:val="nil"/>
              <w:right w:val="nil"/>
            </w:tcBorders>
            <w:shd w:val="clear" w:color="auto" w:fill="auto"/>
            <w:noWrap/>
            <w:vAlign w:val="bottom"/>
            <w:hideMark/>
          </w:tcPr>
          <w:p w:rsidR="00EA0C58" w:rsidRPr="003E6BBA" w:rsidRDefault="00EA0C58" w:rsidP="00EA0C58">
            <w:pPr>
              <w:keepNext/>
              <w:tabs>
                <w:tab w:val="clear" w:pos="567"/>
              </w:tabs>
              <w:spacing w:after="0" w:line="240" w:lineRule="auto"/>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Outer regional</w:t>
            </w:r>
          </w:p>
        </w:tc>
        <w:tc>
          <w:tcPr>
            <w:tcW w:w="1720" w:type="dxa"/>
            <w:tcBorders>
              <w:top w:val="nil"/>
              <w:left w:val="nil"/>
              <w:bottom w:val="nil"/>
              <w:right w:val="nil"/>
            </w:tcBorders>
            <w:shd w:val="clear" w:color="auto" w:fill="auto"/>
            <w:noWrap/>
            <w:vAlign w:val="bottom"/>
            <w:hideMark/>
          </w:tcPr>
          <w:p w:rsidR="00EA0C58" w:rsidRPr="003E6BBA" w:rsidRDefault="00EA0C58" w:rsidP="00EA0C5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546</w:t>
            </w:r>
          </w:p>
        </w:tc>
        <w:tc>
          <w:tcPr>
            <w:tcW w:w="2320" w:type="dxa"/>
            <w:tcBorders>
              <w:top w:val="nil"/>
              <w:left w:val="nil"/>
              <w:bottom w:val="nil"/>
              <w:right w:val="nil"/>
            </w:tcBorders>
            <w:shd w:val="clear" w:color="auto" w:fill="auto"/>
            <w:noWrap/>
            <w:vAlign w:val="bottom"/>
            <w:hideMark/>
          </w:tcPr>
          <w:p w:rsidR="00EA0C58" w:rsidRPr="003E6BBA" w:rsidRDefault="00EA0C58" w:rsidP="00EA0C5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319</w:t>
            </w:r>
          </w:p>
        </w:tc>
        <w:tc>
          <w:tcPr>
            <w:tcW w:w="2500" w:type="dxa"/>
            <w:tcBorders>
              <w:top w:val="nil"/>
              <w:left w:val="nil"/>
              <w:bottom w:val="nil"/>
              <w:right w:val="nil"/>
            </w:tcBorders>
            <w:shd w:val="clear" w:color="auto" w:fill="auto"/>
            <w:noWrap/>
            <w:vAlign w:val="bottom"/>
            <w:hideMark/>
          </w:tcPr>
          <w:p w:rsidR="00EA0C58" w:rsidRPr="003E6BBA" w:rsidRDefault="00EA0C58" w:rsidP="00EA0C5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58%</w:t>
            </w:r>
          </w:p>
        </w:tc>
      </w:tr>
      <w:tr w:rsidR="00EA0C58" w:rsidRPr="003E6BBA" w:rsidTr="00EA0C58">
        <w:trPr>
          <w:trHeight w:val="315"/>
        </w:trPr>
        <w:tc>
          <w:tcPr>
            <w:tcW w:w="2500" w:type="dxa"/>
            <w:tcBorders>
              <w:top w:val="nil"/>
              <w:left w:val="nil"/>
              <w:bottom w:val="nil"/>
              <w:right w:val="nil"/>
            </w:tcBorders>
            <w:shd w:val="clear" w:color="auto" w:fill="auto"/>
            <w:noWrap/>
            <w:vAlign w:val="bottom"/>
            <w:hideMark/>
          </w:tcPr>
          <w:p w:rsidR="00EA0C58" w:rsidRPr="003E6BBA" w:rsidRDefault="00EA0C58" w:rsidP="00EA0C58">
            <w:pPr>
              <w:keepNext/>
              <w:tabs>
                <w:tab w:val="clear" w:pos="567"/>
              </w:tabs>
              <w:spacing w:after="0" w:line="240" w:lineRule="auto"/>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Remote</w:t>
            </w:r>
          </w:p>
        </w:tc>
        <w:tc>
          <w:tcPr>
            <w:tcW w:w="1720" w:type="dxa"/>
            <w:tcBorders>
              <w:top w:val="nil"/>
              <w:left w:val="nil"/>
              <w:bottom w:val="nil"/>
              <w:right w:val="nil"/>
            </w:tcBorders>
            <w:shd w:val="clear" w:color="auto" w:fill="auto"/>
            <w:noWrap/>
            <w:vAlign w:val="bottom"/>
            <w:hideMark/>
          </w:tcPr>
          <w:p w:rsidR="00EA0C58" w:rsidRPr="003E6BBA" w:rsidRDefault="00EA0C58" w:rsidP="00EA0C5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833</w:t>
            </w:r>
          </w:p>
        </w:tc>
        <w:tc>
          <w:tcPr>
            <w:tcW w:w="2320" w:type="dxa"/>
            <w:tcBorders>
              <w:top w:val="nil"/>
              <w:left w:val="nil"/>
              <w:bottom w:val="nil"/>
              <w:right w:val="nil"/>
            </w:tcBorders>
            <w:shd w:val="clear" w:color="auto" w:fill="auto"/>
            <w:noWrap/>
            <w:vAlign w:val="bottom"/>
            <w:hideMark/>
          </w:tcPr>
          <w:p w:rsidR="00EA0C58" w:rsidRPr="003E6BBA" w:rsidRDefault="00EA0C58" w:rsidP="00EA0C5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543</w:t>
            </w:r>
          </w:p>
        </w:tc>
        <w:tc>
          <w:tcPr>
            <w:tcW w:w="2500" w:type="dxa"/>
            <w:tcBorders>
              <w:top w:val="nil"/>
              <w:left w:val="nil"/>
              <w:bottom w:val="nil"/>
              <w:right w:val="nil"/>
            </w:tcBorders>
            <w:shd w:val="clear" w:color="auto" w:fill="auto"/>
            <w:noWrap/>
            <w:vAlign w:val="bottom"/>
            <w:hideMark/>
          </w:tcPr>
          <w:p w:rsidR="00EA0C58" w:rsidRPr="003E6BBA" w:rsidRDefault="00EA0C58" w:rsidP="00EA0C5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65%</w:t>
            </w:r>
          </w:p>
        </w:tc>
      </w:tr>
      <w:tr w:rsidR="00EA0C58" w:rsidRPr="003E6BBA" w:rsidTr="00EA0C58">
        <w:trPr>
          <w:trHeight w:val="315"/>
        </w:trPr>
        <w:tc>
          <w:tcPr>
            <w:tcW w:w="2500" w:type="dxa"/>
            <w:tcBorders>
              <w:top w:val="nil"/>
              <w:left w:val="nil"/>
              <w:bottom w:val="nil"/>
              <w:right w:val="nil"/>
            </w:tcBorders>
            <w:shd w:val="clear" w:color="auto" w:fill="auto"/>
            <w:noWrap/>
            <w:vAlign w:val="bottom"/>
            <w:hideMark/>
          </w:tcPr>
          <w:p w:rsidR="00EA0C58" w:rsidRPr="003E6BBA" w:rsidRDefault="00EA0C58" w:rsidP="00EA0C58">
            <w:pPr>
              <w:keepNext/>
              <w:tabs>
                <w:tab w:val="clear" w:pos="567"/>
              </w:tabs>
              <w:spacing w:after="0" w:line="240" w:lineRule="auto"/>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Very remote</w:t>
            </w:r>
          </w:p>
        </w:tc>
        <w:tc>
          <w:tcPr>
            <w:tcW w:w="1720" w:type="dxa"/>
            <w:tcBorders>
              <w:top w:val="nil"/>
              <w:left w:val="nil"/>
              <w:bottom w:val="single" w:sz="4" w:space="0" w:color="auto"/>
              <w:right w:val="nil"/>
            </w:tcBorders>
            <w:shd w:val="clear" w:color="auto" w:fill="auto"/>
            <w:noWrap/>
            <w:vAlign w:val="bottom"/>
            <w:hideMark/>
          </w:tcPr>
          <w:p w:rsidR="00EA0C58" w:rsidRPr="003E6BBA" w:rsidRDefault="00EA0C58" w:rsidP="00EA0C5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1 039</w:t>
            </w:r>
          </w:p>
        </w:tc>
        <w:tc>
          <w:tcPr>
            <w:tcW w:w="2320" w:type="dxa"/>
            <w:tcBorders>
              <w:top w:val="nil"/>
              <w:left w:val="nil"/>
              <w:bottom w:val="single" w:sz="4" w:space="0" w:color="auto"/>
              <w:right w:val="nil"/>
            </w:tcBorders>
            <w:shd w:val="clear" w:color="auto" w:fill="auto"/>
            <w:noWrap/>
            <w:vAlign w:val="bottom"/>
            <w:hideMark/>
          </w:tcPr>
          <w:p w:rsidR="00EA0C58" w:rsidRPr="003E6BBA" w:rsidRDefault="00EA0C58" w:rsidP="00EA0C5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775</w:t>
            </w:r>
          </w:p>
        </w:tc>
        <w:tc>
          <w:tcPr>
            <w:tcW w:w="2500" w:type="dxa"/>
            <w:tcBorders>
              <w:top w:val="nil"/>
              <w:left w:val="nil"/>
              <w:bottom w:val="single" w:sz="4" w:space="0" w:color="auto"/>
              <w:right w:val="nil"/>
            </w:tcBorders>
            <w:shd w:val="clear" w:color="auto" w:fill="auto"/>
            <w:noWrap/>
            <w:vAlign w:val="bottom"/>
            <w:hideMark/>
          </w:tcPr>
          <w:p w:rsidR="00EA0C58" w:rsidRPr="003E6BBA" w:rsidRDefault="00EA0C58" w:rsidP="00EA0C5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75%</w:t>
            </w:r>
          </w:p>
        </w:tc>
      </w:tr>
      <w:tr w:rsidR="00EA0C58" w:rsidRPr="003E6BBA" w:rsidTr="00EA0C58">
        <w:trPr>
          <w:trHeight w:val="315"/>
        </w:trPr>
        <w:tc>
          <w:tcPr>
            <w:tcW w:w="2500" w:type="dxa"/>
            <w:tcBorders>
              <w:top w:val="nil"/>
              <w:left w:val="nil"/>
              <w:bottom w:val="single" w:sz="4" w:space="0" w:color="auto"/>
              <w:right w:val="nil"/>
            </w:tcBorders>
            <w:shd w:val="clear" w:color="auto" w:fill="auto"/>
            <w:noWrap/>
            <w:vAlign w:val="bottom"/>
            <w:hideMark/>
          </w:tcPr>
          <w:p w:rsidR="00EA0C58" w:rsidRPr="003E6BBA" w:rsidRDefault="00EA0C58" w:rsidP="00EA0C58">
            <w:pPr>
              <w:keepNext/>
              <w:tabs>
                <w:tab w:val="clear" w:pos="567"/>
              </w:tabs>
              <w:spacing w:after="0" w:line="240" w:lineRule="auto"/>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Total</w:t>
            </w:r>
          </w:p>
        </w:tc>
        <w:tc>
          <w:tcPr>
            <w:tcW w:w="1720" w:type="dxa"/>
            <w:tcBorders>
              <w:top w:val="nil"/>
              <w:left w:val="nil"/>
              <w:bottom w:val="single" w:sz="4" w:space="0" w:color="auto"/>
              <w:right w:val="nil"/>
            </w:tcBorders>
            <w:shd w:val="clear" w:color="auto" w:fill="auto"/>
            <w:noWrap/>
            <w:vAlign w:val="bottom"/>
            <w:hideMark/>
          </w:tcPr>
          <w:p w:rsidR="00EA0C58" w:rsidRPr="003E6BBA" w:rsidRDefault="00EA0C58" w:rsidP="00EA0C5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347</w:t>
            </w:r>
          </w:p>
        </w:tc>
        <w:tc>
          <w:tcPr>
            <w:tcW w:w="2320" w:type="dxa"/>
            <w:tcBorders>
              <w:top w:val="nil"/>
              <w:left w:val="nil"/>
              <w:bottom w:val="single" w:sz="4" w:space="0" w:color="auto"/>
              <w:right w:val="nil"/>
            </w:tcBorders>
            <w:shd w:val="clear" w:color="auto" w:fill="auto"/>
            <w:noWrap/>
            <w:vAlign w:val="bottom"/>
            <w:hideMark/>
          </w:tcPr>
          <w:p w:rsidR="00EA0C58" w:rsidRPr="003E6BBA" w:rsidRDefault="00EA0C58" w:rsidP="00EA0C5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190</w:t>
            </w:r>
          </w:p>
        </w:tc>
        <w:tc>
          <w:tcPr>
            <w:tcW w:w="2500" w:type="dxa"/>
            <w:tcBorders>
              <w:top w:val="nil"/>
              <w:left w:val="nil"/>
              <w:bottom w:val="single" w:sz="4" w:space="0" w:color="auto"/>
              <w:right w:val="nil"/>
            </w:tcBorders>
            <w:shd w:val="clear" w:color="auto" w:fill="auto"/>
            <w:noWrap/>
            <w:vAlign w:val="bottom"/>
            <w:hideMark/>
          </w:tcPr>
          <w:p w:rsidR="00EA0C58" w:rsidRPr="003E6BBA" w:rsidRDefault="00EA0C58" w:rsidP="00EA0C5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55%</w:t>
            </w:r>
          </w:p>
        </w:tc>
      </w:tr>
    </w:tbl>
    <w:p w:rsidR="005F1030" w:rsidRPr="003E6BBA" w:rsidRDefault="005F1030" w:rsidP="00EA0C58">
      <w:pPr>
        <w:pStyle w:val="CGCTableFootnote"/>
        <w:keepNext/>
      </w:pPr>
      <w:r w:rsidRPr="003E6BBA">
        <w:t>Source:</w:t>
      </w:r>
      <w:r w:rsidRPr="003E6BBA">
        <w:tab/>
        <w:t>IHPA</w:t>
      </w:r>
      <w:r w:rsidR="00EA0C58" w:rsidRPr="003E6BBA">
        <w:t xml:space="preserve"> special data request</w:t>
      </w:r>
      <w:r w:rsidRPr="003E6BBA">
        <w:t>.</w:t>
      </w:r>
    </w:p>
    <w:p w:rsidR="00F904E5" w:rsidRPr="003E6BBA" w:rsidRDefault="00F904E5" w:rsidP="00AF758D">
      <w:pPr>
        <w:pStyle w:val="CGCBulletlist"/>
      </w:pPr>
      <w:r w:rsidRPr="003E6BBA">
        <w:t xml:space="preserve">While both consultants did not support using the proportions from the ABS </w:t>
      </w:r>
      <w:r w:rsidRPr="003E6BBA">
        <w:rPr>
          <w:i/>
        </w:rPr>
        <w:t>Patient experiences</w:t>
      </w:r>
      <w:r w:rsidRPr="003E6BBA">
        <w:t xml:space="preserve"> survey, staff believe that the headline measure of 2</w:t>
      </w:r>
      <w:r w:rsidR="005774BA" w:rsidRPr="003E6BBA">
        <w:t>3</w:t>
      </w:r>
      <w:r w:rsidRPr="003E6BBA">
        <w:t xml:space="preserve">% of </w:t>
      </w:r>
      <w:r w:rsidRPr="003E6BBA">
        <w:lastRenderedPageBreak/>
        <w:t>people that presented at the ED thought care could have been provided by a GP, could be used as a general guide to the level of substitutability.</w:t>
      </w:r>
    </w:p>
    <w:p w:rsidR="00F904E5" w:rsidRPr="003E6BBA" w:rsidRDefault="00F904E5" w:rsidP="00AF758D">
      <w:pPr>
        <w:pStyle w:val="CGCBulletlist"/>
      </w:pPr>
      <w:r w:rsidRPr="003E6BBA">
        <w:t>The Canadian report</w:t>
      </w:r>
      <w:r w:rsidR="00285F21" w:rsidRPr="003E6BBA">
        <w:t>,</w:t>
      </w:r>
      <w:r w:rsidRPr="003E6BBA">
        <w:t xml:space="preserve"> </w:t>
      </w:r>
      <w:r w:rsidR="00285F21" w:rsidRPr="003E6BBA">
        <w:rPr>
          <w:rFonts w:eastAsia="Times New Roman" w:cs="Times New Roman"/>
          <w:lang w:eastAsia="en-GB"/>
        </w:rPr>
        <w:t xml:space="preserve">which translates into 14% </w:t>
      </w:r>
      <w:r w:rsidR="00285F21" w:rsidRPr="003E6BBA">
        <w:t xml:space="preserve">of total ED presentations in Australia being potentially avoidable, </w:t>
      </w:r>
      <w:r w:rsidRPr="003E6BBA">
        <w:t>could also be used as a general guide to the level of substitutability.</w:t>
      </w:r>
    </w:p>
    <w:p w:rsidR="00A6230A" w:rsidRPr="003E6BBA" w:rsidRDefault="00A6230A" w:rsidP="00F904E5">
      <w:pPr>
        <w:pStyle w:val="CGCNumberedPara"/>
      </w:pPr>
      <w:r w:rsidRPr="003E6BBA">
        <w:rPr>
          <w:lang w:eastAsia="en-GB"/>
        </w:rPr>
        <w:t xml:space="preserve">The Commission could also consider the State policies and other comments made by hospital officials on this issue. </w:t>
      </w:r>
    </w:p>
    <w:p w:rsidR="00A6230A" w:rsidRPr="003E6BBA" w:rsidRDefault="00A6230A" w:rsidP="00A6230A">
      <w:pPr>
        <w:pStyle w:val="CGCQuotation"/>
      </w:pPr>
      <w:r w:rsidRPr="003E6BBA">
        <w:t>New South Wales Health ED policy document</w:t>
      </w:r>
      <w:r w:rsidRPr="003E6BBA">
        <w:rPr>
          <w:rStyle w:val="FootnoteReference"/>
          <w:sz w:val="24"/>
        </w:rPr>
        <w:footnoteReference w:id="4"/>
      </w:r>
    </w:p>
    <w:p w:rsidR="00A6230A" w:rsidRPr="003E6BBA" w:rsidRDefault="00A6230A" w:rsidP="00A6230A">
      <w:pPr>
        <w:pStyle w:val="CGCQuotation"/>
        <w:rPr>
          <w:i/>
        </w:rPr>
      </w:pPr>
      <w:r w:rsidRPr="003E6BBA">
        <w:rPr>
          <w:rFonts w:cs="Times New Roman"/>
          <w:i/>
          <w:sz w:val="20"/>
          <w:szCs w:val="20"/>
        </w:rPr>
        <w:t xml:space="preserve">1.3. </w:t>
      </w:r>
      <w:r w:rsidRPr="003E6BBA">
        <w:rPr>
          <w:rFonts w:cs="Times New Roman"/>
          <w:i/>
        </w:rPr>
        <w:t>Patients/Carers may be informed of suitable alternatives to the Emergency Department such as collocated General Practitioner services, Urgent Care Centres, Aboriginal Medical Services or nearby Medical Centres.</w:t>
      </w:r>
    </w:p>
    <w:p w:rsidR="00A6230A" w:rsidRPr="003E6BBA" w:rsidRDefault="00A6230A" w:rsidP="00A6230A">
      <w:pPr>
        <w:pStyle w:val="CGCQuotation"/>
      </w:pPr>
      <w:r w:rsidRPr="003E6BBA">
        <w:t>Daily Telegraph article</w:t>
      </w:r>
      <w:r w:rsidRPr="003E6BBA">
        <w:rPr>
          <w:rStyle w:val="FootnoteReference"/>
        </w:rPr>
        <w:footnoteReference w:id="5"/>
      </w:r>
    </w:p>
    <w:p w:rsidR="00A6230A" w:rsidRPr="003E6BBA" w:rsidRDefault="00A6230A" w:rsidP="00A6230A">
      <w:pPr>
        <w:pStyle w:val="CGCQuotation"/>
        <w:rPr>
          <w:i/>
          <w:lang w:val="en"/>
        </w:rPr>
      </w:pPr>
      <w:r w:rsidRPr="003E6BBA">
        <w:rPr>
          <w:i/>
          <w:lang w:val="en"/>
        </w:rPr>
        <w:t>NSW Health minister Jillian Skinner said demand for hospital services was increasing, but urged people to visit their GP if their condition is not serious.</w:t>
      </w:r>
    </w:p>
    <w:p w:rsidR="00A6230A" w:rsidRPr="003E6BBA" w:rsidRDefault="00A6230A" w:rsidP="00A6230A">
      <w:pPr>
        <w:pStyle w:val="CGCQuotation"/>
        <w:rPr>
          <w:i/>
          <w:lang w:val="en"/>
        </w:rPr>
      </w:pPr>
      <w:r w:rsidRPr="003E6BBA">
        <w:rPr>
          <w:i/>
          <w:lang w:val="en"/>
        </w:rPr>
        <w:t>She said: “It is a tribute to the skill and compassion of emergency department staff in NSW public hospitals that so many people turn to them when they are unwell, but to manage growing demand it is important that people with minor health concerns see their GP.”</w:t>
      </w:r>
    </w:p>
    <w:p w:rsidR="00A6230A" w:rsidRPr="003E6BBA" w:rsidRDefault="00A6230A" w:rsidP="00A6230A">
      <w:pPr>
        <w:pStyle w:val="CGCQuotation"/>
        <w:rPr>
          <w:rFonts w:ascii="Arial" w:eastAsia="Times New Roman" w:hAnsi="Arial" w:cs="Arial"/>
          <w:color w:val="000000"/>
          <w:sz w:val="18"/>
          <w:szCs w:val="18"/>
          <w:lang w:val="en" w:eastAsia="en-AU"/>
        </w:rPr>
      </w:pPr>
      <w:r w:rsidRPr="003E6BBA">
        <w:t>Guidelines for the Victorian ED Care Coordination Program 2009</w:t>
      </w:r>
      <w:r w:rsidRPr="003E6BBA">
        <w:rPr>
          <w:lang w:val="en"/>
        </w:rPr>
        <w:t xml:space="preserve"> (St Vincent’s Hospital)</w:t>
      </w:r>
      <w:r w:rsidRPr="003E6BBA">
        <w:rPr>
          <w:rStyle w:val="FootnoteReference"/>
        </w:rPr>
        <w:t xml:space="preserve"> </w:t>
      </w:r>
      <w:r w:rsidRPr="003E6BBA">
        <w:rPr>
          <w:rStyle w:val="FootnoteReference"/>
        </w:rPr>
        <w:footnoteReference w:id="6"/>
      </w:r>
      <w:r w:rsidRPr="003E6BBA">
        <w:rPr>
          <w:lang w:val="en"/>
        </w:rPr>
        <w:t xml:space="preserve"> </w:t>
      </w:r>
    </w:p>
    <w:p w:rsidR="00A6230A" w:rsidRPr="003E6BBA" w:rsidRDefault="00A6230A" w:rsidP="00A6230A">
      <w:pPr>
        <w:pStyle w:val="CGCQuotation"/>
        <w:rPr>
          <w:i/>
        </w:rPr>
      </w:pPr>
      <w:r w:rsidRPr="003E6BBA">
        <w:rPr>
          <w:i/>
        </w:rPr>
        <w:t>…alternative community-based services are arranged to prevent unnecessary admissions and facilitate diversions from the ED.</w:t>
      </w:r>
    </w:p>
    <w:p w:rsidR="001E6928" w:rsidRPr="003E6BBA" w:rsidRDefault="001E6928" w:rsidP="001E6928">
      <w:pPr>
        <w:pStyle w:val="CGCQuotation"/>
      </w:pPr>
      <w:r w:rsidRPr="003E6BBA">
        <w:t>South Australia Health website</w:t>
      </w:r>
      <w:r w:rsidRPr="003E6BBA">
        <w:rPr>
          <w:rStyle w:val="FootnoteReference"/>
        </w:rPr>
        <w:footnoteReference w:id="7"/>
      </w:r>
    </w:p>
    <w:p w:rsidR="001E6928" w:rsidRPr="003E6BBA" w:rsidRDefault="001E6928" w:rsidP="001E6928">
      <w:pPr>
        <w:pStyle w:val="CGCQuotation"/>
        <w:rPr>
          <w:i/>
        </w:rPr>
      </w:pPr>
      <w:r w:rsidRPr="003E6BBA">
        <w:rPr>
          <w:i/>
        </w:rPr>
        <w:t>…The emergency department can get incredibly hectic. It’s a place where they deal with life and death situations every day. So if you’ve got a cough or a cold and are thinking of heading to emergency, call your GP or use the National Health Services Directory to find an after-hours or alternative health service.</w:t>
      </w:r>
    </w:p>
    <w:p w:rsidR="001E6928" w:rsidRPr="003E6BBA" w:rsidRDefault="001E6928" w:rsidP="001E6928">
      <w:pPr>
        <w:pStyle w:val="CGCQuotation"/>
      </w:pPr>
      <w:r w:rsidRPr="003E6BBA">
        <w:t>Canberra Times article</w:t>
      </w:r>
      <w:r w:rsidRPr="003E6BBA">
        <w:rPr>
          <w:rStyle w:val="FootnoteReference"/>
        </w:rPr>
        <w:footnoteReference w:id="8"/>
      </w:r>
    </w:p>
    <w:p w:rsidR="001E6928" w:rsidRPr="003E6BBA" w:rsidRDefault="001E6928" w:rsidP="001E6928">
      <w:pPr>
        <w:pStyle w:val="CGCQuotation"/>
        <w:rPr>
          <w:i/>
        </w:rPr>
      </w:pPr>
      <w:r w:rsidRPr="003E6BBA">
        <w:rPr>
          <w:i/>
        </w:rPr>
        <w:t xml:space="preserve">ACT Health director-general Peggy Brown said: ACT Health was encouraging people with non-life threatening or non-limb threatening </w:t>
      </w:r>
      <w:r w:rsidRPr="003E6BBA">
        <w:rPr>
          <w:i/>
        </w:rPr>
        <w:lastRenderedPageBreak/>
        <w:t>injuries to use alternative services such as walk-in centres at the Tuggeranong or Belconnen community health centres, their GP, healthdirect or CALMS or the National Home Doctor Service for non-urgent after hours care.</w:t>
      </w:r>
    </w:p>
    <w:p w:rsidR="00A6230A" w:rsidRPr="003E6BBA" w:rsidRDefault="005F1030" w:rsidP="00F904E5">
      <w:pPr>
        <w:pStyle w:val="CGCNumberedPara"/>
      </w:pPr>
      <w:r w:rsidRPr="003E6BBA">
        <w:rPr>
          <w:lang w:eastAsia="en-GB"/>
        </w:rPr>
        <w:t xml:space="preserve">These extracts show that State governments are actively trying to encourage people with </w:t>
      </w:r>
      <w:r w:rsidRPr="003E6BBA">
        <w:t xml:space="preserve">minor medical conditions to not present at the ED and to seek alternative care arrangements. This suggests that the </w:t>
      </w:r>
      <w:r w:rsidRPr="003E6BBA">
        <w:rPr>
          <w:lang w:eastAsia="en-GB"/>
        </w:rPr>
        <w:t xml:space="preserve">level of </w:t>
      </w:r>
      <w:r w:rsidRPr="003E6BBA">
        <w:t xml:space="preserve">substitutability is greater than very low levels as suggested by New South Wales or the 2.5% as suggested by Victoria. </w:t>
      </w:r>
    </w:p>
    <w:p w:rsidR="00C1760E" w:rsidRPr="003E6BBA" w:rsidRDefault="00C1760E" w:rsidP="00C1760E">
      <w:pPr>
        <w:pStyle w:val="Heading4"/>
      </w:pPr>
      <w:bookmarkStart w:id="66" w:name="_Toc405559334"/>
      <w:bookmarkStart w:id="67" w:name="_Toc405559416"/>
      <w:bookmarkStart w:id="68" w:name="_Toc405559449"/>
      <w:bookmarkStart w:id="69" w:name="_Toc405559484"/>
      <w:bookmarkStart w:id="70" w:name="_Toc406659092"/>
      <w:bookmarkStart w:id="71" w:name="_Toc406659213"/>
      <w:r w:rsidRPr="003E6BBA">
        <w:rPr>
          <w:lang w:eastAsia="en-GB"/>
        </w:rPr>
        <w:t>Summary</w:t>
      </w:r>
      <w:bookmarkEnd w:id="66"/>
      <w:bookmarkEnd w:id="67"/>
      <w:bookmarkEnd w:id="68"/>
      <w:bookmarkEnd w:id="69"/>
      <w:bookmarkEnd w:id="70"/>
      <w:bookmarkEnd w:id="71"/>
    </w:p>
    <w:p w:rsidR="00C1760E" w:rsidRPr="003E6BBA" w:rsidRDefault="00C1760E" w:rsidP="005F1030">
      <w:pPr>
        <w:pStyle w:val="CGCNumberedPara"/>
      </w:pPr>
      <w:r w:rsidRPr="003E6BBA">
        <w:rPr>
          <w:lang w:eastAsia="en-GB"/>
        </w:rPr>
        <w:t xml:space="preserve">There are many factors that need to be considered when </w:t>
      </w:r>
      <w:r w:rsidR="00A45FD3" w:rsidRPr="003E6BBA">
        <w:rPr>
          <w:lang w:eastAsia="en-GB"/>
        </w:rPr>
        <w:t>estimating</w:t>
      </w:r>
      <w:r w:rsidRPr="003E6BBA">
        <w:rPr>
          <w:lang w:eastAsia="en-GB"/>
        </w:rPr>
        <w:t xml:space="preserve"> a level of substitutability for EDs.</w:t>
      </w:r>
    </w:p>
    <w:p w:rsidR="00C1760E" w:rsidRPr="003E6BBA" w:rsidRDefault="00C1760E" w:rsidP="00C1760E">
      <w:pPr>
        <w:pStyle w:val="CGCBulletlist"/>
      </w:pPr>
      <w:r w:rsidRPr="003E6BBA">
        <w:t>Clinical studies – the level of substitutability as outlined in these studies ranges from 10% to 38%.</w:t>
      </w:r>
    </w:p>
    <w:p w:rsidR="00C1760E" w:rsidRPr="003E6BBA" w:rsidRDefault="00C1760E" w:rsidP="00C1760E">
      <w:pPr>
        <w:pStyle w:val="CGCBulletlist"/>
      </w:pPr>
      <w:r w:rsidRPr="003E6BBA">
        <w:t>Consultants’ views – both consultants were of the view that the level of substitutability is approximately 10-20%.</w:t>
      </w:r>
    </w:p>
    <w:p w:rsidR="00C1760E" w:rsidRPr="003E6BBA" w:rsidRDefault="00C1760E" w:rsidP="00C1760E">
      <w:pPr>
        <w:pStyle w:val="CGCBulletlist"/>
      </w:pPr>
      <w:r w:rsidRPr="003E6BBA">
        <w:t xml:space="preserve">State government policies – States </w:t>
      </w:r>
      <w:r w:rsidR="00A45FD3" w:rsidRPr="003E6BBA">
        <w:t xml:space="preserve">have adopted policies to </w:t>
      </w:r>
      <w:r w:rsidRPr="003E6BBA">
        <w:rPr>
          <w:lang w:eastAsia="en-GB"/>
        </w:rPr>
        <w:t>try</w:t>
      </w:r>
      <w:r w:rsidR="00A45FD3" w:rsidRPr="003E6BBA">
        <w:rPr>
          <w:lang w:eastAsia="en-GB"/>
        </w:rPr>
        <w:t xml:space="preserve"> and</w:t>
      </w:r>
      <w:r w:rsidRPr="003E6BBA">
        <w:rPr>
          <w:lang w:eastAsia="en-GB"/>
        </w:rPr>
        <w:t xml:space="preserve"> reduce ED costs by encouraging people </w:t>
      </w:r>
      <w:r w:rsidRPr="003E6BBA">
        <w:t>to seek alternative care arrangements.</w:t>
      </w:r>
    </w:p>
    <w:p w:rsidR="00C1760E" w:rsidRPr="003E6BBA" w:rsidRDefault="00C1760E" w:rsidP="00C1760E">
      <w:pPr>
        <w:pStyle w:val="CGCBulletlist"/>
      </w:pPr>
      <w:r w:rsidRPr="003E6BBA">
        <w:t xml:space="preserve">Lower costs – it is acknowledged </w:t>
      </w:r>
      <w:r w:rsidR="00A45FD3" w:rsidRPr="003E6BBA">
        <w:t xml:space="preserve">that </w:t>
      </w:r>
      <w:r w:rsidRPr="003E6BBA">
        <w:rPr>
          <w:rFonts w:eastAsia="Times New Roman" w:cs="Times New Roman"/>
          <w:lang w:eastAsia="en-GB"/>
        </w:rPr>
        <w:t xml:space="preserve">triage 4 and 5 presentations </w:t>
      </w:r>
      <w:r w:rsidR="00A45FD3" w:rsidRPr="003E6BBA">
        <w:t>are less costly than triage 1-3 patients.</w:t>
      </w:r>
    </w:p>
    <w:p w:rsidR="00496FB0" w:rsidRPr="003E6BBA" w:rsidRDefault="00F904E5" w:rsidP="005F1030">
      <w:pPr>
        <w:pStyle w:val="CGCNumberedPara"/>
      </w:pPr>
      <w:r w:rsidRPr="003E6BBA">
        <w:rPr>
          <w:lang w:eastAsia="en-GB"/>
        </w:rPr>
        <w:t xml:space="preserve">On balance, </w:t>
      </w:r>
      <w:r w:rsidR="00A45FD3" w:rsidRPr="003E6BBA">
        <w:rPr>
          <w:lang w:eastAsia="en-GB"/>
        </w:rPr>
        <w:t xml:space="preserve">taking all of the above into account, </w:t>
      </w:r>
      <w:r w:rsidRPr="003E6BBA">
        <w:rPr>
          <w:lang w:eastAsia="en-GB"/>
        </w:rPr>
        <w:t xml:space="preserve">staff </w:t>
      </w:r>
      <w:r w:rsidR="006A3AC9">
        <w:rPr>
          <w:lang w:eastAsia="en-GB"/>
        </w:rPr>
        <w:t>intend</w:t>
      </w:r>
      <w:r w:rsidR="00B95F43">
        <w:rPr>
          <w:lang w:eastAsia="en-GB"/>
        </w:rPr>
        <w:t xml:space="preserve"> recommending the Commission adopt </w:t>
      </w:r>
      <w:r w:rsidRPr="003E6BBA">
        <w:rPr>
          <w:lang w:eastAsia="en-GB"/>
        </w:rPr>
        <w:t xml:space="preserve">a </w:t>
      </w:r>
      <w:r w:rsidRPr="003E6BBA">
        <w:t>substitutability</w:t>
      </w:r>
      <w:r w:rsidRPr="003E6BBA">
        <w:rPr>
          <w:lang w:eastAsia="en-GB"/>
        </w:rPr>
        <w:t xml:space="preserve"> level </w:t>
      </w:r>
      <w:r w:rsidR="00B95F43">
        <w:rPr>
          <w:lang w:eastAsia="en-GB"/>
        </w:rPr>
        <w:t xml:space="preserve">within the range </w:t>
      </w:r>
      <w:r w:rsidRPr="003E6BBA">
        <w:rPr>
          <w:lang w:eastAsia="en-GB"/>
        </w:rPr>
        <w:t xml:space="preserve">of </w:t>
      </w:r>
      <w:r w:rsidR="000B0705">
        <w:rPr>
          <w:lang w:eastAsia="en-GB"/>
        </w:rPr>
        <w:t>10-20</w:t>
      </w:r>
      <w:r w:rsidRPr="003E6BBA">
        <w:rPr>
          <w:lang w:eastAsia="en-GB"/>
        </w:rPr>
        <w:t xml:space="preserve">% </w:t>
      </w:r>
      <w:r w:rsidR="00132A4D" w:rsidRPr="003E6BBA">
        <w:rPr>
          <w:lang w:eastAsia="en-GB"/>
        </w:rPr>
        <w:t xml:space="preserve">of </w:t>
      </w:r>
      <w:r w:rsidR="000B0705" w:rsidRPr="003E6BBA">
        <w:t xml:space="preserve">emergency departments </w:t>
      </w:r>
      <w:r w:rsidR="00132A4D" w:rsidRPr="003E6BBA">
        <w:rPr>
          <w:lang w:eastAsia="en-GB"/>
        </w:rPr>
        <w:t>component expenses</w:t>
      </w:r>
      <w:r w:rsidRPr="003E6BBA">
        <w:rPr>
          <w:lang w:eastAsia="en-GB"/>
        </w:rPr>
        <w:t>.</w:t>
      </w:r>
    </w:p>
    <w:p w:rsidR="001727BD" w:rsidRPr="003E6BBA" w:rsidRDefault="000B0705" w:rsidP="001727BD">
      <w:pPr>
        <w:pStyle w:val="Heading3"/>
      </w:pPr>
      <w:bookmarkStart w:id="72" w:name="_Toc406659214"/>
      <w:r>
        <w:t>Non-</w:t>
      </w:r>
      <w:r w:rsidR="00830CB4">
        <w:t>a</w:t>
      </w:r>
      <w:r>
        <w:t>dmitted</w:t>
      </w:r>
      <w:r w:rsidR="00830CB4">
        <w:t xml:space="preserve"> patients</w:t>
      </w:r>
      <w:bookmarkEnd w:id="72"/>
    </w:p>
    <w:p w:rsidR="002A4A16" w:rsidRPr="003E6BBA" w:rsidRDefault="002A4A16" w:rsidP="002A4A16">
      <w:pPr>
        <w:pStyle w:val="CGCNumberedPara"/>
        <w:numPr>
          <w:ilvl w:val="1"/>
          <w:numId w:val="12"/>
        </w:numPr>
        <w:rPr>
          <w:lang w:eastAsia="en-AU"/>
        </w:rPr>
      </w:pPr>
      <w:r w:rsidRPr="003E6BBA">
        <w:rPr>
          <w:szCs w:val="22"/>
          <w:lang w:eastAsia="en-AU"/>
        </w:rPr>
        <w:t>The provision of other non-admitted patient type care is complex. S</w:t>
      </w:r>
      <w:r w:rsidRPr="003E6BBA">
        <w:rPr>
          <w:rFonts w:eastAsia="StoneSerifStd-Medium"/>
          <w:color w:val="000000"/>
          <w:szCs w:val="22"/>
          <w:lang w:eastAsia="en-AU"/>
        </w:rPr>
        <w:t>ervices include a wide range of pre and post hospital and clinical treatments, including:</w:t>
      </w:r>
    </w:p>
    <w:p w:rsidR="002A4A16" w:rsidRPr="003E6BBA" w:rsidRDefault="002A4A16" w:rsidP="002A4A16">
      <w:pPr>
        <w:pStyle w:val="CGCBulletlist"/>
        <w:tabs>
          <w:tab w:val="left" w:pos="1134"/>
        </w:tabs>
      </w:pPr>
      <w:r w:rsidRPr="003E6BBA">
        <w:t>the management of chronic conditions and pain management</w:t>
      </w:r>
    </w:p>
    <w:p w:rsidR="002A4A16" w:rsidRPr="003E6BBA" w:rsidRDefault="002A4A16" w:rsidP="002A4A16">
      <w:pPr>
        <w:pStyle w:val="CGCBulletlist"/>
        <w:tabs>
          <w:tab w:val="left" w:pos="1134"/>
        </w:tabs>
      </w:pPr>
      <w:r w:rsidRPr="003E6BBA">
        <w:t>obstetrics, gynaecology, cardiology, oncology and other specialist services</w:t>
      </w:r>
    </w:p>
    <w:p w:rsidR="002A4A16" w:rsidRPr="003E6BBA" w:rsidRDefault="002A4A16" w:rsidP="002A4A16">
      <w:pPr>
        <w:pStyle w:val="CGCBulletlist"/>
        <w:tabs>
          <w:tab w:val="left" w:pos="1134"/>
        </w:tabs>
      </w:pPr>
      <w:r w:rsidRPr="003E6BBA">
        <w:t>numerous ancillary services, often referred to as allied health, such as physiotherapy, chiropractic, dental, dietetics and optical</w:t>
      </w:r>
    </w:p>
    <w:p w:rsidR="002A4A16" w:rsidRPr="003E6BBA" w:rsidRDefault="002A4A16" w:rsidP="002A4A16">
      <w:pPr>
        <w:pStyle w:val="CGCBulletlist"/>
        <w:tabs>
          <w:tab w:val="left" w:pos="1134"/>
        </w:tabs>
      </w:pPr>
      <w:r w:rsidRPr="003E6BBA">
        <w:t>pharmacy, pathology, and radiology and imaging services</w:t>
      </w:r>
    </w:p>
    <w:p w:rsidR="002A4A16" w:rsidRPr="003E6BBA" w:rsidRDefault="002A4A16" w:rsidP="002A4A16">
      <w:pPr>
        <w:pStyle w:val="CGCBulletlist"/>
        <w:tabs>
          <w:tab w:val="left" w:pos="1134"/>
        </w:tabs>
      </w:pPr>
      <w:r w:rsidRPr="003E6BBA">
        <w:t>mental health and alcohol and drug treatment.</w:t>
      </w:r>
    </w:p>
    <w:p w:rsidR="002A4A16" w:rsidRPr="003E6BBA" w:rsidRDefault="002A4A16" w:rsidP="002A4A16">
      <w:pPr>
        <w:pStyle w:val="CGCNumberedPara"/>
        <w:numPr>
          <w:ilvl w:val="1"/>
          <w:numId w:val="12"/>
        </w:numPr>
      </w:pPr>
      <w:r w:rsidRPr="003E6BBA">
        <w:t>The majority, if not all,</w:t>
      </w:r>
      <w:r w:rsidRPr="003E6BBA">
        <w:rPr>
          <w:szCs w:val="22"/>
          <w:lang w:eastAsia="en-AU"/>
        </w:rPr>
        <w:t xml:space="preserve"> services provided in public hospital outpatient clinics are also provided in the private sector. There are private gynaecologists, cardiologists, physiotherapists and chiropractors that all offer the same type of service as that provided in public hospitals. There are also pathology, radiology and imaging services </w:t>
      </w:r>
      <w:r w:rsidRPr="003E6BBA">
        <w:rPr>
          <w:szCs w:val="22"/>
          <w:lang w:eastAsia="en-AU"/>
        </w:rPr>
        <w:lastRenderedPageBreak/>
        <w:t xml:space="preserve">that are </w:t>
      </w:r>
      <w:r w:rsidRPr="003E6BBA">
        <w:t>provided in a private setting. As such, people have a choice to attend an outpatient service provided in a public or private setting and there would be some level of substitutability in these services.</w:t>
      </w:r>
    </w:p>
    <w:p w:rsidR="002A4A16" w:rsidRPr="003E6BBA" w:rsidRDefault="002A4A16" w:rsidP="002A4A16">
      <w:pPr>
        <w:pStyle w:val="CGCNumberedPara"/>
        <w:numPr>
          <w:ilvl w:val="1"/>
          <w:numId w:val="12"/>
        </w:numPr>
      </w:pPr>
      <w:r w:rsidRPr="003E6BBA">
        <w:t xml:space="preserve">However, in the draft report, the Commission stated that while </w:t>
      </w:r>
      <w:r w:rsidR="00132A4D" w:rsidRPr="003E6BBA">
        <w:t>it</w:t>
      </w:r>
      <w:r w:rsidRPr="003E6BBA">
        <w:t xml:space="preserve"> agree</w:t>
      </w:r>
      <w:r w:rsidR="00132A4D" w:rsidRPr="003E6BBA">
        <w:t>d</w:t>
      </w:r>
      <w:r w:rsidRPr="003E6BBA">
        <w:t xml:space="preserve"> that there is a pri</w:t>
      </w:r>
      <w:r w:rsidR="00285F21" w:rsidRPr="003E6BBA">
        <w:t xml:space="preserve">vate alternative for </w:t>
      </w:r>
      <w:r w:rsidR="000B0705">
        <w:t>non-admitted patient</w:t>
      </w:r>
      <w:r w:rsidRPr="003E6BBA">
        <w:t xml:space="preserve"> services, </w:t>
      </w:r>
      <w:r w:rsidR="00132A4D" w:rsidRPr="003E6BBA">
        <w:t>it was</w:t>
      </w:r>
      <w:r w:rsidRPr="003E6BBA">
        <w:t xml:space="preserve"> unsure as to what degree the quantity of these services provided in the private sector influence the level of services provided in the public sector.</w:t>
      </w:r>
    </w:p>
    <w:p w:rsidR="001727BD" w:rsidRPr="003E6BBA" w:rsidRDefault="001727BD" w:rsidP="001727BD">
      <w:pPr>
        <w:pStyle w:val="CGCNumberedPara"/>
        <w:numPr>
          <w:ilvl w:val="1"/>
          <w:numId w:val="12"/>
        </w:numPr>
      </w:pPr>
      <w:r w:rsidRPr="003E6BBA">
        <w:t xml:space="preserve">The </w:t>
      </w:r>
      <w:r w:rsidR="002A4A16" w:rsidRPr="003E6BBA">
        <w:t xml:space="preserve">ABS </w:t>
      </w:r>
      <w:r w:rsidR="002A4A16" w:rsidRPr="003E6BBA">
        <w:rPr>
          <w:i/>
        </w:rPr>
        <w:t>National health survey</w:t>
      </w:r>
      <w:r w:rsidR="002A4A16" w:rsidRPr="003E6BBA">
        <w:t xml:space="preserve"> (</w:t>
      </w:r>
      <w:r w:rsidRPr="003E6BBA">
        <w:t>NHS</w:t>
      </w:r>
      <w:r w:rsidR="002A4A16" w:rsidRPr="003E6BBA">
        <w:t>)</w:t>
      </w:r>
      <w:r w:rsidRPr="003E6BBA">
        <w:t xml:space="preserve"> found that 50% of outpatients had been admitted to hospital in the past 12 months. For most of these people, their visit seems likely to be connected to their earlier admission, and there would be low levels of substitutability for this group, although not negligible. However, for the other 50% of visits without a previous admission, there may be some level of substitutability.</w:t>
      </w:r>
    </w:p>
    <w:p w:rsidR="001727BD" w:rsidRPr="003E6BBA" w:rsidRDefault="001727BD" w:rsidP="001727BD">
      <w:pPr>
        <w:pStyle w:val="CGCNumberedPara"/>
        <w:numPr>
          <w:ilvl w:val="1"/>
          <w:numId w:val="12"/>
        </w:numPr>
      </w:pPr>
      <w:r w:rsidRPr="003E6BBA">
        <w:t>The placeholder adopted by the Commission in the draft report was one consistent with the ED placeholder, of 40% substitutability of outpatient services.</w:t>
      </w:r>
    </w:p>
    <w:p w:rsidR="001727BD" w:rsidRPr="003E6BBA" w:rsidRDefault="001727BD" w:rsidP="001727BD">
      <w:pPr>
        <w:pStyle w:val="Heading4"/>
      </w:pPr>
      <w:bookmarkStart w:id="73" w:name="_Toc405559337"/>
      <w:bookmarkStart w:id="74" w:name="_Toc405559419"/>
      <w:bookmarkStart w:id="75" w:name="_Toc405559452"/>
      <w:bookmarkStart w:id="76" w:name="_Toc405559487"/>
      <w:bookmarkStart w:id="77" w:name="_Toc406659094"/>
      <w:bookmarkStart w:id="78" w:name="_Toc406659215"/>
      <w:r w:rsidRPr="003E6BBA">
        <w:t>State views</w:t>
      </w:r>
      <w:bookmarkEnd w:id="73"/>
      <w:bookmarkEnd w:id="74"/>
      <w:bookmarkEnd w:id="75"/>
      <w:bookmarkEnd w:id="76"/>
      <w:bookmarkEnd w:id="77"/>
      <w:bookmarkEnd w:id="78"/>
    </w:p>
    <w:p w:rsidR="00857FC1" w:rsidRPr="003E6BBA" w:rsidRDefault="00857FC1" w:rsidP="00857FC1">
      <w:pPr>
        <w:pStyle w:val="CGCNumberedPara"/>
        <w:numPr>
          <w:ilvl w:val="1"/>
          <w:numId w:val="12"/>
        </w:numPr>
      </w:pPr>
      <w:r w:rsidRPr="003E6BBA">
        <w:t xml:space="preserve">Similar to the stated positions in EDs, New South Wales and Victoria </w:t>
      </w:r>
      <w:r w:rsidR="000E5053" w:rsidRPr="003E6BBA">
        <w:t xml:space="preserve">maintain </w:t>
      </w:r>
      <w:r w:rsidRPr="003E6BBA">
        <w:t xml:space="preserve">that the figure should be lower than the 40% placeholder. New South Wales Health estimated the substitutability </w:t>
      </w:r>
      <w:r w:rsidR="00F05C39" w:rsidRPr="003E6BBA">
        <w:t xml:space="preserve">of </w:t>
      </w:r>
      <w:r w:rsidRPr="003E6BBA">
        <w:t>specialist outpatient services was closer to 10% while Victoria said the Commission should take a conservative view in light of the issues around cost and availability of non-State services, and said a rate of substitutability of around 25% would be more appropriate.</w:t>
      </w:r>
    </w:p>
    <w:p w:rsidR="001220B9" w:rsidRPr="003E6BBA" w:rsidRDefault="001220B9" w:rsidP="001220B9">
      <w:pPr>
        <w:pStyle w:val="CGCNumberedPara"/>
        <w:numPr>
          <w:ilvl w:val="1"/>
          <w:numId w:val="12"/>
        </w:numPr>
      </w:pPr>
      <w:r w:rsidRPr="003E6BBA">
        <w:t xml:space="preserve">Tasmania said while there is no obvious link between the degree of substitutability applicable to </w:t>
      </w:r>
      <w:r w:rsidR="008B3CA5" w:rsidRPr="003E6BBA">
        <w:t>EDs</w:t>
      </w:r>
      <w:r w:rsidRPr="003E6BBA">
        <w:t xml:space="preserve"> and that applicable to outpatient services, they expect the outpatient percentage to be higher</w:t>
      </w:r>
      <w:r w:rsidR="002A4A16" w:rsidRPr="003E6BBA">
        <w:t xml:space="preserve"> than EDs</w:t>
      </w:r>
      <w:r w:rsidRPr="003E6BBA">
        <w:t>.</w:t>
      </w:r>
    </w:p>
    <w:p w:rsidR="001220B9" w:rsidRPr="003E6BBA" w:rsidRDefault="001220B9" w:rsidP="001220B9">
      <w:pPr>
        <w:pStyle w:val="CGCNumberedPara"/>
        <w:numPr>
          <w:ilvl w:val="1"/>
          <w:numId w:val="12"/>
        </w:numPr>
      </w:pPr>
      <w:r w:rsidRPr="003E6BBA">
        <w:t xml:space="preserve">The ACT supported 40% while the Northern Territory said </w:t>
      </w:r>
      <w:r w:rsidR="00857FC1" w:rsidRPr="003E6BBA">
        <w:t>it</w:t>
      </w:r>
      <w:r w:rsidRPr="003E6BBA">
        <w:t xml:space="preserve"> should be 50% or higher.</w:t>
      </w:r>
    </w:p>
    <w:p w:rsidR="000D61FF" w:rsidRPr="003E6BBA" w:rsidRDefault="000D61FF" w:rsidP="000D61FF">
      <w:pPr>
        <w:pStyle w:val="Heading4"/>
      </w:pPr>
      <w:bookmarkStart w:id="79" w:name="_Toc405559338"/>
      <w:bookmarkStart w:id="80" w:name="_Toc405559420"/>
      <w:bookmarkStart w:id="81" w:name="_Toc405559453"/>
      <w:bookmarkStart w:id="82" w:name="_Toc405559488"/>
      <w:bookmarkStart w:id="83" w:name="_Toc406659095"/>
      <w:bookmarkStart w:id="84" w:name="_Toc406659216"/>
      <w:r w:rsidRPr="003E6BBA">
        <w:t>Consultants’ views</w:t>
      </w:r>
      <w:bookmarkEnd w:id="79"/>
      <w:bookmarkEnd w:id="80"/>
      <w:bookmarkEnd w:id="81"/>
      <w:bookmarkEnd w:id="82"/>
      <w:bookmarkEnd w:id="83"/>
      <w:bookmarkEnd w:id="84"/>
    </w:p>
    <w:p w:rsidR="000D61FF" w:rsidRPr="003E6BBA" w:rsidRDefault="006218F7" w:rsidP="000D61FF">
      <w:pPr>
        <w:pStyle w:val="CGCNumberedPara"/>
        <w:numPr>
          <w:ilvl w:val="1"/>
          <w:numId w:val="12"/>
        </w:numPr>
      </w:pPr>
      <w:r w:rsidRPr="003E6BBA">
        <w:t xml:space="preserve">Both </w:t>
      </w:r>
      <w:r w:rsidR="000D61FF" w:rsidRPr="003E6BBA">
        <w:t>consultants acknowledge</w:t>
      </w:r>
      <w:r w:rsidRPr="003E6BBA">
        <w:t>d</w:t>
      </w:r>
      <w:r w:rsidR="000D61FF" w:rsidRPr="003E6BBA">
        <w:t xml:space="preserve"> that </w:t>
      </w:r>
      <w:r w:rsidR="00C65025" w:rsidRPr="003E6BBA">
        <w:t xml:space="preserve">to calculate </w:t>
      </w:r>
      <w:r w:rsidR="000D61FF" w:rsidRPr="003E6BBA">
        <w:t>the level of substitutability in this area is more problematic than for EDs.</w:t>
      </w:r>
    </w:p>
    <w:p w:rsidR="000D61FF" w:rsidRPr="003E6BBA" w:rsidRDefault="000D61FF" w:rsidP="000D61FF">
      <w:pPr>
        <w:pStyle w:val="CGCNumberedPara"/>
        <w:numPr>
          <w:ilvl w:val="1"/>
          <w:numId w:val="12"/>
        </w:numPr>
      </w:pPr>
      <w:r w:rsidRPr="003E6BBA">
        <w:t>Savage provided the following advice:</w:t>
      </w:r>
    </w:p>
    <w:p w:rsidR="000D61FF" w:rsidRPr="003E6BBA" w:rsidRDefault="000D61FF" w:rsidP="000D61FF">
      <w:pPr>
        <w:pStyle w:val="CGCBulletlist"/>
        <w:numPr>
          <w:ilvl w:val="0"/>
          <w:numId w:val="39"/>
        </w:numPr>
        <w:tabs>
          <w:tab w:val="clear" w:pos="927"/>
          <w:tab w:val="left" w:pos="1134"/>
        </w:tabs>
        <w:ind w:left="1134" w:hanging="567"/>
      </w:pPr>
      <w:r w:rsidRPr="003E6BBA">
        <w:t xml:space="preserve">Specialists – around 30% of services are bulk billed, </w:t>
      </w:r>
      <w:r w:rsidR="00285F21" w:rsidRPr="003E6BBA">
        <w:t xml:space="preserve">with </w:t>
      </w:r>
      <w:r w:rsidRPr="003E6BBA">
        <w:t xml:space="preserve">these services presumably only available for people on health care cards. Most of these services are likely to be substitutable. For the 70% of services not bulk billed, the price constraint is considerable, and so the level of substitutability is considerably lower. </w:t>
      </w:r>
    </w:p>
    <w:p w:rsidR="000D61FF" w:rsidRPr="003E6BBA" w:rsidRDefault="000D61FF" w:rsidP="000D61FF">
      <w:pPr>
        <w:pStyle w:val="CGCBulletlist"/>
        <w:numPr>
          <w:ilvl w:val="0"/>
          <w:numId w:val="39"/>
        </w:numPr>
        <w:tabs>
          <w:tab w:val="clear" w:pos="927"/>
          <w:tab w:val="left" w:pos="1134"/>
        </w:tabs>
        <w:ind w:left="1134" w:hanging="567"/>
      </w:pPr>
      <w:r w:rsidRPr="003E6BBA">
        <w:t>Pathology and imaging – most services are bulk billed (over 80%), so there would be a high degree of substitutability as there is no price constraint.</w:t>
      </w:r>
    </w:p>
    <w:p w:rsidR="002A4A16" w:rsidRPr="003E6BBA" w:rsidRDefault="000D61FF" w:rsidP="002A4A16">
      <w:pPr>
        <w:pStyle w:val="CGCNumberedPara"/>
        <w:rPr>
          <w:lang w:eastAsia="en-GB"/>
        </w:rPr>
      </w:pPr>
      <w:r w:rsidRPr="003E6BBA">
        <w:lastRenderedPageBreak/>
        <w:t xml:space="preserve">Downie </w:t>
      </w:r>
      <w:r w:rsidR="002A4A16" w:rsidRPr="003E6BBA">
        <w:t xml:space="preserve">presented </w:t>
      </w:r>
      <w:r w:rsidR="006218F7" w:rsidRPr="003E6BBA">
        <w:t>similar advice to Savage. He said that n</w:t>
      </w:r>
      <w:r w:rsidR="002A4A16" w:rsidRPr="003E6BBA">
        <w:rPr>
          <w:lang w:eastAsia="en-GB"/>
        </w:rPr>
        <w:t>on-admitted services should be considered to be 100% potentially substitutable in the vast majority of specialities. For example, most medical and surgical specialists who work in the public sector also have rights of private practice and offer similar services to patients in their private consulting rooms.</w:t>
      </w:r>
    </w:p>
    <w:p w:rsidR="002A4A16" w:rsidRPr="003E6BBA" w:rsidRDefault="002A4A16" w:rsidP="002A4A16">
      <w:pPr>
        <w:pStyle w:val="CGCNumberedPara"/>
        <w:rPr>
          <w:lang w:eastAsia="en-GB"/>
        </w:rPr>
      </w:pPr>
      <w:r w:rsidRPr="003E6BBA">
        <w:rPr>
          <w:lang w:eastAsia="en-GB"/>
        </w:rPr>
        <w:t>Similarly</w:t>
      </w:r>
      <w:r w:rsidR="006218F7" w:rsidRPr="003E6BBA">
        <w:rPr>
          <w:lang w:eastAsia="en-GB"/>
        </w:rPr>
        <w:t>,</w:t>
      </w:r>
      <w:r w:rsidRPr="003E6BBA">
        <w:rPr>
          <w:lang w:eastAsia="en-GB"/>
        </w:rPr>
        <w:t xml:space="preserve"> other non-admitted allied health services available through the public hospital system are also available privately in the community (</w:t>
      </w:r>
      <w:r w:rsidR="002062A8" w:rsidRPr="003E6BBA">
        <w:rPr>
          <w:lang w:eastAsia="en-GB"/>
        </w:rPr>
        <w:t>for example,</w:t>
      </w:r>
      <w:r w:rsidRPr="003E6BBA">
        <w:rPr>
          <w:lang w:eastAsia="en-GB"/>
        </w:rPr>
        <w:t xml:space="preserve"> physiotherapy, occupational therapy, psychology etc).</w:t>
      </w:r>
      <w:r w:rsidR="006218F7" w:rsidRPr="003E6BBA">
        <w:rPr>
          <w:lang w:eastAsia="en-GB"/>
        </w:rPr>
        <w:t xml:space="preserve"> </w:t>
      </w:r>
      <w:r w:rsidRPr="003E6BBA">
        <w:rPr>
          <w:lang w:eastAsia="en-GB"/>
        </w:rPr>
        <w:t>Pathology and diagnostic imaging services are now widely available throughout the private sector, and for almost all services should be considered close to 100% potentially substitutable</w:t>
      </w:r>
      <w:r w:rsidR="00FB3727" w:rsidRPr="003E6BBA">
        <w:rPr>
          <w:lang w:eastAsia="en-GB"/>
        </w:rPr>
        <w:t>.</w:t>
      </w:r>
    </w:p>
    <w:p w:rsidR="006218F7" w:rsidRPr="003E6BBA" w:rsidRDefault="006218F7" w:rsidP="000D61FF">
      <w:pPr>
        <w:pStyle w:val="CGCNumberedPara"/>
        <w:numPr>
          <w:ilvl w:val="1"/>
          <w:numId w:val="12"/>
        </w:numPr>
      </w:pPr>
      <w:r w:rsidRPr="003E6BBA">
        <w:rPr>
          <w:lang w:eastAsia="en-GB"/>
        </w:rPr>
        <w:t>However, the bulk billing rates for these services vary dramatically</w:t>
      </w:r>
      <w:r w:rsidRPr="003E6BBA">
        <w:t>, and should be taken into account. He calculated that, based on the bulk billing rates for each area of outpatient services (specialists, obstetrics, anaesthetics, pathology and imaging, and allied health), 55% of these services could be as</w:t>
      </w:r>
      <w:r w:rsidR="00285F21" w:rsidRPr="003E6BBA">
        <w:t>sumed substitutable</w:t>
      </w:r>
      <w:r w:rsidRPr="003E6BBA">
        <w:t>.</w:t>
      </w:r>
    </w:p>
    <w:p w:rsidR="00D70554" w:rsidRPr="003E6BBA" w:rsidRDefault="00D70554" w:rsidP="00D70554">
      <w:pPr>
        <w:pStyle w:val="Heading4"/>
      </w:pPr>
      <w:bookmarkStart w:id="85" w:name="_Toc405559339"/>
      <w:bookmarkStart w:id="86" w:name="_Toc405559421"/>
      <w:bookmarkStart w:id="87" w:name="_Toc405559454"/>
      <w:bookmarkStart w:id="88" w:name="_Toc405559489"/>
      <w:bookmarkStart w:id="89" w:name="_Toc406659096"/>
      <w:bookmarkStart w:id="90" w:name="_Toc406659217"/>
      <w:r w:rsidRPr="003E6BBA">
        <w:t>Analysis</w:t>
      </w:r>
      <w:bookmarkEnd w:id="85"/>
      <w:bookmarkEnd w:id="86"/>
      <w:bookmarkEnd w:id="87"/>
      <w:bookmarkEnd w:id="88"/>
      <w:bookmarkEnd w:id="89"/>
      <w:bookmarkEnd w:id="90"/>
    </w:p>
    <w:p w:rsidR="00D70554" w:rsidRPr="003E6BBA" w:rsidRDefault="005C6F20" w:rsidP="000D61FF">
      <w:pPr>
        <w:pStyle w:val="CGCNumberedPara"/>
        <w:numPr>
          <w:ilvl w:val="1"/>
          <w:numId w:val="12"/>
        </w:numPr>
      </w:pPr>
      <w:r w:rsidRPr="003E6BBA">
        <w:t xml:space="preserve">The approach taken by the Commission, as outlined in the draft report, to measure the level of substitutability and the approach taken by the consultants were different. The Commission argued that the level of substitutability for patients that came through the hospital as an inpatient was </w:t>
      </w:r>
      <w:r w:rsidR="004A344B" w:rsidRPr="003E6BBA">
        <w:t>minimal. The</w:t>
      </w:r>
      <w:r w:rsidRPr="003E6BBA">
        <w:t xml:space="preserve"> </w:t>
      </w:r>
      <w:r w:rsidR="004A344B" w:rsidRPr="003E6BBA">
        <w:t>consultants</w:t>
      </w:r>
      <w:r w:rsidRPr="003E6BBA">
        <w:t xml:space="preserve"> didn’t take this into account and </w:t>
      </w:r>
      <w:r w:rsidR="004A344B" w:rsidRPr="003E6BBA">
        <w:t xml:space="preserve">assumed that all </w:t>
      </w:r>
      <w:r w:rsidR="000C3A26">
        <w:t>non-admitted</w:t>
      </w:r>
      <w:r w:rsidR="004A344B" w:rsidRPr="003E6BBA">
        <w:t xml:space="preserve"> services were potentially </w:t>
      </w:r>
      <w:r w:rsidR="00FB3727" w:rsidRPr="003E6BBA">
        <w:t>substitutable</w:t>
      </w:r>
      <w:r w:rsidR="004A344B" w:rsidRPr="003E6BBA">
        <w:t>, discounted by the bulk billing rate of each service.</w:t>
      </w:r>
    </w:p>
    <w:p w:rsidR="00C34DBD" w:rsidRPr="003E6BBA" w:rsidRDefault="00C34DBD" w:rsidP="000D61FF">
      <w:pPr>
        <w:pStyle w:val="CGCNumberedPara"/>
        <w:numPr>
          <w:ilvl w:val="1"/>
          <w:numId w:val="12"/>
        </w:numPr>
      </w:pPr>
      <w:r w:rsidRPr="003E6BBA">
        <w:t>Staff have attempted to calculate a level of substitutability using the consultants approach. We have disaggregated all non-admitted patient services into broad groups.</w:t>
      </w:r>
    </w:p>
    <w:p w:rsidR="00C34DBD" w:rsidRPr="003E6BBA" w:rsidRDefault="00C34DBD" w:rsidP="00C34DBD">
      <w:pPr>
        <w:pStyle w:val="CGCBulletlist"/>
      </w:pPr>
      <w:r w:rsidRPr="003E6BBA">
        <w:t xml:space="preserve">Allied health (physiotherapists, chiropractic, dental, dietetics and optical etc) – staff still consider </w:t>
      </w:r>
      <w:r w:rsidR="00EE7A85" w:rsidRPr="003E6BBA">
        <w:t xml:space="preserve">the majority of </w:t>
      </w:r>
      <w:r w:rsidRPr="003E6BBA">
        <w:t xml:space="preserve">these services </w:t>
      </w:r>
      <w:r w:rsidR="00EE7A85" w:rsidRPr="003E6BBA">
        <w:t xml:space="preserve">to </w:t>
      </w:r>
      <w:r w:rsidR="0058071A" w:rsidRPr="003E6BBA">
        <w:t xml:space="preserve">not </w:t>
      </w:r>
      <w:r w:rsidR="00EE7A85" w:rsidRPr="003E6BBA">
        <w:t>be substitutable because they are generally linked to an inpatient service and would be independent of the level of private provision outside the hospital.</w:t>
      </w:r>
      <w:r w:rsidR="0058071A" w:rsidRPr="003E6BBA">
        <w:t xml:space="preserve"> We estimate these services would make up approximately 10% of all non-admitted patient costs</w:t>
      </w:r>
      <w:r w:rsidR="001A6480" w:rsidRPr="003E6BBA">
        <w:t>.</w:t>
      </w:r>
      <w:r w:rsidR="001A6480" w:rsidRPr="003E6BBA">
        <w:rPr>
          <w:rStyle w:val="FootnoteReference"/>
        </w:rPr>
        <w:footnoteReference w:id="9"/>
      </w:r>
    </w:p>
    <w:p w:rsidR="00C34DBD" w:rsidRPr="003E6BBA" w:rsidRDefault="00C34DBD" w:rsidP="00C34DBD">
      <w:pPr>
        <w:pStyle w:val="CGCBulletlist"/>
      </w:pPr>
      <w:r w:rsidRPr="003E6BBA">
        <w:t>Specialists</w:t>
      </w:r>
      <w:r w:rsidR="00EE7A85" w:rsidRPr="003E6BBA">
        <w:t xml:space="preserve"> (obstetrics, gynaecology, cardiology, oncology etc) – staff consider that a bulk billing rate of 30% represents the level of comparable services provided in a private setting considering the price constraint as outlined by Savage.</w:t>
      </w:r>
      <w:r w:rsidR="0058071A" w:rsidRPr="003E6BBA">
        <w:t xml:space="preserve"> We estimate these services would make up approximately 5</w:t>
      </w:r>
      <w:r w:rsidR="00D35F7B" w:rsidRPr="003E6BBA">
        <w:t>5</w:t>
      </w:r>
      <w:r w:rsidR="0058071A" w:rsidRPr="003E6BBA">
        <w:t>-60% of all non-admitted patient costs.</w:t>
      </w:r>
    </w:p>
    <w:p w:rsidR="00EE7A85" w:rsidRPr="003E6BBA" w:rsidRDefault="00EE7A85" w:rsidP="00C34DBD">
      <w:pPr>
        <w:pStyle w:val="CGCBulletlist"/>
      </w:pPr>
      <w:r w:rsidRPr="003E6BBA">
        <w:t xml:space="preserve">Pathology and imaging – staff consider that a bulk billing rates of </w:t>
      </w:r>
      <w:r w:rsidR="0058071A" w:rsidRPr="003E6BBA">
        <w:t>85</w:t>
      </w:r>
      <w:r w:rsidRPr="003E6BBA">
        <w:t xml:space="preserve">% and </w:t>
      </w:r>
      <w:r w:rsidR="0058071A" w:rsidRPr="003E6BBA">
        <w:t>75</w:t>
      </w:r>
      <w:r w:rsidRPr="003E6BBA">
        <w:t xml:space="preserve">% represent the level of comparable services provided in a private setting </w:t>
      </w:r>
      <w:r w:rsidRPr="003E6BBA">
        <w:lastRenderedPageBreak/>
        <w:t>considering the price constraint.</w:t>
      </w:r>
      <w:r w:rsidR="0058071A" w:rsidRPr="003E6BBA">
        <w:t xml:space="preserve"> We estimate these services would make up approximately 20</w:t>
      </w:r>
      <w:r w:rsidR="00D35F7B" w:rsidRPr="003E6BBA">
        <w:t>-25</w:t>
      </w:r>
      <w:r w:rsidR="0058071A" w:rsidRPr="003E6BBA">
        <w:t>% of all non-admitted patient costs.</w:t>
      </w:r>
    </w:p>
    <w:p w:rsidR="00EE7A85" w:rsidRPr="003E6BBA" w:rsidRDefault="00C34DBD" w:rsidP="00C34DBD">
      <w:pPr>
        <w:pStyle w:val="CGCBulletlist"/>
      </w:pPr>
      <w:r w:rsidRPr="003E6BBA">
        <w:t>Other</w:t>
      </w:r>
      <w:r w:rsidR="00EE7A85" w:rsidRPr="003E6BBA">
        <w:t xml:space="preserve"> (mental health, alcohol and drug treatment etc) – in some States these services are provided in a hospital or in a community heath setting, or in most cases, both. Staff consider that </w:t>
      </w:r>
      <w:r w:rsidR="00FD1738" w:rsidRPr="003E6BBA">
        <w:t>a large proportion</w:t>
      </w:r>
      <w:r w:rsidR="00EE7A85" w:rsidRPr="003E6BBA">
        <w:t xml:space="preserve"> of these services could be provided in a private setting, similar to our arguments in the community health component</w:t>
      </w:r>
      <w:r w:rsidR="00FD1738" w:rsidRPr="003E6BBA">
        <w:t xml:space="preserve"> (75%</w:t>
      </w:r>
      <w:r w:rsidR="00285F21" w:rsidRPr="003E6BBA">
        <w:t xml:space="preserve"> substitutability</w:t>
      </w:r>
      <w:r w:rsidR="00FD1738" w:rsidRPr="003E6BBA">
        <w:t>)</w:t>
      </w:r>
      <w:r w:rsidR="00EE7A85" w:rsidRPr="003E6BBA">
        <w:t>.</w:t>
      </w:r>
      <w:r w:rsidR="0058071A" w:rsidRPr="003E6BBA">
        <w:t xml:space="preserve"> We estimate these services would make up approximately 10</w:t>
      </w:r>
      <w:r w:rsidR="00D35F7B" w:rsidRPr="003E6BBA">
        <w:t>-15</w:t>
      </w:r>
      <w:r w:rsidR="0058071A" w:rsidRPr="003E6BBA">
        <w:t>% of all non-admitted patient costs.</w:t>
      </w:r>
    </w:p>
    <w:p w:rsidR="00F66072" w:rsidRPr="003E6BBA" w:rsidRDefault="00F66072" w:rsidP="00EE7A85">
      <w:pPr>
        <w:pStyle w:val="CGCNumberedPara"/>
      </w:pPr>
      <w:r w:rsidRPr="003E6BBA">
        <w:t xml:space="preserve">Based on estimated State spending and the level of bulk billing rates in each broad service area, staff have estimated the level of substitutability using this approach is approximately </w:t>
      </w:r>
      <w:r w:rsidR="00D35F7B" w:rsidRPr="003E6BBA">
        <w:t>40-</w:t>
      </w:r>
      <w:r w:rsidRPr="003E6BBA">
        <w:t>45%.</w:t>
      </w:r>
    </w:p>
    <w:p w:rsidR="00F66072" w:rsidRPr="003E6BBA" w:rsidRDefault="00F66072" w:rsidP="00EE7A85">
      <w:pPr>
        <w:pStyle w:val="CGCNumberedPara"/>
      </w:pPr>
      <w:r w:rsidRPr="003E6BBA">
        <w:t xml:space="preserve">It should also be noted that </w:t>
      </w:r>
      <w:r w:rsidR="009456B9" w:rsidRPr="003E6BBA">
        <w:t xml:space="preserve">the substitutability rate that </w:t>
      </w:r>
      <w:r w:rsidRPr="003E6BBA">
        <w:t xml:space="preserve">Downie calculated </w:t>
      </w:r>
      <w:r w:rsidR="009456B9" w:rsidRPr="003E6BBA">
        <w:t>was</w:t>
      </w:r>
      <w:r w:rsidRPr="003E6BBA">
        <w:t xml:space="preserve"> based on </w:t>
      </w:r>
      <w:r w:rsidR="009D0226" w:rsidRPr="003E6BBA">
        <w:t>the</w:t>
      </w:r>
      <w:r w:rsidR="009456B9" w:rsidRPr="003E6BBA">
        <w:t xml:space="preserve"> estimated </w:t>
      </w:r>
      <w:r w:rsidRPr="003E6BBA">
        <w:t>level of services provided</w:t>
      </w:r>
      <w:r w:rsidR="00A02EC8" w:rsidRPr="003E6BBA">
        <w:t xml:space="preserve"> and did not take into account the variable costs of each service</w:t>
      </w:r>
      <w:r w:rsidRPr="003E6BBA">
        <w:t xml:space="preserve">. Considering specialist services are more costly </w:t>
      </w:r>
      <w:r w:rsidR="009456B9" w:rsidRPr="003E6BBA">
        <w:t xml:space="preserve">(and with a lower bulk billing rate) </w:t>
      </w:r>
      <w:r w:rsidRPr="003E6BBA">
        <w:t xml:space="preserve">than </w:t>
      </w:r>
      <w:r w:rsidR="009456B9" w:rsidRPr="003E6BBA">
        <w:t>other non-admitted patient services</w:t>
      </w:r>
      <w:r w:rsidR="00A02EC8" w:rsidRPr="003E6BBA">
        <w:t xml:space="preserve"> such as pathology</w:t>
      </w:r>
      <w:r w:rsidR="009456B9" w:rsidRPr="003E6BBA">
        <w:t xml:space="preserve">, it could be implied that his </w:t>
      </w:r>
      <w:r w:rsidR="00A02EC8" w:rsidRPr="003E6BBA">
        <w:t xml:space="preserve">estimated </w:t>
      </w:r>
      <w:r w:rsidR="009456B9" w:rsidRPr="003E6BBA">
        <w:t>rate of substitutability would be lower than 55%.</w:t>
      </w:r>
    </w:p>
    <w:p w:rsidR="00C34DBD" w:rsidRPr="003E6BBA" w:rsidRDefault="009456B9" w:rsidP="00D80144">
      <w:pPr>
        <w:pStyle w:val="CGCNumberedPara"/>
      </w:pPr>
      <w:r w:rsidRPr="003E6BBA">
        <w:t>In summary, t</w:t>
      </w:r>
      <w:r w:rsidR="00D80144" w:rsidRPr="003E6BBA">
        <w:t xml:space="preserve">he results show that we get similar results to the broad approach as outlined in the draft report. On balance, staff </w:t>
      </w:r>
      <w:r w:rsidR="006A3AC9">
        <w:t>intend</w:t>
      </w:r>
      <w:r w:rsidR="000C3A26">
        <w:t xml:space="preserve"> recommending the Commission adopt </w:t>
      </w:r>
      <w:r w:rsidR="00D80144" w:rsidRPr="003E6BBA">
        <w:t xml:space="preserve">a level </w:t>
      </w:r>
      <w:r w:rsidR="000C3A26">
        <w:t xml:space="preserve">within the range </w:t>
      </w:r>
      <w:r w:rsidR="00D80144" w:rsidRPr="003E6BBA">
        <w:t>of 40</w:t>
      </w:r>
      <w:r w:rsidR="000C3A26">
        <w:t>-45</w:t>
      </w:r>
      <w:r w:rsidR="00D80144" w:rsidRPr="003E6BBA">
        <w:t xml:space="preserve">% substitutability </w:t>
      </w:r>
      <w:r w:rsidR="00132A4D" w:rsidRPr="003E6BBA">
        <w:t xml:space="preserve">of </w:t>
      </w:r>
      <w:r w:rsidR="000B0705">
        <w:t xml:space="preserve">non-admitted patients </w:t>
      </w:r>
      <w:r w:rsidR="00132A4D" w:rsidRPr="003E6BBA">
        <w:t>component expenses</w:t>
      </w:r>
      <w:r w:rsidR="00D80144" w:rsidRPr="003E6BBA">
        <w:t>.</w:t>
      </w:r>
    </w:p>
    <w:p w:rsidR="001727BD" w:rsidRPr="003E6BBA" w:rsidRDefault="00D70554" w:rsidP="001727BD">
      <w:pPr>
        <w:pStyle w:val="Heading3"/>
      </w:pPr>
      <w:bookmarkStart w:id="91" w:name="_Toc405559296"/>
      <w:bookmarkStart w:id="92" w:name="_Toc405559423"/>
      <w:bookmarkStart w:id="93" w:name="_Toc405559456"/>
      <w:bookmarkStart w:id="94" w:name="_Toc406659218"/>
      <w:r w:rsidRPr="003E6BBA">
        <w:t>C</w:t>
      </w:r>
      <w:r w:rsidR="001727BD" w:rsidRPr="003E6BBA">
        <w:t>ommunity health</w:t>
      </w:r>
      <w:bookmarkEnd w:id="91"/>
      <w:bookmarkEnd w:id="92"/>
      <w:bookmarkEnd w:id="93"/>
      <w:bookmarkEnd w:id="94"/>
    </w:p>
    <w:p w:rsidR="00B94CAB" w:rsidRPr="003E6BBA" w:rsidRDefault="00B94CAB" w:rsidP="00B94CAB">
      <w:pPr>
        <w:numPr>
          <w:ilvl w:val="1"/>
          <w:numId w:val="12"/>
        </w:numPr>
        <w:spacing w:before="120"/>
      </w:pPr>
      <w:r w:rsidRPr="003E6BBA">
        <w:t>T</w:t>
      </w:r>
      <w:r w:rsidRPr="003E6BBA">
        <w:rPr>
          <w:rFonts w:eastAsia="StoneSerifStd-Medium"/>
        </w:rPr>
        <w:t xml:space="preserve">here is </w:t>
      </w:r>
      <w:r w:rsidRPr="003E6BBA">
        <w:t xml:space="preserve">significant variety both within and between States in how </w:t>
      </w:r>
      <w:r w:rsidRPr="003E6BBA">
        <w:rPr>
          <w:rFonts w:eastAsia="StoneSerifStd-Medium"/>
        </w:rPr>
        <w:t>community health services</w:t>
      </w:r>
      <w:r w:rsidRPr="003E6BBA">
        <w:t xml:space="preserve"> are delivered. While the majority are provided in dedicated </w:t>
      </w:r>
      <w:r w:rsidRPr="003E6BBA">
        <w:rPr>
          <w:rFonts w:eastAsia="StoneSerifStd-Medium"/>
        </w:rPr>
        <w:t>community health centres, they can also be provided in schools, local councils and in clients’ homes.</w:t>
      </w:r>
      <w:r w:rsidRPr="003E6BBA">
        <w:rPr>
          <w:rStyle w:val="FootnoteReference"/>
          <w:lang w:eastAsia="en-AU"/>
        </w:rPr>
        <w:footnoteReference w:id="10"/>
      </w:r>
    </w:p>
    <w:p w:rsidR="00B94CAB" w:rsidRPr="003E6BBA" w:rsidRDefault="00B94CAB" w:rsidP="00B94CAB">
      <w:pPr>
        <w:numPr>
          <w:ilvl w:val="1"/>
          <w:numId w:val="12"/>
        </w:numPr>
        <w:spacing w:before="120"/>
      </w:pPr>
      <w:r w:rsidRPr="003E6BBA">
        <w:t xml:space="preserve">In addition, there is considerable overlap in the services provided in the public and private sector. There are many similarities in the services provided by GPs </w:t>
      </w:r>
      <w:r w:rsidR="0051407C">
        <w:t xml:space="preserve">(and other private or non-State health providers, including local governments) </w:t>
      </w:r>
      <w:r w:rsidRPr="003E6BBA">
        <w:t>and those provided in community health centres and public health programs. For example, a GP provides immunisation vaccines as do State funded professionals. GPs also assist people with drug rehabilitation programs, family planning, anti-smoking advice and other health promotion activities.</w:t>
      </w:r>
    </w:p>
    <w:p w:rsidR="00B94CAB" w:rsidRPr="003E6BBA" w:rsidRDefault="00B94CAB" w:rsidP="00B576FD">
      <w:pPr>
        <w:pStyle w:val="CGCNumberedPara"/>
        <w:rPr>
          <w:rStyle w:val="Heading6Char"/>
          <w:rFonts w:eastAsiaTheme="minorHAnsi" w:cstheme="minorBidi"/>
          <w:b w:val="0"/>
          <w:i w:val="0"/>
          <w:iCs w:val="0"/>
          <w:color w:val="auto"/>
          <w:sz w:val="24"/>
        </w:rPr>
      </w:pPr>
      <w:r w:rsidRPr="003E6BBA">
        <w:t xml:space="preserve">In the draft report, the Commission said that it considered there was strong evidence of substitutability between GPs and community health services. However, similar to </w:t>
      </w:r>
      <w:r w:rsidRPr="003E6BBA">
        <w:lastRenderedPageBreak/>
        <w:t>the difficulties in outpatients, it was unsure as to what degree the quantity of these services provided in the private sector influence the level of services provided in the public sector.</w:t>
      </w:r>
      <w:r w:rsidRPr="003E6BBA">
        <w:rPr>
          <w:rStyle w:val="Heading6Char"/>
          <w:rFonts w:eastAsiaTheme="minorHAnsi" w:cstheme="minorBidi"/>
          <w:b w:val="0"/>
          <w:i w:val="0"/>
          <w:iCs w:val="0"/>
          <w:color w:val="auto"/>
          <w:sz w:val="24"/>
        </w:rPr>
        <w:t xml:space="preserve"> </w:t>
      </w:r>
    </w:p>
    <w:p w:rsidR="00B94CAB" w:rsidRPr="003E6BBA" w:rsidRDefault="00B94CAB" w:rsidP="00B94CAB">
      <w:pPr>
        <w:pStyle w:val="CGCNumberedPara"/>
        <w:numPr>
          <w:ilvl w:val="1"/>
          <w:numId w:val="12"/>
        </w:numPr>
      </w:pPr>
      <w:r w:rsidRPr="003E6BBA">
        <w:t>In the absence of any further information, the Commission considered that a placeholder of 75% would be a reasonable estimate of the substitutability of community health services.</w:t>
      </w:r>
    </w:p>
    <w:p w:rsidR="001727BD" w:rsidRPr="003E6BBA" w:rsidRDefault="001727BD" w:rsidP="001727BD">
      <w:pPr>
        <w:pStyle w:val="Heading4"/>
      </w:pPr>
      <w:bookmarkStart w:id="95" w:name="_Toc405559342"/>
      <w:bookmarkStart w:id="96" w:name="_Toc405559424"/>
      <w:bookmarkStart w:id="97" w:name="_Toc405559457"/>
      <w:bookmarkStart w:id="98" w:name="_Toc405559492"/>
      <w:bookmarkStart w:id="99" w:name="_Toc406659219"/>
      <w:r w:rsidRPr="003E6BBA">
        <w:t>State views</w:t>
      </w:r>
      <w:bookmarkEnd w:id="95"/>
      <w:bookmarkEnd w:id="96"/>
      <w:bookmarkEnd w:id="97"/>
      <w:bookmarkEnd w:id="98"/>
      <w:bookmarkEnd w:id="99"/>
    </w:p>
    <w:p w:rsidR="00B94CAB" w:rsidRPr="003E6BBA" w:rsidRDefault="00B94CAB" w:rsidP="00B94CAB">
      <w:pPr>
        <w:pStyle w:val="CGCNumberedPara"/>
      </w:pPr>
      <w:r w:rsidRPr="003E6BBA">
        <w:t xml:space="preserve">Based on advice from senior health service managers from one of the largest Local Health Districts in New South Wales, New South Wales Health </w:t>
      </w:r>
      <w:r w:rsidR="009D0226" w:rsidRPr="003E6BBA">
        <w:t xml:space="preserve">provided analysis that </w:t>
      </w:r>
      <w:r w:rsidRPr="003E6BBA">
        <w:t>indicated that the level of substitutability for community health is significantly lower for most services.</w:t>
      </w:r>
    </w:p>
    <w:p w:rsidR="00B94CAB" w:rsidRPr="003E6BBA" w:rsidRDefault="00B94CAB" w:rsidP="00B94CAB">
      <w:pPr>
        <w:pStyle w:val="CGCNumberedPara"/>
      </w:pPr>
      <w:r w:rsidRPr="003E6BBA">
        <w:t>New South Wales said that the private sector (including GPs, psychologists and allied health providers) overwhelmingly focus on less severe disorders such as anxiety and affective disorders, and provide planned, non-emergency treatment for those disorders while State services provide care for more severe disorders (</w:t>
      </w:r>
      <w:r w:rsidR="002062A8" w:rsidRPr="003E6BBA">
        <w:t>for example,</w:t>
      </w:r>
      <w:r w:rsidRPr="003E6BBA">
        <w:t xml:space="preserve"> psychoses, severe mood disorders, personality disorders). </w:t>
      </w:r>
    </w:p>
    <w:p w:rsidR="00B94CAB" w:rsidRPr="003E6BBA" w:rsidRDefault="00B94CAB" w:rsidP="00B94CAB">
      <w:pPr>
        <w:pStyle w:val="CGCNumberedPara"/>
      </w:pPr>
      <w:r w:rsidRPr="003E6BBA">
        <w:t xml:space="preserve">Victoria and South Australia said that a broader view should be taken concerning the substitutability of community health services. Victoria said that while many individual elements of </w:t>
      </w:r>
      <w:r w:rsidR="009D0226" w:rsidRPr="003E6BBA">
        <w:t>S</w:t>
      </w:r>
      <w:r w:rsidRPr="003E6BBA">
        <w:t xml:space="preserve">tate funded </w:t>
      </w:r>
      <w:r w:rsidR="00B576FD" w:rsidRPr="003E6BBA">
        <w:t xml:space="preserve">community </w:t>
      </w:r>
      <w:r w:rsidRPr="003E6BBA">
        <w:t>health services might also be performed by GPs or the private sector, there are many that are not. It is unlikely that increases in GP provision of family planning, well-baby and drug rehabilitation services will lead to a significant reduction in the need for deliberate, co</w:t>
      </w:r>
      <w:r w:rsidR="009D0226" w:rsidRPr="003E6BBA">
        <w:t>-</w:t>
      </w:r>
      <w:r w:rsidRPr="003E6BBA">
        <w:t xml:space="preserve">ordinated delivery of these services through </w:t>
      </w:r>
      <w:r w:rsidR="009D0226" w:rsidRPr="003E6BBA">
        <w:t>S</w:t>
      </w:r>
      <w:r w:rsidRPr="003E6BBA">
        <w:t>tate community health organisations.</w:t>
      </w:r>
    </w:p>
    <w:p w:rsidR="00B94CAB" w:rsidRPr="003E6BBA" w:rsidRDefault="00B94CAB" w:rsidP="00B94CAB">
      <w:pPr>
        <w:pStyle w:val="CGCNumberedPara"/>
      </w:pPr>
      <w:r w:rsidRPr="003E6BBA">
        <w:t>Victoria said that the Commission should err on the side of caution and apply a more conservative rate of 50% substitutability.</w:t>
      </w:r>
    </w:p>
    <w:p w:rsidR="00B94CAB" w:rsidRPr="003E6BBA" w:rsidRDefault="00B94CAB" w:rsidP="00B94CAB">
      <w:pPr>
        <w:pStyle w:val="CGCNumberedPara"/>
      </w:pPr>
      <w:r w:rsidRPr="003E6BBA">
        <w:t>Tasmania, the ACT and Northern Territory supported the Commission estimate of 75%.</w:t>
      </w:r>
    </w:p>
    <w:p w:rsidR="003F3C8D" w:rsidRPr="003E6BBA" w:rsidRDefault="003F3C8D" w:rsidP="00B94CAB">
      <w:pPr>
        <w:pStyle w:val="CGCNumberedPara"/>
      </w:pPr>
      <w:r w:rsidRPr="003E6BBA">
        <w:t>Tasmania contends that substitutability increases as the complexity of care decreases. Community health care is the least complex which means it has the highest substitutability.</w:t>
      </w:r>
    </w:p>
    <w:p w:rsidR="00E7242C" w:rsidRPr="003E6BBA" w:rsidRDefault="00E7242C" w:rsidP="00E7242C">
      <w:pPr>
        <w:pStyle w:val="Heading5"/>
      </w:pPr>
      <w:r w:rsidRPr="003E6BBA">
        <w:t>Supplementary State views</w:t>
      </w:r>
    </w:p>
    <w:p w:rsidR="003F3C8D" w:rsidRPr="003E6BBA" w:rsidRDefault="003F3C8D" w:rsidP="003F3C8D">
      <w:pPr>
        <w:pStyle w:val="CGCNumberedPara"/>
      </w:pPr>
      <w:r w:rsidRPr="003E6BBA">
        <w:t>In response to the analysis conducted by New South Wales Health, staff asked States to provide advice on the method adopted by New South Wales and whether they had any data that may assist in this calculation.</w:t>
      </w:r>
    </w:p>
    <w:p w:rsidR="003F3C8D" w:rsidRPr="003E6BBA" w:rsidRDefault="003F3C8D" w:rsidP="003F3C8D">
      <w:pPr>
        <w:pStyle w:val="CGCNumberedPara"/>
      </w:pPr>
      <w:r w:rsidRPr="003E6BBA">
        <w:lastRenderedPageBreak/>
        <w:t>Most States were of the view that the data produced by New South Wales was not fit for the Commission’s purposes and should not be used as the basis for the determining the level of substitutability in the community health assessment.</w:t>
      </w:r>
    </w:p>
    <w:p w:rsidR="003F3C8D" w:rsidRPr="003E6BBA" w:rsidRDefault="003F3C8D" w:rsidP="003F3C8D">
      <w:pPr>
        <w:pStyle w:val="CGCNumberedPara"/>
      </w:pPr>
      <w:r w:rsidRPr="003E6BBA">
        <w:t>However, no other State was able to provide any new information that would be able to assist the Commission in determining an appropriate level of substitutability in this component.</w:t>
      </w:r>
    </w:p>
    <w:p w:rsidR="003F3C8D" w:rsidRPr="003E6BBA" w:rsidRDefault="003F3C8D" w:rsidP="003F3C8D">
      <w:pPr>
        <w:pStyle w:val="CGCNumberedPara"/>
      </w:pPr>
      <w:r w:rsidRPr="003E6BBA">
        <w:t>Queensland said that for many community health services, if the State did not fund them, it is likely that clients would not access any other service, which may lead to a deterioration of their condition and give rise to additional costs through the public hospital system. In the case of primary health care, the State is a provider of last resort. The State generally only provides services in locations where no private providers are available.</w:t>
      </w:r>
    </w:p>
    <w:p w:rsidR="001727BD" w:rsidRPr="003E6BBA" w:rsidRDefault="001727BD" w:rsidP="001727BD">
      <w:pPr>
        <w:pStyle w:val="Heading4"/>
      </w:pPr>
      <w:bookmarkStart w:id="100" w:name="_Toc405559343"/>
      <w:bookmarkStart w:id="101" w:name="_Toc405559425"/>
      <w:bookmarkStart w:id="102" w:name="_Toc405559458"/>
      <w:bookmarkStart w:id="103" w:name="_Toc405559493"/>
      <w:bookmarkStart w:id="104" w:name="_Toc406659220"/>
      <w:r w:rsidRPr="003E6BBA">
        <w:t>Consultants’ views</w:t>
      </w:r>
      <w:bookmarkEnd w:id="100"/>
      <w:bookmarkEnd w:id="101"/>
      <w:bookmarkEnd w:id="102"/>
      <w:bookmarkEnd w:id="103"/>
      <w:bookmarkEnd w:id="104"/>
    </w:p>
    <w:p w:rsidR="00890A69" w:rsidRPr="003E6BBA" w:rsidRDefault="002B5D66" w:rsidP="00890A69">
      <w:pPr>
        <w:pStyle w:val="CGCNumberedPara"/>
        <w:numPr>
          <w:ilvl w:val="1"/>
          <w:numId w:val="12"/>
        </w:numPr>
      </w:pPr>
      <w:r w:rsidRPr="003E6BBA">
        <w:t xml:space="preserve">Savage agreed with the States </w:t>
      </w:r>
      <w:r w:rsidR="00D706A3" w:rsidRPr="003E6BBA">
        <w:t xml:space="preserve">who maintain </w:t>
      </w:r>
      <w:r w:rsidRPr="003E6BBA">
        <w:t xml:space="preserve">that the </w:t>
      </w:r>
      <w:r w:rsidR="00D706A3" w:rsidRPr="003E6BBA">
        <w:t xml:space="preserve">proposed </w:t>
      </w:r>
      <w:r w:rsidRPr="003E6BBA">
        <w:t xml:space="preserve">level is too high and </w:t>
      </w:r>
      <w:r w:rsidR="0078451F" w:rsidRPr="003E6BBA">
        <w:t>believes</w:t>
      </w:r>
      <w:r w:rsidRPr="003E6BBA">
        <w:t xml:space="preserve"> the level is likely closer to 50% than 75%. </w:t>
      </w:r>
      <w:r w:rsidR="00890A69" w:rsidRPr="003E6BBA">
        <w:t xml:space="preserve">Savage’s advice </w:t>
      </w:r>
      <w:r w:rsidR="00DA3A99" w:rsidRPr="003E6BBA">
        <w:t xml:space="preserve">to </w:t>
      </w:r>
      <w:r w:rsidR="00890A69" w:rsidRPr="003E6BBA">
        <w:t xml:space="preserve">obtain a more accurate figure would be </w:t>
      </w:r>
      <w:r w:rsidR="00DA3A99" w:rsidRPr="003E6BBA">
        <w:t xml:space="preserve">to do </w:t>
      </w:r>
      <w:r w:rsidR="00890A69" w:rsidRPr="003E6BBA">
        <w:t xml:space="preserve">a micro </w:t>
      </w:r>
      <w:r w:rsidR="00132A4D" w:rsidRPr="003E6BBA">
        <w:t>analysis</w:t>
      </w:r>
      <w:r w:rsidR="00285F21" w:rsidRPr="003E6BBA">
        <w:t>,</w:t>
      </w:r>
      <w:r w:rsidR="00890A69" w:rsidRPr="003E6BBA">
        <w:t xml:space="preserve"> similar to the partial work undertaken from New South Wales. Staff </w:t>
      </w:r>
      <w:r w:rsidR="00DA3A99" w:rsidRPr="003E6BBA">
        <w:t>c</w:t>
      </w:r>
      <w:r w:rsidR="00890A69" w:rsidRPr="003E6BBA">
        <w:t>ould investigate each area of community health separately (immunisation, mental health, family planning etc) and expense weight the determined level of substitutability.</w:t>
      </w:r>
    </w:p>
    <w:p w:rsidR="00B94CAB" w:rsidRPr="003E6BBA" w:rsidRDefault="0050526A" w:rsidP="00B94CAB">
      <w:pPr>
        <w:pStyle w:val="CGCNumberedPara"/>
      </w:pPr>
      <w:r w:rsidRPr="003E6BBA">
        <w:t xml:space="preserve">Alternatively, Downie said that </w:t>
      </w:r>
      <w:r w:rsidR="00B94CAB" w:rsidRPr="003E6BBA">
        <w:t xml:space="preserve">the vast majority of community health services are available in </w:t>
      </w:r>
      <w:r w:rsidR="0078451F" w:rsidRPr="003E6BBA">
        <w:t xml:space="preserve">the </w:t>
      </w:r>
      <w:r w:rsidR="00B94CAB" w:rsidRPr="003E6BBA">
        <w:t>private sector, noting that this substitution is not always with identical services. For example</w:t>
      </w:r>
      <w:r w:rsidR="0078451F" w:rsidRPr="003E6BBA">
        <w:t>,</w:t>
      </w:r>
      <w:r w:rsidR="00B94CAB" w:rsidRPr="003E6BBA">
        <w:t xml:space="preserve"> the services provided by maternal child health nurses could equally be obtained from a GP or </w:t>
      </w:r>
      <w:r w:rsidR="00E07C54">
        <w:t>g</w:t>
      </w:r>
      <w:r w:rsidR="00E07C54" w:rsidRPr="003E6BBA">
        <w:t xml:space="preserve">eneral </w:t>
      </w:r>
      <w:r w:rsidR="00E07C54">
        <w:t>p</w:t>
      </w:r>
      <w:r w:rsidR="00E07C54" w:rsidRPr="003E6BBA">
        <w:t xml:space="preserve">ractice </w:t>
      </w:r>
      <w:r w:rsidR="00B94CAB" w:rsidRPr="003E6BBA">
        <w:t>nurse if that was a preferred option by the parents. Equally</w:t>
      </w:r>
      <w:r w:rsidR="0078451F" w:rsidRPr="003E6BBA">
        <w:t>,</w:t>
      </w:r>
      <w:r w:rsidR="00B94CAB" w:rsidRPr="003E6BBA">
        <w:t xml:space="preserve"> allied health services are widely available in the private sector. Infant hearing screening services can be obtained from private audiology services if required (for example, follow services for babies deemed at risk are provided by the private sector).</w:t>
      </w:r>
    </w:p>
    <w:p w:rsidR="0050526A" w:rsidRPr="003E6BBA" w:rsidRDefault="0050526A" w:rsidP="00890A69">
      <w:pPr>
        <w:pStyle w:val="CGCNumberedPara"/>
        <w:numPr>
          <w:ilvl w:val="1"/>
          <w:numId w:val="12"/>
        </w:numPr>
      </w:pPr>
      <w:r w:rsidRPr="003E6BBA">
        <w:t>However, he said that these services were also i</w:t>
      </w:r>
      <w:r w:rsidR="00D706A3" w:rsidRPr="003E6BBA">
        <w:t>nfluenced</w:t>
      </w:r>
      <w:r w:rsidRPr="003E6BBA">
        <w:t xml:space="preserve"> by the availability of bulk billing and that the 75% substitutability selected by the </w:t>
      </w:r>
      <w:r w:rsidR="0078451F" w:rsidRPr="003E6BBA">
        <w:t>Commission</w:t>
      </w:r>
      <w:r w:rsidRPr="003E6BBA">
        <w:t xml:space="preserve"> appears reasonable, noting the limitations of available data to inform this estimate more fully.</w:t>
      </w:r>
    </w:p>
    <w:p w:rsidR="00D70554" w:rsidRPr="003E6BBA" w:rsidRDefault="00D70554" w:rsidP="00D70554">
      <w:pPr>
        <w:pStyle w:val="Heading4"/>
      </w:pPr>
      <w:bookmarkStart w:id="105" w:name="_Toc405559344"/>
      <w:bookmarkStart w:id="106" w:name="_Toc405559426"/>
      <w:bookmarkStart w:id="107" w:name="_Toc405559459"/>
      <w:bookmarkStart w:id="108" w:name="_Toc405559494"/>
      <w:bookmarkStart w:id="109" w:name="_Toc406659221"/>
      <w:r w:rsidRPr="003E6BBA">
        <w:t>Analysis</w:t>
      </w:r>
      <w:bookmarkEnd w:id="105"/>
      <w:bookmarkEnd w:id="106"/>
      <w:bookmarkEnd w:id="107"/>
      <w:bookmarkEnd w:id="108"/>
      <w:bookmarkEnd w:id="109"/>
    </w:p>
    <w:p w:rsidR="00E7242C" w:rsidRPr="003E6BBA" w:rsidRDefault="00E7242C" w:rsidP="00E7242C">
      <w:pPr>
        <w:pStyle w:val="CGCNumberedPara"/>
        <w:numPr>
          <w:ilvl w:val="1"/>
          <w:numId w:val="12"/>
        </w:numPr>
      </w:pPr>
      <w:r w:rsidRPr="003E6BBA">
        <w:t>In the draft report, the Commission said that for individual community health services, the level of substitutability is likely to vary.</w:t>
      </w:r>
    </w:p>
    <w:p w:rsidR="00E7242C" w:rsidRPr="003E6BBA" w:rsidRDefault="00E7242C" w:rsidP="00E7242C">
      <w:pPr>
        <w:pStyle w:val="CGCBulletlist"/>
        <w:tabs>
          <w:tab w:val="left" w:pos="1134"/>
        </w:tabs>
      </w:pPr>
      <w:r w:rsidRPr="003E6BBA">
        <w:t xml:space="preserve">Community health centre services – health services provided in a community setting including domiciliary nursing services, well baby clinics, dental health, home nursing services, community health centre programs, family planning, </w:t>
      </w:r>
      <w:r w:rsidRPr="003E6BBA">
        <w:lastRenderedPageBreak/>
        <w:t xml:space="preserve">alcohol and drug rehabilitation etc. The majority of these services can be provided by a GP or </w:t>
      </w:r>
      <w:r w:rsidR="0051407C">
        <w:t xml:space="preserve">other private or non-State health </w:t>
      </w:r>
      <w:r w:rsidRPr="003E6BBA">
        <w:t>provider.</w:t>
      </w:r>
    </w:p>
    <w:p w:rsidR="00E7242C" w:rsidRPr="003E6BBA" w:rsidRDefault="00E7242C" w:rsidP="00E7242C">
      <w:pPr>
        <w:pStyle w:val="CGCBulletlist"/>
        <w:tabs>
          <w:tab w:val="left" w:pos="1134"/>
        </w:tabs>
      </w:pPr>
      <w:r w:rsidRPr="003E6BBA">
        <w:t xml:space="preserve">Public health services – activities for the protection and promotion of health and the prevention of disease, illness or injury. These include organised immunisation, health promotion, screening programs, communicable disease control, and prevention of hazardous and harmful drug use. Some of these services would have a private </w:t>
      </w:r>
      <w:r w:rsidR="0051407C">
        <w:t>or non-State</w:t>
      </w:r>
      <w:r w:rsidR="0051407C" w:rsidRPr="003E6BBA">
        <w:t xml:space="preserve"> </w:t>
      </w:r>
      <w:r w:rsidRPr="003E6BBA">
        <w:t>health provider alternative such as immunisation and some health promotion activities.</w:t>
      </w:r>
    </w:p>
    <w:p w:rsidR="00E7242C" w:rsidRPr="003E6BBA" w:rsidRDefault="00E7242C" w:rsidP="00E7242C">
      <w:pPr>
        <w:pStyle w:val="CGCBulletlist"/>
        <w:tabs>
          <w:tab w:val="left" w:pos="1134"/>
        </w:tabs>
      </w:pPr>
      <w:r w:rsidRPr="003E6BBA">
        <w:t xml:space="preserve">Mental health services – mental health services provided in a community setting. Many services could be provided by a GP or </w:t>
      </w:r>
      <w:r w:rsidR="0051407C">
        <w:t xml:space="preserve">other private or non-State health </w:t>
      </w:r>
      <w:r w:rsidR="0051407C" w:rsidRPr="003E6BBA">
        <w:t>provider</w:t>
      </w:r>
      <w:r w:rsidR="0051407C" w:rsidRPr="003E6BBA" w:rsidDel="0051407C">
        <w:t xml:space="preserve"> </w:t>
      </w:r>
      <w:r w:rsidRPr="003E6BBA">
        <w:t>but some services are provided by community organisations that are part funded by State governments.</w:t>
      </w:r>
    </w:p>
    <w:p w:rsidR="00E7242C" w:rsidRPr="003E6BBA" w:rsidRDefault="00E7242C" w:rsidP="00E7242C">
      <w:pPr>
        <w:pStyle w:val="CGCBulletlist"/>
        <w:tabs>
          <w:tab w:val="left" w:pos="1134"/>
        </w:tabs>
      </w:pPr>
      <w:r w:rsidRPr="003E6BBA">
        <w:t xml:space="preserve">Other health services – these include health research and administration and pharmaceuticals, medical aids and appliances etc. While the Commonwealth and many universities provide health research, </w:t>
      </w:r>
      <w:r w:rsidR="000C3A26">
        <w:t>staff</w:t>
      </w:r>
      <w:r w:rsidRPr="003E6BBA">
        <w:t xml:space="preserve"> doubt the provision of any of these services would impact on State government provision.</w:t>
      </w:r>
    </w:p>
    <w:p w:rsidR="00E7242C" w:rsidRPr="003E6BBA" w:rsidRDefault="00E7242C" w:rsidP="00EB67DE">
      <w:pPr>
        <w:pStyle w:val="CGCNumberedPara"/>
      </w:pPr>
      <w:r w:rsidRPr="003E6BBA">
        <w:t>In response, States have been unable to provide any reliable costings that would enable us to calculate a level of substitutability in this area. The</w:t>
      </w:r>
      <w:r w:rsidR="009B2432" w:rsidRPr="003E6BBA">
        <w:t xml:space="preserve">ir comments are largely at the high level saying that </w:t>
      </w:r>
      <w:r w:rsidRPr="003E6BBA">
        <w:t>the 75% is ‘too high’ or ‘about right’.</w:t>
      </w:r>
    </w:p>
    <w:p w:rsidR="0051407C" w:rsidRPr="003E6BBA" w:rsidRDefault="00E7242C" w:rsidP="0051407C">
      <w:pPr>
        <w:pStyle w:val="CGCNumberedPara"/>
      </w:pPr>
      <w:r w:rsidRPr="003E6BBA">
        <w:t xml:space="preserve">The consultants held similar views without being able to offer a definitive answer. </w:t>
      </w:r>
      <w:r w:rsidR="0051407C" w:rsidRPr="003E6BBA">
        <w:t xml:space="preserve">On balance, staff </w:t>
      </w:r>
      <w:r w:rsidR="006A3AC9">
        <w:t>intend</w:t>
      </w:r>
      <w:r w:rsidR="000C3A26">
        <w:t xml:space="preserve"> recommending the Commission adopt </w:t>
      </w:r>
      <w:r w:rsidR="0051407C" w:rsidRPr="003E6BBA">
        <w:t xml:space="preserve">a level </w:t>
      </w:r>
      <w:r w:rsidR="000C3A26">
        <w:t xml:space="preserve">within the range </w:t>
      </w:r>
      <w:r w:rsidR="0051407C" w:rsidRPr="003E6BBA">
        <w:t xml:space="preserve">of </w:t>
      </w:r>
      <w:r w:rsidR="0051407C">
        <w:t>60-75</w:t>
      </w:r>
      <w:r w:rsidR="0051407C" w:rsidRPr="003E6BBA">
        <w:t>% substitutability of community health services component expenses.</w:t>
      </w:r>
    </w:p>
    <w:p w:rsidR="00307F52" w:rsidRPr="003E6BBA" w:rsidRDefault="00307F52" w:rsidP="00307F52">
      <w:pPr>
        <w:pStyle w:val="Heading3"/>
      </w:pPr>
      <w:bookmarkStart w:id="110" w:name="_Toc405559297"/>
      <w:bookmarkStart w:id="111" w:name="_Toc405559428"/>
      <w:bookmarkStart w:id="112" w:name="_Toc405559461"/>
      <w:bookmarkStart w:id="113" w:name="_Toc406659222"/>
      <w:bookmarkEnd w:id="32"/>
      <w:bookmarkEnd w:id="33"/>
      <w:bookmarkEnd w:id="34"/>
      <w:bookmarkEnd w:id="35"/>
      <w:bookmarkEnd w:id="36"/>
      <w:bookmarkEnd w:id="37"/>
      <w:bookmarkEnd w:id="38"/>
      <w:bookmarkEnd w:id="39"/>
      <w:bookmarkEnd w:id="40"/>
      <w:bookmarkEnd w:id="41"/>
      <w:bookmarkEnd w:id="42"/>
      <w:bookmarkEnd w:id="43"/>
      <w:r w:rsidRPr="003E6BBA">
        <w:t>Admitted patients</w:t>
      </w:r>
      <w:bookmarkStart w:id="114" w:name="_Ref385315297"/>
      <w:bookmarkEnd w:id="110"/>
      <w:bookmarkEnd w:id="111"/>
      <w:bookmarkEnd w:id="112"/>
      <w:bookmarkEnd w:id="113"/>
    </w:p>
    <w:bookmarkEnd w:id="114"/>
    <w:p w:rsidR="00307F52" w:rsidRPr="003E6BBA" w:rsidRDefault="00307F52" w:rsidP="00307F52">
      <w:pPr>
        <w:pStyle w:val="CGCNumberedPara"/>
        <w:numPr>
          <w:ilvl w:val="1"/>
          <w:numId w:val="12"/>
        </w:numPr>
      </w:pPr>
      <w:r w:rsidRPr="003E6BBA">
        <w:t>In the draft report, the Commission decided not to make a separate adjustment for the effect of private hospitals on public hospital admitted patient services. It said that, as in the 2010 Review, we assess the substitutability between public and private hospitals by using remoteness within our assessment of SDC. Admission rates to public hospitals increase with remoteness, in part because of the lack of private hospital alternatives. We assumed that there was no material difference in the availability of private hospital services in comparable areas of different States, except for the Northern Territory.</w:t>
      </w:r>
      <w:r w:rsidRPr="003E6BBA">
        <w:rPr>
          <w:rStyle w:val="FootnoteReference"/>
        </w:rPr>
        <w:footnoteReference w:id="11"/>
      </w:r>
    </w:p>
    <w:p w:rsidR="00307F52" w:rsidRPr="003E6BBA" w:rsidRDefault="00307F52" w:rsidP="00307F52">
      <w:pPr>
        <w:pStyle w:val="CGCNumberedPara"/>
        <w:numPr>
          <w:ilvl w:val="1"/>
          <w:numId w:val="12"/>
        </w:numPr>
      </w:pPr>
      <w:r w:rsidRPr="003E6BBA">
        <w:t xml:space="preserve">New South Wales said that, apart from Queensland (which has high levels of private hospital use and low level of public hospital use) there is no apparent relationship between levels of private and public hospital use. As such, </w:t>
      </w:r>
      <w:r w:rsidR="00394E06" w:rsidRPr="003E6BBA">
        <w:t xml:space="preserve">the Commission </w:t>
      </w:r>
      <w:r w:rsidRPr="003E6BBA">
        <w:lastRenderedPageBreak/>
        <w:t>considered that substitutability for admitted patients should not be separately assessed. This was also the position of the Commission in the 2010 Review.</w:t>
      </w:r>
    </w:p>
    <w:p w:rsidR="00307F52" w:rsidRPr="003E6BBA" w:rsidRDefault="00307F52" w:rsidP="00307F52">
      <w:pPr>
        <w:pStyle w:val="CGCNumberedPara"/>
        <w:numPr>
          <w:ilvl w:val="1"/>
          <w:numId w:val="12"/>
        </w:numPr>
      </w:pPr>
      <w:r w:rsidRPr="003E6BBA">
        <w:t>In summary, the Commission position was that the substitutability of services was sufficiently small, and the supply of private services in comparable areas of different States sufficiently similar, that an economic environment adjustment would not be material. However, the Commission did recognise the costs associated with private patients in public hospitals.</w:t>
      </w:r>
    </w:p>
    <w:p w:rsidR="00307F52" w:rsidRPr="003E6BBA" w:rsidRDefault="00307F52" w:rsidP="00307F52">
      <w:pPr>
        <w:pStyle w:val="Heading4"/>
      </w:pPr>
      <w:bookmarkStart w:id="115" w:name="_Toc405559347"/>
      <w:bookmarkStart w:id="116" w:name="_Toc405559429"/>
      <w:bookmarkStart w:id="117" w:name="_Toc405559462"/>
      <w:bookmarkStart w:id="118" w:name="_Toc405559497"/>
      <w:bookmarkStart w:id="119" w:name="_Toc406659223"/>
      <w:r w:rsidRPr="003E6BBA">
        <w:t>State views</w:t>
      </w:r>
      <w:bookmarkEnd w:id="115"/>
      <w:bookmarkEnd w:id="116"/>
      <w:bookmarkEnd w:id="117"/>
      <w:bookmarkEnd w:id="118"/>
      <w:bookmarkEnd w:id="119"/>
    </w:p>
    <w:p w:rsidR="00866E01" w:rsidRPr="003E6BBA" w:rsidRDefault="00307F52" w:rsidP="00307F52">
      <w:pPr>
        <w:pStyle w:val="CGCNumberedPara"/>
        <w:numPr>
          <w:ilvl w:val="1"/>
          <w:numId w:val="12"/>
        </w:numPr>
      </w:pPr>
      <w:r w:rsidRPr="003E6BBA">
        <w:t xml:space="preserve">In the last review, several States provided comments on the impact of private hospitals on the provision of public hospital admitted patient services. They believed areas with the same degree of accessibility/remoteness do not have the same level of private provision in each State. They concluded the lower level of private health services in their jurisdictions compared with other States affected the level of services provided by the public sector. </w:t>
      </w:r>
    </w:p>
    <w:p w:rsidR="00307F52" w:rsidRPr="003E6BBA" w:rsidRDefault="00307F52" w:rsidP="00307F52">
      <w:pPr>
        <w:pStyle w:val="CGCNumberedPara"/>
        <w:numPr>
          <w:ilvl w:val="1"/>
          <w:numId w:val="12"/>
        </w:numPr>
      </w:pPr>
      <w:r w:rsidRPr="003E6BBA">
        <w:t>However, in this review, there have only been minimal comments from States in this area.</w:t>
      </w:r>
      <w:r w:rsidR="00866E01" w:rsidRPr="003E6BBA">
        <w:t xml:space="preserve"> </w:t>
      </w:r>
      <w:r w:rsidRPr="003E6BBA">
        <w:t>Western Australia said that the vast majority of services delivered in or through public hospitals are also delivered by private providers and argued that the Commission should consider this for the admitted patients component. It said that, traditionally, private hospitals have provided services at the less complex end of the inpatient spectrum of services, including elective surgery procedures, and especially surgical services provided on a day patient basis. However, in all States, there has been a trend for private hospitals to take on more complex (but not urgent) procedures.</w:t>
      </w:r>
    </w:p>
    <w:p w:rsidR="00307F52" w:rsidRPr="003E6BBA" w:rsidRDefault="002062A8" w:rsidP="00307F52">
      <w:pPr>
        <w:pStyle w:val="CGCNumberedPara"/>
      </w:pPr>
      <w:r w:rsidRPr="003E6BBA">
        <w:t>New South Wales</w:t>
      </w:r>
      <w:r w:rsidR="00307F52" w:rsidRPr="003E6BBA">
        <w:t xml:space="preserve"> said that if the Commission were to include the impact of the </w:t>
      </w:r>
      <w:r w:rsidR="00C37D49" w:rsidRPr="003E6BBA">
        <w:t>non</w:t>
      </w:r>
      <w:r w:rsidR="00C37D49" w:rsidRPr="003E6BBA">
        <w:noBreakHyphen/>
      </w:r>
      <w:r w:rsidR="00307F52" w:rsidRPr="003E6BBA">
        <w:t>State sector in other areas of health, it should also include the impact of private hospitals.</w:t>
      </w:r>
    </w:p>
    <w:p w:rsidR="00307F52" w:rsidRPr="003E6BBA" w:rsidRDefault="00307F52" w:rsidP="00307F52">
      <w:pPr>
        <w:pStyle w:val="Heading4"/>
      </w:pPr>
      <w:bookmarkStart w:id="120" w:name="_Toc405559348"/>
      <w:bookmarkStart w:id="121" w:name="_Toc405559430"/>
      <w:bookmarkStart w:id="122" w:name="_Toc405559463"/>
      <w:bookmarkStart w:id="123" w:name="_Toc405559498"/>
      <w:bookmarkStart w:id="124" w:name="_Toc406659224"/>
      <w:r w:rsidRPr="003E6BBA">
        <w:t>Consultants’ views</w:t>
      </w:r>
      <w:bookmarkEnd w:id="120"/>
      <w:bookmarkEnd w:id="121"/>
      <w:bookmarkEnd w:id="122"/>
      <w:bookmarkEnd w:id="123"/>
      <w:bookmarkEnd w:id="124"/>
    </w:p>
    <w:p w:rsidR="00307F52" w:rsidRPr="003E6BBA" w:rsidRDefault="00307F52" w:rsidP="00307F52">
      <w:pPr>
        <w:pStyle w:val="CGCNumberedPara"/>
        <w:numPr>
          <w:ilvl w:val="1"/>
          <w:numId w:val="12"/>
        </w:numPr>
      </w:pPr>
      <w:r w:rsidRPr="003E6BBA">
        <w:t>Savage had only brief comments in this area. She said that while we maintain that the substitutability of admitted patient services is already accounted for by using remoteness in the SDC calculations, she thinks there are State differences in private and public hospital rates within major cities, and that additional work should be undertaken by the Commission to test for this.</w:t>
      </w:r>
    </w:p>
    <w:p w:rsidR="00307F52" w:rsidRPr="003E6BBA" w:rsidRDefault="00307F52" w:rsidP="00307F52">
      <w:pPr>
        <w:pStyle w:val="CGCNumberedPara"/>
        <w:numPr>
          <w:ilvl w:val="1"/>
          <w:numId w:val="12"/>
        </w:numPr>
      </w:pPr>
      <w:r w:rsidRPr="003E6BBA">
        <w:t xml:space="preserve">On the other hand, Downie was able to provide much greater analysis on this issue. </w:t>
      </w:r>
      <w:r w:rsidR="00C37D49" w:rsidRPr="003E6BBA">
        <w:t>He</w:t>
      </w:r>
      <w:r w:rsidRPr="003E6BBA">
        <w:t xml:space="preserve"> said there is good evidence to support the assertion that most inpatient services are potentially substitutable in most major cities and inner regional areas, as the majority of procedures are performed in both public and private hospitals (albeit not to the same degree).</w:t>
      </w:r>
    </w:p>
    <w:p w:rsidR="00307F52" w:rsidRPr="003E6BBA" w:rsidRDefault="00307F52" w:rsidP="00307F52">
      <w:pPr>
        <w:pStyle w:val="CGCNumberedPara"/>
        <w:numPr>
          <w:ilvl w:val="1"/>
          <w:numId w:val="12"/>
        </w:numPr>
      </w:pPr>
      <w:r w:rsidRPr="003E6BBA">
        <w:lastRenderedPageBreak/>
        <w:t>He argues that private hospital activity makes up about 40% of total admitted patient activity and the vast majority of admitted patient services are available in both private and public hospitals.</w:t>
      </w:r>
    </w:p>
    <w:p w:rsidR="00307F52" w:rsidRPr="003E6BBA" w:rsidRDefault="00307F52" w:rsidP="00307F52">
      <w:pPr>
        <w:pStyle w:val="CGCNumberedPara"/>
      </w:pPr>
      <w:r w:rsidRPr="003E6BBA">
        <w:t>However, he does concede that not all of those services provided in private hospitals can be regarded as substitutable and that estimating the proportion of potential substitutability requires the consideration of a number of factors:</w:t>
      </w:r>
    </w:p>
    <w:p w:rsidR="00307F52" w:rsidRPr="003E6BBA" w:rsidRDefault="00307F52" w:rsidP="00307F52">
      <w:pPr>
        <w:pStyle w:val="CGCBulletlist"/>
      </w:pPr>
      <w:r w:rsidRPr="003E6BBA">
        <w:t>differences in the type of admitted patient activity in each sector</w:t>
      </w:r>
    </w:p>
    <w:p w:rsidR="00307F52" w:rsidRPr="003E6BBA" w:rsidRDefault="00307F52" w:rsidP="00307F52">
      <w:pPr>
        <w:pStyle w:val="CGCBulletlist"/>
      </w:pPr>
      <w:r w:rsidRPr="003E6BBA">
        <w:t>private health insurance coverage</w:t>
      </w:r>
    </w:p>
    <w:p w:rsidR="00307F52" w:rsidRPr="003E6BBA" w:rsidRDefault="00307F52" w:rsidP="00307F52">
      <w:pPr>
        <w:pStyle w:val="CGCBulletlist"/>
      </w:pPr>
      <w:r w:rsidRPr="003E6BBA">
        <w:t>individuals’ preferences.</w:t>
      </w:r>
    </w:p>
    <w:p w:rsidR="00307F52" w:rsidRPr="003E6BBA" w:rsidRDefault="00307F52" w:rsidP="00307F52">
      <w:pPr>
        <w:pStyle w:val="CGCNumberedPara"/>
      </w:pPr>
      <w:r w:rsidRPr="003E6BBA">
        <w:t>Whilst the National Hospital Cost Data Collection (NHCDC) data suggests that private hospitals deliver services across the vast majority of Australian refined diagnosis</w:t>
      </w:r>
      <w:r w:rsidRPr="003E6BBA">
        <w:rPr>
          <w:lang w:val="en"/>
        </w:rPr>
        <w:t xml:space="preserve">-related groups </w:t>
      </w:r>
      <w:r w:rsidRPr="003E6BBA">
        <w:t>(AR-DRGs), this does not necessarily imply they have similar case mixes. Data from the AIHW shows that 40% of all public hospital admissions were classified as emergency in 2012-13, compared to just 5% of private hospital admissions.</w:t>
      </w:r>
      <w:r w:rsidRPr="003E6BBA">
        <w:rPr>
          <w:rStyle w:val="FootnoteReference"/>
        </w:rPr>
        <w:footnoteReference w:id="12"/>
      </w:r>
      <w:r w:rsidRPr="003E6BBA">
        <w:t xml:space="preserve"> As a result, it can be reasonably argued that this proportion of public hospital activity is not substitutable.</w:t>
      </w:r>
    </w:p>
    <w:p w:rsidR="00307F52" w:rsidRPr="003E6BBA" w:rsidRDefault="00307F52" w:rsidP="00307F52">
      <w:pPr>
        <w:pStyle w:val="CGCNumberedPara"/>
      </w:pPr>
      <w:r w:rsidRPr="003E6BBA">
        <w:t>In addition, given that privately insured patients make up the bulk of private hospital activity, it is also reasonable to say that only the 47.2%</w:t>
      </w:r>
      <w:r w:rsidRPr="003E6BBA">
        <w:rPr>
          <w:rStyle w:val="FootnoteReference"/>
        </w:rPr>
        <w:footnoteReference w:id="13"/>
      </w:r>
      <w:r w:rsidRPr="003E6BBA">
        <w:t xml:space="preserve"> of the population who hold private health insurance could be regarded as potentially substitutable between the private sector and public sector.</w:t>
      </w:r>
    </w:p>
    <w:p w:rsidR="00307F52" w:rsidRPr="003E6BBA" w:rsidRDefault="00307F52" w:rsidP="00307F52">
      <w:pPr>
        <w:pStyle w:val="CGCNumberedPara"/>
      </w:pPr>
      <w:r w:rsidRPr="003E6BBA">
        <w:t>Based on these two factors, Downie calculates that a reasonable estimate of the level of potential substitutability between the public and private sector for admitted patient services is 28% (</w:t>
      </w:r>
      <w:r w:rsidR="002062A8" w:rsidRPr="003E6BBA">
        <w:t>that is,</w:t>
      </w:r>
      <w:r w:rsidRPr="003E6BBA">
        <w:t xml:space="preserve"> 47.2% * 60%).</w:t>
      </w:r>
    </w:p>
    <w:p w:rsidR="00307F52" w:rsidRPr="003E6BBA" w:rsidRDefault="00307F52" w:rsidP="00307F52">
      <w:pPr>
        <w:pStyle w:val="CGCNumberedPara"/>
      </w:pPr>
      <w:r w:rsidRPr="003E6BBA">
        <w:t>However, he says that the actual level of substitutability is likely to be lower than 28% due to the fact a number of patients who hold private insurance will choose not to use it due to health insurance policy excesses and gaps charged by some specialists.</w:t>
      </w:r>
    </w:p>
    <w:p w:rsidR="00307F52" w:rsidRPr="003E6BBA" w:rsidRDefault="00307F52" w:rsidP="00307F52">
      <w:pPr>
        <w:pStyle w:val="Heading4"/>
      </w:pPr>
      <w:bookmarkStart w:id="125" w:name="_Toc405559349"/>
      <w:bookmarkStart w:id="126" w:name="_Toc405559431"/>
      <w:bookmarkStart w:id="127" w:name="_Toc405559464"/>
      <w:bookmarkStart w:id="128" w:name="_Toc405559499"/>
      <w:bookmarkStart w:id="129" w:name="_Toc406659225"/>
      <w:r w:rsidRPr="003E6BBA">
        <w:t>Conceptual case</w:t>
      </w:r>
      <w:bookmarkEnd w:id="125"/>
      <w:bookmarkEnd w:id="126"/>
      <w:bookmarkEnd w:id="127"/>
      <w:bookmarkEnd w:id="128"/>
      <w:bookmarkEnd w:id="129"/>
    </w:p>
    <w:p w:rsidR="00307F52" w:rsidRPr="003E6BBA" w:rsidRDefault="00307F52" w:rsidP="00307F52">
      <w:pPr>
        <w:pStyle w:val="CGCNumberedPara"/>
      </w:pPr>
      <w:r w:rsidRPr="003E6BBA">
        <w:t>In the 2010 Review, we said that disaggregating by remoteness achieved two things. It covered the higher costs associated with more remote hospitals, but it also covered non-State provision effects. There are less non-State alternatives in more remote regions. However, we said that partly because public and private hospitals have slightly different treatment focuses (public – medical, private – surgical) we didn’t make any further distinction. That is, we assumed private hospital provision was sufficiently similar in Sydney as in Melbourne, Perth etc.</w:t>
      </w:r>
    </w:p>
    <w:p w:rsidR="00307F52" w:rsidRPr="003E6BBA" w:rsidRDefault="005842B7" w:rsidP="00307F52">
      <w:pPr>
        <w:pStyle w:val="CGCNumberedPara"/>
      </w:pPr>
      <w:r w:rsidRPr="003E6BBA">
        <w:lastRenderedPageBreak/>
        <w:fldChar w:fldCharType="begin"/>
      </w:r>
      <w:r w:rsidRPr="003E6BBA">
        <w:instrText xml:space="preserve"> REF _Ref405968137 \h </w:instrText>
      </w:r>
      <w:r w:rsidR="009C1BA7" w:rsidRPr="003E6BBA">
        <w:instrText xml:space="preserve"> \* MERGEFORMAT </w:instrText>
      </w:r>
      <w:r w:rsidRPr="003E6BBA">
        <w:fldChar w:fldCharType="separate"/>
      </w:r>
      <w:r w:rsidR="00DC6FC3" w:rsidRPr="003E6BBA">
        <w:t xml:space="preserve">Table </w:t>
      </w:r>
      <w:r w:rsidR="00DC6FC3">
        <w:rPr>
          <w:noProof/>
        </w:rPr>
        <w:t>2</w:t>
      </w:r>
      <w:r w:rsidRPr="003E6BBA">
        <w:fldChar w:fldCharType="end"/>
      </w:r>
      <w:r w:rsidR="00307F52" w:rsidRPr="003E6BBA">
        <w:t xml:space="preserve"> shows that all hospitals in remote and very remote regions and the majority in outer regional regions are provided by the public sector.</w:t>
      </w:r>
    </w:p>
    <w:p w:rsidR="00307F52" w:rsidRPr="003E6BBA" w:rsidRDefault="005842B7" w:rsidP="005842B7">
      <w:pPr>
        <w:pStyle w:val="Caption"/>
      </w:pPr>
      <w:bookmarkStart w:id="130" w:name="_Ref405968137"/>
      <w:r w:rsidRPr="003E6BBA">
        <w:t xml:space="preserve">Table </w:t>
      </w:r>
      <w:fldSimple w:instr=" SEQ Table \* ARABIC ">
        <w:r w:rsidR="00DC6FC3">
          <w:rPr>
            <w:noProof/>
          </w:rPr>
          <w:t>2</w:t>
        </w:r>
      </w:fldSimple>
      <w:bookmarkEnd w:id="130"/>
      <w:r w:rsidR="00307F52" w:rsidRPr="003E6BBA">
        <w:tab/>
      </w:r>
      <w:r w:rsidR="00132A4D" w:rsidRPr="003E6BBA">
        <w:t>Public and p</w:t>
      </w:r>
      <w:r w:rsidR="00307F52" w:rsidRPr="003E6BBA">
        <w:t>rivate hospitals (a) by remoteness</w:t>
      </w:r>
    </w:p>
    <w:tbl>
      <w:tblPr>
        <w:tblW w:w="8940" w:type="dxa"/>
        <w:tblInd w:w="93" w:type="dxa"/>
        <w:tblLook w:val="04A0" w:firstRow="1" w:lastRow="0" w:firstColumn="1" w:lastColumn="0" w:noHBand="0" w:noVBand="1"/>
      </w:tblPr>
      <w:tblGrid>
        <w:gridCol w:w="1000"/>
        <w:gridCol w:w="1420"/>
        <w:gridCol w:w="1600"/>
        <w:gridCol w:w="1620"/>
        <w:gridCol w:w="1020"/>
        <w:gridCol w:w="1400"/>
        <w:gridCol w:w="880"/>
      </w:tblGrid>
      <w:tr w:rsidR="00906636" w:rsidRPr="003E6BBA" w:rsidTr="00906636">
        <w:trPr>
          <w:trHeight w:val="315"/>
        </w:trPr>
        <w:tc>
          <w:tcPr>
            <w:tcW w:w="1000" w:type="dxa"/>
            <w:tcBorders>
              <w:top w:val="single" w:sz="4" w:space="0" w:color="auto"/>
              <w:left w:val="nil"/>
              <w:bottom w:val="single" w:sz="4" w:space="0" w:color="auto"/>
              <w:right w:val="nil"/>
            </w:tcBorders>
            <w:shd w:val="clear" w:color="auto" w:fill="auto"/>
            <w:noWrap/>
            <w:vAlign w:val="bottom"/>
            <w:hideMark/>
          </w:tcPr>
          <w:p w:rsidR="00906636" w:rsidRPr="003E6BBA" w:rsidRDefault="00906636" w:rsidP="00906636">
            <w:pPr>
              <w:tabs>
                <w:tab w:val="clear" w:pos="567"/>
              </w:tabs>
              <w:spacing w:after="0" w:line="240" w:lineRule="auto"/>
              <w:rPr>
                <w:rFonts w:ascii="Calibri" w:eastAsia="Times New Roman" w:hAnsi="Calibri" w:cs="Times New Roman"/>
                <w:color w:val="000000"/>
                <w:sz w:val="20"/>
                <w:szCs w:val="20"/>
                <w:lang w:eastAsia="en-AU"/>
              </w:rPr>
            </w:pPr>
            <w:bookmarkStart w:id="131" w:name="RANGE!A2:G5"/>
            <w:r w:rsidRPr="003E6BBA">
              <w:rPr>
                <w:rFonts w:ascii="Calibri" w:eastAsia="Times New Roman" w:hAnsi="Calibri" w:cs="Times New Roman"/>
                <w:color w:val="000000"/>
                <w:sz w:val="20"/>
                <w:szCs w:val="20"/>
                <w:lang w:eastAsia="en-AU"/>
              </w:rPr>
              <w:t> </w:t>
            </w:r>
            <w:bookmarkEnd w:id="131"/>
          </w:p>
        </w:tc>
        <w:tc>
          <w:tcPr>
            <w:tcW w:w="1420" w:type="dxa"/>
            <w:tcBorders>
              <w:top w:val="single" w:sz="4" w:space="0" w:color="auto"/>
              <w:left w:val="nil"/>
              <w:bottom w:val="single" w:sz="4" w:space="0" w:color="auto"/>
              <w:right w:val="nil"/>
            </w:tcBorders>
            <w:shd w:val="clear" w:color="auto" w:fill="auto"/>
            <w:vAlign w:val="bottom"/>
            <w:hideMark/>
          </w:tcPr>
          <w:p w:rsidR="00906636" w:rsidRPr="003E6BBA" w:rsidRDefault="00906636" w:rsidP="00906636">
            <w:pPr>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Major cities</w:t>
            </w:r>
          </w:p>
        </w:tc>
        <w:tc>
          <w:tcPr>
            <w:tcW w:w="1600" w:type="dxa"/>
            <w:tcBorders>
              <w:top w:val="single" w:sz="4" w:space="0" w:color="auto"/>
              <w:left w:val="nil"/>
              <w:bottom w:val="single" w:sz="4" w:space="0" w:color="auto"/>
              <w:right w:val="nil"/>
            </w:tcBorders>
            <w:shd w:val="clear" w:color="auto" w:fill="auto"/>
            <w:vAlign w:val="bottom"/>
            <w:hideMark/>
          </w:tcPr>
          <w:p w:rsidR="00906636" w:rsidRPr="003E6BBA" w:rsidRDefault="00906636" w:rsidP="00906636">
            <w:pPr>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Inner regional</w:t>
            </w:r>
          </w:p>
        </w:tc>
        <w:tc>
          <w:tcPr>
            <w:tcW w:w="1620" w:type="dxa"/>
            <w:tcBorders>
              <w:top w:val="single" w:sz="4" w:space="0" w:color="auto"/>
              <w:left w:val="nil"/>
              <w:bottom w:val="single" w:sz="4" w:space="0" w:color="auto"/>
              <w:right w:val="nil"/>
            </w:tcBorders>
            <w:shd w:val="clear" w:color="auto" w:fill="auto"/>
            <w:vAlign w:val="bottom"/>
            <w:hideMark/>
          </w:tcPr>
          <w:p w:rsidR="00906636" w:rsidRPr="003E6BBA" w:rsidRDefault="00906636" w:rsidP="00906636">
            <w:pPr>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Outer regional</w:t>
            </w:r>
          </w:p>
        </w:tc>
        <w:tc>
          <w:tcPr>
            <w:tcW w:w="1020" w:type="dxa"/>
            <w:tcBorders>
              <w:top w:val="single" w:sz="4" w:space="0" w:color="auto"/>
              <w:left w:val="nil"/>
              <w:bottom w:val="single" w:sz="4" w:space="0" w:color="auto"/>
              <w:right w:val="nil"/>
            </w:tcBorders>
            <w:shd w:val="clear" w:color="auto" w:fill="auto"/>
            <w:vAlign w:val="bottom"/>
            <w:hideMark/>
          </w:tcPr>
          <w:p w:rsidR="00906636" w:rsidRPr="003E6BBA" w:rsidRDefault="00906636" w:rsidP="00906636">
            <w:pPr>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Remote </w:t>
            </w:r>
          </w:p>
        </w:tc>
        <w:tc>
          <w:tcPr>
            <w:tcW w:w="1400" w:type="dxa"/>
            <w:tcBorders>
              <w:top w:val="single" w:sz="4" w:space="0" w:color="auto"/>
              <w:left w:val="nil"/>
              <w:bottom w:val="single" w:sz="4" w:space="0" w:color="auto"/>
              <w:right w:val="nil"/>
            </w:tcBorders>
            <w:shd w:val="clear" w:color="auto" w:fill="auto"/>
            <w:vAlign w:val="bottom"/>
            <w:hideMark/>
          </w:tcPr>
          <w:p w:rsidR="00906636" w:rsidRPr="003E6BBA" w:rsidRDefault="00906636" w:rsidP="00906636">
            <w:pPr>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Very remote</w:t>
            </w:r>
          </w:p>
        </w:tc>
        <w:tc>
          <w:tcPr>
            <w:tcW w:w="880" w:type="dxa"/>
            <w:tcBorders>
              <w:top w:val="single" w:sz="4" w:space="0" w:color="auto"/>
              <w:left w:val="nil"/>
              <w:bottom w:val="single" w:sz="4" w:space="0" w:color="auto"/>
              <w:right w:val="nil"/>
            </w:tcBorders>
            <w:shd w:val="clear" w:color="auto" w:fill="auto"/>
            <w:vAlign w:val="bottom"/>
            <w:hideMark/>
          </w:tcPr>
          <w:p w:rsidR="00906636" w:rsidRPr="003E6BBA" w:rsidRDefault="00906636" w:rsidP="00906636">
            <w:pPr>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Total</w:t>
            </w:r>
          </w:p>
        </w:tc>
      </w:tr>
      <w:tr w:rsidR="00906636" w:rsidRPr="003E6BBA" w:rsidTr="00906636">
        <w:trPr>
          <w:trHeight w:val="315"/>
        </w:trPr>
        <w:tc>
          <w:tcPr>
            <w:tcW w:w="1000" w:type="dxa"/>
            <w:tcBorders>
              <w:top w:val="nil"/>
              <w:left w:val="nil"/>
              <w:bottom w:val="nil"/>
              <w:right w:val="nil"/>
            </w:tcBorders>
            <w:shd w:val="clear" w:color="auto" w:fill="auto"/>
            <w:noWrap/>
            <w:vAlign w:val="bottom"/>
            <w:hideMark/>
          </w:tcPr>
          <w:p w:rsidR="00906636" w:rsidRPr="003E6BBA" w:rsidRDefault="00906636" w:rsidP="00906636">
            <w:pPr>
              <w:tabs>
                <w:tab w:val="clear" w:pos="567"/>
              </w:tabs>
              <w:spacing w:after="0" w:line="240" w:lineRule="auto"/>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Public</w:t>
            </w:r>
          </w:p>
        </w:tc>
        <w:tc>
          <w:tcPr>
            <w:tcW w:w="1420" w:type="dxa"/>
            <w:tcBorders>
              <w:top w:val="nil"/>
              <w:left w:val="nil"/>
              <w:bottom w:val="nil"/>
              <w:right w:val="nil"/>
            </w:tcBorders>
            <w:shd w:val="clear" w:color="auto" w:fill="auto"/>
            <w:vAlign w:val="bottom"/>
            <w:hideMark/>
          </w:tcPr>
          <w:p w:rsidR="00906636" w:rsidRPr="003E6BBA" w:rsidRDefault="00906636" w:rsidP="00906636">
            <w:pPr>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176</w:t>
            </w:r>
          </w:p>
        </w:tc>
        <w:tc>
          <w:tcPr>
            <w:tcW w:w="1600" w:type="dxa"/>
            <w:tcBorders>
              <w:top w:val="nil"/>
              <w:left w:val="nil"/>
              <w:bottom w:val="nil"/>
              <w:right w:val="nil"/>
            </w:tcBorders>
            <w:shd w:val="clear" w:color="auto" w:fill="auto"/>
            <w:vAlign w:val="bottom"/>
            <w:hideMark/>
          </w:tcPr>
          <w:p w:rsidR="00906636" w:rsidRPr="003E6BBA" w:rsidRDefault="00906636" w:rsidP="00906636">
            <w:pPr>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188</w:t>
            </w:r>
          </w:p>
        </w:tc>
        <w:tc>
          <w:tcPr>
            <w:tcW w:w="1620" w:type="dxa"/>
            <w:tcBorders>
              <w:top w:val="nil"/>
              <w:left w:val="nil"/>
              <w:bottom w:val="nil"/>
              <w:right w:val="nil"/>
            </w:tcBorders>
            <w:shd w:val="clear" w:color="auto" w:fill="auto"/>
            <w:vAlign w:val="bottom"/>
            <w:hideMark/>
          </w:tcPr>
          <w:p w:rsidR="00906636" w:rsidRPr="003E6BBA" w:rsidRDefault="00906636" w:rsidP="00906636">
            <w:pPr>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227</w:t>
            </w:r>
          </w:p>
        </w:tc>
        <w:tc>
          <w:tcPr>
            <w:tcW w:w="1020" w:type="dxa"/>
            <w:tcBorders>
              <w:top w:val="nil"/>
              <w:left w:val="nil"/>
              <w:bottom w:val="nil"/>
              <w:right w:val="nil"/>
            </w:tcBorders>
            <w:shd w:val="clear" w:color="auto" w:fill="auto"/>
            <w:vAlign w:val="bottom"/>
            <w:hideMark/>
          </w:tcPr>
          <w:p w:rsidR="00906636" w:rsidRPr="003E6BBA" w:rsidRDefault="00906636" w:rsidP="00906636">
            <w:pPr>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71</w:t>
            </w:r>
          </w:p>
        </w:tc>
        <w:tc>
          <w:tcPr>
            <w:tcW w:w="1400" w:type="dxa"/>
            <w:tcBorders>
              <w:top w:val="nil"/>
              <w:left w:val="nil"/>
              <w:bottom w:val="nil"/>
              <w:right w:val="nil"/>
            </w:tcBorders>
            <w:shd w:val="clear" w:color="auto" w:fill="auto"/>
            <w:vAlign w:val="bottom"/>
            <w:hideMark/>
          </w:tcPr>
          <w:p w:rsidR="00906636" w:rsidRPr="003E6BBA" w:rsidRDefault="00906636" w:rsidP="00906636">
            <w:pPr>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83</w:t>
            </w:r>
          </w:p>
        </w:tc>
        <w:tc>
          <w:tcPr>
            <w:tcW w:w="880" w:type="dxa"/>
            <w:tcBorders>
              <w:top w:val="nil"/>
              <w:left w:val="nil"/>
              <w:bottom w:val="nil"/>
              <w:right w:val="nil"/>
            </w:tcBorders>
            <w:shd w:val="clear" w:color="auto" w:fill="auto"/>
            <w:vAlign w:val="bottom"/>
            <w:hideMark/>
          </w:tcPr>
          <w:p w:rsidR="00906636" w:rsidRPr="003E6BBA" w:rsidRDefault="00906636" w:rsidP="00906636">
            <w:pPr>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746</w:t>
            </w:r>
          </w:p>
        </w:tc>
      </w:tr>
      <w:tr w:rsidR="00906636" w:rsidRPr="003E6BBA" w:rsidTr="00906636">
        <w:trPr>
          <w:trHeight w:val="315"/>
        </w:trPr>
        <w:tc>
          <w:tcPr>
            <w:tcW w:w="1000" w:type="dxa"/>
            <w:tcBorders>
              <w:top w:val="nil"/>
              <w:left w:val="nil"/>
              <w:bottom w:val="nil"/>
              <w:right w:val="nil"/>
            </w:tcBorders>
            <w:shd w:val="clear" w:color="auto" w:fill="auto"/>
            <w:noWrap/>
            <w:vAlign w:val="bottom"/>
            <w:hideMark/>
          </w:tcPr>
          <w:p w:rsidR="00906636" w:rsidRPr="003E6BBA" w:rsidRDefault="00906636" w:rsidP="00906636">
            <w:pPr>
              <w:tabs>
                <w:tab w:val="clear" w:pos="567"/>
              </w:tabs>
              <w:spacing w:after="0" w:line="240" w:lineRule="auto"/>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Private</w:t>
            </w:r>
          </w:p>
        </w:tc>
        <w:tc>
          <w:tcPr>
            <w:tcW w:w="1420" w:type="dxa"/>
            <w:tcBorders>
              <w:top w:val="nil"/>
              <w:left w:val="nil"/>
              <w:bottom w:val="nil"/>
              <w:right w:val="nil"/>
            </w:tcBorders>
            <w:shd w:val="clear" w:color="auto" w:fill="auto"/>
            <w:noWrap/>
            <w:vAlign w:val="bottom"/>
            <w:hideMark/>
          </w:tcPr>
          <w:p w:rsidR="00906636" w:rsidRPr="003E6BBA" w:rsidRDefault="00906636" w:rsidP="00906636">
            <w:pPr>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220</w:t>
            </w:r>
          </w:p>
        </w:tc>
        <w:tc>
          <w:tcPr>
            <w:tcW w:w="1600" w:type="dxa"/>
            <w:tcBorders>
              <w:top w:val="nil"/>
              <w:left w:val="nil"/>
              <w:bottom w:val="nil"/>
              <w:right w:val="nil"/>
            </w:tcBorders>
            <w:shd w:val="clear" w:color="auto" w:fill="auto"/>
            <w:noWrap/>
            <w:vAlign w:val="bottom"/>
            <w:hideMark/>
          </w:tcPr>
          <w:p w:rsidR="00906636" w:rsidRPr="003E6BBA" w:rsidRDefault="00906636" w:rsidP="00906636">
            <w:pPr>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57</w:t>
            </w:r>
          </w:p>
        </w:tc>
        <w:tc>
          <w:tcPr>
            <w:tcW w:w="1620" w:type="dxa"/>
            <w:tcBorders>
              <w:top w:val="nil"/>
              <w:left w:val="nil"/>
              <w:bottom w:val="nil"/>
              <w:right w:val="nil"/>
            </w:tcBorders>
            <w:shd w:val="clear" w:color="auto" w:fill="auto"/>
            <w:noWrap/>
            <w:vAlign w:val="bottom"/>
            <w:hideMark/>
          </w:tcPr>
          <w:p w:rsidR="00906636" w:rsidRPr="003E6BBA" w:rsidRDefault="00906636" w:rsidP="00906636">
            <w:pPr>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14</w:t>
            </w:r>
          </w:p>
        </w:tc>
        <w:tc>
          <w:tcPr>
            <w:tcW w:w="1020" w:type="dxa"/>
            <w:tcBorders>
              <w:top w:val="nil"/>
              <w:left w:val="nil"/>
              <w:bottom w:val="nil"/>
              <w:right w:val="nil"/>
            </w:tcBorders>
            <w:shd w:val="clear" w:color="auto" w:fill="auto"/>
            <w:noWrap/>
            <w:vAlign w:val="bottom"/>
            <w:hideMark/>
          </w:tcPr>
          <w:p w:rsidR="00906636" w:rsidRPr="003E6BBA" w:rsidRDefault="00906636" w:rsidP="00906636">
            <w:pPr>
              <w:tabs>
                <w:tab w:val="clear" w:pos="567"/>
              </w:tabs>
              <w:spacing w:after="0" w:line="240" w:lineRule="auto"/>
              <w:jc w:val="right"/>
              <w:rPr>
                <w:rFonts w:ascii="Calibri" w:eastAsia="Times New Roman" w:hAnsi="Calibri" w:cs="Times New Roman"/>
                <w:color w:val="000000"/>
                <w:sz w:val="20"/>
                <w:szCs w:val="20"/>
                <w:lang w:eastAsia="en-AU"/>
              </w:rPr>
            </w:pPr>
          </w:p>
        </w:tc>
        <w:tc>
          <w:tcPr>
            <w:tcW w:w="1400" w:type="dxa"/>
            <w:tcBorders>
              <w:top w:val="nil"/>
              <w:left w:val="nil"/>
              <w:bottom w:val="nil"/>
              <w:right w:val="nil"/>
            </w:tcBorders>
            <w:shd w:val="clear" w:color="auto" w:fill="auto"/>
            <w:noWrap/>
            <w:vAlign w:val="bottom"/>
            <w:hideMark/>
          </w:tcPr>
          <w:p w:rsidR="00906636" w:rsidRPr="003E6BBA" w:rsidRDefault="00906636" w:rsidP="00906636">
            <w:pPr>
              <w:tabs>
                <w:tab w:val="clear" w:pos="567"/>
              </w:tabs>
              <w:spacing w:after="0" w:line="240" w:lineRule="auto"/>
              <w:jc w:val="right"/>
              <w:rPr>
                <w:rFonts w:ascii="Calibri" w:eastAsia="Times New Roman" w:hAnsi="Calibri" w:cs="Times New Roman"/>
                <w:color w:val="000000"/>
                <w:sz w:val="20"/>
                <w:szCs w:val="20"/>
                <w:lang w:eastAsia="en-AU"/>
              </w:rPr>
            </w:pPr>
          </w:p>
        </w:tc>
        <w:tc>
          <w:tcPr>
            <w:tcW w:w="880" w:type="dxa"/>
            <w:tcBorders>
              <w:top w:val="nil"/>
              <w:left w:val="nil"/>
              <w:bottom w:val="nil"/>
              <w:right w:val="nil"/>
            </w:tcBorders>
            <w:shd w:val="clear" w:color="auto" w:fill="auto"/>
            <w:noWrap/>
            <w:vAlign w:val="bottom"/>
            <w:hideMark/>
          </w:tcPr>
          <w:p w:rsidR="00906636" w:rsidRPr="003E6BBA" w:rsidRDefault="00906636" w:rsidP="00906636">
            <w:pPr>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291</w:t>
            </w:r>
          </w:p>
        </w:tc>
      </w:tr>
      <w:tr w:rsidR="00906636" w:rsidRPr="003E6BBA" w:rsidTr="00906636">
        <w:trPr>
          <w:trHeight w:val="315"/>
        </w:trPr>
        <w:tc>
          <w:tcPr>
            <w:tcW w:w="1000" w:type="dxa"/>
            <w:tcBorders>
              <w:top w:val="nil"/>
              <w:left w:val="nil"/>
              <w:bottom w:val="single" w:sz="4" w:space="0" w:color="auto"/>
              <w:right w:val="nil"/>
            </w:tcBorders>
            <w:shd w:val="clear" w:color="auto" w:fill="auto"/>
            <w:noWrap/>
            <w:vAlign w:val="bottom"/>
            <w:hideMark/>
          </w:tcPr>
          <w:p w:rsidR="00906636" w:rsidRPr="003E6BBA" w:rsidRDefault="00906636" w:rsidP="00906636">
            <w:pPr>
              <w:tabs>
                <w:tab w:val="clear" w:pos="567"/>
              </w:tabs>
              <w:spacing w:after="0" w:line="240" w:lineRule="auto"/>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Total</w:t>
            </w:r>
          </w:p>
        </w:tc>
        <w:tc>
          <w:tcPr>
            <w:tcW w:w="1420" w:type="dxa"/>
            <w:tcBorders>
              <w:top w:val="single" w:sz="4" w:space="0" w:color="auto"/>
              <w:left w:val="nil"/>
              <w:bottom w:val="single" w:sz="4" w:space="0" w:color="auto"/>
              <w:right w:val="nil"/>
            </w:tcBorders>
            <w:shd w:val="clear" w:color="auto" w:fill="auto"/>
            <w:noWrap/>
            <w:vAlign w:val="bottom"/>
            <w:hideMark/>
          </w:tcPr>
          <w:p w:rsidR="00906636" w:rsidRPr="003E6BBA" w:rsidRDefault="00906636" w:rsidP="00906636">
            <w:pPr>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396</w:t>
            </w:r>
          </w:p>
        </w:tc>
        <w:tc>
          <w:tcPr>
            <w:tcW w:w="1600" w:type="dxa"/>
            <w:tcBorders>
              <w:top w:val="single" w:sz="4" w:space="0" w:color="auto"/>
              <w:left w:val="nil"/>
              <w:bottom w:val="single" w:sz="4" w:space="0" w:color="auto"/>
              <w:right w:val="nil"/>
            </w:tcBorders>
            <w:shd w:val="clear" w:color="auto" w:fill="auto"/>
            <w:noWrap/>
            <w:vAlign w:val="bottom"/>
            <w:hideMark/>
          </w:tcPr>
          <w:p w:rsidR="00906636" w:rsidRPr="003E6BBA" w:rsidRDefault="00906636" w:rsidP="00906636">
            <w:pPr>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245</w:t>
            </w:r>
          </w:p>
        </w:tc>
        <w:tc>
          <w:tcPr>
            <w:tcW w:w="1620" w:type="dxa"/>
            <w:tcBorders>
              <w:top w:val="single" w:sz="4" w:space="0" w:color="auto"/>
              <w:left w:val="nil"/>
              <w:bottom w:val="single" w:sz="4" w:space="0" w:color="auto"/>
              <w:right w:val="nil"/>
            </w:tcBorders>
            <w:shd w:val="clear" w:color="auto" w:fill="auto"/>
            <w:noWrap/>
            <w:vAlign w:val="bottom"/>
            <w:hideMark/>
          </w:tcPr>
          <w:p w:rsidR="00906636" w:rsidRPr="003E6BBA" w:rsidRDefault="00906636" w:rsidP="00906636">
            <w:pPr>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241</w:t>
            </w:r>
          </w:p>
        </w:tc>
        <w:tc>
          <w:tcPr>
            <w:tcW w:w="1020" w:type="dxa"/>
            <w:tcBorders>
              <w:top w:val="single" w:sz="4" w:space="0" w:color="auto"/>
              <w:left w:val="nil"/>
              <w:bottom w:val="single" w:sz="4" w:space="0" w:color="auto"/>
              <w:right w:val="nil"/>
            </w:tcBorders>
            <w:shd w:val="clear" w:color="auto" w:fill="auto"/>
            <w:noWrap/>
            <w:vAlign w:val="bottom"/>
            <w:hideMark/>
          </w:tcPr>
          <w:p w:rsidR="00906636" w:rsidRPr="003E6BBA" w:rsidRDefault="00906636" w:rsidP="00906636">
            <w:pPr>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71</w:t>
            </w:r>
          </w:p>
        </w:tc>
        <w:tc>
          <w:tcPr>
            <w:tcW w:w="1400" w:type="dxa"/>
            <w:tcBorders>
              <w:top w:val="single" w:sz="4" w:space="0" w:color="auto"/>
              <w:left w:val="nil"/>
              <w:bottom w:val="single" w:sz="4" w:space="0" w:color="auto"/>
              <w:right w:val="nil"/>
            </w:tcBorders>
            <w:shd w:val="clear" w:color="auto" w:fill="auto"/>
            <w:noWrap/>
            <w:vAlign w:val="bottom"/>
            <w:hideMark/>
          </w:tcPr>
          <w:p w:rsidR="00906636" w:rsidRPr="003E6BBA" w:rsidRDefault="00906636" w:rsidP="00906636">
            <w:pPr>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83</w:t>
            </w:r>
          </w:p>
        </w:tc>
        <w:tc>
          <w:tcPr>
            <w:tcW w:w="880" w:type="dxa"/>
            <w:tcBorders>
              <w:top w:val="single" w:sz="4" w:space="0" w:color="auto"/>
              <w:left w:val="nil"/>
              <w:bottom w:val="single" w:sz="4" w:space="0" w:color="auto"/>
              <w:right w:val="nil"/>
            </w:tcBorders>
            <w:shd w:val="clear" w:color="auto" w:fill="auto"/>
            <w:noWrap/>
            <w:vAlign w:val="bottom"/>
            <w:hideMark/>
          </w:tcPr>
          <w:p w:rsidR="00906636" w:rsidRPr="003E6BBA" w:rsidRDefault="00906636" w:rsidP="00906636">
            <w:pPr>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1 037</w:t>
            </w:r>
          </w:p>
        </w:tc>
      </w:tr>
    </w:tbl>
    <w:p w:rsidR="00307F52" w:rsidRPr="003E6BBA" w:rsidRDefault="00307F52" w:rsidP="00307F52">
      <w:pPr>
        <w:pStyle w:val="CGCTableFootnote"/>
        <w:keepNext/>
      </w:pPr>
      <w:r w:rsidRPr="003E6BBA">
        <w:t>(a)</w:t>
      </w:r>
      <w:r w:rsidRPr="003E6BBA">
        <w:tab/>
        <w:t xml:space="preserve">Includes </w:t>
      </w:r>
      <w:r w:rsidR="00906636" w:rsidRPr="003E6BBA">
        <w:t>acute and psychiatric hospitals but excludes</w:t>
      </w:r>
      <w:r w:rsidRPr="003E6BBA">
        <w:rPr>
          <w:rStyle w:val="st1"/>
        </w:rPr>
        <w:t xml:space="preserve"> private free-standing </w:t>
      </w:r>
      <w:r w:rsidRPr="003E6BBA">
        <w:rPr>
          <w:rStyle w:val="Emphasis"/>
          <w:b w:val="0"/>
          <w:bCs w:val="0"/>
        </w:rPr>
        <w:t>day</w:t>
      </w:r>
      <w:r w:rsidRPr="003E6BBA">
        <w:rPr>
          <w:rStyle w:val="st1"/>
        </w:rPr>
        <w:t xml:space="preserve"> hospital </w:t>
      </w:r>
      <w:r w:rsidRPr="003E6BBA">
        <w:rPr>
          <w:rStyle w:val="Emphasis"/>
          <w:b w:val="0"/>
          <w:bCs w:val="0"/>
        </w:rPr>
        <w:t>facilities.</w:t>
      </w:r>
    </w:p>
    <w:p w:rsidR="00307F52" w:rsidRPr="003E6BBA" w:rsidRDefault="00307F52" w:rsidP="00307F52">
      <w:pPr>
        <w:pStyle w:val="CGCTableFootnote"/>
        <w:keepNext/>
        <w:ind w:left="0" w:firstLine="0"/>
      </w:pPr>
      <w:r w:rsidRPr="003E6BBA">
        <w:t>Source:</w:t>
      </w:r>
      <w:r w:rsidRPr="003E6BBA">
        <w:tab/>
        <w:t>AIHW, Australian hospital statistics 2012-13.</w:t>
      </w:r>
    </w:p>
    <w:p w:rsidR="00307F52" w:rsidRPr="003E6BBA" w:rsidRDefault="00307F52" w:rsidP="00132A4D">
      <w:pPr>
        <w:pStyle w:val="CGCNumberedPara"/>
      </w:pPr>
      <w:r w:rsidRPr="003E6BBA">
        <w:t xml:space="preserve">New South Wales argued that, apart from Queensland there is no apparent relationship between levels of private and public hospital use. While there may be some merit in this argument based on </w:t>
      </w:r>
      <w:r w:rsidR="00101A26" w:rsidRPr="003E6BBA">
        <w:t xml:space="preserve">separations per 1 000 population, as shown in </w:t>
      </w:r>
      <w:r w:rsidR="005842B7" w:rsidRPr="003E6BBA">
        <w:fldChar w:fldCharType="begin"/>
      </w:r>
      <w:r w:rsidR="005842B7" w:rsidRPr="003E6BBA">
        <w:instrText xml:space="preserve"> REF _Ref405968157 \h </w:instrText>
      </w:r>
      <w:r w:rsidR="009C1BA7" w:rsidRPr="003E6BBA">
        <w:instrText xml:space="preserve"> \* MERGEFORMAT </w:instrText>
      </w:r>
      <w:r w:rsidR="005842B7" w:rsidRPr="003E6BBA">
        <w:fldChar w:fldCharType="separate"/>
      </w:r>
      <w:r w:rsidR="00DC6FC3" w:rsidRPr="003E6BBA">
        <w:t xml:space="preserve">Table </w:t>
      </w:r>
      <w:r w:rsidR="00DC6FC3">
        <w:rPr>
          <w:noProof/>
        </w:rPr>
        <w:t>3</w:t>
      </w:r>
      <w:r w:rsidR="005842B7" w:rsidRPr="003E6BBA">
        <w:fldChar w:fldCharType="end"/>
      </w:r>
      <w:r w:rsidRPr="003E6BBA">
        <w:t>, if we look at patient days per 1 000 population, a different story emerges.</w:t>
      </w:r>
    </w:p>
    <w:p w:rsidR="00307F52" w:rsidRPr="003E6BBA" w:rsidRDefault="00307F52" w:rsidP="00132A4D">
      <w:pPr>
        <w:pStyle w:val="CGCNumberedPara"/>
      </w:pPr>
      <w:r w:rsidRPr="003E6BBA">
        <w:t xml:space="preserve">New South Wales, South Australia and the collective of the small States have above average use of public hospitals and below average use of private hospitals, while Victoria and Queensland have below average public and above average private use. Only Western Australia has below average use in both sectors. </w:t>
      </w:r>
      <w:r w:rsidR="00101A26" w:rsidRPr="003E6BBA">
        <w:t>This suggests that there may be some level of substitutability (higher than average private, lower than average public and vice versa).</w:t>
      </w:r>
    </w:p>
    <w:p w:rsidR="00307F52" w:rsidRPr="003E6BBA" w:rsidRDefault="00307F52" w:rsidP="00307F52">
      <w:pPr>
        <w:pStyle w:val="CGCNumberedPara"/>
      </w:pPr>
      <w:r w:rsidRPr="003E6BBA">
        <w:t xml:space="preserve">Based on this data and the views of the consultants, it is worth revisiting the level of substitutability and the differences in private provision between comparable areas in States. </w:t>
      </w:r>
    </w:p>
    <w:p w:rsidR="00307F52" w:rsidRPr="003E6BBA" w:rsidRDefault="005842B7" w:rsidP="005842B7">
      <w:pPr>
        <w:pStyle w:val="Caption"/>
      </w:pPr>
      <w:bookmarkStart w:id="132" w:name="_Ref405968157"/>
      <w:r w:rsidRPr="003E6BBA">
        <w:t xml:space="preserve">Table </w:t>
      </w:r>
      <w:fldSimple w:instr=" SEQ Table \* ARABIC ">
        <w:r w:rsidR="00DC6FC3">
          <w:rPr>
            <w:noProof/>
          </w:rPr>
          <w:t>3</w:t>
        </w:r>
      </w:fldSimple>
      <w:bookmarkEnd w:id="132"/>
      <w:r w:rsidR="00307F52" w:rsidRPr="003E6BBA">
        <w:tab/>
        <w:t>Public and private hospital separations and patient days per 1 000 population, 2012-13</w:t>
      </w:r>
    </w:p>
    <w:tbl>
      <w:tblPr>
        <w:tblW w:w="9142" w:type="dxa"/>
        <w:tblLayout w:type="fixed"/>
        <w:tblCellMar>
          <w:left w:w="0" w:type="dxa"/>
          <w:right w:w="0" w:type="dxa"/>
        </w:tblCellMar>
        <w:tblLook w:val="04A0" w:firstRow="1" w:lastRow="0" w:firstColumn="1" w:lastColumn="0" w:noHBand="0" w:noVBand="1"/>
      </w:tblPr>
      <w:tblGrid>
        <w:gridCol w:w="262"/>
        <w:gridCol w:w="1140"/>
        <w:gridCol w:w="1060"/>
        <w:gridCol w:w="1060"/>
        <w:gridCol w:w="1060"/>
        <w:gridCol w:w="1060"/>
        <w:gridCol w:w="1060"/>
        <w:gridCol w:w="1300"/>
        <w:gridCol w:w="1140"/>
      </w:tblGrid>
      <w:tr w:rsidR="00307F52" w:rsidRPr="003E6BBA" w:rsidTr="00C1760E">
        <w:trPr>
          <w:trHeight w:val="379"/>
        </w:trPr>
        <w:tc>
          <w:tcPr>
            <w:tcW w:w="262" w:type="dxa"/>
            <w:tcBorders>
              <w:top w:val="single" w:sz="4" w:space="0" w:color="auto"/>
              <w:left w:val="nil"/>
              <w:bottom w:val="single" w:sz="4" w:space="0" w:color="auto"/>
              <w:right w:val="nil"/>
            </w:tcBorders>
            <w:shd w:val="clear" w:color="auto" w:fill="auto"/>
            <w:noWrap/>
            <w:vAlign w:val="center"/>
            <w:hideMark/>
          </w:tcPr>
          <w:p w:rsidR="00307F52" w:rsidRPr="003E6BBA" w:rsidRDefault="00307F52"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w:t>
            </w:r>
          </w:p>
        </w:tc>
        <w:tc>
          <w:tcPr>
            <w:tcW w:w="1140" w:type="dxa"/>
            <w:tcBorders>
              <w:top w:val="single" w:sz="4" w:space="0" w:color="auto"/>
              <w:left w:val="nil"/>
              <w:bottom w:val="single" w:sz="4" w:space="0" w:color="auto"/>
              <w:right w:val="nil"/>
            </w:tcBorders>
            <w:shd w:val="clear" w:color="auto" w:fill="auto"/>
            <w:noWrap/>
            <w:vAlign w:val="center"/>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bookmarkStart w:id="133" w:name="RANGE!B3:I9"/>
            <w:r w:rsidRPr="003E6BBA">
              <w:rPr>
                <w:rFonts w:ascii="Calibri" w:eastAsia="Times New Roman" w:hAnsi="Calibri" w:cs="Times New Roman"/>
                <w:color w:val="000000"/>
                <w:sz w:val="20"/>
                <w:szCs w:val="20"/>
                <w:lang w:eastAsia="en-AU"/>
              </w:rPr>
              <w:t> </w:t>
            </w:r>
            <w:bookmarkEnd w:id="133"/>
          </w:p>
        </w:tc>
        <w:tc>
          <w:tcPr>
            <w:tcW w:w="1060" w:type="dxa"/>
            <w:tcBorders>
              <w:top w:val="single" w:sz="4" w:space="0" w:color="auto"/>
              <w:left w:val="nil"/>
              <w:bottom w:val="single" w:sz="4" w:space="0" w:color="auto"/>
              <w:right w:val="nil"/>
            </w:tcBorders>
            <w:shd w:val="clear" w:color="000000" w:fill="FFFFFF"/>
            <w:noWrap/>
            <w:vAlign w:val="center"/>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NSW</w:t>
            </w:r>
          </w:p>
        </w:tc>
        <w:tc>
          <w:tcPr>
            <w:tcW w:w="1060" w:type="dxa"/>
            <w:tcBorders>
              <w:top w:val="single" w:sz="4" w:space="0" w:color="auto"/>
              <w:left w:val="nil"/>
              <w:bottom w:val="single" w:sz="4" w:space="0" w:color="auto"/>
              <w:right w:val="nil"/>
            </w:tcBorders>
            <w:shd w:val="clear" w:color="000000" w:fill="FFFFFF"/>
            <w:noWrap/>
            <w:vAlign w:val="center"/>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Vic</w:t>
            </w:r>
          </w:p>
        </w:tc>
        <w:tc>
          <w:tcPr>
            <w:tcW w:w="1060" w:type="dxa"/>
            <w:tcBorders>
              <w:top w:val="single" w:sz="4" w:space="0" w:color="auto"/>
              <w:left w:val="nil"/>
              <w:bottom w:val="single" w:sz="4" w:space="0" w:color="auto"/>
              <w:right w:val="nil"/>
            </w:tcBorders>
            <w:shd w:val="clear" w:color="000000" w:fill="FFFFFF"/>
            <w:noWrap/>
            <w:vAlign w:val="center"/>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Qld</w:t>
            </w:r>
          </w:p>
        </w:tc>
        <w:tc>
          <w:tcPr>
            <w:tcW w:w="1060" w:type="dxa"/>
            <w:tcBorders>
              <w:top w:val="single" w:sz="4" w:space="0" w:color="auto"/>
              <w:left w:val="nil"/>
              <w:bottom w:val="single" w:sz="4" w:space="0" w:color="auto"/>
              <w:right w:val="nil"/>
            </w:tcBorders>
            <w:shd w:val="clear" w:color="000000" w:fill="FFFFFF"/>
            <w:noWrap/>
            <w:vAlign w:val="center"/>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WA</w:t>
            </w:r>
          </w:p>
        </w:tc>
        <w:tc>
          <w:tcPr>
            <w:tcW w:w="1060" w:type="dxa"/>
            <w:tcBorders>
              <w:top w:val="single" w:sz="4" w:space="0" w:color="auto"/>
              <w:left w:val="nil"/>
              <w:bottom w:val="single" w:sz="4" w:space="0" w:color="auto"/>
              <w:right w:val="nil"/>
            </w:tcBorders>
            <w:shd w:val="clear" w:color="000000" w:fill="FFFFFF"/>
            <w:noWrap/>
            <w:vAlign w:val="center"/>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SA</w:t>
            </w:r>
          </w:p>
        </w:tc>
        <w:tc>
          <w:tcPr>
            <w:tcW w:w="1300" w:type="dxa"/>
            <w:tcBorders>
              <w:top w:val="single" w:sz="4" w:space="0" w:color="auto"/>
              <w:left w:val="nil"/>
              <w:bottom w:val="single" w:sz="4" w:space="0" w:color="auto"/>
              <w:right w:val="nil"/>
            </w:tcBorders>
            <w:shd w:val="clear" w:color="000000" w:fill="FFFFFF"/>
            <w:noWrap/>
            <w:vAlign w:val="center"/>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Small States</w:t>
            </w:r>
          </w:p>
        </w:tc>
        <w:tc>
          <w:tcPr>
            <w:tcW w:w="1140" w:type="dxa"/>
            <w:tcBorders>
              <w:top w:val="single" w:sz="4" w:space="0" w:color="auto"/>
              <w:left w:val="nil"/>
              <w:bottom w:val="single" w:sz="4" w:space="0" w:color="auto"/>
              <w:right w:val="nil"/>
            </w:tcBorders>
            <w:shd w:val="clear" w:color="000000" w:fill="FFFFFF"/>
            <w:noWrap/>
            <w:vAlign w:val="center"/>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Total</w:t>
            </w:r>
          </w:p>
        </w:tc>
      </w:tr>
      <w:tr w:rsidR="00307F52" w:rsidRPr="003E6BBA" w:rsidTr="00C1760E">
        <w:trPr>
          <w:trHeight w:val="315"/>
        </w:trPr>
        <w:tc>
          <w:tcPr>
            <w:tcW w:w="3522" w:type="dxa"/>
            <w:gridSpan w:val="4"/>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Separations per 1 000 population</w:t>
            </w:r>
          </w:p>
        </w:tc>
        <w:tc>
          <w:tcPr>
            <w:tcW w:w="106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p>
        </w:tc>
        <w:tc>
          <w:tcPr>
            <w:tcW w:w="130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p>
        </w:tc>
        <w:tc>
          <w:tcPr>
            <w:tcW w:w="114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p>
        </w:tc>
      </w:tr>
      <w:tr w:rsidR="00307F52" w:rsidRPr="003E6BBA" w:rsidTr="00C1760E">
        <w:trPr>
          <w:trHeight w:val="315"/>
        </w:trPr>
        <w:tc>
          <w:tcPr>
            <w:tcW w:w="262"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p>
        </w:tc>
        <w:tc>
          <w:tcPr>
            <w:tcW w:w="114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Public</w:t>
            </w:r>
          </w:p>
        </w:tc>
        <w:tc>
          <w:tcPr>
            <w:tcW w:w="106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233</w:t>
            </w:r>
          </w:p>
        </w:tc>
        <w:tc>
          <w:tcPr>
            <w:tcW w:w="106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252</w:t>
            </w:r>
          </w:p>
        </w:tc>
        <w:tc>
          <w:tcPr>
            <w:tcW w:w="106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227</w:t>
            </w:r>
          </w:p>
        </w:tc>
        <w:tc>
          <w:tcPr>
            <w:tcW w:w="106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245</w:t>
            </w:r>
          </w:p>
        </w:tc>
        <w:tc>
          <w:tcPr>
            <w:tcW w:w="106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249</w:t>
            </w:r>
          </w:p>
        </w:tc>
        <w:tc>
          <w:tcPr>
            <w:tcW w:w="130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283</w:t>
            </w:r>
          </w:p>
        </w:tc>
        <w:tc>
          <w:tcPr>
            <w:tcW w:w="114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241</w:t>
            </w:r>
          </w:p>
        </w:tc>
      </w:tr>
      <w:tr w:rsidR="00307F52" w:rsidRPr="003E6BBA" w:rsidTr="00C1760E">
        <w:trPr>
          <w:trHeight w:val="315"/>
        </w:trPr>
        <w:tc>
          <w:tcPr>
            <w:tcW w:w="262"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p>
        </w:tc>
        <w:tc>
          <w:tcPr>
            <w:tcW w:w="114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Private</w:t>
            </w:r>
          </w:p>
        </w:tc>
        <w:tc>
          <w:tcPr>
            <w:tcW w:w="106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147</w:t>
            </w:r>
          </w:p>
        </w:tc>
        <w:tc>
          <w:tcPr>
            <w:tcW w:w="106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166</w:t>
            </w:r>
          </w:p>
        </w:tc>
        <w:tc>
          <w:tcPr>
            <w:tcW w:w="106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203</w:t>
            </w:r>
          </w:p>
        </w:tc>
        <w:tc>
          <w:tcPr>
            <w:tcW w:w="106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182</w:t>
            </w:r>
          </w:p>
        </w:tc>
        <w:tc>
          <w:tcPr>
            <w:tcW w:w="106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179</w:t>
            </w:r>
          </w:p>
        </w:tc>
        <w:tc>
          <w:tcPr>
            <w:tcW w:w="130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118</w:t>
            </w:r>
          </w:p>
        </w:tc>
        <w:tc>
          <w:tcPr>
            <w:tcW w:w="114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168</w:t>
            </w:r>
          </w:p>
        </w:tc>
      </w:tr>
      <w:tr w:rsidR="00307F52" w:rsidRPr="003E6BBA" w:rsidTr="00C1760E">
        <w:trPr>
          <w:trHeight w:val="315"/>
        </w:trPr>
        <w:tc>
          <w:tcPr>
            <w:tcW w:w="3522" w:type="dxa"/>
            <w:gridSpan w:val="4"/>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Patient days per 1 000 population</w:t>
            </w:r>
          </w:p>
        </w:tc>
        <w:tc>
          <w:tcPr>
            <w:tcW w:w="106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p>
        </w:tc>
        <w:tc>
          <w:tcPr>
            <w:tcW w:w="106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p>
        </w:tc>
        <w:tc>
          <w:tcPr>
            <w:tcW w:w="130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p>
        </w:tc>
        <w:tc>
          <w:tcPr>
            <w:tcW w:w="114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p>
        </w:tc>
      </w:tr>
      <w:tr w:rsidR="00307F52" w:rsidRPr="003E6BBA" w:rsidTr="00C1760E">
        <w:trPr>
          <w:trHeight w:val="315"/>
        </w:trPr>
        <w:tc>
          <w:tcPr>
            <w:tcW w:w="262"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p>
        </w:tc>
        <w:tc>
          <w:tcPr>
            <w:tcW w:w="114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Public</w:t>
            </w:r>
          </w:p>
        </w:tc>
        <w:tc>
          <w:tcPr>
            <w:tcW w:w="106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868</w:t>
            </w:r>
          </w:p>
        </w:tc>
        <w:tc>
          <w:tcPr>
            <w:tcW w:w="106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815</w:t>
            </w:r>
          </w:p>
        </w:tc>
        <w:tc>
          <w:tcPr>
            <w:tcW w:w="106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715</w:t>
            </w:r>
          </w:p>
        </w:tc>
        <w:tc>
          <w:tcPr>
            <w:tcW w:w="106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774</w:t>
            </w:r>
          </w:p>
        </w:tc>
        <w:tc>
          <w:tcPr>
            <w:tcW w:w="106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963</w:t>
            </w:r>
          </w:p>
        </w:tc>
        <w:tc>
          <w:tcPr>
            <w:tcW w:w="130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877</w:t>
            </w:r>
          </w:p>
        </w:tc>
        <w:tc>
          <w:tcPr>
            <w:tcW w:w="1140" w:type="dxa"/>
            <w:tcBorders>
              <w:top w:val="nil"/>
              <w:left w:val="nil"/>
              <w:bottom w:val="nil"/>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821</w:t>
            </w:r>
          </w:p>
        </w:tc>
      </w:tr>
      <w:tr w:rsidR="00307F52" w:rsidRPr="003E6BBA" w:rsidTr="00C1760E">
        <w:trPr>
          <w:trHeight w:val="315"/>
        </w:trPr>
        <w:tc>
          <w:tcPr>
            <w:tcW w:w="262" w:type="dxa"/>
            <w:tcBorders>
              <w:top w:val="nil"/>
              <w:left w:val="nil"/>
              <w:bottom w:val="single" w:sz="4" w:space="0" w:color="auto"/>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w:t>
            </w:r>
          </w:p>
        </w:tc>
        <w:tc>
          <w:tcPr>
            <w:tcW w:w="1140" w:type="dxa"/>
            <w:tcBorders>
              <w:top w:val="nil"/>
              <w:left w:val="nil"/>
              <w:bottom w:val="single" w:sz="4" w:space="0" w:color="auto"/>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Private</w:t>
            </w:r>
          </w:p>
        </w:tc>
        <w:tc>
          <w:tcPr>
            <w:tcW w:w="1060" w:type="dxa"/>
            <w:tcBorders>
              <w:top w:val="nil"/>
              <w:left w:val="nil"/>
              <w:bottom w:val="single" w:sz="4" w:space="0" w:color="auto"/>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335</w:t>
            </w:r>
          </w:p>
        </w:tc>
        <w:tc>
          <w:tcPr>
            <w:tcW w:w="1060" w:type="dxa"/>
            <w:tcBorders>
              <w:top w:val="nil"/>
              <w:left w:val="nil"/>
              <w:bottom w:val="single" w:sz="4" w:space="0" w:color="auto"/>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407</w:t>
            </w:r>
          </w:p>
        </w:tc>
        <w:tc>
          <w:tcPr>
            <w:tcW w:w="1060" w:type="dxa"/>
            <w:tcBorders>
              <w:top w:val="nil"/>
              <w:left w:val="nil"/>
              <w:bottom w:val="single" w:sz="4" w:space="0" w:color="auto"/>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482</w:t>
            </w:r>
          </w:p>
        </w:tc>
        <w:tc>
          <w:tcPr>
            <w:tcW w:w="1060" w:type="dxa"/>
            <w:tcBorders>
              <w:top w:val="nil"/>
              <w:left w:val="nil"/>
              <w:bottom w:val="single" w:sz="4" w:space="0" w:color="auto"/>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367</w:t>
            </w:r>
          </w:p>
        </w:tc>
        <w:tc>
          <w:tcPr>
            <w:tcW w:w="1060" w:type="dxa"/>
            <w:tcBorders>
              <w:top w:val="nil"/>
              <w:left w:val="nil"/>
              <w:bottom w:val="single" w:sz="4" w:space="0" w:color="auto"/>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385</w:t>
            </w:r>
          </w:p>
        </w:tc>
        <w:tc>
          <w:tcPr>
            <w:tcW w:w="1300" w:type="dxa"/>
            <w:tcBorders>
              <w:top w:val="nil"/>
              <w:left w:val="nil"/>
              <w:bottom w:val="single" w:sz="4" w:space="0" w:color="auto"/>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290</w:t>
            </w:r>
          </w:p>
        </w:tc>
        <w:tc>
          <w:tcPr>
            <w:tcW w:w="1140" w:type="dxa"/>
            <w:tcBorders>
              <w:top w:val="nil"/>
              <w:left w:val="nil"/>
              <w:bottom w:val="single" w:sz="4" w:space="0" w:color="auto"/>
              <w:right w:val="nil"/>
            </w:tcBorders>
            <w:shd w:val="clear" w:color="auto" w:fill="auto"/>
            <w:noWrap/>
            <w:vAlign w:val="bottom"/>
            <w:hideMark/>
          </w:tcPr>
          <w:p w:rsidR="00307F52" w:rsidRPr="003E6BBA" w:rsidRDefault="00307F52"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387</w:t>
            </w:r>
          </w:p>
        </w:tc>
      </w:tr>
    </w:tbl>
    <w:p w:rsidR="00307F52" w:rsidRPr="003E6BBA" w:rsidRDefault="00307F52" w:rsidP="00307F52">
      <w:pPr>
        <w:pStyle w:val="CGCTableFootnote"/>
        <w:ind w:left="0" w:firstLine="0"/>
      </w:pPr>
      <w:r w:rsidRPr="003E6BBA">
        <w:t>Source:</w:t>
      </w:r>
      <w:r w:rsidRPr="003E6BBA">
        <w:tab/>
        <w:t>AIHW Australian hospital statistics 201</w:t>
      </w:r>
      <w:r w:rsidR="006D124E">
        <w:t>2</w:t>
      </w:r>
      <w:r w:rsidRPr="003E6BBA">
        <w:t>-13.</w:t>
      </w:r>
    </w:p>
    <w:p w:rsidR="00307F52" w:rsidRPr="003E6BBA" w:rsidRDefault="00307F52" w:rsidP="00307F52">
      <w:pPr>
        <w:pStyle w:val="Heading5"/>
      </w:pPr>
      <w:r w:rsidRPr="003E6BBA">
        <w:lastRenderedPageBreak/>
        <w:t>Differences and similarities between public and private hospitals</w:t>
      </w:r>
    </w:p>
    <w:p w:rsidR="00307F52" w:rsidRPr="003E6BBA" w:rsidRDefault="00307F52" w:rsidP="00307F52">
      <w:pPr>
        <w:pStyle w:val="CGCNumberedPara"/>
      </w:pPr>
      <w:r w:rsidRPr="003E6BBA">
        <w:t>Analysis conducted by the Productivity Commission</w:t>
      </w:r>
      <w:r w:rsidRPr="003E6BBA">
        <w:rPr>
          <w:rStyle w:val="FootnoteReference"/>
        </w:rPr>
        <w:footnoteReference w:id="14"/>
      </w:r>
      <w:r w:rsidRPr="003E6BBA">
        <w:t xml:space="preserve"> on the differences and similarities between public and private hospitals, in part, supports the consultants</w:t>
      </w:r>
      <w:r w:rsidR="001B5F83" w:rsidRPr="003E6BBA">
        <w:t>’</w:t>
      </w:r>
      <w:r w:rsidRPr="003E6BBA">
        <w:t xml:space="preserve"> view.</w:t>
      </w:r>
    </w:p>
    <w:p w:rsidR="00307F52" w:rsidRPr="003E6BBA" w:rsidRDefault="00307F52" w:rsidP="00307F52">
      <w:pPr>
        <w:pStyle w:val="CGCNumberedPara"/>
      </w:pPr>
      <w:r w:rsidRPr="003E6BBA">
        <w:t xml:space="preserve">When we focus on overnight stays in hospital, there are differences between the type of services provided in public and private hospitals. </w:t>
      </w:r>
    </w:p>
    <w:p w:rsidR="00307F52" w:rsidRPr="003E6BBA" w:rsidRDefault="00307F52" w:rsidP="00307F52">
      <w:pPr>
        <w:pStyle w:val="CGCQuotation"/>
      </w:pPr>
      <w:r w:rsidRPr="003E6BBA">
        <w:t>...In a comparison of the 30 most frequent overnight AR-DRGs treated in each sector (which represent 33% of overnight separations in the public sector and 42% of overnight separations in the private sector), only eight AR-DRGs were common to both sectors. These common AR-DRGs mainly relate to obstetrics. Of the 22 overnight AR-DRGs that were distinct to the public sector in this sample, many were the type of separation commonly admitted through emergency departments, such as respiratory and cardiac-related cases, injuries, seizures, and treatment for poisoning and the toxic effects of drugs. All but one of these treatments were medical cases…</w:t>
      </w:r>
    </w:p>
    <w:p w:rsidR="00307F52" w:rsidRPr="003E6BBA" w:rsidRDefault="00307F52" w:rsidP="00307F52">
      <w:pPr>
        <w:pStyle w:val="CGCQuotation"/>
      </w:pPr>
      <w:r w:rsidRPr="003E6BBA">
        <w:t>...Of the 22 overnight AR-DRGs that were distinct to the private sector in this sample, many were elective procedures such as knee or hip replacements. All but two of these AR-DRGs were surgical cases.</w:t>
      </w:r>
    </w:p>
    <w:p w:rsidR="00307F52" w:rsidRPr="003E6BBA" w:rsidRDefault="00307F52" w:rsidP="00307F52">
      <w:pPr>
        <w:pStyle w:val="CGCNumberedPara"/>
      </w:pPr>
      <w:r w:rsidRPr="003E6BBA">
        <w:t xml:space="preserve">A subset of the 30 most frequent overnight AR-DRGs is provided in </w:t>
      </w:r>
      <w:r w:rsidR="001F3413" w:rsidRPr="003E6BBA">
        <w:t>Attachment A</w:t>
      </w:r>
      <w:r w:rsidRPr="003E6BBA">
        <w:t>.</w:t>
      </w:r>
      <w:r w:rsidR="001F3413" w:rsidRPr="003E6BBA">
        <w:t xml:space="preserve"> </w:t>
      </w:r>
      <w:r w:rsidRPr="003E6BBA">
        <w:t xml:space="preserve">The </w:t>
      </w:r>
      <w:r w:rsidR="00817CCF" w:rsidRPr="003E6BBA">
        <w:t>analysis in this sample indicates</w:t>
      </w:r>
      <w:r w:rsidRPr="003E6BBA">
        <w:t xml:space="preserve"> that the private sector, for overnight patients at least, provide treatment for very different injuries/illnesses to those provided in public hospitals. Public hospitals tend to focus more on emergency medical treatments while private hospitals treat more non-emergency surgical patients. This can also be seen in the AIHW data provided in </w:t>
      </w:r>
      <w:r w:rsidR="005842B7" w:rsidRPr="003E6BBA">
        <w:fldChar w:fldCharType="begin"/>
      </w:r>
      <w:r w:rsidR="005842B7" w:rsidRPr="003E6BBA">
        <w:instrText xml:space="preserve"> REF _Ref405968166 \h </w:instrText>
      </w:r>
      <w:r w:rsidR="009C1BA7" w:rsidRPr="003E6BBA">
        <w:instrText xml:space="preserve"> \* MERGEFORMAT </w:instrText>
      </w:r>
      <w:r w:rsidR="005842B7" w:rsidRPr="003E6BBA">
        <w:fldChar w:fldCharType="separate"/>
      </w:r>
      <w:r w:rsidR="00DC6FC3" w:rsidRPr="003E6BBA">
        <w:t xml:space="preserve">Table </w:t>
      </w:r>
      <w:r w:rsidR="00DC6FC3">
        <w:rPr>
          <w:noProof/>
        </w:rPr>
        <w:t>4</w:t>
      </w:r>
      <w:r w:rsidR="005842B7" w:rsidRPr="003E6BBA">
        <w:fldChar w:fldCharType="end"/>
      </w:r>
      <w:r w:rsidRPr="003E6BBA">
        <w:t>.</w:t>
      </w:r>
    </w:p>
    <w:p w:rsidR="00307F52" w:rsidRPr="003E6BBA" w:rsidRDefault="005842B7" w:rsidP="005842B7">
      <w:pPr>
        <w:pStyle w:val="Caption"/>
        <w:rPr>
          <w:lang w:eastAsia="en-AU"/>
        </w:rPr>
      </w:pPr>
      <w:bookmarkStart w:id="134" w:name="_Ref405968166"/>
      <w:r w:rsidRPr="003E6BBA">
        <w:lastRenderedPageBreak/>
        <w:t xml:space="preserve">Table </w:t>
      </w:r>
      <w:fldSimple w:instr=" SEQ Table \* ARABIC ">
        <w:r w:rsidR="00DC6FC3">
          <w:rPr>
            <w:noProof/>
          </w:rPr>
          <w:t>4</w:t>
        </w:r>
      </w:fldSimple>
      <w:bookmarkEnd w:id="134"/>
      <w:r w:rsidR="00307F52" w:rsidRPr="003E6BBA">
        <w:rPr>
          <w:lang w:eastAsia="en-AU"/>
        </w:rPr>
        <w:tab/>
        <w:t>National overnight separations by broad category of service, public and private hospitals, 2012–13</w:t>
      </w:r>
    </w:p>
    <w:tbl>
      <w:tblPr>
        <w:tblW w:w="8960" w:type="dxa"/>
        <w:tblInd w:w="93" w:type="dxa"/>
        <w:tblLook w:val="04A0" w:firstRow="1" w:lastRow="0" w:firstColumn="1" w:lastColumn="0" w:noHBand="0" w:noVBand="1"/>
      </w:tblPr>
      <w:tblGrid>
        <w:gridCol w:w="2600"/>
        <w:gridCol w:w="2120"/>
        <w:gridCol w:w="2120"/>
        <w:gridCol w:w="2120"/>
      </w:tblGrid>
      <w:tr w:rsidR="00307F52" w:rsidRPr="003E6BBA" w:rsidTr="00C1760E">
        <w:trPr>
          <w:trHeight w:val="375"/>
        </w:trPr>
        <w:tc>
          <w:tcPr>
            <w:tcW w:w="2600" w:type="dxa"/>
            <w:tcBorders>
              <w:top w:val="single" w:sz="4" w:space="0" w:color="auto"/>
              <w:left w:val="nil"/>
              <w:bottom w:val="single" w:sz="4" w:space="0" w:color="auto"/>
              <w:right w:val="nil"/>
            </w:tcBorders>
            <w:shd w:val="clear" w:color="auto" w:fill="auto"/>
            <w:noWrap/>
            <w:vAlign w:val="bottom"/>
            <w:hideMark/>
          </w:tcPr>
          <w:p w:rsidR="00307F52" w:rsidRPr="003E6BBA" w:rsidRDefault="00307F52" w:rsidP="00E262F8">
            <w:pPr>
              <w:keepNext/>
              <w:tabs>
                <w:tab w:val="clear" w:pos="567"/>
              </w:tabs>
              <w:spacing w:after="0" w:line="240" w:lineRule="auto"/>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w:t>
            </w:r>
          </w:p>
        </w:tc>
        <w:tc>
          <w:tcPr>
            <w:tcW w:w="2120" w:type="dxa"/>
            <w:tcBorders>
              <w:top w:val="single" w:sz="4" w:space="0" w:color="auto"/>
              <w:left w:val="nil"/>
              <w:bottom w:val="single" w:sz="4" w:space="0" w:color="auto"/>
              <w:right w:val="nil"/>
            </w:tcBorders>
            <w:shd w:val="clear" w:color="auto" w:fill="auto"/>
            <w:noWrap/>
            <w:vAlign w:val="center"/>
            <w:hideMark/>
          </w:tcPr>
          <w:p w:rsidR="00307F52" w:rsidRPr="003E6BBA" w:rsidRDefault="00307F52" w:rsidP="00E262F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Public hospitals</w:t>
            </w:r>
          </w:p>
        </w:tc>
        <w:tc>
          <w:tcPr>
            <w:tcW w:w="2120" w:type="dxa"/>
            <w:tcBorders>
              <w:top w:val="single" w:sz="4" w:space="0" w:color="auto"/>
              <w:left w:val="nil"/>
              <w:bottom w:val="single" w:sz="4" w:space="0" w:color="auto"/>
              <w:right w:val="nil"/>
            </w:tcBorders>
            <w:shd w:val="clear" w:color="auto" w:fill="auto"/>
            <w:noWrap/>
            <w:vAlign w:val="center"/>
            <w:hideMark/>
          </w:tcPr>
          <w:p w:rsidR="00307F52" w:rsidRPr="003E6BBA" w:rsidRDefault="00307F52" w:rsidP="00E262F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Private hospitals</w:t>
            </w:r>
          </w:p>
        </w:tc>
        <w:tc>
          <w:tcPr>
            <w:tcW w:w="2120" w:type="dxa"/>
            <w:tcBorders>
              <w:top w:val="single" w:sz="4" w:space="0" w:color="auto"/>
              <w:left w:val="nil"/>
              <w:bottom w:val="single" w:sz="4" w:space="0" w:color="auto"/>
              <w:right w:val="nil"/>
            </w:tcBorders>
            <w:shd w:val="clear" w:color="auto" w:fill="auto"/>
            <w:vAlign w:val="center"/>
            <w:hideMark/>
          </w:tcPr>
          <w:p w:rsidR="00307F52" w:rsidRPr="003E6BBA" w:rsidRDefault="00307F52" w:rsidP="00E262F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Private proportion</w:t>
            </w:r>
          </w:p>
        </w:tc>
      </w:tr>
      <w:tr w:rsidR="00307F52" w:rsidRPr="003E6BBA" w:rsidTr="00C1760E">
        <w:trPr>
          <w:trHeight w:val="255"/>
        </w:trPr>
        <w:tc>
          <w:tcPr>
            <w:tcW w:w="2600" w:type="dxa"/>
            <w:tcBorders>
              <w:top w:val="nil"/>
              <w:left w:val="nil"/>
              <w:bottom w:val="nil"/>
              <w:right w:val="nil"/>
            </w:tcBorders>
            <w:shd w:val="clear" w:color="auto" w:fill="auto"/>
            <w:noWrap/>
            <w:vAlign w:val="bottom"/>
            <w:hideMark/>
          </w:tcPr>
          <w:p w:rsidR="00307F52" w:rsidRPr="003E6BBA" w:rsidRDefault="00307F52" w:rsidP="00E262F8">
            <w:pPr>
              <w:keepNext/>
              <w:tabs>
                <w:tab w:val="clear" w:pos="567"/>
              </w:tabs>
              <w:spacing w:after="0" w:line="240" w:lineRule="auto"/>
              <w:rPr>
                <w:rFonts w:ascii="Calibri" w:eastAsia="Times New Roman" w:hAnsi="Calibri" w:cs="Times New Roman"/>
                <w:color w:val="000000"/>
                <w:sz w:val="20"/>
                <w:szCs w:val="20"/>
                <w:lang w:eastAsia="en-AU"/>
              </w:rPr>
            </w:pPr>
          </w:p>
        </w:tc>
        <w:tc>
          <w:tcPr>
            <w:tcW w:w="2120" w:type="dxa"/>
            <w:tcBorders>
              <w:top w:val="nil"/>
              <w:left w:val="nil"/>
              <w:bottom w:val="nil"/>
              <w:right w:val="nil"/>
            </w:tcBorders>
            <w:shd w:val="clear" w:color="auto" w:fill="auto"/>
            <w:vAlign w:val="bottom"/>
            <w:hideMark/>
          </w:tcPr>
          <w:p w:rsidR="00307F52" w:rsidRPr="003E6BBA" w:rsidRDefault="00307F52" w:rsidP="00E262F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No.</w:t>
            </w:r>
          </w:p>
        </w:tc>
        <w:tc>
          <w:tcPr>
            <w:tcW w:w="2120" w:type="dxa"/>
            <w:tcBorders>
              <w:top w:val="nil"/>
              <w:left w:val="nil"/>
              <w:bottom w:val="nil"/>
              <w:right w:val="nil"/>
            </w:tcBorders>
            <w:shd w:val="clear" w:color="auto" w:fill="auto"/>
            <w:vAlign w:val="bottom"/>
            <w:hideMark/>
          </w:tcPr>
          <w:p w:rsidR="00307F52" w:rsidRPr="003E6BBA" w:rsidRDefault="00307F52" w:rsidP="00E262F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No.</w:t>
            </w:r>
          </w:p>
        </w:tc>
        <w:tc>
          <w:tcPr>
            <w:tcW w:w="2120" w:type="dxa"/>
            <w:tcBorders>
              <w:top w:val="nil"/>
              <w:left w:val="nil"/>
              <w:bottom w:val="nil"/>
              <w:right w:val="nil"/>
            </w:tcBorders>
            <w:shd w:val="clear" w:color="auto" w:fill="auto"/>
            <w:vAlign w:val="bottom"/>
            <w:hideMark/>
          </w:tcPr>
          <w:p w:rsidR="00307F52" w:rsidRPr="003E6BBA" w:rsidRDefault="00307F52" w:rsidP="00E262F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w:t>
            </w:r>
          </w:p>
        </w:tc>
      </w:tr>
      <w:tr w:rsidR="00307F52" w:rsidRPr="003E6BBA" w:rsidTr="00C1760E">
        <w:trPr>
          <w:trHeight w:val="255"/>
        </w:trPr>
        <w:tc>
          <w:tcPr>
            <w:tcW w:w="2600" w:type="dxa"/>
            <w:tcBorders>
              <w:top w:val="nil"/>
              <w:left w:val="nil"/>
              <w:bottom w:val="nil"/>
              <w:right w:val="nil"/>
            </w:tcBorders>
            <w:shd w:val="clear" w:color="000000" w:fill="FFFFFF"/>
            <w:noWrap/>
            <w:vAlign w:val="bottom"/>
            <w:hideMark/>
          </w:tcPr>
          <w:p w:rsidR="00307F52" w:rsidRPr="003E6BBA" w:rsidRDefault="00307F52" w:rsidP="00E262F8">
            <w:pPr>
              <w:keepNext/>
              <w:tabs>
                <w:tab w:val="clear" w:pos="567"/>
              </w:tabs>
              <w:spacing w:after="0" w:line="240" w:lineRule="auto"/>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Emergency</w:t>
            </w:r>
          </w:p>
        </w:tc>
        <w:tc>
          <w:tcPr>
            <w:tcW w:w="2120" w:type="dxa"/>
            <w:tcBorders>
              <w:top w:val="nil"/>
              <w:left w:val="nil"/>
              <w:bottom w:val="nil"/>
              <w:right w:val="nil"/>
            </w:tcBorders>
            <w:shd w:val="clear" w:color="auto" w:fill="auto"/>
            <w:noWrap/>
            <w:vAlign w:val="bottom"/>
            <w:hideMark/>
          </w:tcPr>
          <w:p w:rsidR="00307F52" w:rsidRPr="003E6BBA" w:rsidRDefault="00307F52" w:rsidP="00E262F8">
            <w:pPr>
              <w:keepNext/>
              <w:tabs>
                <w:tab w:val="clear" w:pos="567"/>
              </w:tabs>
              <w:spacing w:after="0" w:line="240" w:lineRule="auto"/>
              <w:rPr>
                <w:rFonts w:ascii="Calibri" w:eastAsia="Times New Roman" w:hAnsi="Calibri" w:cs="Times New Roman"/>
                <w:color w:val="000000"/>
                <w:sz w:val="20"/>
                <w:szCs w:val="20"/>
                <w:lang w:eastAsia="en-AU"/>
              </w:rPr>
            </w:pPr>
          </w:p>
        </w:tc>
        <w:tc>
          <w:tcPr>
            <w:tcW w:w="2120" w:type="dxa"/>
            <w:tcBorders>
              <w:top w:val="nil"/>
              <w:left w:val="nil"/>
              <w:bottom w:val="nil"/>
              <w:right w:val="nil"/>
            </w:tcBorders>
            <w:shd w:val="clear" w:color="auto" w:fill="auto"/>
            <w:noWrap/>
            <w:vAlign w:val="bottom"/>
            <w:hideMark/>
          </w:tcPr>
          <w:p w:rsidR="00307F52" w:rsidRPr="003E6BBA" w:rsidRDefault="00307F52" w:rsidP="00E262F8">
            <w:pPr>
              <w:keepNext/>
              <w:tabs>
                <w:tab w:val="clear" w:pos="567"/>
              </w:tabs>
              <w:spacing w:after="0" w:line="240" w:lineRule="auto"/>
              <w:rPr>
                <w:rFonts w:ascii="Calibri" w:eastAsia="Times New Roman" w:hAnsi="Calibri" w:cs="Times New Roman"/>
                <w:color w:val="000000"/>
                <w:sz w:val="20"/>
                <w:szCs w:val="20"/>
                <w:lang w:eastAsia="en-AU"/>
              </w:rPr>
            </w:pPr>
          </w:p>
        </w:tc>
        <w:tc>
          <w:tcPr>
            <w:tcW w:w="2120" w:type="dxa"/>
            <w:tcBorders>
              <w:top w:val="nil"/>
              <w:left w:val="nil"/>
              <w:bottom w:val="nil"/>
              <w:right w:val="nil"/>
            </w:tcBorders>
            <w:shd w:val="clear" w:color="auto" w:fill="auto"/>
            <w:noWrap/>
            <w:vAlign w:val="bottom"/>
            <w:hideMark/>
          </w:tcPr>
          <w:p w:rsidR="00307F52" w:rsidRPr="003E6BBA" w:rsidRDefault="00307F52" w:rsidP="00E262F8">
            <w:pPr>
              <w:keepNext/>
              <w:tabs>
                <w:tab w:val="clear" w:pos="567"/>
              </w:tabs>
              <w:spacing w:after="0" w:line="240" w:lineRule="auto"/>
              <w:rPr>
                <w:rFonts w:ascii="Calibri" w:eastAsia="Times New Roman" w:hAnsi="Calibri" w:cs="Times New Roman"/>
                <w:color w:val="000000"/>
                <w:sz w:val="20"/>
                <w:szCs w:val="20"/>
                <w:lang w:eastAsia="en-AU"/>
              </w:rPr>
            </w:pPr>
          </w:p>
        </w:tc>
      </w:tr>
      <w:tr w:rsidR="00307F52" w:rsidRPr="003E6BBA" w:rsidTr="00C1760E">
        <w:trPr>
          <w:trHeight w:val="315"/>
        </w:trPr>
        <w:tc>
          <w:tcPr>
            <w:tcW w:w="2600" w:type="dxa"/>
            <w:tcBorders>
              <w:top w:val="nil"/>
              <w:left w:val="nil"/>
              <w:bottom w:val="nil"/>
              <w:right w:val="nil"/>
            </w:tcBorders>
            <w:shd w:val="clear" w:color="000000" w:fill="FFFFFF"/>
            <w:noWrap/>
            <w:vAlign w:val="bottom"/>
            <w:hideMark/>
          </w:tcPr>
          <w:p w:rsidR="00307F52" w:rsidRPr="003E6BBA" w:rsidRDefault="00307F52" w:rsidP="00E262F8">
            <w:pPr>
              <w:keepNext/>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Surgical</w:t>
            </w:r>
          </w:p>
        </w:tc>
        <w:tc>
          <w:tcPr>
            <w:tcW w:w="2120" w:type="dxa"/>
            <w:tcBorders>
              <w:top w:val="nil"/>
              <w:left w:val="nil"/>
              <w:bottom w:val="nil"/>
              <w:right w:val="nil"/>
            </w:tcBorders>
            <w:shd w:val="clear" w:color="auto" w:fill="auto"/>
            <w:noWrap/>
            <w:vAlign w:val="bottom"/>
            <w:hideMark/>
          </w:tcPr>
          <w:p w:rsidR="00307F52" w:rsidRPr="003E6BBA" w:rsidRDefault="00307F52" w:rsidP="00E262F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239 139</w:t>
            </w:r>
          </w:p>
        </w:tc>
        <w:tc>
          <w:tcPr>
            <w:tcW w:w="2120" w:type="dxa"/>
            <w:tcBorders>
              <w:top w:val="nil"/>
              <w:left w:val="nil"/>
              <w:bottom w:val="nil"/>
              <w:right w:val="nil"/>
            </w:tcBorders>
            <w:shd w:val="clear" w:color="auto" w:fill="auto"/>
            <w:noWrap/>
            <w:vAlign w:val="bottom"/>
            <w:hideMark/>
          </w:tcPr>
          <w:p w:rsidR="00307F52" w:rsidRPr="003E6BBA" w:rsidRDefault="00307F52" w:rsidP="00E262F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34 462</w:t>
            </w:r>
          </w:p>
        </w:tc>
        <w:tc>
          <w:tcPr>
            <w:tcW w:w="2120" w:type="dxa"/>
            <w:tcBorders>
              <w:top w:val="nil"/>
              <w:left w:val="nil"/>
              <w:bottom w:val="nil"/>
              <w:right w:val="nil"/>
            </w:tcBorders>
            <w:shd w:val="clear" w:color="auto" w:fill="auto"/>
            <w:noWrap/>
            <w:vAlign w:val="bottom"/>
            <w:hideMark/>
          </w:tcPr>
          <w:p w:rsidR="00307F52" w:rsidRPr="003E6BBA" w:rsidRDefault="00307F52" w:rsidP="00E262F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13</w:t>
            </w:r>
          </w:p>
        </w:tc>
      </w:tr>
      <w:tr w:rsidR="00307F52" w:rsidRPr="003E6BBA" w:rsidTr="00C1760E">
        <w:trPr>
          <w:trHeight w:val="315"/>
        </w:trPr>
        <w:tc>
          <w:tcPr>
            <w:tcW w:w="2600" w:type="dxa"/>
            <w:tcBorders>
              <w:top w:val="nil"/>
              <w:left w:val="nil"/>
              <w:bottom w:val="nil"/>
              <w:right w:val="nil"/>
            </w:tcBorders>
            <w:shd w:val="clear" w:color="000000" w:fill="FFFFFF"/>
            <w:noWrap/>
            <w:vAlign w:val="bottom"/>
            <w:hideMark/>
          </w:tcPr>
          <w:p w:rsidR="00307F52" w:rsidRPr="003E6BBA" w:rsidRDefault="00307F52" w:rsidP="00E262F8">
            <w:pPr>
              <w:keepNext/>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Medical </w:t>
            </w:r>
          </w:p>
        </w:tc>
        <w:tc>
          <w:tcPr>
            <w:tcW w:w="2120" w:type="dxa"/>
            <w:tcBorders>
              <w:top w:val="nil"/>
              <w:left w:val="nil"/>
              <w:bottom w:val="single" w:sz="4" w:space="0" w:color="auto"/>
              <w:right w:val="nil"/>
            </w:tcBorders>
            <w:shd w:val="clear" w:color="auto" w:fill="auto"/>
            <w:noWrap/>
            <w:vAlign w:val="bottom"/>
            <w:hideMark/>
          </w:tcPr>
          <w:p w:rsidR="00307F52" w:rsidRPr="003E6BBA" w:rsidRDefault="00307F52" w:rsidP="00E262F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1 357 568</w:t>
            </w:r>
          </w:p>
        </w:tc>
        <w:tc>
          <w:tcPr>
            <w:tcW w:w="2120" w:type="dxa"/>
            <w:tcBorders>
              <w:top w:val="nil"/>
              <w:left w:val="nil"/>
              <w:bottom w:val="single" w:sz="4" w:space="0" w:color="auto"/>
              <w:right w:val="nil"/>
            </w:tcBorders>
            <w:shd w:val="clear" w:color="auto" w:fill="auto"/>
            <w:noWrap/>
            <w:vAlign w:val="bottom"/>
            <w:hideMark/>
          </w:tcPr>
          <w:p w:rsidR="00307F52" w:rsidRPr="003E6BBA" w:rsidRDefault="00307F52" w:rsidP="00E262F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136 733</w:t>
            </w:r>
          </w:p>
        </w:tc>
        <w:tc>
          <w:tcPr>
            <w:tcW w:w="2120" w:type="dxa"/>
            <w:tcBorders>
              <w:top w:val="nil"/>
              <w:left w:val="nil"/>
              <w:bottom w:val="single" w:sz="4" w:space="0" w:color="auto"/>
              <w:right w:val="nil"/>
            </w:tcBorders>
            <w:shd w:val="clear" w:color="auto" w:fill="auto"/>
            <w:noWrap/>
            <w:vAlign w:val="bottom"/>
            <w:hideMark/>
          </w:tcPr>
          <w:p w:rsidR="00307F52" w:rsidRPr="003E6BBA" w:rsidRDefault="00307F52" w:rsidP="00E262F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9</w:t>
            </w:r>
          </w:p>
        </w:tc>
      </w:tr>
      <w:tr w:rsidR="00307F52" w:rsidRPr="003E6BBA" w:rsidTr="00C1760E">
        <w:trPr>
          <w:trHeight w:val="255"/>
        </w:trPr>
        <w:tc>
          <w:tcPr>
            <w:tcW w:w="2600" w:type="dxa"/>
            <w:tcBorders>
              <w:top w:val="nil"/>
              <w:left w:val="nil"/>
              <w:bottom w:val="nil"/>
              <w:right w:val="nil"/>
            </w:tcBorders>
            <w:shd w:val="clear" w:color="000000" w:fill="FFFFFF"/>
            <w:noWrap/>
            <w:vAlign w:val="bottom"/>
            <w:hideMark/>
          </w:tcPr>
          <w:p w:rsidR="00307F52" w:rsidRPr="003E6BBA" w:rsidRDefault="00307F52" w:rsidP="00E262F8">
            <w:pPr>
              <w:keepNext/>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Subtotal (a)</w:t>
            </w:r>
          </w:p>
        </w:tc>
        <w:tc>
          <w:tcPr>
            <w:tcW w:w="2120" w:type="dxa"/>
            <w:tcBorders>
              <w:top w:val="nil"/>
              <w:left w:val="nil"/>
              <w:bottom w:val="nil"/>
              <w:right w:val="nil"/>
            </w:tcBorders>
            <w:shd w:val="clear" w:color="auto" w:fill="auto"/>
            <w:noWrap/>
            <w:vAlign w:val="bottom"/>
            <w:hideMark/>
          </w:tcPr>
          <w:p w:rsidR="00307F52" w:rsidRPr="003E6BBA" w:rsidRDefault="00307F52" w:rsidP="00E262F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1 655 079</w:t>
            </w:r>
          </w:p>
        </w:tc>
        <w:tc>
          <w:tcPr>
            <w:tcW w:w="2120" w:type="dxa"/>
            <w:tcBorders>
              <w:top w:val="nil"/>
              <w:left w:val="nil"/>
              <w:bottom w:val="nil"/>
              <w:right w:val="nil"/>
            </w:tcBorders>
            <w:shd w:val="clear" w:color="auto" w:fill="auto"/>
            <w:noWrap/>
            <w:vAlign w:val="bottom"/>
            <w:hideMark/>
          </w:tcPr>
          <w:p w:rsidR="00307F52" w:rsidRPr="003E6BBA" w:rsidRDefault="00307F52" w:rsidP="00E262F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183 232</w:t>
            </w:r>
          </w:p>
        </w:tc>
        <w:tc>
          <w:tcPr>
            <w:tcW w:w="2120" w:type="dxa"/>
            <w:tcBorders>
              <w:top w:val="nil"/>
              <w:left w:val="nil"/>
              <w:bottom w:val="nil"/>
              <w:right w:val="nil"/>
            </w:tcBorders>
            <w:shd w:val="clear" w:color="auto" w:fill="auto"/>
            <w:noWrap/>
            <w:vAlign w:val="bottom"/>
            <w:hideMark/>
          </w:tcPr>
          <w:p w:rsidR="00307F52" w:rsidRPr="003E6BBA" w:rsidRDefault="00307F52" w:rsidP="00E262F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10</w:t>
            </w:r>
          </w:p>
        </w:tc>
      </w:tr>
      <w:tr w:rsidR="00307F52" w:rsidRPr="003E6BBA" w:rsidTr="00C1760E">
        <w:trPr>
          <w:trHeight w:val="255"/>
        </w:trPr>
        <w:tc>
          <w:tcPr>
            <w:tcW w:w="2600" w:type="dxa"/>
            <w:tcBorders>
              <w:top w:val="nil"/>
              <w:left w:val="nil"/>
              <w:bottom w:val="nil"/>
              <w:right w:val="nil"/>
            </w:tcBorders>
            <w:shd w:val="clear" w:color="000000" w:fill="FFFFFF"/>
            <w:noWrap/>
            <w:vAlign w:val="bottom"/>
            <w:hideMark/>
          </w:tcPr>
          <w:p w:rsidR="00307F52" w:rsidRPr="003E6BBA" w:rsidRDefault="00307F52" w:rsidP="00E262F8">
            <w:pPr>
              <w:keepNext/>
              <w:tabs>
                <w:tab w:val="clear" w:pos="567"/>
              </w:tabs>
              <w:spacing w:after="0" w:line="240" w:lineRule="auto"/>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Non-emergency</w:t>
            </w:r>
          </w:p>
        </w:tc>
        <w:tc>
          <w:tcPr>
            <w:tcW w:w="2120" w:type="dxa"/>
            <w:tcBorders>
              <w:top w:val="nil"/>
              <w:left w:val="nil"/>
              <w:bottom w:val="nil"/>
              <w:right w:val="nil"/>
            </w:tcBorders>
            <w:shd w:val="clear" w:color="auto" w:fill="auto"/>
            <w:noWrap/>
            <w:vAlign w:val="bottom"/>
            <w:hideMark/>
          </w:tcPr>
          <w:p w:rsidR="00307F52" w:rsidRPr="003E6BBA" w:rsidRDefault="00307F52" w:rsidP="00E262F8">
            <w:pPr>
              <w:keepNext/>
              <w:tabs>
                <w:tab w:val="clear" w:pos="567"/>
              </w:tabs>
              <w:spacing w:after="0" w:line="240" w:lineRule="auto"/>
              <w:rPr>
                <w:rFonts w:ascii="Calibri" w:eastAsia="Times New Roman" w:hAnsi="Calibri" w:cs="Times New Roman"/>
                <w:color w:val="000000"/>
                <w:sz w:val="20"/>
                <w:szCs w:val="20"/>
                <w:lang w:eastAsia="en-AU"/>
              </w:rPr>
            </w:pPr>
          </w:p>
        </w:tc>
        <w:tc>
          <w:tcPr>
            <w:tcW w:w="2120" w:type="dxa"/>
            <w:tcBorders>
              <w:top w:val="nil"/>
              <w:left w:val="nil"/>
              <w:bottom w:val="nil"/>
              <w:right w:val="nil"/>
            </w:tcBorders>
            <w:shd w:val="clear" w:color="auto" w:fill="auto"/>
            <w:noWrap/>
            <w:vAlign w:val="bottom"/>
            <w:hideMark/>
          </w:tcPr>
          <w:p w:rsidR="00307F52" w:rsidRPr="003E6BBA" w:rsidRDefault="00307F52" w:rsidP="00E262F8">
            <w:pPr>
              <w:keepNext/>
              <w:tabs>
                <w:tab w:val="clear" w:pos="567"/>
              </w:tabs>
              <w:spacing w:after="0" w:line="240" w:lineRule="auto"/>
              <w:rPr>
                <w:rFonts w:ascii="Calibri" w:eastAsia="Times New Roman" w:hAnsi="Calibri" w:cs="Times New Roman"/>
                <w:color w:val="000000"/>
                <w:sz w:val="20"/>
                <w:szCs w:val="20"/>
                <w:lang w:eastAsia="en-AU"/>
              </w:rPr>
            </w:pPr>
          </w:p>
        </w:tc>
        <w:tc>
          <w:tcPr>
            <w:tcW w:w="2120" w:type="dxa"/>
            <w:tcBorders>
              <w:top w:val="nil"/>
              <w:left w:val="nil"/>
              <w:bottom w:val="nil"/>
              <w:right w:val="nil"/>
            </w:tcBorders>
            <w:shd w:val="clear" w:color="auto" w:fill="auto"/>
            <w:noWrap/>
            <w:vAlign w:val="bottom"/>
            <w:hideMark/>
          </w:tcPr>
          <w:p w:rsidR="00307F52" w:rsidRPr="003E6BBA" w:rsidRDefault="00307F52" w:rsidP="00E262F8">
            <w:pPr>
              <w:keepNext/>
              <w:tabs>
                <w:tab w:val="clear" w:pos="567"/>
              </w:tabs>
              <w:spacing w:after="0" w:line="240" w:lineRule="auto"/>
              <w:rPr>
                <w:rFonts w:ascii="Calibri" w:eastAsia="Times New Roman" w:hAnsi="Calibri" w:cs="Times New Roman"/>
                <w:color w:val="000000"/>
                <w:sz w:val="20"/>
                <w:szCs w:val="20"/>
                <w:lang w:eastAsia="en-AU"/>
              </w:rPr>
            </w:pPr>
          </w:p>
        </w:tc>
      </w:tr>
      <w:tr w:rsidR="00307F52" w:rsidRPr="003E6BBA" w:rsidTr="00C1760E">
        <w:trPr>
          <w:trHeight w:val="315"/>
        </w:trPr>
        <w:tc>
          <w:tcPr>
            <w:tcW w:w="2600" w:type="dxa"/>
            <w:tcBorders>
              <w:top w:val="nil"/>
              <w:left w:val="nil"/>
              <w:bottom w:val="nil"/>
              <w:right w:val="nil"/>
            </w:tcBorders>
            <w:shd w:val="clear" w:color="000000" w:fill="FFFFFF"/>
            <w:noWrap/>
            <w:vAlign w:val="bottom"/>
            <w:hideMark/>
          </w:tcPr>
          <w:p w:rsidR="00307F52" w:rsidRPr="003E6BBA" w:rsidRDefault="00307F52" w:rsidP="00E262F8">
            <w:pPr>
              <w:keepNext/>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Surgical </w:t>
            </w:r>
          </w:p>
        </w:tc>
        <w:tc>
          <w:tcPr>
            <w:tcW w:w="2120" w:type="dxa"/>
            <w:tcBorders>
              <w:top w:val="nil"/>
              <w:left w:val="nil"/>
              <w:bottom w:val="nil"/>
              <w:right w:val="nil"/>
            </w:tcBorders>
            <w:shd w:val="clear" w:color="auto" w:fill="auto"/>
            <w:noWrap/>
            <w:vAlign w:val="bottom"/>
            <w:hideMark/>
          </w:tcPr>
          <w:p w:rsidR="00307F52" w:rsidRPr="003E6BBA" w:rsidRDefault="00307F52" w:rsidP="00E262F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335 692</w:t>
            </w:r>
          </w:p>
        </w:tc>
        <w:tc>
          <w:tcPr>
            <w:tcW w:w="2120" w:type="dxa"/>
            <w:tcBorders>
              <w:top w:val="nil"/>
              <w:left w:val="nil"/>
              <w:bottom w:val="nil"/>
              <w:right w:val="nil"/>
            </w:tcBorders>
            <w:shd w:val="clear" w:color="auto" w:fill="auto"/>
            <w:noWrap/>
            <w:vAlign w:val="bottom"/>
            <w:hideMark/>
          </w:tcPr>
          <w:p w:rsidR="00307F52" w:rsidRPr="003E6BBA" w:rsidRDefault="00307F52" w:rsidP="00E262F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558 950</w:t>
            </w:r>
          </w:p>
        </w:tc>
        <w:tc>
          <w:tcPr>
            <w:tcW w:w="2120" w:type="dxa"/>
            <w:tcBorders>
              <w:top w:val="nil"/>
              <w:left w:val="nil"/>
              <w:bottom w:val="nil"/>
              <w:right w:val="nil"/>
            </w:tcBorders>
            <w:shd w:val="clear" w:color="auto" w:fill="auto"/>
            <w:noWrap/>
            <w:vAlign w:val="bottom"/>
            <w:hideMark/>
          </w:tcPr>
          <w:p w:rsidR="00307F52" w:rsidRPr="003E6BBA" w:rsidRDefault="00307F52" w:rsidP="00E262F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62</w:t>
            </w:r>
          </w:p>
        </w:tc>
      </w:tr>
      <w:tr w:rsidR="00307F52" w:rsidRPr="003E6BBA" w:rsidTr="00C1760E">
        <w:trPr>
          <w:trHeight w:val="315"/>
        </w:trPr>
        <w:tc>
          <w:tcPr>
            <w:tcW w:w="2600" w:type="dxa"/>
            <w:tcBorders>
              <w:top w:val="nil"/>
              <w:left w:val="nil"/>
              <w:bottom w:val="nil"/>
              <w:right w:val="nil"/>
            </w:tcBorders>
            <w:shd w:val="clear" w:color="000000" w:fill="FFFFFF"/>
            <w:noWrap/>
            <w:vAlign w:val="bottom"/>
            <w:hideMark/>
          </w:tcPr>
          <w:p w:rsidR="00307F52" w:rsidRPr="003E6BBA" w:rsidRDefault="00307F52" w:rsidP="00E262F8">
            <w:pPr>
              <w:keepNext/>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Medical</w:t>
            </w:r>
          </w:p>
        </w:tc>
        <w:tc>
          <w:tcPr>
            <w:tcW w:w="2120" w:type="dxa"/>
            <w:tcBorders>
              <w:top w:val="nil"/>
              <w:left w:val="nil"/>
              <w:bottom w:val="single" w:sz="4" w:space="0" w:color="auto"/>
              <w:right w:val="nil"/>
            </w:tcBorders>
            <w:shd w:val="clear" w:color="auto" w:fill="auto"/>
            <w:noWrap/>
            <w:vAlign w:val="bottom"/>
            <w:hideMark/>
          </w:tcPr>
          <w:p w:rsidR="00307F52" w:rsidRPr="003E6BBA" w:rsidRDefault="00307F52" w:rsidP="00E262F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420 157</w:t>
            </w:r>
          </w:p>
        </w:tc>
        <w:tc>
          <w:tcPr>
            <w:tcW w:w="2120" w:type="dxa"/>
            <w:tcBorders>
              <w:top w:val="nil"/>
              <w:left w:val="nil"/>
              <w:bottom w:val="single" w:sz="4" w:space="0" w:color="auto"/>
              <w:right w:val="nil"/>
            </w:tcBorders>
            <w:shd w:val="clear" w:color="auto" w:fill="auto"/>
            <w:noWrap/>
            <w:vAlign w:val="bottom"/>
            <w:hideMark/>
          </w:tcPr>
          <w:p w:rsidR="00307F52" w:rsidRPr="003E6BBA" w:rsidRDefault="00307F52" w:rsidP="00E262F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298 318</w:t>
            </w:r>
          </w:p>
        </w:tc>
        <w:tc>
          <w:tcPr>
            <w:tcW w:w="2120" w:type="dxa"/>
            <w:tcBorders>
              <w:top w:val="nil"/>
              <w:left w:val="nil"/>
              <w:bottom w:val="single" w:sz="4" w:space="0" w:color="auto"/>
              <w:right w:val="nil"/>
            </w:tcBorders>
            <w:shd w:val="clear" w:color="auto" w:fill="auto"/>
            <w:noWrap/>
            <w:vAlign w:val="bottom"/>
            <w:hideMark/>
          </w:tcPr>
          <w:p w:rsidR="00307F52" w:rsidRPr="003E6BBA" w:rsidRDefault="00307F52" w:rsidP="00E262F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42</w:t>
            </w:r>
          </w:p>
        </w:tc>
      </w:tr>
      <w:tr w:rsidR="00307F52" w:rsidRPr="003E6BBA" w:rsidTr="00C1760E">
        <w:trPr>
          <w:trHeight w:val="315"/>
        </w:trPr>
        <w:tc>
          <w:tcPr>
            <w:tcW w:w="2600" w:type="dxa"/>
            <w:tcBorders>
              <w:top w:val="nil"/>
              <w:left w:val="nil"/>
              <w:bottom w:val="nil"/>
              <w:right w:val="nil"/>
            </w:tcBorders>
            <w:shd w:val="clear" w:color="000000" w:fill="FFFFFF"/>
            <w:noWrap/>
            <w:vAlign w:val="bottom"/>
            <w:hideMark/>
          </w:tcPr>
          <w:p w:rsidR="00307F52" w:rsidRPr="003E6BBA" w:rsidRDefault="00307F52" w:rsidP="00E262F8">
            <w:pPr>
              <w:keepNext/>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Subtotal (a)</w:t>
            </w:r>
          </w:p>
        </w:tc>
        <w:tc>
          <w:tcPr>
            <w:tcW w:w="2120" w:type="dxa"/>
            <w:tcBorders>
              <w:top w:val="single" w:sz="4" w:space="0" w:color="auto"/>
              <w:left w:val="nil"/>
              <w:bottom w:val="single" w:sz="4" w:space="0" w:color="auto"/>
              <w:right w:val="nil"/>
            </w:tcBorders>
            <w:shd w:val="clear" w:color="auto" w:fill="auto"/>
            <w:noWrap/>
            <w:vAlign w:val="bottom"/>
            <w:hideMark/>
          </w:tcPr>
          <w:p w:rsidR="00307F52" w:rsidRPr="003E6BBA" w:rsidRDefault="00307F52" w:rsidP="00E262F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778 465</w:t>
            </w:r>
          </w:p>
        </w:tc>
        <w:tc>
          <w:tcPr>
            <w:tcW w:w="2120" w:type="dxa"/>
            <w:tcBorders>
              <w:top w:val="single" w:sz="4" w:space="0" w:color="auto"/>
              <w:left w:val="nil"/>
              <w:bottom w:val="single" w:sz="4" w:space="0" w:color="auto"/>
              <w:right w:val="nil"/>
            </w:tcBorders>
            <w:shd w:val="clear" w:color="auto" w:fill="auto"/>
            <w:noWrap/>
            <w:vAlign w:val="bottom"/>
            <w:hideMark/>
          </w:tcPr>
          <w:p w:rsidR="00307F52" w:rsidRPr="003E6BBA" w:rsidRDefault="00307F52" w:rsidP="00E262F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897 854</w:t>
            </w:r>
          </w:p>
        </w:tc>
        <w:tc>
          <w:tcPr>
            <w:tcW w:w="2120" w:type="dxa"/>
            <w:tcBorders>
              <w:top w:val="single" w:sz="4" w:space="0" w:color="auto"/>
              <w:left w:val="nil"/>
              <w:bottom w:val="single" w:sz="4" w:space="0" w:color="auto"/>
              <w:right w:val="nil"/>
            </w:tcBorders>
            <w:shd w:val="clear" w:color="auto" w:fill="auto"/>
            <w:noWrap/>
            <w:vAlign w:val="bottom"/>
            <w:hideMark/>
          </w:tcPr>
          <w:p w:rsidR="00307F52" w:rsidRPr="003E6BBA" w:rsidRDefault="00307F52" w:rsidP="00E262F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54</w:t>
            </w:r>
          </w:p>
        </w:tc>
      </w:tr>
      <w:tr w:rsidR="00307F52" w:rsidRPr="003E6BBA" w:rsidTr="00C1760E">
        <w:trPr>
          <w:trHeight w:val="315"/>
        </w:trPr>
        <w:tc>
          <w:tcPr>
            <w:tcW w:w="2600" w:type="dxa"/>
            <w:tcBorders>
              <w:top w:val="nil"/>
              <w:left w:val="nil"/>
              <w:bottom w:val="single" w:sz="4" w:space="0" w:color="auto"/>
              <w:right w:val="nil"/>
            </w:tcBorders>
            <w:shd w:val="clear" w:color="000000" w:fill="FFFFFF"/>
            <w:noWrap/>
            <w:vAlign w:val="bottom"/>
            <w:hideMark/>
          </w:tcPr>
          <w:p w:rsidR="00307F52" w:rsidRPr="003E6BBA" w:rsidRDefault="00307F52" w:rsidP="00E262F8">
            <w:pPr>
              <w:keepNext/>
              <w:tabs>
                <w:tab w:val="clear" w:pos="567"/>
              </w:tabs>
              <w:spacing w:after="0" w:line="240" w:lineRule="auto"/>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Total</w:t>
            </w:r>
          </w:p>
        </w:tc>
        <w:tc>
          <w:tcPr>
            <w:tcW w:w="2120" w:type="dxa"/>
            <w:tcBorders>
              <w:top w:val="single" w:sz="4" w:space="0" w:color="auto"/>
              <w:left w:val="nil"/>
              <w:bottom w:val="single" w:sz="4" w:space="0" w:color="auto"/>
              <w:right w:val="nil"/>
            </w:tcBorders>
            <w:shd w:val="clear" w:color="auto" w:fill="auto"/>
            <w:noWrap/>
            <w:vAlign w:val="bottom"/>
            <w:hideMark/>
          </w:tcPr>
          <w:p w:rsidR="00307F52" w:rsidRPr="003E6BBA" w:rsidRDefault="00307F52" w:rsidP="00E262F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2 433 544</w:t>
            </w:r>
          </w:p>
        </w:tc>
        <w:tc>
          <w:tcPr>
            <w:tcW w:w="2120" w:type="dxa"/>
            <w:tcBorders>
              <w:top w:val="single" w:sz="4" w:space="0" w:color="auto"/>
              <w:left w:val="nil"/>
              <w:bottom w:val="single" w:sz="4" w:space="0" w:color="auto"/>
              <w:right w:val="nil"/>
            </w:tcBorders>
            <w:shd w:val="clear" w:color="auto" w:fill="auto"/>
            <w:noWrap/>
            <w:vAlign w:val="bottom"/>
            <w:hideMark/>
          </w:tcPr>
          <w:p w:rsidR="00307F52" w:rsidRPr="003E6BBA" w:rsidRDefault="00307F52" w:rsidP="00E262F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1 081 086</w:t>
            </w:r>
          </w:p>
        </w:tc>
        <w:tc>
          <w:tcPr>
            <w:tcW w:w="2120" w:type="dxa"/>
            <w:tcBorders>
              <w:top w:val="single" w:sz="4" w:space="0" w:color="auto"/>
              <w:left w:val="nil"/>
              <w:bottom w:val="single" w:sz="4" w:space="0" w:color="auto"/>
              <w:right w:val="nil"/>
            </w:tcBorders>
            <w:shd w:val="clear" w:color="auto" w:fill="auto"/>
            <w:noWrap/>
            <w:vAlign w:val="bottom"/>
            <w:hideMark/>
          </w:tcPr>
          <w:p w:rsidR="00307F52" w:rsidRPr="003E6BBA" w:rsidRDefault="00307F52" w:rsidP="00E262F8">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31</w:t>
            </w:r>
          </w:p>
        </w:tc>
      </w:tr>
    </w:tbl>
    <w:p w:rsidR="00307F52" w:rsidRPr="003E6BBA" w:rsidRDefault="00307F52" w:rsidP="00E262F8">
      <w:pPr>
        <w:pStyle w:val="CGCTableFootnote"/>
        <w:keepNext/>
      </w:pPr>
      <w:r w:rsidRPr="003E6BBA">
        <w:t>(a)</w:t>
      </w:r>
      <w:r w:rsidRPr="003E6BBA">
        <w:tab/>
        <w:t xml:space="preserve">Subtotals </w:t>
      </w:r>
      <w:r w:rsidR="00817CCF" w:rsidRPr="003E6BBA">
        <w:t>include</w:t>
      </w:r>
      <w:r w:rsidRPr="003E6BBA">
        <w:t xml:space="preserve"> ‘Other’ broad category of service.</w:t>
      </w:r>
    </w:p>
    <w:p w:rsidR="00307F52" w:rsidRPr="003E6BBA" w:rsidRDefault="00307F52" w:rsidP="00E262F8">
      <w:pPr>
        <w:pStyle w:val="CGCTableFootnote"/>
        <w:keepNext/>
      </w:pPr>
      <w:r w:rsidRPr="003E6BBA">
        <w:t>Source:</w:t>
      </w:r>
      <w:r w:rsidRPr="003E6BBA">
        <w:tab/>
        <w:t>AIHW, Australian hospital statistics 2012-13 Table S6.3 and S6.4.</w:t>
      </w:r>
    </w:p>
    <w:p w:rsidR="00307F52" w:rsidRPr="003E6BBA" w:rsidRDefault="00307F52" w:rsidP="00307F52">
      <w:pPr>
        <w:pStyle w:val="CGCNumberedPara"/>
      </w:pPr>
      <w:r w:rsidRPr="003E6BBA">
        <w:t>On the other hand, when we focus on same-day separations in public and private hospitals, there are some similarities in the services provided.</w:t>
      </w:r>
    </w:p>
    <w:p w:rsidR="00307F52" w:rsidRPr="003E6BBA" w:rsidRDefault="00307F52" w:rsidP="00307F52">
      <w:pPr>
        <w:pStyle w:val="CGCQuotation"/>
      </w:pPr>
      <w:r w:rsidRPr="003E6BBA">
        <w:rPr>
          <w:rStyle w:val="CGCBulletlistCharChar"/>
          <w:sz w:val="22"/>
          <w:szCs w:val="22"/>
        </w:rPr>
        <w:t>…..</w:t>
      </w:r>
      <w:r w:rsidRPr="003E6BBA">
        <w:t>There appears to be considerably more overlap between the sectors in their same-day separations. In a comparison of the 30 most frequent same-day AR-DRGs treated in each sector (which represented 70% of same-day separations in the public sector and 81% of same-day separations in the private sector in 2007-08), 22 AR-DRGs were common to both sectors, including the four most frequent same-day separations overall. Although differing in order of frequency, the top four activities in both sectors were: renal dialysis, chemotherapy, non-complex colonoscopy and lens procedures. The greater degree of overlap in same-day separations between the two sectors may be partly explained by the fact that same-day separations in both hospital sectors appear to be concentrated among a smaller number of AR-DRGs. Although the public and private hospital sectors displayed more similarity in their same-day separations than in their overnight separations, the concentration of medical cases in the public sector and surgical cases in the private sector was again apparent.</w:t>
      </w:r>
    </w:p>
    <w:p w:rsidR="00307F52" w:rsidRPr="003E6BBA" w:rsidRDefault="00307F52" w:rsidP="00307F52">
      <w:pPr>
        <w:pStyle w:val="CGCNumberedPara"/>
      </w:pPr>
      <w:r w:rsidRPr="003E6BBA">
        <w:t xml:space="preserve">A subset of the 30 most frequent same-day AR-DRGs is provided in </w:t>
      </w:r>
      <w:r w:rsidR="001F3413" w:rsidRPr="003E6BBA">
        <w:t>Attachment A</w:t>
      </w:r>
      <w:r w:rsidRPr="003E6BBA">
        <w:t>.</w:t>
      </w:r>
      <w:r w:rsidR="001F3413" w:rsidRPr="003E6BBA">
        <w:t xml:space="preserve"> </w:t>
      </w:r>
      <w:r w:rsidRPr="003E6BBA">
        <w:t xml:space="preserve">Similar to overnight stays, public hospitals tend to </w:t>
      </w:r>
      <w:r w:rsidR="002062A8" w:rsidRPr="003E6BBA">
        <w:t>treat the majority of emergency</w:t>
      </w:r>
      <w:r w:rsidR="002062A8" w:rsidRPr="003E6BBA">
        <w:noBreakHyphen/>
      </w:r>
      <w:r w:rsidRPr="003E6BBA">
        <w:t xml:space="preserve">type patients (96%) as seen in </w:t>
      </w:r>
      <w:r w:rsidR="005842B7" w:rsidRPr="003E6BBA">
        <w:fldChar w:fldCharType="begin"/>
      </w:r>
      <w:r w:rsidR="005842B7" w:rsidRPr="003E6BBA">
        <w:instrText xml:space="preserve"> REF _Ref405968178 \h </w:instrText>
      </w:r>
      <w:r w:rsidR="009C1BA7" w:rsidRPr="003E6BBA">
        <w:instrText xml:space="preserve"> \* MERGEFORMAT </w:instrText>
      </w:r>
      <w:r w:rsidR="005842B7" w:rsidRPr="003E6BBA">
        <w:fldChar w:fldCharType="separate"/>
      </w:r>
      <w:r w:rsidR="00DC6FC3" w:rsidRPr="003E6BBA">
        <w:t xml:space="preserve">Table </w:t>
      </w:r>
      <w:r w:rsidR="00DC6FC3">
        <w:rPr>
          <w:noProof/>
        </w:rPr>
        <w:t>5</w:t>
      </w:r>
      <w:r w:rsidR="005842B7" w:rsidRPr="003E6BBA">
        <w:fldChar w:fldCharType="end"/>
      </w:r>
      <w:r w:rsidRPr="003E6BBA">
        <w:t>. However, while the data in the table suggest that the disaggregation of non-emergency treatment into medical and surgical is similar to that of overnight stays, the analysis in the Productivity Commission report suggests that the AR-DRGs are very similar.</w:t>
      </w:r>
    </w:p>
    <w:p w:rsidR="00307F52" w:rsidRPr="003E6BBA" w:rsidRDefault="005842B7" w:rsidP="005842B7">
      <w:pPr>
        <w:pStyle w:val="Caption"/>
        <w:rPr>
          <w:lang w:eastAsia="en-AU"/>
        </w:rPr>
      </w:pPr>
      <w:bookmarkStart w:id="135" w:name="_Ref405968178"/>
      <w:r w:rsidRPr="003E6BBA">
        <w:lastRenderedPageBreak/>
        <w:t xml:space="preserve">Table </w:t>
      </w:r>
      <w:fldSimple w:instr=" SEQ Table \* ARABIC ">
        <w:r w:rsidR="00DC6FC3">
          <w:rPr>
            <w:noProof/>
          </w:rPr>
          <w:t>5</w:t>
        </w:r>
      </w:fldSimple>
      <w:bookmarkEnd w:id="135"/>
      <w:r w:rsidR="00307F52" w:rsidRPr="003E6BBA">
        <w:rPr>
          <w:lang w:eastAsia="en-AU"/>
        </w:rPr>
        <w:tab/>
        <w:t>National same-day separations by broad category of service, public and private hospitals, 2012–13</w:t>
      </w:r>
    </w:p>
    <w:tbl>
      <w:tblPr>
        <w:tblW w:w="8960" w:type="dxa"/>
        <w:tblInd w:w="93" w:type="dxa"/>
        <w:tblLook w:val="04A0" w:firstRow="1" w:lastRow="0" w:firstColumn="1" w:lastColumn="0" w:noHBand="0" w:noVBand="1"/>
      </w:tblPr>
      <w:tblGrid>
        <w:gridCol w:w="2600"/>
        <w:gridCol w:w="2120"/>
        <w:gridCol w:w="2120"/>
        <w:gridCol w:w="2120"/>
      </w:tblGrid>
      <w:tr w:rsidR="00307F52" w:rsidRPr="003E6BBA" w:rsidTr="00C1760E">
        <w:trPr>
          <w:trHeight w:val="375"/>
        </w:trPr>
        <w:tc>
          <w:tcPr>
            <w:tcW w:w="2600" w:type="dxa"/>
            <w:tcBorders>
              <w:top w:val="single" w:sz="4" w:space="0" w:color="auto"/>
              <w:left w:val="nil"/>
              <w:bottom w:val="single" w:sz="4" w:space="0" w:color="auto"/>
              <w:right w:val="nil"/>
            </w:tcBorders>
            <w:shd w:val="clear" w:color="auto" w:fill="auto"/>
            <w:noWrap/>
            <w:vAlign w:val="bottom"/>
            <w:hideMark/>
          </w:tcPr>
          <w:p w:rsidR="00307F52" w:rsidRPr="003E6BBA" w:rsidRDefault="00307F52" w:rsidP="00C1760E">
            <w:pPr>
              <w:keepNext/>
              <w:tabs>
                <w:tab w:val="clear" w:pos="567"/>
              </w:tabs>
              <w:spacing w:after="0" w:line="240" w:lineRule="auto"/>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w:t>
            </w:r>
          </w:p>
        </w:tc>
        <w:tc>
          <w:tcPr>
            <w:tcW w:w="2120" w:type="dxa"/>
            <w:tcBorders>
              <w:top w:val="single" w:sz="4" w:space="0" w:color="auto"/>
              <w:left w:val="nil"/>
              <w:bottom w:val="single" w:sz="4" w:space="0" w:color="auto"/>
              <w:right w:val="nil"/>
            </w:tcBorders>
            <w:shd w:val="clear" w:color="auto" w:fill="auto"/>
            <w:noWrap/>
            <w:vAlign w:val="center"/>
            <w:hideMark/>
          </w:tcPr>
          <w:p w:rsidR="00307F52" w:rsidRPr="003E6BBA" w:rsidRDefault="00307F52"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Public hospitals</w:t>
            </w:r>
          </w:p>
        </w:tc>
        <w:tc>
          <w:tcPr>
            <w:tcW w:w="2120" w:type="dxa"/>
            <w:tcBorders>
              <w:top w:val="single" w:sz="4" w:space="0" w:color="auto"/>
              <w:left w:val="nil"/>
              <w:bottom w:val="single" w:sz="4" w:space="0" w:color="auto"/>
              <w:right w:val="nil"/>
            </w:tcBorders>
            <w:shd w:val="clear" w:color="auto" w:fill="auto"/>
            <w:noWrap/>
            <w:vAlign w:val="center"/>
            <w:hideMark/>
          </w:tcPr>
          <w:p w:rsidR="00307F52" w:rsidRPr="003E6BBA" w:rsidRDefault="00307F52"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Private hospitals</w:t>
            </w:r>
          </w:p>
        </w:tc>
        <w:tc>
          <w:tcPr>
            <w:tcW w:w="2120" w:type="dxa"/>
            <w:tcBorders>
              <w:top w:val="single" w:sz="4" w:space="0" w:color="auto"/>
              <w:left w:val="nil"/>
              <w:bottom w:val="single" w:sz="4" w:space="0" w:color="auto"/>
              <w:right w:val="nil"/>
            </w:tcBorders>
            <w:shd w:val="clear" w:color="auto" w:fill="auto"/>
            <w:vAlign w:val="center"/>
            <w:hideMark/>
          </w:tcPr>
          <w:p w:rsidR="00307F52" w:rsidRPr="003E6BBA" w:rsidRDefault="00307F52"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Private proportion</w:t>
            </w:r>
          </w:p>
        </w:tc>
      </w:tr>
      <w:tr w:rsidR="00307F52" w:rsidRPr="003E6BBA" w:rsidTr="00C1760E">
        <w:trPr>
          <w:trHeight w:val="255"/>
        </w:trPr>
        <w:tc>
          <w:tcPr>
            <w:tcW w:w="2600" w:type="dxa"/>
            <w:tcBorders>
              <w:top w:val="nil"/>
              <w:left w:val="nil"/>
              <w:bottom w:val="nil"/>
              <w:right w:val="nil"/>
            </w:tcBorders>
            <w:shd w:val="clear" w:color="auto" w:fill="auto"/>
            <w:noWrap/>
            <w:vAlign w:val="bottom"/>
            <w:hideMark/>
          </w:tcPr>
          <w:p w:rsidR="00307F52" w:rsidRPr="003E6BBA" w:rsidRDefault="00307F52" w:rsidP="00C1760E">
            <w:pPr>
              <w:keepNext/>
              <w:tabs>
                <w:tab w:val="clear" w:pos="567"/>
              </w:tabs>
              <w:spacing w:after="0" w:line="240" w:lineRule="auto"/>
              <w:rPr>
                <w:rFonts w:ascii="Calibri" w:eastAsia="Times New Roman" w:hAnsi="Calibri" w:cs="Times New Roman"/>
                <w:color w:val="000000"/>
                <w:sz w:val="20"/>
                <w:szCs w:val="20"/>
                <w:lang w:eastAsia="en-AU"/>
              </w:rPr>
            </w:pPr>
          </w:p>
        </w:tc>
        <w:tc>
          <w:tcPr>
            <w:tcW w:w="2120" w:type="dxa"/>
            <w:tcBorders>
              <w:top w:val="nil"/>
              <w:left w:val="nil"/>
              <w:bottom w:val="nil"/>
              <w:right w:val="nil"/>
            </w:tcBorders>
            <w:shd w:val="clear" w:color="auto" w:fill="auto"/>
            <w:vAlign w:val="bottom"/>
            <w:hideMark/>
          </w:tcPr>
          <w:p w:rsidR="00307F52" w:rsidRPr="003E6BBA" w:rsidRDefault="00307F52"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No.</w:t>
            </w:r>
          </w:p>
        </w:tc>
        <w:tc>
          <w:tcPr>
            <w:tcW w:w="2120" w:type="dxa"/>
            <w:tcBorders>
              <w:top w:val="nil"/>
              <w:left w:val="nil"/>
              <w:bottom w:val="nil"/>
              <w:right w:val="nil"/>
            </w:tcBorders>
            <w:shd w:val="clear" w:color="auto" w:fill="auto"/>
            <w:vAlign w:val="bottom"/>
            <w:hideMark/>
          </w:tcPr>
          <w:p w:rsidR="00307F52" w:rsidRPr="003E6BBA" w:rsidRDefault="00307F52"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No.</w:t>
            </w:r>
          </w:p>
        </w:tc>
        <w:tc>
          <w:tcPr>
            <w:tcW w:w="2120" w:type="dxa"/>
            <w:tcBorders>
              <w:top w:val="nil"/>
              <w:left w:val="nil"/>
              <w:bottom w:val="nil"/>
              <w:right w:val="nil"/>
            </w:tcBorders>
            <w:shd w:val="clear" w:color="auto" w:fill="auto"/>
            <w:vAlign w:val="bottom"/>
            <w:hideMark/>
          </w:tcPr>
          <w:p w:rsidR="00307F52" w:rsidRPr="003E6BBA" w:rsidRDefault="00307F52"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w:t>
            </w:r>
          </w:p>
        </w:tc>
      </w:tr>
      <w:tr w:rsidR="00307F52" w:rsidRPr="003E6BBA" w:rsidTr="00C1760E">
        <w:trPr>
          <w:trHeight w:val="255"/>
        </w:trPr>
        <w:tc>
          <w:tcPr>
            <w:tcW w:w="2600" w:type="dxa"/>
            <w:tcBorders>
              <w:top w:val="nil"/>
              <w:left w:val="nil"/>
              <w:bottom w:val="nil"/>
              <w:right w:val="nil"/>
            </w:tcBorders>
            <w:shd w:val="clear" w:color="000000" w:fill="FFFFFF"/>
            <w:noWrap/>
            <w:vAlign w:val="bottom"/>
            <w:hideMark/>
          </w:tcPr>
          <w:p w:rsidR="00307F52" w:rsidRPr="003E6BBA" w:rsidRDefault="00307F52" w:rsidP="00C1760E">
            <w:pPr>
              <w:keepNext/>
              <w:tabs>
                <w:tab w:val="clear" w:pos="567"/>
              </w:tabs>
              <w:spacing w:after="0" w:line="240" w:lineRule="auto"/>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Emergency</w:t>
            </w:r>
          </w:p>
        </w:tc>
        <w:tc>
          <w:tcPr>
            <w:tcW w:w="2120" w:type="dxa"/>
            <w:tcBorders>
              <w:top w:val="nil"/>
              <w:left w:val="nil"/>
              <w:bottom w:val="nil"/>
              <w:right w:val="nil"/>
            </w:tcBorders>
            <w:shd w:val="clear" w:color="auto" w:fill="auto"/>
            <w:noWrap/>
            <w:vAlign w:val="bottom"/>
            <w:hideMark/>
          </w:tcPr>
          <w:p w:rsidR="00307F52" w:rsidRPr="003E6BBA" w:rsidRDefault="00307F52" w:rsidP="00C1760E">
            <w:pPr>
              <w:keepNext/>
              <w:tabs>
                <w:tab w:val="clear" w:pos="567"/>
              </w:tabs>
              <w:spacing w:after="0" w:line="240" w:lineRule="auto"/>
              <w:rPr>
                <w:rFonts w:ascii="Calibri" w:eastAsia="Times New Roman" w:hAnsi="Calibri" w:cs="Times New Roman"/>
                <w:color w:val="000000"/>
                <w:sz w:val="20"/>
                <w:szCs w:val="20"/>
                <w:lang w:eastAsia="en-AU"/>
              </w:rPr>
            </w:pPr>
          </w:p>
        </w:tc>
        <w:tc>
          <w:tcPr>
            <w:tcW w:w="2120" w:type="dxa"/>
            <w:tcBorders>
              <w:top w:val="nil"/>
              <w:left w:val="nil"/>
              <w:bottom w:val="nil"/>
              <w:right w:val="nil"/>
            </w:tcBorders>
            <w:shd w:val="clear" w:color="auto" w:fill="auto"/>
            <w:noWrap/>
            <w:vAlign w:val="bottom"/>
            <w:hideMark/>
          </w:tcPr>
          <w:p w:rsidR="00307F52" w:rsidRPr="003E6BBA" w:rsidRDefault="00307F52" w:rsidP="00C1760E">
            <w:pPr>
              <w:keepNext/>
              <w:tabs>
                <w:tab w:val="clear" w:pos="567"/>
              </w:tabs>
              <w:spacing w:after="0" w:line="240" w:lineRule="auto"/>
              <w:rPr>
                <w:rFonts w:ascii="Calibri" w:eastAsia="Times New Roman" w:hAnsi="Calibri" w:cs="Times New Roman"/>
                <w:color w:val="000000"/>
                <w:sz w:val="20"/>
                <w:szCs w:val="20"/>
                <w:lang w:eastAsia="en-AU"/>
              </w:rPr>
            </w:pPr>
          </w:p>
        </w:tc>
        <w:tc>
          <w:tcPr>
            <w:tcW w:w="2120" w:type="dxa"/>
            <w:tcBorders>
              <w:top w:val="nil"/>
              <w:left w:val="nil"/>
              <w:bottom w:val="nil"/>
              <w:right w:val="nil"/>
            </w:tcBorders>
            <w:shd w:val="clear" w:color="auto" w:fill="auto"/>
            <w:noWrap/>
            <w:vAlign w:val="bottom"/>
            <w:hideMark/>
          </w:tcPr>
          <w:p w:rsidR="00307F52" w:rsidRPr="003E6BBA" w:rsidRDefault="00307F52" w:rsidP="00C1760E">
            <w:pPr>
              <w:keepNext/>
              <w:tabs>
                <w:tab w:val="clear" w:pos="567"/>
              </w:tabs>
              <w:spacing w:after="0" w:line="240" w:lineRule="auto"/>
              <w:rPr>
                <w:rFonts w:ascii="Calibri" w:eastAsia="Times New Roman" w:hAnsi="Calibri" w:cs="Times New Roman"/>
                <w:color w:val="000000"/>
                <w:sz w:val="20"/>
                <w:szCs w:val="20"/>
                <w:lang w:eastAsia="en-AU"/>
              </w:rPr>
            </w:pPr>
          </w:p>
        </w:tc>
      </w:tr>
      <w:tr w:rsidR="00307F52" w:rsidRPr="003E6BBA" w:rsidTr="00C1760E">
        <w:trPr>
          <w:trHeight w:val="315"/>
        </w:trPr>
        <w:tc>
          <w:tcPr>
            <w:tcW w:w="2600" w:type="dxa"/>
            <w:tcBorders>
              <w:top w:val="nil"/>
              <w:left w:val="nil"/>
              <w:bottom w:val="nil"/>
              <w:right w:val="nil"/>
            </w:tcBorders>
            <w:shd w:val="clear" w:color="000000" w:fill="FFFFFF"/>
            <w:noWrap/>
            <w:vAlign w:val="bottom"/>
            <w:hideMark/>
          </w:tcPr>
          <w:p w:rsidR="00307F52" w:rsidRPr="003E6BBA" w:rsidRDefault="00307F52" w:rsidP="00C1760E">
            <w:pPr>
              <w:keepNext/>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Surgical</w:t>
            </w:r>
          </w:p>
        </w:tc>
        <w:tc>
          <w:tcPr>
            <w:tcW w:w="2120" w:type="dxa"/>
            <w:tcBorders>
              <w:top w:val="nil"/>
              <w:left w:val="nil"/>
              <w:bottom w:val="nil"/>
              <w:right w:val="nil"/>
            </w:tcBorders>
            <w:shd w:val="clear" w:color="auto" w:fill="auto"/>
            <w:noWrap/>
            <w:vAlign w:val="bottom"/>
            <w:hideMark/>
          </w:tcPr>
          <w:p w:rsidR="00307F52" w:rsidRPr="003E6BBA" w:rsidRDefault="00307F52"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21 741</w:t>
            </w:r>
          </w:p>
        </w:tc>
        <w:tc>
          <w:tcPr>
            <w:tcW w:w="2120" w:type="dxa"/>
            <w:tcBorders>
              <w:top w:val="nil"/>
              <w:left w:val="nil"/>
              <w:bottom w:val="nil"/>
              <w:right w:val="nil"/>
            </w:tcBorders>
            <w:shd w:val="clear" w:color="auto" w:fill="auto"/>
            <w:noWrap/>
            <w:vAlign w:val="bottom"/>
            <w:hideMark/>
          </w:tcPr>
          <w:p w:rsidR="00307F52" w:rsidRPr="003E6BBA" w:rsidRDefault="00307F52"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4 970</w:t>
            </w:r>
          </w:p>
        </w:tc>
        <w:tc>
          <w:tcPr>
            <w:tcW w:w="2120" w:type="dxa"/>
            <w:tcBorders>
              <w:top w:val="nil"/>
              <w:left w:val="nil"/>
              <w:bottom w:val="nil"/>
              <w:right w:val="nil"/>
            </w:tcBorders>
            <w:shd w:val="clear" w:color="auto" w:fill="auto"/>
            <w:noWrap/>
            <w:vAlign w:val="bottom"/>
            <w:hideMark/>
          </w:tcPr>
          <w:p w:rsidR="00307F52" w:rsidRPr="003E6BBA" w:rsidRDefault="00307F52"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19</w:t>
            </w:r>
          </w:p>
        </w:tc>
      </w:tr>
      <w:tr w:rsidR="00307F52" w:rsidRPr="003E6BBA" w:rsidTr="00C1760E">
        <w:trPr>
          <w:trHeight w:val="315"/>
        </w:trPr>
        <w:tc>
          <w:tcPr>
            <w:tcW w:w="2600" w:type="dxa"/>
            <w:tcBorders>
              <w:top w:val="nil"/>
              <w:left w:val="nil"/>
              <w:bottom w:val="nil"/>
              <w:right w:val="nil"/>
            </w:tcBorders>
            <w:shd w:val="clear" w:color="000000" w:fill="FFFFFF"/>
            <w:noWrap/>
            <w:vAlign w:val="bottom"/>
            <w:hideMark/>
          </w:tcPr>
          <w:p w:rsidR="00307F52" w:rsidRPr="003E6BBA" w:rsidRDefault="00307F52" w:rsidP="00C1760E">
            <w:pPr>
              <w:keepNext/>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Medical </w:t>
            </w:r>
          </w:p>
        </w:tc>
        <w:tc>
          <w:tcPr>
            <w:tcW w:w="2120" w:type="dxa"/>
            <w:tcBorders>
              <w:top w:val="nil"/>
              <w:left w:val="nil"/>
              <w:bottom w:val="single" w:sz="4" w:space="0" w:color="auto"/>
              <w:right w:val="nil"/>
            </w:tcBorders>
            <w:shd w:val="clear" w:color="auto" w:fill="auto"/>
            <w:noWrap/>
            <w:vAlign w:val="bottom"/>
            <w:hideMark/>
          </w:tcPr>
          <w:p w:rsidR="00307F52" w:rsidRPr="003E6BBA" w:rsidRDefault="00307F52"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512 218</w:t>
            </w:r>
          </w:p>
        </w:tc>
        <w:tc>
          <w:tcPr>
            <w:tcW w:w="2120" w:type="dxa"/>
            <w:tcBorders>
              <w:top w:val="nil"/>
              <w:left w:val="nil"/>
              <w:bottom w:val="single" w:sz="4" w:space="0" w:color="auto"/>
              <w:right w:val="nil"/>
            </w:tcBorders>
            <w:shd w:val="clear" w:color="auto" w:fill="auto"/>
            <w:noWrap/>
            <w:vAlign w:val="bottom"/>
            <w:hideMark/>
          </w:tcPr>
          <w:p w:rsidR="00307F52" w:rsidRPr="003E6BBA" w:rsidRDefault="00307F52"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10 930</w:t>
            </w:r>
          </w:p>
        </w:tc>
        <w:tc>
          <w:tcPr>
            <w:tcW w:w="2120" w:type="dxa"/>
            <w:tcBorders>
              <w:top w:val="nil"/>
              <w:left w:val="nil"/>
              <w:bottom w:val="single" w:sz="4" w:space="0" w:color="auto"/>
              <w:right w:val="nil"/>
            </w:tcBorders>
            <w:shd w:val="clear" w:color="auto" w:fill="auto"/>
            <w:noWrap/>
            <w:vAlign w:val="bottom"/>
            <w:hideMark/>
          </w:tcPr>
          <w:p w:rsidR="00307F52" w:rsidRPr="003E6BBA" w:rsidRDefault="00307F52"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w:t>
            </w:r>
          </w:p>
        </w:tc>
      </w:tr>
      <w:tr w:rsidR="00307F52" w:rsidRPr="003E6BBA" w:rsidTr="00C1760E">
        <w:trPr>
          <w:trHeight w:val="315"/>
        </w:trPr>
        <w:tc>
          <w:tcPr>
            <w:tcW w:w="2600" w:type="dxa"/>
            <w:tcBorders>
              <w:top w:val="nil"/>
              <w:left w:val="nil"/>
              <w:bottom w:val="nil"/>
              <w:right w:val="nil"/>
            </w:tcBorders>
            <w:shd w:val="clear" w:color="000000" w:fill="FFFFFF"/>
            <w:noWrap/>
            <w:vAlign w:val="bottom"/>
            <w:hideMark/>
          </w:tcPr>
          <w:p w:rsidR="00307F52" w:rsidRPr="003E6BBA" w:rsidRDefault="00307F52" w:rsidP="00C1760E">
            <w:pPr>
              <w:keepNext/>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Subtotal (a)</w:t>
            </w:r>
          </w:p>
        </w:tc>
        <w:tc>
          <w:tcPr>
            <w:tcW w:w="2120" w:type="dxa"/>
            <w:tcBorders>
              <w:top w:val="nil"/>
              <w:left w:val="nil"/>
              <w:bottom w:val="nil"/>
              <w:right w:val="nil"/>
            </w:tcBorders>
            <w:shd w:val="clear" w:color="auto" w:fill="auto"/>
            <w:noWrap/>
            <w:vAlign w:val="bottom"/>
            <w:hideMark/>
          </w:tcPr>
          <w:p w:rsidR="00307F52" w:rsidRPr="003E6BBA" w:rsidRDefault="00307F52"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539 018</w:t>
            </w:r>
          </w:p>
        </w:tc>
        <w:tc>
          <w:tcPr>
            <w:tcW w:w="2120" w:type="dxa"/>
            <w:tcBorders>
              <w:top w:val="nil"/>
              <w:left w:val="nil"/>
              <w:bottom w:val="nil"/>
              <w:right w:val="nil"/>
            </w:tcBorders>
            <w:shd w:val="clear" w:color="auto" w:fill="auto"/>
            <w:noWrap/>
            <w:vAlign w:val="bottom"/>
            <w:hideMark/>
          </w:tcPr>
          <w:p w:rsidR="00307F52" w:rsidRPr="003E6BBA" w:rsidRDefault="00307F52"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19 698</w:t>
            </w:r>
          </w:p>
        </w:tc>
        <w:tc>
          <w:tcPr>
            <w:tcW w:w="2120" w:type="dxa"/>
            <w:tcBorders>
              <w:top w:val="nil"/>
              <w:left w:val="nil"/>
              <w:bottom w:val="nil"/>
              <w:right w:val="nil"/>
            </w:tcBorders>
            <w:shd w:val="clear" w:color="auto" w:fill="auto"/>
            <w:noWrap/>
            <w:vAlign w:val="bottom"/>
            <w:hideMark/>
          </w:tcPr>
          <w:p w:rsidR="00307F52" w:rsidRPr="003E6BBA" w:rsidRDefault="00307F52"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4</w:t>
            </w:r>
          </w:p>
        </w:tc>
      </w:tr>
      <w:tr w:rsidR="00307F52" w:rsidRPr="003E6BBA" w:rsidTr="00C1760E">
        <w:trPr>
          <w:trHeight w:val="255"/>
        </w:trPr>
        <w:tc>
          <w:tcPr>
            <w:tcW w:w="2600" w:type="dxa"/>
            <w:tcBorders>
              <w:top w:val="nil"/>
              <w:left w:val="nil"/>
              <w:bottom w:val="nil"/>
              <w:right w:val="nil"/>
            </w:tcBorders>
            <w:shd w:val="clear" w:color="000000" w:fill="FFFFFF"/>
            <w:noWrap/>
            <w:vAlign w:val="bottom"/>
            <w:hideMark/>
          </w:tcPr>
          <w:p w:rsidR="00307F52" w:rsidRPr="003E6BBA" w:rsidRDefault="00307F52" w:rsidP="00C1760E">
            <w:pPr>
              <w:keepNext/>
              <w:tabs>
                <w:tab w:val="clear" w:pos="567"/>
              </w:tabs>
              <w:spacing w:after="0" w:line="240" w:lineRule="auto"/>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Non-emergency</w:t>
            </w:r>
          </w:p>
        </w:tc>
        <w:tc>
          <w:tcPr>
            <w:tcW w:w="2120" w:type="dxa"/>
            <w:tcBorders>
              <w:top w:val="nil"/>
              <w:left w:val="nil"/>
              <w:bottom w:val="nil"/>
              <w:right w:val="nil"/>
            </w:tcBorders>
            <w:shd w:val="clear" w:color="auto" w:fill="auto"/>
            <w:noWrap/>
            <w:vAlign w:val="bottom"/>
            <w:hideMark/>
          </w:tcPr>
          <w:p w:rsidR="00307F52" w:rsidRPr="003E6BBA" w:rsidRDefault="00307F52" w:rsidP="00C1760E">
            <w:pPr>
              <w:keepNext/>
              <w:tabs>
                <w:tab w:val="clear" w:pos="567"/>
              </w:tabs>
              <w:spacing w:after="0" w:line="240" w:lineRule="auto"/>
              <w:rPr>
                <w:rFonts w:ascii="Calibri" w:eastAsia="Times New Roman" w:hAnsi="Calibri" w:cs="Times New Roman"/>
                <w:color w:val="000000"/>
                <w:sz w:val="20"/>
                <w:szCs w:val="20"/>
                <w:lang w:eastAsia="en-AU"/>
              </w:rPr>
            </w:pPr>
          </w:p>
        </w:tc>
        <w:tc>
          <w:tcPr>
            <w:tcW w:w="2120" w:type="dxa"/>
            <w:tcBorders>
              <w:top w:val="nil"/>
              <w:left w:val="nil"/>
              <w:bottom w:val="nil"/>
              <w:right w:val="nil"/>
            </w:tcBorders>
            <w:shd w:val="clear" w:color="auto" w:fill="auto"/>
            <w:noWrap/>
            <w:vAlign w:val="bottom"/>
            <w:hideMark/>
          </w:tcPr>
          <w:p w:rsidR="00307F52" w:rsidRPr="003E6BBA" w:rsidRDefault="00307F52" w:rsidP="00C1760E">
            <w:pPr>
              <w:keepNext/>
              <w:tabs>
                <w:tab w:val="clear" w:pos="567"/>
              </w:tabs>
              <w:spacing w:after="0" w:line="240" w:lineRule="auto"/>
              <w:rPr>
                <w:rFonts w:ascii="Calibri" w:eastAsia="Times New Roman" w:hAnsi="Calibri" w:cs="Times New Roman"/>
                <w:color w:val="000000"/>
                <w:sz w:val="20"/>
                <w:szCs w:val="20"/>
                <w:lang w:eastAsia="en-AU"/>
              </w:rPr>
            </w:pPr>
          </w:p>
        </w:tc>
        <w:tc>
          <w:tcPr>
            <w:tcW w:w="2120" w:type="dxa"/>
            <w:tcBorders>
              <w:top w:val="nil"/>
              <w:left w:val="nil"/>
              <w:bottom w:val="nil"/>
              <w:right w:val="nil"/>
            </w:tcBorders>
            <w:shd w:val="clear" w:color="auto" w:fill="auto"/>
            <w:noWrap/>
            <w:vAlign w:val="bottom"/>
            <w:hideMark/>
          </w:tcPr>
          <w:p w:rsidR="00307F52" w:rsidRPr="003E6BBA" w:rsidRDefault="00307F52" w:rsidP="00C1760E">
            <w:pPr>
              <w:keepNext/>
              <w:tabs>
                <w:tab w:val="clear" w:pos="567"/>
              </w:tabs>
              <w:spacing w:after="0" w:line="240" w:lineRule="auto"/>
              <w:rPr>
                <w:rFonts w:ascii="Calibri" w:eastAsia="Times New Roman" w:hAnsi="Calibri" w:cs="Times New Roman"/>
                <w:color w:val="000000"/>
                <w:sz w:val="20"/>
                <w:szCs w:val="20"/>
                <w:lang w:eastAsia="en-AU"/>
              </w:rPr>
            </w:pPr>
          </w:p>
        </w:tc>
      </w:tr>
      <w:tr w:rsidR="00307F52" w:rsidRPr="003E6BBA" w:rsidTr="00C1760E">
        <w:trPr>
          <w:trHeight w:val="315"/>
        </w:trPr>
        <w:tc>
          <w:tcPr>
            <w:tcW w:w="2600" w:type="dxa"/>
            <w:tcBorders>
              <w:top w:val="nil"/>
              <w:left w:val="nil"/>
              <w:bottom w:val="nil"/>
              <w:right w:val="nil"/>
            </w:tcBorders>
            <w:shd w:val="clear" w:color="000000" w:fill="FFFFFF"/>
            <w:noWrap/>
            <w:vAlign w:val="bottom"/>
            <w:hideMark/>
          </w:tcPr>
          <w:p w:rsidR="00307F52" w:rsidRPr="003E6BBA" w:rsidRDefault="00307F52" w:rsidP="00C1760E">
            <w:pPr>
              <w:keepNext/>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Surgical </w:t>
            </w:r>
          </w:p>
        </w:tc>
        <w:tc>
          <w:tcPr>
            <w:tcW w:w="2120" w:type="dxa"/>
            <w:tcBorders>
              <w:top w:val="nil"/>
              <w:left w:val="nil"/>
              <w:bottom w:val="nil"/>
              <w:right w:val="nil"/>
            </w:tcBorders>
            <w:shd w:val="clear" w:color="auto" w:fill="auto"/>
            <w:noWrap/>
            <w:vAlign w:val="bottom"/>
            <w:hideMark/>
          </w:tcPr>
          <w:p w:rsidR="00307F52" w:rsidRPr="003E6BBA" w:rsidRDefault="00307F52"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362 808</w:t>
            </w:r>
          </w:p>
        </w:tc>
        <w:tc>
          <w:tcPr>
            <w:tcW w:w="2120" w:type="dxa"/>
            <w:tcBorders>
              <w:top w:val="nil"/>
              <w:left w:val="nil"/>
              <w:bottom w:val="nil"/>
              <w:right w:val="nil"/>
            </w:tcBorders>
            <w:shd w:val="clear" w:color="auto" w:fill="auto"/>
            <w:noWrap/>
            <w:vAlign w:val="bottom"/>
            <w:hideMark/>
          </w:tcPr>
          <w:p w:rsidR="00307F52" w:rsidRPr="003E6BBA" w:rsidRDefault="00307F52"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813 045</w:t>
            </w:r>
          </w:p>
        </w:tc>
        <w:tc>
          <w:tcPr>
            <w:tcW w:w="2120" w:type="dxa"/>
            <w:tcBorders>
              <w:top w:val="nil"/>
              <w:left w:val="nil"/>
              <w:bottom w:val="nil"/>
              <w:right w:val="nil"/>
            </w:tcBorders>
            <w:shd w:val="clear" w:color="auto" w:fill="auto"/>
            <w:noWrap/>
            <w:vAlign w:val="bottom"/>
            <w:hideMark/>
          </w:tcPr>
          <w:p w:rsidR="00307F52" w:rsidRPr="003E6BBA" w:rsidRDefault="00307F52"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69</w:t>
            </w:r>
          </w:p>
        </w:tc>
      </w:tr>
      <w:tr w:rsidR="00307F52" w:rsidRPr="003E6BBA" w:rsidTr="00C1760E">
        <w:trPr>
          <w:trHeight w:val="315"/>
        </w:trPr>
        <w:tc>
          <w:tcPr>
            <w:tcW w:w="2600" w:type="dxa"/>
            <w:tcBorders>
              <w:top w:val="nil"/>
              <w:left w:val="nil"/>
              <w:bottom w:val="nil"/>
              <w:right w:val="nil"/>
            </w:tcBorders>
            <w:shd w:val="clear" w:color="000000" w:fill="FFFFFF"/>
            <w:noWrap/>
            <w:vAlign w:val="bottom"/>
            <w:hideMark/>
          </w:tcPr>
          <w:p w:rsidR="00307F52" w:rsidRPr="003E6BBA" w:rsidRDefault="00307F52" w:rsidP="00C1760E">
            <w:pPr>
              <w:keepNext/>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Medical</w:t>
            </w:r>
          </w:p>
        </w:tc>
        <w:tc>
          <w:tcPr>
            <w:tcW w:w="2120" w:type="dxa"/>
            <w:tcBorders>
              <w:top w:val="nil"/>
              <w:left w:val="nil"/>
              <w:bottom w:val="single" w:sz="4" w:space="0" w:color="auto"/>
              <w:right w:val="nil"/>
            </w:tcBorders>
            <w:shd w:val="clear" w:color="auto" w:fill="auto"/>
            <w:noWrap/>
            <w:vAlign w:val="bottom"/>
            <w:hideMark/>
          </w:tcPr>
          <w:p w:rsidR="00307F52" w:rsidRPr="003E6BBA" w:rsidRDefault="00307F52"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1 604 711</w:t>
            </w:r>
          </w:p>
        </w:tc>
        <w:tc>
          <w:tcPr>
            <w:tcW w:w="2120" w:type="dxa"/>
            <w:tcBorders>
              <w:top w:val="nil"/>
              <w:left w:val="nil"/>
              <w:bottom w:val="single" w:sz="4" w:space="0" w:color="auto"/>
              <w:right w:val="nil"/>
            </w:tcBorders>
            <w:shd w:val="clear" w:color="auto" w:fill="auto"/>
            <w:noWrap/>
            <w:vAlign w:val="bottom"/>
            <w:hideMark/>
          </w:tcPr>
          <w:p w:rsidR="00307F52" w:rsidRPr="003E6BBA" w:rsidRDefault="00307F52"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990 712</w:t>
            </w:r>
          </w:p>
        </w:tc>
        <w:tc>
          <w:tcPr>
            <w:tcW w:w="2120" w:type="dxa"/>
            <w:tcBorders>
              <w:top w:val="nil"/>
              <w:left w:val="nil"/>
              <w:bottom w:val="single" w:sz="4" w:space="0" w:color="auto"/>
              <w:right w:val="nil"/>
            </w:tcBorders>
            <w:shd w:val="clear" w:color="auto" w:fill="auto"/>
            <w:noWrap/>
            <w:vAlign w:val="bottom"/>
            <w:hideMark/>
          </w:tcPr>
          <w:p w:rsidR="00307F52" w:rsidRPr="003E6BBA" w:rsidRDefault="00307F52"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38</w:t>
            </w:r>
          </w:p>
        </w:tc>
      </w:tr>
      <w:tr w:rsidR="00307F52" w:rsidRPr="003E6BBA" w:rsidTr="00C1760E">
        <w:trPr>
          <w:trHeight w:val="315"/>
        </w:trPr>
        <w:tc>
          <w:tcPr>
            <w:tcW w:w="2600" w:type="dxa"/>
            <w:tcBorders>
              <w:top w:val="nil"/>
              <w:left w:val="nil"/>
              <w:bottom w:val="nil"/>
              <w:right w:val="nil"/>
            </w:tcBorders>
            <w:shd w:val="clear" w:color="000000" w:fill="FFFFFF"/>
            <w:noWrap/>
            <w:vAlign w:val="bottom"/>
            <w:hideMark/>
          </w:tcPr>
          <w:p w:rsidR="00307F52" w:rsidRPr="003E6BBA" w:rsidRDefault="00307F52" w:rsidP="00C1760E">
            <w:pPr>
              <w:keepNext/>
              <w:tabs>
                <w:tab w:val="clear" w:pos="567"/>
              </w:tabs>
              <w:spacing w:after="0" w:line="240" w:lineRule="auto"/>
              <w:ind w:firstLineChars="100" w:firstLine="200"/>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Subtotal (a)</w:t>
            </w:r>
          </w:p>
        </w:tc>
        <w:tc>
          <w:tcPr>
            <w:tcW w:w="2120" w:type="dxa"/>
            <w:tcBorders>
              <w:top w:val="single" w:sz="4" w:space="0" w:color="auto"/>
              <w:left w:val="nil"/>
              <w:bottom w:val="single" w:sz="4" w:space="0" w:color="auto"/>
              <w:right w:val="nil"/>
            </w:tcBorders>
            <w:shd w:val="clear" w:color="auto" w:fill="auto"/>
            <w:noWrap/>
            <w:vAlign w:val="bottom"/>
            <w:hideMark/>
          </w:tcPr>
          <w:p w:rsidR="00307F52" w:rsidRPr="003E6BBA" w:rsidRDefault="00307F52"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2 220 114</w:t>
            </w:r>
          </w:p>
        </w:tc>
        <w:tc>
          <w:tcPr>
            <w:tcW w:w="2120" w:type="dxa"/>
            <w:tcBorders>
              <w:top w:val="single" w:sz="4" w:space="0" w:color="auto"/>
              <w:left w:val="nil"/>
              <w:bottom w:val="single" w:sz="4" w:space="0" w:color="auto"/>
              <w:right w:val="nil"/>
            </w:tcBorders>
            <w:shd w:val="clear" w:color="auto" w:fill="auto"/>
            <w:noWrap/>
            <w:vAlign w:val="bottom"/>
            <w:hideMark/>
          </w:tcPr>
          <w:p w:rsidR="00307F52" w:rsidRPr="003E6BBA" w:rsidRDefault="00307F52"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2 516 930</w:t>
            </w:r>
          </w:p>
        </w:tc>
        <w:tc>
          <w:tcPr>
            <w:tcW w:w="2120" w:type="dxa"/>
            <w:tcBorders>
              <w:top w:val="single" w:sz="4" w:space="0" w:color="auto"/>
              <w:left w:val="nil"/>
              <w:bottom w:val="single" w:sz="4" w:space="0" w:color="auto"/>
              <w:right w:val="nil"/>
            </w:tcBorders>
            <w:shd w:val="clear" w:color="auto" w:fill="auto"/>
            <w:noWrap/>
            <w:vAlign w:val="bottom"/>
            <w:hideMark/>
          </w:tcPr>
          <w:p w:rsidR="00307F52" w:rsidRPr="003E6BBA" w:rsidRDefault="00307F52"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53</w:t>
            </w:r>
          </w:p>
        </w:tc>
      </w:tr>
      <w:tr w:rsidR="00307F52" w:rsidRPr="003E6BBA" w:rsidTr="00C1760E">
        <w:trPr>
          <w:trHeight w:val="315"/>
        </w:trPr>
        <w:tc>
          <w:tcPr>
            <w:tcW w:w="2600" w:type="dxa"/>
            <w:tcBorders>
              <w:top w:val="nil"/>
              <w:left w:val="nil"/>
              <w:bottom w:val="single" w:sz="4" w:space="0" w:color="auto"/>
              <w:right w:val="nil"/>
            </w:tcBorders>
            <w:shd w:val="clear" w:color="000000" w:fill="FFFFFF"/>
            <w:noWrap/>
            <w:vAlign w:val="bottom"/>
            <w:hideMark/>
          </w:tcPr>
          <w:p w:rsidR="00307F52" w:rsidRPr="003E6BBA" w:rsidRDefault="00307F52" w:rsidP="00C1760E">
            <w:pPr>
              <w:keepNext/>
              <w:tabs>
                <w:tab w:val="clear" w:pos="567"/>
              </w:tabs>
              <w:spacing w:after="0" w:line="240" w:lineRule="auto"/>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Total</w:t>
            </w:r>
          </w:p>
        </w:tc>
        <w:tc>
          <w:tcPr>
            <w:tcW w:w="2120" w:type="dxa"/>
            <w:tcBorders>
              <w:top w:val="single" w:sz="4" w:space="0" w:color="auto"/>
              <w:left w:val="nil"/>
              <w:bottom w:val="single" w:sz="4" w:space="0" w:color="auto"/>
              <w:right w:val="nil"/>
            </w:tcBorders>
            <w:shd w:val="clear" w:color="auto" w:fill="auto"/>
            <w:noWrap/>
            <w:vAlign w:val="bottom"/>
            <w:hideMark/>
          </w:tcPr>
          <w:p w:rsidR="00307F52" w:rsidRPr="003E6BBA" w:rsidRDefault="00307F52"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2 759 132</w:t>
            </w:r>
          </w:p>
        </w:tc>
        <w:tc>
          <w:tcPr>
            <w:tcW w:w="2120" w:type="dxa"/>
            <w:tcBorders>
              <w:top w:val="single" w:sz="4" w:space="0" w:color="auto"/>
              <w:left w:val="nil"/>
              <w:bottom w:val="single" w:sz="4" w:space="0" w:color="auto"/>
              <w:right w:val="nil"/>
            </w:tcBorders>
            <w:shd w:val="clear" w:color="auto" w:fill="auto"/>
            <w:noWrap/>
            <w:vAlign w:val="bottom"/>
            <w:hideMark/>
          </w:tcPr>
          <w:p w:rsidR="00307F52" w:rsidRPr="003E6BBA" w:rsidRDefault="00307F52"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2 536 628</w:t>
            </w:r>
          </w:p>
        </w:tc>
        <w:tc>
          <w:tcPr>
            <w:tcW w:w="2120" w:type="dxa"/>
            <w:tcBorders>
              <w:top w:val="single" w:sz="4" w:space="0" w:color="auto"/>
              <w:left w:val="nil"/>
              <w:bottom w:val="single" w:sz="4" w:space="0" w:color="auto"/>
              <w:right w:val="nil"/>
            </w:tcBorders>
            <w:shd w:val="clear" w:color="auto" w:fill="auto"/>
            <w:noWrap/>
            <w:vAlign w:val="bottom"/>
            <w:hideMark/>
          </w:tcPr>
          <w:p w:rsidR="00307F52" w:rsidRPr="003E6BBA" w:rsidRDefault="00307F52"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48</w:t>
            </w:r>
          </w:p>
        </w:tc>
      </w:tr>
    </w:tbl>
    <w:p w:rsidR="00307F52" w:rsidRPr="003E6BBA" w:rsidRDefault="00307F52" w:rsidP="00307F52">
      <w:pPr>
        <w:pStyle w:val="CGCTableFootnote"/>
        <w:keepNext/>
      </w:pPr>
      <w:r w:rsidRPr="003E6BBA">
        <w:t>(a)</w:t>
      </w:r>
      <w:r w:rsidRPr="003E6BBA">
        <w:tab/>
        <w:t xml:space="preserve">Subtotals </w:t>
      </w:r>
      <w:r w:rsidR="00817CCF" w:rsidRPr="003E6BBA">
        <w:t>include</w:t>
      </w:r>
      <w:r w:rsidRPr="003E6BBA">
        <w:t xml:space="preserve"> ‘Other’ broad category of service.</w:t>
      </w:r>
    </w:p>
    <w:p w:rsidR="00307F52" w:rsidRPr="003E6BBA" w:rsidRDefault="00307F52" w:rsidP="00307F52">
      <w:pPr>
        <w:pStyle w:val="CGCTableFootnote"/>
        <w:keepNext/>
      </w:pPr>
      <w:r w:rsidRPr="003E6BBA">
        <w:t>Source:</w:t>
      </w:r>
      <w:r w:rsidRPr="003E6BBA">
        <w:tab/>
        <w:t>AIHW, Australian hospital statistics 2012-13 Table S6.3 and S6.4.</w:t>
      </w:r>
    </w:p>
    <w:p w:rsidR="00307F52" w:rsidRPr="003E6BBA" w:rsidRDefault="00307F52" w:rsidP="00307F52">
      <w:pPr>
        <w:pStyle w:val="Heading5"/>
      </w:pPr>
      <w:r w:rsidRPr="003E6BBA">
        <w:t>Summary</w:t>
      </w:r>
    </w:p>
    <w:p w:rsidR="00307F52" w:rsidRPr="003E6BBA" w:rsidRDefault="00307F52" w:rsidP="00307F52">
      <w:pPr>
        <w:pStyle w:val="CGCNumberedPara"/>
      </w:pPr>
      <w:r w:rsidRPr="003E6BBA">
        <w:t>The analysis from the Productivity Commission show</w:t>
      </w:r>
      <w:r w:rsidR="001B5F83" w:rsidRPr="003E6BBA">
        <w:t>s</w:t>
      </w:r>
      <w:r w:rsidRPr="003E6BBA">
        <w:t xml:space="preserve"> that while there are differences in the provision of some admitted patient services (namely emergency-type procedures), there are similarities in other services. This suggests that there is a level of potentially substitutable admitted patient services, although more so for lower cost (same day) services. The question then is does the provision of these services in the private sector influence the level of similar services provided in the public sector? </w:t>
      </w:r>
    </w:p>
    <w:p w:rsidR="00307F52" w:rsidRPr="003E6BBA" w:rsidRDefault="00307F52" w:rsidP="00307F52">
      <w:pPr>
        <w:pStyle w:val="CGCNumberedPara"/>
      </w:pPr>
      <w:r w:rsidRPr="003E6BBA">
        <w:t>If we consider childbirth as an example, because the total number of births in any given period is fixed, the more births</w:t>
      </w:r>
      <w:r w:rsidRPr="003E6BBA">
        <w:rPr>
          <w:rStyle w:val="FootnoteReference"/>
        </w:rPr>
        <w:footnoteReference w:id="15"/>
      </w:r>
      <w:r w:rsidRPr="003E6BBA">
        <w:t xml:space="preserve"> in the private sector will have a direct impact on the number of births that are required in the public sector. These services would be regarded as perfectly substitutable. Similarly, same-day admitted patient services that could be considered non-emergency but endanger the patient’s life if not performed, such as renal dialysis and chemotherapy, could </w:t>
      </w:r>
      <w:r w:rsidR="00817CCF" w:rsidRPr="003E6BBA">
        <w:t xml:space="preserve">also </w:t>
      </w:r>
      <w:r w:rsidRPr="003E6BBA">
        <w:t>be considered as perfectly substitutable</w:t>
      </w:r>
      <w:r w:rsidR="00817CCF" w:rsidRPr="003E6BBA">
        <w:t xml:space="preserve"> (if they are not performed in the private sector then they must be performed in the public sector)</w:t>
      </w:r>
      <w:r w:rsidRPr="003E6BBA">
        <w:t>. These two AR-DRGs make up nearly 40% of all same-day separations in public hospitals (but not necessarily 40% of the costs considering these procedures are less costly than other AR-DRGs).</w:t>
      </w:r>
    </w:p>
    <w:p w:rsidR="00307F52" w:rsidRPr="003E6BBA" w:rsidRDefault="00307F52" w:rsidP="00307F52">
      <w:pPr>
        <w:pStyle w:val="CGCNumberedPara"/>
        <w:numPr>
          <w:ilvl w:val="1"/>
          <w:numId w:val="12"/>
        </w:numPr>
      </w:pPr>
      <w:r w:rsidRPr="003E6BBA">
        <w:t xml:space="preserve">Based on this information, staff believe there is a strong conceptual case that the level of some admitted patient services provided in private hospitals influences the number of similar services that need to be provided in public hospitals, that is, there is a level of substitutability between the two. </w:t>
      </w:r>
    </w:p>
    <w:p w:rsidR="00307F52" w:rsidRPr="003E6BBA" w:rsidRDefault="00307F52" w:rsidP="00307F52">
      <w:pPr>
        <w:pStyle w:val="CGCNumberedPara"/>
        <w:numPr>
          <w:ilvl w:val="1"/>
          <w:numId w:val="12"/>
        </w:numPr>
      </w:pPr>
      <w:r w:rsidRPr="003E6BBA">
        <w:t>As the influence of the economic environment in health is a material disability, this indicates that the disability should be recognised in the admitted patient</w:t>
      </w:r>
      <w:r w:rsidR="004D5DB2">
        <w:t xml:space="preserve"> service</w:t>
      </w:r>
      <w:r w:rsidRPr="003E6BBA">
        <w:t xml:space="preserve">s </w:t>
      </w:r>
      <w:r w:rsidRPr="003E6BBA">
        <w:lastRenderedPageBreak/>
        <w:t xml:space="preserve">component, regardless of the materiality of economic environment influences in this component alone. </w:t>
      </w:r>
    </w:p>
    <w:p w:rsidR="00307F52" w:rsidRPr="003E6BBA" w:rsidRDefault="00307F52" w:rsidP="00307F52">
      <w:pPr>
        <w:pStyle w:val="Heading4"/>
      </w:pPr>
      <w:bookmarkStart w:id="136" w:name="_Toc405559350"/>
      <w:bookmarkStart w:id="137" w:name="_Toc405559432"/>
      <w:bookmarkStart w:id="138" w:name="_Toc405559465"/>
      <w:bookmarkStart w:id="139" w:name="_Toc405559500"/>
      <w:bookmarkStart w:id="140" w:name="_Toc406659226"/>
      <w:r w:rsidRPr="003E6BBA">
        <w:t>Assessment method</w:t>
      </w:r>
      <w:bookmarkEnd w:id="136"/>
      <w:bookmarkEnd w:id="137"/>
      <w:bookmarkEnd w:id="138"/>
      <w:bookmarkEnd w:id="139"/>
      <w:bookmarkEnd w:id="140"/>
    </w:p>
    <w:p w:rsidR="00307F52" w:rsidRPr="003E6BBA" w:rsidRDefault="00307F52" w:rsidP="00307F52">
      <w:pPr>
        <w:pStyle w:val="CGCNumberedPara"/>
      </w:pPr>
      <w:r w:rsidRPr="003E6BBA">
        <w:t>Given improvements in the availability of data on private hospital service provision, staff consider that an assessment, based on a similar approach to the assessments made for the other health components</w:t>
      </w:r>
      <w:r w:rsidR="001213A8" w:rsidRPr="003E6BBA">
        <w:t>, is the best approach. We are proposing to slightly change the calculation method used in the draft report. This method is described in more detail at the end of this paper.</w:t>
      </w:r>
      <w:r w:rsidRPr="003E6BBA">
        <w:t xml:space="preserve"> </w:t>
      </w:r>
    </w:p>
    <w:p w:rsidR="00307F52" w:rsidRPr="003E6BBA" w:rsidRDefault="00307F52" w:rsidP="00307F52">
      <w:pPr>
        <w:pStyle w:val="Heading5"/>
      </w:pPr>
      <w:r w:rsidRPr="003E6BBA">
        <w:t>Level of substitutability</w:t>
      </w:r>
    </w:p>
    <w:p w:rsidR="00307F52" w:rsidRPr="003E6BBA" w:rsidRDefault="00307F52" w:rsidP="00307F52">
      <w:pPr>
        <w:pStyle w:val="CGCNumberedPara"/>
      </w:pPr>
      <w:r w:rsidRPr="003E6BBA">
        <w:t>Staff generally agree with the calculations of substitutability conducted by Downie and consider it a good starting point. He argues that because private hospitals tend not to provide emergency-type services (40%), then the majority of those services should not be regarded as substitutable.</w:t>
      </w:r>
    </w:p>
    <w:p w:rsidR="00307F52" w:rsidRPr="003E6BBA" w:rsidRDefault="00307F52" w:rsidP="00307F52">
      <w:pPr>
        <w:pStyle w:val="CGCNumberedPara"/>
      </w:pPr>
      <w:r w:rsidRPr="003E6BBA">
        <w:t>In addition, the national levels of private health insurance (47.2%) would also need to be taken into account. A person without private health insurance will rarely attend a private hospital (unless they are self-funded), regardless of the availability of private health services in their State.</w:t>
      </w:r>
    </w:p>
    <w:p w:rsidR="00307F52" w:rsidRPr="003E6BBA" w:rsidRDefault="00307F52" w:rsidP="00307F52">
      <w:pPr>
        <w:pStyle w:val="CGCNumberedPara"/>
      </w:pPr>
      <w:r w:rsidRPr="003E6BBA">
        <w:t>This gives us a potential level of substitutability of 28%. However, as Downie points out, there are examples of why this should be regarded as an upper estimate considering the following.</w:t>
      </w:r>
    </w:p>
    <w:p w:rsidR="00307F52" w:rsidRPr="003E6BBA" w:rsidRDefault="00307F52" w:rsidP="00307F52">
      <w:pPr>
        <w:pStyle w:val="CGCBulletlist"/>
      </w:pPr>
      <w:r w:rsidRPr="003E6BBA">
        <w:t>Gap payments are unaffordable for some – for some AR-DRGs, people with private health insurance still choose to be admitted to a public hospital because the additional cost, over and above the rebate from private health funds (the gap), is too great. Some people only have private health insurance to claim the Medicare rebate for tax purposes. This may be evident in the ACT where residents have the highest private health insurance rates of all States, yet have below average use of private hospital services.</w:t>
      </w:r>
    </w:p>
    <w:p w:rsidR="00307F52" w:rsidRPr="003E6BBA" w:rsidRDefault="00307F52" w:rsidP="00307F52">
      <w:pPr>
        <w:pStyle w:val="CGCBulletlist"/>
      </w:pPr>
      <w:r w:rsidRPr="003E6BBA">
        <w:t xml:space="preserve">Cosmetic-type surgery is regarded as non-emergency but should not be </w:t>
      </w:r>
      <w:r w:rsidR="00A855D4" w:rsidRPr="003E6BBA">
        <w:t>considered</w:t>
      </w:r>
      <w:r w:rsidRPr="003E6BBA">
        <w:t xml:space="preserve"> as substitutable because these procedures are predominantly provided in the private sector.</w:t>
      </w:r>
    </w:p>
    <w:p w:rsidR="00307F52" w:rsidRPr="003E6BBA" w:rsidRDefault="00307F52" w:rsidP="00307F52">
      <w:pPr>
        <w:pStyle w:val="CGCBulletlist"/>
      </w:pPr>
      <w:r w:rsidRPr="003E6BBA">
        <w:t>Some patients that will access a private facility interstate because there are lengthy waiting lists for private hospitals in their State or they cannot access a private specialist in their State. In this case, these procedures can’t be regarded as substitutable because they don’t impact on the public sector. Approximately 2% of all private hospital separations are from interstate patients.</w:t>
      </w:r>
    </w:p>
    <w:p w:rsidR="00307F52" w:rsidRPr="003E6BBA" w:rsidRDefault="00D22E61" w:rsidP="00307F52">
      <w:pPr>
        <w:pStyle w:val="CGCBulletlist"/>
      </w:pPr>
      <w:r w:rsidRPr="003E6BBA">
        <w:t>Some people consider that t</w:t>
      </w:r>
      <w:r w:rsidR="00307F52" w:rsidRPr="003E6BBA">
        <w:t>he</w:t>
      </w:r>
      <w:r w:rsidRPr="003E6BBA">
        <w:t xml:space="preserve"> quality</w:t>
      </w:r>
      <w:r w:rsidR="00307F52" w:rsidRPr="003E6BBA">
        <w:t xml:space="preserve"> of services provided in public hospitals</w:t>
      </w:r>
      <w:r w:rsidRPr="003E6BBA">
        <w:t xml:space="preserve"> in their State are</w:t>
      </w:r>
      <w:r w:rsidR="00307F52" w:rsidRPr="003E6BBA">
        <w:t xml:space="preserve"> at the same standard or not appreciably different, to that provided in private hospitals. If people get the same standard of service in the </w:t>
      </w:r>
      <w:r w:rsidR="00307F52" w:rsidRPr="003E6BBA">
        <w:lastRenderedPageBreak/>
        <w:t xml:space="preserve">public sector </w:t>
      </w:r>
      <w:r w:rsidRPr="003E6BBA">
        <w:t>(</w:t>
      </w:r>
      <w:r w:rsidR="00307F52" w:rsidRPr="003E6BBA">
        <w:t>with high quality doctors available</w:t>
      </w:r>
      <w:r w:rsidRPr="003E6BBA">
        <w:t>) as they would in the private sector</w:t>
      </w:r>
      <w:r w:rsidR="00307F52" w:rsidRPr="003E6BBA">
        <w:t>, then why go to a private hospital and potentially face out-of-pocket expenses</w:t>
      </w:r>
      <w:r w:rsidR="00394E06" w:rsidRPr="003E6BBA">
        <w:t>?</w:t>
      </w:r>
      <w:r w:rsidR="00307F52" w:rsidRPr="003E6BBA">
        <w:t xml:space="preserve"> This could be a policy choice of the State government to provide a standard of service that is above average.</w:t>
      </w:r>
    </w:p>
    <w:p w:rsidR="002C3EBA" w:rsidRPr="003E6BBA" w:rsidRDefault="00307F52" w:rsidP="00307F52">
      <w:pPr>
        <w:pStyle w:val="CGCBulletlist"/>
      </w:pPr>
      <w:r w:rsidRPr="003E6BBA">
        <w:t xml:space="preserve">Downie says that </w:t>
      </w:r>
      <w:r w:rsidR="002C3EBA" w:rsidRPr="003E6BBA">
        <w:t>‘</w:t>
      </w:r>
      <w:r w:rsidRPr="003E6BBA">
        <w:t>whilst State governments have the responsibility for licensing private hospitals in some jurisdictions, there appears to be no evidence to suggest that State government policies limit the expansion of the private sector in jurisdictions where there are lower numbers of private hospitals</w:t>
      </w:r>
      <w:r w:rsidR="002C3EBA" w:rsidRPr="003E6BBA">
        <w:t>’</w:t>
      </w:r>
      <w:r w:rsidRPr="003E6BBA">
        <w:t xml:space="preserve">. Staff are not entirely convinced of this </w:t>
      </w:r>
      <w:r w:rsidR="00D22E61" w:rsidRPr="003E6BBA">
        <w:t>argument</w:t>
      </w:r>
      <w:r w:rsidR="002C3EBA" w:rsidRPr="003E6BBA">
        <w:t xml:space="preserve">. While not necessarily targeted at private hospitals, </w:t>
      </w:r>
      <w:r w:rsidR="00792D1E" w:rsidRPr="003E6BBA">
        <w:t xml:space="preserve">there </w:t>
      </w:r>
      <w:r w:rsidR="006910BA" w:rsidRPr="003E6BBA">
        <w:t>may be</w:t>
      </w:r>
      <w:r w:rsidR="00792D1E" w:rsidRPr="003E6BBA">
        <w:t xml:space="preserve"> planning </w:t>
      </w:r>
      <w:r w:rsidR="002C3EBA" w:rsidRPr="003E6BBA">
        <w:t>restrictions</w:t>
      </w:r>
      <w:r w:rsidR="00792D1E" w:rsidRPr="003E6BBA">
        <w:t xml:space="preserve"> (at the State government and/or local government level) that </w:t>
      </w:r>
      <w:r w:rsidR="006910BA" w:rsidRPr="003E6BBA">
        <w:t>could</w:t>
      </w:r>
      <w:r w:rsidR="00792D1E" w:rsidRPr="003E6BBA">
        <w:t xml:space="preserve"> limit the expansion or availability of private facilities in some States. </w:t>
      </w:r>
      <w:r w:rsidRPr="003E6BBA">
        <w:t>However, we are not sure whether the impact is materially different for each State.</w:t>
      </w:r>
    </w:p>
    <w:p w:rsidR="00307F52" w:rsidRPr="003E6BBA" w:rsidRDefault="002C3EBA" w:rsidP="00307F52">
      <w:pPr>
        <w:pStyle w:val="CGCBulletlist"/>
      </w:pPr>
      <w:r w:rsidRPr="003E6BBA">
        <w:t>There is also a disparity at the State level of private patients treated in public hospitals. In some States, instead of setting up private hospitals in certain locations, States offer visiting medical officers (VMOs) incentives to see private patients in public hospitals.</w:t>
      </w:r>
    </w:p>
    <w:p w:rsidR="00792D1E" w:rsidRPr="003E6BBA" w:rsidRDefault="00792D1E" w:rsidP="00307F52">
      <w:pPr>
        <w:pStyle w:val="CGCBulletlist"/>
      </w:pPr>
      <w:r w:rsidRPr="003E6BBA">
        <w:t>Non-emergency type procedures would be less costly than the emergency procedures.</w:t>
      </w:r>
      <w:r w:rsidR="00A54EE6" w:rsidRPr="003E6BBA">
        <w:t xml:space="preserve"> Further, same-day procedures are less costly than overnight procedures.</w:t>
      </w:r>
    </w:p>
    <w:p w:rsidR="00792D1E" w:rsidRPr="003E6BBA" w:rsidRDefault="00307F52" w:rsidP="00307F52">
      <w:pPr>
        <w:pStyle w:val="CGCNumberedPara"/>
      </w:pPr>
      <w:r w:rsidRPr="003E6BBA">
        <w:t xml:space="preserve">As such, we agree that the 28% of potentially substitutable services </w:t>
      </w:r>
      <w:r w:rsidR="00842AFE" w:rsidRPr="003E6BBA">
        <w:t>represents</w:t>
      </w:r>
      <w:r w:rsidRPr="003E6BBA">
        <w:t xml:space="preserve"> an upper </w:t>
      </w:r>
      <w:r w:rsidR="00842AFE" w:rsidRPr="003E6BBA">
        <w:t>limit</w:t>
      </w:r>
      <w:r w:rsidRPr="003E6BBA">
        <w:t xml:space="preserve"> and estimate that the true figure </w:t>
      </w:r>
      <w:r w:rsidR="00842AFE" w:rsidRPr="003E6BBA">
        <w:t>w</w:t>
      </w:r>
      <w:r w:rsidRPr="003E6BBA">
        <w:t>ould probably be between 10-20%.</w:t>
      </w:r>
    </w:p>
    <w:p w:rsidR="00A54EE6" w:rsidRPr="003E6BBA" w:rsidRDefault="00A54EE6" w:rsidP="00A54EE6">
      <w:pPr>
        <w:pStyle w:val="CGCNumberedPara"/>
      </w:pPr>
      <w:r w:rsidRPr="003E6BBA">
        <w:t>As an aside, as mentioned in the community health discussion, Tasmania contends that substitutability increases as the complexity of care decreases. Admitted patient care is the highest complexity (lowest substitutability), ED and outpatient care is moderately complex and community health care is the least complex (highest substitutability).</w:t>
      </w:r>
    </w:p>
    <w:p w:rsidR="00ED51E1" w:rsidRPr="003E6BBA" w:rsidRDefault="00792D1E" w:rsidP="00ED51E1">
      <w:pPr>
        <w:pStyle w:val="CGCNumberedPara"/>
      </w:pPr>
      <w:r w:rsidRPr="003E6BBA">
        <w:t xml:space="preserve">On balance, considering that </w:t>
      </w:r>
      <w:r w:rsidR="00543510" w:rsidRPr="003E6BBA">
        <w:t xml:space="preserve">we </w:t>
      </w:r>
      <w:r w:rsidR="0006080C" w:rsidRPr="003E6BBA">
        <w:t xml:space="preserve">are </w:t>
      </w:r>
      <w:r w:rsidRPr="003E6BBA">
        <w:t>not able to fully capture the impact of policy influences that some States may have on the location and/or degree of provision of private facilities</w:t>
      </w:r>
      <w:r w:rsidR="0006080C" w:rsidRPr="003E6BBA">
        <w:t xml:space="preserve"> in their State</w:t>
      </w:r>
      <w:r w:rsidR="00A855D4" w:rsidRPr="003E6BBA">
        <w:t xml:space="preserve">, </w:t>
      </w:r>
      <w:r w:rsidR="00ED51E1" w:rsidRPr="003E6BBA">
        <w:t xml:space="preserve">staff </w:t>
      </w:r>
      <w:r w:rsidR="006A3AC9">
        <w:t>intend recommending the Commission adopt</w:t>
      </w:r>
      <w:r w:rsidR="00ED51E1" w:rsidRPr="003E6BBA">
        <w:t xml:space="preserve"> a level </w:t>
      </w:r>
      <w:r w:rsidR="006A3AC9">
        <w:t xml:space="preserve">within the range </w:t>
      </w:r>
      <w:r w:rsidR="00ED51E1" w:rsidRPr="003E6BBA">
        <w:t xml:space="preserve">of </w:t>
      </w:r>
      <w:r w:rsidR="00ED51E1">
        <w:t>10-20%</w:t>
      </w:r>
      <w:r w:rsidR="00ED51E1" w:rsidRPr="003E6BBA">
        <w:t xml:space="preserve"> substitutability of admitted patients component expenses.</w:t>
      </w:r>
    </w:p>
    <w:p w:rsidR="00307F52" w:rsidRPr="003E6BBA" w:rsidRDefault="00307F52" w:rsidP="00307F52">
      <w:pPr>
        <w:pStyle w:val="Heading5"/>
      </w:pPr>
      <w:r w:rsidRPr="003E6BBA">
        <w:t>Data availability</w:t>
      </w:r>
    </w:p>
    <w:p w:rsidR="00307F52" w:rsidRPr="003E6BBA" w:rsidRDefault="00307F52" w:rsidP="00CC0BE0">
      <w:pPr>
        <w:pStyle w:val="CGCNumberedPara"/>
      </w:pPr>
      <w:r w:rsidRPr="003E6BBA">
        <w:t>Much of the data required for the assessment is collected by the AIHW</w:t>
      </w:r>
      <w:r w:rsidR="00E82984" w:rsidRPr="003E6BBA">
        <w:t xml:space="preserve"> or </w:t>
      </w:r>
      <w:r w:rsidR="00CC0BE0" w:rsidRPr="003E6BBA">
        <w:t>the Private Health Insurance Administration Council (</w:t>
      </w:r>
      <w:r w:rsidR="00E82984" w:rsidRPr="003E6BBA">
        <w:t>PHIAC</w:t>
      </w:r>
      <w:r w:rsidR="00CC0BE0" w:rsidRPr="003E6BBA">
        <w:t>)</w:t>
      </w:r>
      <w:r w:rsidRPr="003E6BBA">
        <w:t xml:space="preserve">, with various degrees of comprehensiveness across the States. </w:t>
      </w:r>
    </w:p>
    <w:p w:rsidR="00307F52" w:rsidRPr="003E6BBA" w:rsidRDefault="008045AF" w:rsidP="00307F52">
      <w:pPr>
        <w:pStyle w:val="CGCNumberedPara"/>
      </w:pPr>
      <w:r w:rsidRPr="003E6BBA">
        <w:rPr>
          <w:rStyle w:val="Heading6Char"/>
        </w:rPr>
        <w:t>National data by SDC profile.</w:t>
      </w:r>
      <w:r w:rsidRPr="003E6BBA">
        <w:t xml:space="preserve"> To determine the assessed private patient levels across the States, we requested data on the national average use of private hospital services from the AIHW, disaggregated by their SDC profile.</w:t>
      </w:r>
      <w:r w:rsidR="00307F52" w:rsidRPr="003E6BBA">
        <w:t xml:space="preserve"> However, we’ve been </w:t>
      </w:r>
      <w:r w:rsidR="00307F52" w:rsidRPr="003E6BBA">
        <w:lastRenderedPageBreak/>
        <w:t xml:space="preserve">advised by the AIHW that the full matrix will not be ready until the end of January 2015. As such, we have developed an interim SDC profile based on separately identified data (not in matrix form) from the </w:t>
      </w:r>
      <w:r w:rsidR="00307F52" w:rsidRPr="003E6BBA">
        <w:rPr>
          <w:i/>
        </w:rPr>
        <w:t>Australian Hospital statistics</w:t>
      </w:r>
      <w:r w:rsidR="00307F52" w:rsidRPr="003E6BBA">
        <w:t xml:space="preserve"> publication. While this is not ideal because it doesn’t capture the data in the traditional matrix</w:t>
      </w:r>
      <w:r w:rsidR="00307F52" w:rsidRPr="003E6BBA">
        <w:rPr>
          <w:rStyle w:val="FootnoteReference"/>
        </w:rPr>
        <w:footnoteReference w:id="16"/>
      </w:r>
      <w:r w:rsidR="00307F52" w:rsidRPr="003E6BBA">
        <w:t>, we believe it is sufficiently robust to make a reliable assessment.</w:t>
      </w:r>
    </w:p>
    <w:p w:rsidR="008045AF" w:rsidRPr="003E6BBA" w:rsidRDefault="00307F52" w:rsidP="008045AF">
      <w:pPr>
        <w:pStyle w:val="CGCNumberedPara"/>
      </w:pPr>
      <w:r w:rsidRPr="003E6BBA">
        <w:rPr>
          <w:rStyle w:val="Heading6Char"/>
        </w:rPr>
        <w:t>Actual use by State</w:t>
      </w:r>
      <w:r w:rsidR="008045AF" w:rsidRPr="003E6BBA">
        <w:rPr>
          <w:rStyle w:val="Heading6Char"/>
        </w:rPr>
        <w:t>.</w:t>
      </w:r>
      <w:r w:rsidR="008045AF" w:rsidRPr="003E6BBA">
        <w:t xml:space="preserve"> T</w:t>
      </w:r>
      <w:r w:rsidRPr="003E6BBA">
        <w:t xml:space="preserve">he availability of the actual use of private hospital services in each State is more problematic. </w:t>
      </w:r>
      <w:r w:rsidR="00E82984" w:rsidRPr="003E6BBA">
        <w:t>AIHW d</w:t>
      </w:r>
      <w:r w:rsidRPr="003E6BBA">
        <w:t xml:space="preserve">ata </w:t>
      </w:r>
      <w:r w:rsidR="00E82984" w:rsidRPr="003E6BBA">
        <w:t xml:space="preserve">from </w:t>
      </w:r>
      <w:r w:rsidR="00E82984" w:rsidRPr="003E6BBA">
        <w:rPr>
          <w:i/>
        </w:rPr>
        <w:t>Australian Hospital statistics</w:t>
      </w:r>
      <w:r w:rsidR="00E82984" w:rsidRPr="003E6BBA">
        <w:t xml:space="preserve"> </w:t>
      </w:r>
      <w:r w:rsidR="00BF0C9E" w:rsidRPr="003E6BBA">
        <w:t>are</w:t>
      </w:r>
      <w:r w:rsidR="00E82984" w:rsidRPr="003E6BBA">
        <w:t xml:space="preserve"> not </w:t>
      </w:r>
      <w:r w:rsidR="00BF0C9E" w:rsidRPr="003E6BBA">
        <w:t>reported</w:t>
      </w:r>
      <w:r w:rsidR="00E82984" w:rsidRPr="003E6BBA">
        <w:t xml:space="preserve"> </w:t>
      </w:r>
      <w:r w:rsidRPr="003E6BBA">
        <w:t xml:space="preserve">for the three small States because of scope and privacy issues. Not all private free-standing facilities in </w:t>
      </w:r>
      <w:r w:rsidR="008045AF" w:rsidRPr="003E6BBA">
        <w:t>the ACT or the Northern Territory</w:t>
      </w:r>
      <w:r w:rsidRPr="003E6BBA">
        <w:t xml:space="preserve"> are collected. In addition, because the Northern Territory has only one free-standing day facility and one private hospital, the AIHW does not want to publish th</w:t>
      </w:r>
      <w:r w:rsidR="008045AF" w:rsidRPr="003E6BBA">
        <w:t>e</w:t>
      </w:r>
      <w:r w:rsidRPr="003E6BBA">
        <w:t xml:space="preserve"> data </w:t>
      </w:r>
      <w:r w:rsidR="008045AF" w:rsidRPr="003E6BBA">
        <w:t xml:space="preserve">for its private hospital </w:t>
      </w:r>
      <w:r w:rsidRPr="003E6BBA">
        <w:t>due to privacy reasons.</w:t>
      </w:r>
      <w:r w:rsidR="00E82984" w:rsidRPr="003E6BBA">
        <w:t xml:space="preserve"> </w:t>
      </w:r>
    </w:p>
    <w:p w:rsidR="008045AF" w:rsidRPr="003E6BBA" w:rsidRDefault="0006080C" w:rsidP="008045AF">
      <w:pPr>
        <w:pStyle w:val="CGCNumberedPara"/>
      </w:pPr>
      <w:r w:rsidRPr="003E6BBA">
        <w:t>While these could be estimated for the three small States, we</w:t>
      </w:r>
      <w:r w:rsidR="00E82984" w:rsidRPr="003E6BBA">
        <w:t xml:space="preserve"> would also need to make </w:t>
      </w:r>
      <w:r w:rsidR="008045AF" w:rsidRPr="003E6BBA">
        <w:t xml:space="preserve">a number of other </w:t>
      </w:r>
      <w:r w:rsidR="00E82984" w:rsidRPr="003E6BBA">
        <w:t>adjustments</w:t>
      </w:r>
      <w:r w:rsidR="008045AF" w:rsidRPr="003E6BBA">
        <w:t xml:space="preserve"> to the data.</w:t>
      </w:r>
    </w:p>
    <w:p w:rsidR="008045AF" w:rsidRPr="003E6BBA" w:rsidRDefault="00586214" w:rsidP="00CC0BE0">
      <w:pPr>
        <w:pStyle w:val="CGCBulletlist"/>
      </w:pPr>
      <w:r w:rsidRPr="003E6BBA">
        <w:t xml:space="preserve">Include </w:t>
      </w:r>
      <w:r w:rsidR="008045AF" w:rsidRPr="003E6BBA">
        <w:t xml:space="preserve">the level of private services provided in public hospitals for each State. </w:t>
      </w:r>
      <w:r w:rsidR="00730FF4" w:rsidRPr="003E6BBA">
        <w:t>I</w:t>
      </w:r>
      <w:r w:rsidR="008045AF" w:rsidRPr="003E6BBA">
        <w:t>f we only assess the State differences in private hospital usage, we will be neglecting the above average service provision of those private services in public hospitals in some States.</w:t>
      </w:r>
    </w:p>
    <w:p w:rsidR="008045AF" w:rsidRPr="003E6BBA" w:rsidRDefault="0006080C" w:rsidP="00CC0BE0">
      <w:pPr>
        <w:pStyle w:val="CGCBulletlist"/>
      </w:pPr>
      <w:r w:rsidRPr="003E6BBA">
        <w:t>Remove those public patients that are seen in a private hospital</w:t>
      </w:r>
      <w:r w:rsidR="008045AF" w:rsidRPr="003E6BBA">
        <w:t>. This practice is implemented by some States to remove backlogs and totals approximately 12</w:t>
      </w:r>
      <w:r w:rsidRPr="003E6BBA">
        <w:t>0 </w:t>
      </w:r>
      <w:r w:rsidR="008045AF" w:rsidRPr="003E6BBA">
        <w:t>000 separations each year.</w:t>
      </w:r>
    </w:p>
    <w:p w:rsidR="008045AF" w:rsidRPr="003E6BBA" w:rsidRDefault="0006080C" w:rsidP="00CC0BE0">
      <w:pPr>
        <w:pStyle w:val="CGCBulletlist"/>
      </w:pPr>
      <w:r w:rsidRPr="003E6BBA">
        <w:t>Take</w:t>
      </w:r>
      <w:r w:rsidR="008045AF" w:rsidRPr="003E6BBA">
        <w:t xml:space="preserve"> into account the cross-border use of services</w:t>
      </w:r>
      <w:r w:rsidRPr="003E6BBA">
        <w:t>. We should only be including the State of residence of the patient and not the State location of the hospital.</w:t>
      </w:r>
    </w:p>
    <w:p w:rsidR="00910A27" w:rsidRPr="003E6BBA" w:rsidRDefault="0006080C" w:rsidP="00CC0BE0">
      <w:pPr>
        <w:pStyle w:val="CGCNumberedPara"/>
      </w:pPr>
      <w:r w:rsidRPr="003E6BBA">
        <w:t xml:space="preserve">In comparison with </w:t>
      </w:r>
      <w:r w:rsidR="00910A27" w:rsidRPr="003E6BBA">
        <w:t xml:space="preserve">the </w:t>
      </w:r>
      <w:r w:rsidRPr="003E6BBA">
        <w:t xml:space="preserve">data from the AIHW, data </w:t>
      </w:r>
      <w:r w:rsidR="00910A27" w:rsidRPr="003E6BBA">
        <w:t xml:space="preserve">collected </w:t>
      </w:r>
      <w:r w:rsidRPr="003E6BBA">
        <w:t xml:space="preserve">from PHIAC </w:t>
      </w:r>
      <w:r w:rsidR="00910A27" w:rsidRPr="003E6BBA">
        <w:t xml:space="preserve">on the use of admitted patient services by private patients </w:t>
      </w:r>
      <w:r w:rsidRPr="003E6BBA">
        <w:t xml:space="preserve">is less problematic and </w:t>
      </w:r>
      <w:r w:rsidR="00910A27" w:rsidRPr="003E6BBA">
        <w:t>includes the following:</w:t>
      </w:r>
    </w:p>
    <w:p w:rsidR="00CC0BE0" w:rsidRPr="003E6BBA" w:rsidRDefault="00910A27" w:rsidP="00910A27">
      <w:pPr>
        <w:pStyle w:val="CGCBulletlist"/>
      </w:pPr>
      <w:r w:rsidRPr="003E6BBA">
        <w:t>Actual use of privately</w:t>
      </w:r>
      <w:r w:rsidR="00586214" w:rsidRPr="003E6BBA">
        <w:t>-</w:t>
      </w:r>
      <w:r w:rsidRPr="003E6BBA">
        <w:t>provided admitted patient services are separately identified for all States – no need to estimate the use in the small States</w:t>
      </w:r>
      <w:r w:rsidR="00586214" w:rsidRPr="003E6BBA">
        <w:t>.</w:t>
      </w:r>
    </w:p>
    <w:p w:rsidR="00910A27" w:rsidRPr="003E6BBA" w:rsidRDefault="00910A27" w:rsidP="00910A27">
      <w:pPr>
        <w:pStyle w:val="CGCBulletlist"/>
      </w:pPr>
      <w:r w:rsidRPr="003E6BBA">
        <w:t>The data are provided on the residence of the patient – no need for a cross</w:t>
      </w:r>
      <w:r w:rsidRPr="003E6BBA">
        <w:noBreakHyphen/>
        <w:t>border adjustment.</w:t>
      </w:r>
    </w:p>
    <w:p w:rsidR="00910A27" w:rsidRPr="003E6BBA" w:rsidRDefault="00586214" w:rsidP="00910A27">
      <w:pPr>
        <w:pStyle w:val="CGCBulletlist"/>
      </w:pPr>
      <w:r w:rsidRPr="003E6BBA">
        <w:t>All</w:t>
      </w:r>
      <w:r w:rsidR="00910A27" w:rsidRPr="003E6BBA">
        <w:t xml:space="preserve"> private patients in public and private hospitals and does not include public patients in private hospitals – no need for more adjustments.</w:t>
      </w:r>
    </w:p>
    <w:p w:rsidR="00CC0BE0" w:rsidRPr="003E6BBA" w:rsidRDefault="00910A27" w:rsidP="002062E8">
      <w:pPr>
        <w:pStyle w:val="CGCNumberedPara"/>
      </w:pPr>
      <w:r w:rsidRPr="003E6BBA">
        <w:t xml:space="preserve">The only </w:t>
      </w:r>
      <w:r w:rsidR="002062E8" w:rsidRPr="003E6BBA">
        <w:t>downside to the data is that it does not include the use of private hospitals by self-funded patients. However, we would consider that these services would generally not be covered by private health insurance premiums (mainly cosmetic surgery) and would, therefore, not be considered substitutable.</w:t>
      </w:r>
    </w:p>
    <w:p w:rsidR="002062E8" w:rsidRPr="003E6BBA" w:rsidRDefault="002062E8" w:rsidP="002062E8">
      <w:pPr>
        <w:pStyle w:val="CGCNumberedPara"/>
      </w:pPr>
      <w:r w:rsidRPr="003E6BBA">
        <w:lastRenderedPageBreak/>
        <w:t>PHIAC data are not available by SDC group</w:t>
      </w:r>
      <w:r w:rsidR="009E6E69" w:rsidRPr="003E6BBA">
        <w:t>, so the AIHW data remains the most reliable data for determining national average use of private admitted patient services. The data from AIHW will reflect privately insured patients in both public and private hospitals, as will the PHIAC data.</w:t>
      </w:r>
    </w:p>
    <w:p w:rsidR="002062E8" w:rsidRPr="003E6BBA" w:rsidRDefault="002062E8" w:rsidP="002062E8">
      <w:pPr>
        <w:pStyle w:val="CGCNumberedPara"/>
      </w:pPr>
      <w:r w:rsidRPr="003E6BBA">
        <w:t xml:space="preserve">Staff </w:t>
      </w:r>
      <w:r w:rsidR="006A3AC9">
        <w:t>intend recommending</w:t>
      </w:r>
      <w:r w:rsidR="00E07C54">
        <w:t xml:space="preserve"> </w:t>
      </w:r>
      <w:r w:rsidRPr="003E6BBA">
        <w:t xml:space="preserve">the use </w:t>
      </w:r>
      <w:r w:rsidR="00E07C54">
        <w:t>of</w:t>
      </w:r>
      <w:r w:rsidR="00ED51E1">
        <w:t xml:space="preserve"> </w:t>
      </w:r>
      <w:r w:rsidRPr="003E6BBA">
        <w:t xml:space="preserve">AIHW data to determine the national average use of private </w:t>
      </w:r>
      <w:r w:rsidR="009E6E69" w:rsidRPr="003E6BBA">
        <w:t>admitted patient</w:t>
      </w:r>
      <w:r w:rsidRPr="003E6BBA">
        <w:t xml:space="preserve"> services, disaggregated by their SDC profile and </w:t>
      </w:r>
      <w:r w:rsidR="00ED51E1">
        <w:t xml:space="preserve">the </w:t>
      </w:r>
      <w:r w:rsidRPr="003E6BBA">
        <w:t xml:space="preserve">use </w:t>
      </w:r>
      <w:r w:rsidR="00ED51E1">
        <w:t xml:space="preserve">of </w:t>
      </w:r>
      <w:r w:rsidRPr="003E6BBA">
        <w:t xml:space="preserve">PHIAC data to determine the actual level of private </w:t>
      </w:r>
      <w:r w:rsidR="009E6E69" w:rsidRPr="003E6BBA">
        <w:t xml:space="preserve">admitted patient </w:t>
      </w:r>
      <w:r w:rsidRPr="003E6BBA">
        <w:t>services in each State.</w:t>
      </w:r>
    </w:p>
    <w:p w:rsidR="00C23569" w:rsidRPr="003E6BBA" w:rsidRDefault="001213A8" w:rsidP="001213A8">
      <w:pPr>
        <w:pStyle w:val="Heading3"/>
      </w:pPr>
      <w:bookmarkStart w:id="141" w:name="_Toc405559298"/>
      <w:bookmarkStart w:id="142" w:name="_Toc405559434"/>
      <w:bookmarkStart w:id="143" w:name="_Toc405559467"/>
      <w:bookmarkStart w:id="144" w:name="_Toc406659227"/>
      <w:r w:rsidRPr="003E6BBA">
        <w:t>Change in assessment method</w:t>
      </w:r>
      <w:bookmarkEnd w:id="141"/>
      <w:bookmarkEnd w:id="142"/>
      <w:bookmarkEnd w:id="143"/>
      <w:bookmarkEnd w:id="144"/>
    </w:p>
    <w:p w:rsidR="001213A8" w:rsidRPr="003E6BBA" w:rsidRDefault="001213A8" w:rsidP="001213A8">
      <w:pPr>
        <w:pStyle w:val="CGCNumberedPara"/>
      </w:pPr>
      <w:r w:rsidRPr="003E6BBA">
        <w:t>In the draft report</w:t>
      </w:r>
      <w:r w:rsidR="00ED51E1">
        <w:t>,</w:t>
      </w:r>
      <w:r w:rsidRPr="003E6BBA">
        <w:t xml:space="preserve"> we </w:t>
      </w:r>
      <w:bookmarkStart w:id="145" w:name="_Toc390858823"/>
      <w:bookmarkStart w:id="146" w:name="_Toc390859916"/>
      <w:r w:rsidRPr="003E6BBA">
        <w:t>said that the impact of the non-State sector</w:t>
      </w:r>
      <w:bookmarkEnd w:id="145"/>
      <w:bookmarkEnd w:id="146"/>
      <w:r w:rsidRPr="003E6BBA">
        <w:t xml:space="preserve"> would be captured using economic environment factors applied to the percentage of services that are considered substitutable. </w:t>
      </w:r>
    </w:p>
    <w:p w:rsidR="00132A4D" w:rsidRPr="003E6BBA" w:rsidRDefault="00132A4D" w:rsidP="00505C7E">
      <w:pPr>
        <w:pStyle w:val="CGCNumberedPara"/>
      </w:pPr>
      <w:r w:rsidRPr="003E6BBA">
        <w:t>The steps involved in calculating the economic environment factor were outlined in the draft report</w:t>
      </w:r>
      <w:r w:rsidR="0067772F" w:rsidRPr="003E6BBA">
        <w:t>. However, staff now consider there are two issues with this approach. The factor approach:</w:t>
      </w:r>
    </w:p>
    <w:p w:rsidR="0067772F" w:rsidRPr="003E6BBA" w:rsidRDefault="0067772F" w:rsidP="00F94CA7">
      <w:pPr>
        <w:pStyle w:val="CGCBulletlist"/>
      </w:pPr>
      <w:r w:rsidRPr="003E6BBA">
        <w:t>can overstate the economic environment effect, particularly where there are large differences in assessed and actual private provision</w:t>
      </w:r>
    </w:p>
    <w:p w:rsidR="0067772F" w:rsidRPr="003E6BBA" w:rsidRDefault="0067772F" w:rsidP="00F94CA7">
      <w:pPr>
        <w:pStyle w:val="CGCBulletlist"/>
      </w:pPr>
      <w:r w:rsidRPr="003E6BBA">
        <w:t xml:space="preserve">adjusts the profile of </w:t>
      </w:r>
      <w:r w:rsidR="00586214" w:rsidRPr="003E6BBA">
        <w:t>State-</w:t>
      </w:r>
      <w:r w:rsidRPr="003E6BBA">
        <w:t xml:space="preserve">provided services overall, not the profile of users of substitutable services. </w:t>
      </w:r>
    </w:p>
    <w:p w:rsidR="00505C7E" w:rsidRPr="003E6BBA" w:rsidRDefault="0067772F" w:rsidP="00505C7E">
      <w:pPr>
        <w:pStyle w:val="CGCNumberedPara"/>
      </w:pPr>
      <w:r w:rsidRPr="003E6BBA">
        <w:t>Staff consider an alternative approach that avoids these issues is as follows</w:t>
      </w:r>
      <w:r w:rsidR="00505C7E" w:rsidRPr="003E6BBA">
        <w:t xml:space="preserve"> (using EDs as an example</w:t>
      </w:r>
      <w:r w:rsidR="00ED51E1">
        <w:t xml:space="preserve"> at a </w:t>
      </w:r>
      <w:r w:rsidR="00ED51E1" w:rsidRPr="003E6BBA">
        <w:t>15% substitutability rate</w:t>
      </w:r>
      <w:r w:rsidR="00505C7E" w:rsidRPr="003E6BBA">
        <w:t>):</w:t>
      </w:r>
    </w:p>
    <w:p w:rsidR="00505C7E" w:rsidRPr="003E6BBA" w:rsidRDefault="00505C7E" w:rsidP="00505C7E">
      <w:pPr>
        <w:pStyle w:val="CGCBulletlist"/>
      </w:pPr>
      <w:r w:rsidRPr="003E6BBA">
        <w:t>Determine the total State spending on substitutable ED services — eg total ED expenses of $3.</w:t>
      </w:r>
      <w:r w:rsidR="009C1BA7" w:rsidRPr="003E6BBA">
        <w:t>7</w:t>
      </w:r>
      <w:r w:rsidRPr="003E6BBA">
        <w:t xml:space="preserve"> billion x 15% substitutability rate.</w:t>
      </w:r>
    </w:p>
    <w:p w:rsidR="00505C7E" w:rsidRPr="003E6BBA" w:rsidRDefault="00505C7E" w:rsidP="00505C7E">
      <w:pPr>
        <w:pStyle w:val="CGCBulletlist"/>
      </w:pPr>
      <w:r w:rsidRPr="003E6BBA">
        <w:t>Assessed GPs — calculate the level of bulk billed services each State would need based on the national profile of people using GP services (by Indigeneity, remoteness, SES and age)</w:t>
      </w:r>
      <w:r w:rsidR="007D75E4" w:rsidRPr="003E6BBA">
        <w:t>. The substitutable ED expenses are then</w:t>
      </w:r>
      <w:r w:rsidRPr="003E6BBA">
        <w:t xml:space="preserve"> apportion</w:t>
      </w:r>
      <w:r w:rsidR="007D75E4" w:rsidRPr="003E6BBA">
        <w:t>ed</w:t>
      </w:r>
      <w:r w:rsidRPr="003E6BBA">
        <w:t xml:space="preserve"> </w:t>
      </w:r>
      <w:r w:rsidR="007D75E4" w:rsidRPr="003E6BBA">
        <w:t>across States</w:t>
      </w:r>
      <w:r w:rsidRPr="003E6BBA">
        <w:t>.</w:t>
      </w:r>
    </w:p>
    <w:p w:rsidR="00505C7E" w:rsidRPr="003E6BBA" w:rsidRDefault="00505C7E" w:rsidP="00505C7E">
      <w:pPr>
        <w:pStyle w:val="CGCBulletlist"/>
      </w:pPr>
      <w:r w:rsidRPr="003E6BBA">
        <w:t>Actual GPs — obtain the actual level of bulk billed GP services in each State</w:t>
      </w:r>
      <w:r w:rsidR="007D75E4" w:rsidRPr="003E6BBA">
        <w:t xml:space="preserve">. Again, apportion the </w:t>
      </w:r>
      <w:r w:rsidRPr="003E6BBA">
        <w:t>substitutable ED expenses</w:t>
      </w:r>
      <w:r w:rsidR="007D75E4" w:rsidRPr="003E6BBA">
        <w:t xml:space="preserve"> based on these State proportions</w:t>
      </w:r>
      <w:r w:rsidRPr="003E6BBA">
        <w:t>.</w:t>
      </w:r>
    </w:p>
    <w:p w:rsidR="00505C7E" w:rsidRPr="003E6BBA" w:rsidRDefault="00505C7E" w:rsidP="00505C7E">
      <w:pPr>
        <w:pStyle w:val="CGCBulletlist"/>
      </w:pPr>
      <w:r w:rsidRPr="003E6BBA">
        <w:t xml:space="preserve">Subtract the actual levels from the assessed levels. </w:t>
      </w:r>
      <w:r w:rsidR="000C7701" w:rsidRPr="003E6BBA">
        <w:t>This determines the assessed impact of the private sector on admitted patient services for each State.</w:t>
      </w:r>
    </w:p>
    <w:p w:rsidR="005A0992" w:rsidRPr="003E6BBA" w:rsidRDefault="005A0992" w:rsidP="005A0992">
      <w:pPr>
        <w:pStyle w:val="CGCNumberedPara"/>
      </w:pPr>
      <w:r w:rsidRPr="003E6BBA">
        <w:t xml:space="preserve">The calculation is more easily explained in a step process as detailed in </w:t>
      </w:r>
      <w:r w:rsidR="005842B7" w:rsidRPr="003E6BBA">
        <w:fldChar w:fldCharType="begin"/>
      </w:r>
      <w:r w:rsidR="005842B7" w:rsidRPr="003E6BBA">
        <w:instrText xml:space="preserve"> REF _Ref405968194 \h </w:instrText>
      </w:r>
      <w:r w:rsidR="009C1BA7" w:rsidRPr="003E6BBA">
        <w:instrText xml:space="preserve"> \* MERGEFORMAT </w:instrText>
      </w:r>
      <w:r w:rsidR="005842B7" w:rsidRPr="003E6BBA">
        <w:fldChar w:fldCharType="separate"/>
      </w:r>
      <w:r w:rsidR="00DC6FC3" w:rsidRPr="003E6BBA">
        <w:t xml:space="preserve">Table </w:t>
      </w:r>
      <w:r w:rsidR="00DC6FC3">
        <w:rPr>
          <w:noProof/>
        </w:rPr>
        <w:t>6</w:t>
      </w:r>
      <w:r w:rsidR="005842B7" w:rsidRPr="003E6BBA">
        <w:fldChar w:fldCharType="end"/>
      </w:r>
      <w:r w:rsidR="00505C7E" w:rsidRPr="003E6BBA">
        <w:t xml:space="preserve"> (</w:t>
      </w:r>
      <w:r w:rsidR="00E07C54">
        <w:t xml:space="preserve">at a </w:t>
      </w:r>
      <w:r w:rsidR="00E07C54" w:rsidRPr="003E6BBA">
        <w:t>15% substitutability rate</w:t>
      </w:r>
      <w:r w:rsidR="00505C7E" w:rsidRPr="003E6BBA">
        <w:t>, not 40%)</w:t>
      </w:r>
      <w:r w:rsidRPr="003E6BBA">
        <w:t>.</w:t>
      </w:r>
      <w:r w:rsidR="00505C7E" w:rsidRPr="003E6BBA">
        <w:t xml:space="preserve"> It shows, as a result of the private sector, New South Wales needs to spend $1</w:t>
      </w:r>
      <w:r w:rsidR="005842B7" w:rsidRPr="003E6BBA">
        <w:t>9</w:t>
      </w:r>
      <w:r w:rsidR="00505C7E" w:rsidRPr="003E6BBA">
        <w:t xml:space="preserve"> million less on its ED services and Western Australia needs to spend $1</w:t>
      </w:r>
      <w:r w:rsidR="005842B7" w:rsidRPr="003E6BBA">
        <w:t>6</w:t>
      </w:r>
      <w:r w:rsidR="00505C7E" w:rsidRPr="003E6BBA">
        <w:t xml:space="preserve"> million more.</w:t>
      </w:r>
    </w:p>
    <w:p w:rsidR="005A0992" w:rsidRPr="003E6BBA" w:rsidRDefault="005842B7" w:rsidP="005842B7">
      <w:pPr>
        <w:pStyle w:val="Caption"/>
      </w:pPr>
      <w:bookmarkStart w:id="147" w:name="_Ref405968194"/>
      <w:r w:rsidRPr="003E6BBA">
        <w:lastRenderedPageBreak/>
        <w:t xml:space="preserve">Table </w:t>
      </w:r>
      <w:r w:rsidR="00DC6FC3">
        <w:fldChar w:fldCharType="begin"/>
      </w:r>
      <w:r w:rsidR="00DC6FC3">
        <w:instrText xml:space="preserve"> SEQ Table \* ARABIC </w:instrText>
      </w:r>
      <w:r w:rsidR="00DC6FC3">
        <w:fldChar w:fldCharType="separate"/>
      </w:r>
      <w:r w:rsidR="00DC6FC3">
        <w:rPr>
          <w:noProof/>
        </w:rPr>
        <w:t>6</w:t>
      </w:r>
      <w:r w:rsidR="00DC6FC3">
        <w:rPr>
          <w:noProof/>
        </w:rPr>
        <w:fldChar w:fldCharType="end"/>
      </w:r>
      <w:bookmarkEnd w:id="147"/>
      <w:r w:rsidR="005A0992" w:rsidRPr="003E6BBA">
        <w:tab/>
        <w:t>Economic environment adjustment, 201</w:t>
      </w:r>
      <w:r w:rsidRPr="003E6BBA">
        <w:t>3</w:t>
      </w:r>
      <w:r w:rsidR="005A0992" w:rsidRPr="003E6BBA">
        <w:t>-1</w:t>
      </w:r>
      <w:r w:rsidRPr="003E6BBA">
        <w:t>4</w:t>
      </w:r>
    </w:p>
    <w:tbl>
      <w:tblPr>
        <w:tblW w:w="9040" w:type="dxa"/>
        <w:tblLayout w:type="fixed"/>
        <w:tblCellMar>
          <w:left w:w="0" w:type="dxa"/>
          <w:right w:w="0" w:type="dxa"/>
        </w:tblCellMar>
        <w:tblLook w:val="04A0" w:firstRow="1" w:lastRow="0" w:firstColumn="1" w:lastColumn="0" w:noHBand="0" w:noVBand="1"/>
      </w:tblPr>
      <w:tblGrid>
        <w:gridCol w:w="2200"/>
        <w:gridCol w:w="760"/>
        <w:gridCol w:w="760"/>
        <w:gridCol w:w="760"/>
        <w:gridCol w:w="760"/>
        <w:gridCol w:w="760"/>
        <w:gridCol w:w="760"/>
        <w:gridCol w:w="760"/>
        <w:gridCol w:w="760"/>
        <w:gridCol w:w="760"/>
      </w:tblGrid>
      <w:tr w:rsidR="005842B7" w:rsidRPr="003E6BBA" w:rsidTr="00855C0E">
        <w:trPr>
          <w:trHeight w:val="379"/>
        </w:trPr>
        <w:tc>
          <w:tcPr>
            <w:tcW w:w="2200" w:type="dxa"/>
            <w:tcBorders>
              <w:top w:val="single" w:sz="4" w:space="0" w:color="auto"/>
              <w:left w:val="nil"/>
              <w:bottom w:val="single" w:sz="4" w:space="0" w:color="auto"/>
              <w:right w:val="nil"/>
            </w:tcBorders>
            <w:shd w:val="clear" w:color="auto" w:fill="auto"/>
            <w:noWrap/>
            <w:vAlign w:val="center"/>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bookmarkStart w:id="148" w:name="RANGE!A2:J7"/>
            <w:r w:rsidRPr="003E6BBA">
              <w:rPr>
                <w:rFonts w:ascii="Calibri" w:eastAsia="Times New Roman" w:hAnsi="Calibri" w:cs="Times New Roman"/>
                <w:sz w:val="20"/>
                <w:szCs w:val="20"/>
                <w:lang w:eastAsia="en-AU"/>
              </w:rPr>
              <w:t> </w:t>
            </w:r>
            <w:bookmarkEnd w:id="148"/>
          </w:p>
        </w:tc>
        <w:tc>
          <w:tcPr>
            <w:tcW w:w="760" w:type="dxa"/>
            <w:tcBorders>
              <w:top w:val="single" w:sz="4" w:space="0" w:color="auto"/>
              <w:left w:val="nil"/>
              <w:bottom w:val="single" w:sz="4" w:space="0" w:color="auto"/>
              <w:right w:val="nil"/>
            </w:tcBorders>
            <w:shd w:val="clear" w:color="auto" w:fill="auto"/>
            <w:noWrap/>
            <w:vAlign w:val="center"/>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NSW</w:t>
            </w:r>
          </w:p>
        </w:tc>
        <w:tc>
          <w:tcPr>
            <w:tcW w:w="760" w:type="dxa"/>
            <w:tcBorders>
              <w:top w:val="single" w:sz="4" w:space="0" w:color="auto"/>
              <w:left w:val="nil"/>
              <w:bottom w:val="single" w:sz="4" w:space="0" w:color="auto"/>
              <w:right w:val="nil"/>
            </w:tcBorders>
            <w:shd w:val="clear" w:color="auto" w:fill="auto"/>
            <w:noWrap/>
            <w:vAlign w:val="center"/>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Vic</w:t>
            </w:r>
          </w:p>
        </w:tc>
        <w:tc>
          <w:tcPr>
            <w:tcW w:w="760" w:type="dxa"/>
            <w:tcBorders>
              <w:top w:val="single" w:sz="4" w:space="0" w:color="auto"/>
              <w:left w:val="nil"/>
              <w:bottom w:val="single" w:sz="4" w:space="0" w:color="auto"/>
              <w:right w:val="nil"/>
            </w:tcBorders>
            <w:shd w:val="clear" w:color="auto" w:fill="auto"/>
            <w:noWrap/>
            <w:vAlign w:val="center"/>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Qld</w:t>
            </w:r>
          </w:p>
        </w:tc>
        <w:tc>
          <w:tcPr>
            <w:tcW w:w="760" w:type="dxa"/>
            <w:tcBorders>
              <w:top w:val="single" w:sz="4" w:space="0" w:color="auto"/>
              <w:left w:val="nil"/>
              <w:bottom w:val="single" w:sz="4" w:space="0" w:color="auto"/>
              <w:right w:val="nil"/>
            </w:tcBorders>
            <w:shd w:val="clear" w:color="auto" w:fill="auto"/>
            <w:noWrap/>
            <w:vAlign w:val="center"/>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WA</w:t>
            </w:r>
          </w:p>
        </w:tc>
        <w:tc>
          <w:tcPr>
            <w:tcW w:w="760" w:type="dxa"/>
            <w:tcBorders>
              <w:top w:val="single" w:sz="4" w:space="0" w:color="auto"/>
              <w:left w:val="nil"/>
              <w:bottom w:val="single" w:sz="4" w:space="0" w:color="auto"/>
              <w:right w:val="nil"/>
            </w:tcBorders>
            <w:shd w:val="clear" w:color="auto" w:fill="auto"/>
            <w:noWrap/>
            <w:vAlign w:val="center"/>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SA</w:t>
            </w:r>
          </w:p>
        </w:tc>
        <w:tc>
          <w:tcPr>
            <w:tcW w:w="760" w:type="dxa"/>
            <w:tcBorders>
              <w:top w:val="single" w:sz="4" w:space="0" w:color="auto"/>
              <w:left w:val="nil"/>
              <w:bottom w:val="single" w:sz="4" w:space="0" w:color="auto"/>
              <w:right w:val="nil"/>
            </w:tcBorders>
            <w:shd w:val="clear" w:color="auto" w:fill="auto"/>
            <w:noWrap/>
            <w:vAlign w:val="center"/>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Tas</w:t>
            </w:r>
          </w:p>
        </w:tc>
        <w:tc>
          <w:tcPr>
            <w:tcW w:w="760" w:type="dxa"/>
            <w:tcBorders>
              <w:top w:val="single" w:sz="4" w:space="0" w:color="auto"/>
              <w:left w:val="nil"/>
              <w:bottom w:val="single" w:sz="4" w:space="0" w:color="auto"/>
              <w:right w:val="nil"/>
            </w:tcBorders>
            <w:shd w:val="clear" w:color="auto" w:fill="auto"/>
            <w:noWrap/>
            <w:vAlign w:val="center"/>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ACT</w:t>
            </w:r>
          </w:p>
        </w:tc>
        <w:tc>
          <w:tcPr>
            <w:tcW w:w="760" w:type="dxa"/>
            <w:tcBorders>
              <w:top w:val="single" w:sz="4" w:space="0" w:color="auto"/>
              <w:left w:val="nil"/>
              <w:bottom w:val="single" w:sz="4" w:space="0" w:color="auto"/>
              <w:right w:val="nil"/>
            </w:tcBorders>
            <w:shd w:val="clear" w:color="auto" w:fill="auto"/>
            <w:noWrap/>
            <w:vAlign w:val="center"/>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NT</w:t>
            </w:r>
          </w:p>
        </w:tc>
        <w:tc>
          <w:tcPr>
            <w:tcW w:w="760" w:type="dxa"/>
            <w:tcBorders>
              <w:top w:val="single" w:sz="4" w:space="0" w:color="auto"/>
              <w:left w:val="nil"/>
              <w:bottom w:val="single" w:sz="4" w:space="0" w:color="auto"/>
              <w:right w:val="nil"/>
            </w:tcBorders>
            <w:shd w:val="clear" w:color="auto" w:fill="auto"/>
            <w:noWrap/>
            <w:vAlign w:val="center"/>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Total</w:t>
            </w:r>
          </w:p>
        </w:tc>
      </w:tr>
      <w:tr w:rsidR="005842B7" w:rsidRPr="003E6BBA" w:rsidTr="00855C0E">
        <w:trPr>
          <w:trHeight w:val="259"/>
        </w:trPr>
        <w:tc>
          <w:tcPr>
            <w:tcW w:w="2200" w:type="dxa"/>
            <w:tcBorders>
              <w:top w:val="nil"/>
              <w:left w:val="nil"/>
              <w:bottom w:val="nil"/>
              <w:right w:val="nil"/>
            </w:tcBorders>
            <w:shd w:val="clear" w:color="auto" w:fill="auto"/>
            <w:noWrap/>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p>
        </w:tc>
        <w:tc>
          <w:tcPr>
            <w:tcW w:w="760" w:type="dxa"/>
            <w:tcBorders>
              <w:top w:val="nil"/>
              <w:left w:val="nil"/>
              <w:bottom w:val="nil"/>
              <w:right w:val="nil"/>
            </w:tcBorders>
            <w:shd w:val="clear" w:color="auto" w:fill="auto"/>
            <w:noWrap/>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$m</w:t>
            </w:r>
          </w:p>
        </w:tc>
        <w:tc>
          <w:tcPr>
            <w:tcW w:w="760" w:type="dxa"/>
            <w:tcBorders>
              <w:top w:val="nil"/>
              <w:left w:val="nil"/>
              <w:bottom w:val="nil"/>
              <w:right w:val="nil"/>
            </w:tcBorders>
            <w:shd w:val="clear" w:color="auto" w:fill="auto"/>
            <w:noWrap/>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$m</w:t>
            </w:r>
          </w:p>
        </w:tc>
        <w:tc>
          <w:tcPr>
            <w:tcW w:w="760" w:type="dxa"/>
            <w:tcBorders>
              <w:top w:val="nil"/>
              <w:left w:val="nil"/>
              <w:bottom w:val="nil"/>
              <w:right w:val="nil"/>
            </w:tcBorders>
            <w:shd w:val="clear" w:color="auto" w:fill="auto"/>
            <w:noWrap/>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$m</w:t>
            </w:r>
          </w:p>
        </w:tc>
        <w:tc>
          <w:tcPr>
            <w:tcW w:w="760" w:type="dxa"/>
            <w:tcBorders>
              <w:top w:val="nil"/>
              <w:left w:val="nil"/>
              <w:bottom w:val="nil"/>
              <w:right w:val="nil"/>
            </w:tcBorders>
            <w:shd w:val="clear" w:color="auto" w:fill="auto"/>
            <w:noWrap/>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$m</w:t>
            </w:r>
          </w:p>
        </w:tc>
        <w:tc>
          <w:tcPr>
            <w:tcW w:w="760" w:type="dxa"/>
            <w:tcBorders>
              <w:top w:val="nil"/>
              <w:left w:val="nil"/>
              <w:bottom w:val="nil"/>
              <w:right w:val="nil"/>
            </w:tcBorders>
            <w:shd w:val="clear" w:color="auto" w:fill="auto"/>
            <w:noWrap/>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$m</w:t>
            </w:r>
          </w:p>
        </w:tc>
        <w:tc>
          <w:tcPr>
            <w:tcW w:w="760" w:type="dxa"/>
            <w:tcBorders>
              <w:top w:val="nil"/>
              <w:left w:val="nil"/>
              <w:bottom w:val="nil"/>
              <w:right w:val="nil"/>
            </w:tcBorders>
            <w:shd w:val="clear" w:color="auto" w:fill="auto"/>
            <w:noWrap/>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$m</w:t>
            </w:r>
          </w:p>
        </w:tc>
        <w:tc>
          <w:tcPr>
            <w:tcW w:w="760" w:type="dxa"/>
            <w:tcBorders>
              <w:top w:val="nil"/>
              <w:left w:val="nil"/>
              <w:bottom w:val="nil"/>
              <w:right w:val="nil"/>
            </w:tcBorders>
            <w:shd w:val="clear" w:color="auto" w:fill="auto"/>
            <w:noWrap/>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$m</w:t>
            </w:r>
          </w:p>
        </w:tc>
        <w:tc>
          <w:tcPr>
            <w:tcW w:w="760" w:type="dxa"/>
            <w:tcBorders>
              <w:top w:val="nil"/>
              <w:left w:val="nil"/>
              <w:bottom w:val="nil"/>
              <w:right w:val="nil"/>
            </w:tcBorders>
            <w:shd w:val="clear" w:color="auto" w:fill="auto"/>
            <w:noWrap/>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$m</w:t>
            </w:r>
          </w:p>
        </w:tc>
        <w:tc>
          <w:tcPr>
            <w:tcW w:w="760" w:type="dxa"/>
            <w:tcBorders>
              <w:top w:val="nil"/>
              <w:left w:val="nil"/>
              <w:bottom w:val="nil"/>
              <w:right w:val="nil"/>
            </w:tcBorders>
            <w:shd w:val="clear" w:color="auto" w:fill="auto"/>
            <w:noWrap/>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sz w:val="20"/>
                <w:szCs w:val="20"/>
                <w:lang w:eastAsia="en-AU"/>
              </w:rPr>
            </w:pPr>
            <w:r w:rsidRPr="003E6BBA">
              <w:rPr>
                <w:rFonts w:ascii="Calibri" w:eastAsia="Times New Roman" w:hAnsi="Calibri" w:cs="Times New Roman"/>
                <w:sz w:val="20"/>
                <w:szCs w:val="20"/>
                <w:lang w:eastAsia="en-AU"/>
              </w:rPr>
              <w:t>$m</w:t>
            </w:r>
          </w:p>
        </w:tc>
      </w:tr>
      <w:tr w:rsidR="005842B7" w:rsidRPr="003E6BBA" w:rsidTr="00855C0E">
        <w:trPr>
          <w:trHeight w:val="315"/>
        </w:trPr>
        <w:tc>
          <w:tcPr>
            <w:tcW w:w="2960" w:type="dxa"/>
            <w:gridSpan w:val="2"/>
            <w:tcBorders>
              <w:top w:val="nil"/>
              <w:left w:val="nil"/>
              <w:bottom w:val="nil"/>
              <w:right w:val="nil"/>
            </w:tcBorders>
            <w:shd w:val="clear" w:color="auto" w:fill="auto"/>
            <w:noWrap/>
            <w:vAlign w:val="bottom"/>
            <w:hideMark/>
          </w:tcPr>
          <w:p w:rsidR="005842B7" w:rsidRPr="003E6BBA" w:rsidRDefault="005842B7" w:rsidP="00855C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Substitutable ED expenses</w:t>
            </w:r>
          </w:p>
        </w:tc>
        <w:tc>
          <w:tcPr>
            <w:tcW w:w="760" w:type="dxa"/>
            <w:tcBorders>
              <w:top w:val="nil"/>
              <w:left w:val="nil"/>
              <w:bottom w:val="nil"/>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760" w:type="dxa"/>
            <w:tcBorders>
              <w:top w:val="nil"/>
              <w:left w:val="nil"/>
              <w:bottom w:val="nil"/>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555</w:t>
            </w:r>
          </w:p>
        </w:tc>
      </w:tr>
      <w:tr w:rsidR="005842B7" w:rsidRPr="003E6BBA" w:rsidTr="00855C0E">
        <w:trPr>
          <w:trHeight w:val="315"/>
        </w:trPr>
        <w:tc>
          <w:tcPr>
            <w:tcW w:w="2200" w:type="dxa"/>
            <w:tcBorders>
              <w:top w:val="nil"/>
              <w:left w:val="nil"/>
              <w:bottom w:val="nil"/>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Assessed expenses</w:t>
            </w:r>
          </w:p>
        </w:tc>
        <w:tc>
          <w:tcPr>
            <w:tcW w:w="760" w:type="dxa"/>
            <w:tcBorders>
              <w:top w:val="nil"/>
              <w:left w:val="nil"/>
              <w:bottom w:val="nil"/>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183</w:t>
            </w:r>
          </w:p>
        </w:tc>
        <w:tc>
          <w:tcPr>
            <w:tcW w:w="760" w:type="dxa"/>
            <w:tcBorders>
              <w:top w:val="nil"/>
              <w:left w:val="nil"/>
              <w:bottom w:val="nil"/>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139</w:t>
            </w:r>
          </w:p>
        </w:tc>
        <w:tc>
          <w:tcPr>
            <w:tcW w:w="760" w:type="dxa"/>
            <w:tcBorders>
              <w:top w:val="nil"/>
              <w:left w:val="nil"/>
              <w:bottom w:val="nil"/>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108</w:t>
            </w:r>
          </w:p>
        </w:tc>
        <w:tc>
          <w:tcPr>
            <w:tcW w:w="760" w:type="dxa"/>
            <w:tcBorders>
              <w:top w:val="nil"/>
              <w:left w:val="nil"/>
              <w:bottom w:val="nil"/>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57</w:t>
            </w:r>
          </w:p>
        </w:tc>
        <w:tc>
          <w:tcPr>
            <w:tcW w:w="760" w:type="dxa"/>
            <w:tcBorders>
              <w:top w:val="nil"/>
              <w:left w:val="nil"/>
              <w:bottom w:val="nil"/>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43</w:t>
            </w:r>
          </w:p>
        </w:tc>
        <w:tc>
          <w:tcPr>
            <w:tcW w:w="760" w:type="dxa"/>
            <w:tcBorders>
              <w:top w:val="nil"/>
              <w:left w:val="nil"/>
              <w:bottom w:val="nil"/>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12</w:t>
            </w:r>
          </w:p>
        </w:tc>
        <w:tc>
          <w:tcPr>
            <w:tcW w:w="760" w:type="dxa"/>
            <w:tcBorders>
              <w:top w:val="nil"/>
              <w:left w:val="nil"/>
              <w:bottom w:val="nil"/>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8</w:t>
            </w:r>
          </w:p>
        </w:tc>
        <w:tc>
          <w:tcPr>
            <w:tcW w:w="760" w:type="dxa"/>
            <w:tcBorders>
              <w:top w:val="nil"/>
              <w:left w:val="nil"/>
              <w:bottom w:val="nil"/>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4</w:t>
            </w:r>
          </w:p>
        </w:tc>
        <w:tc>
          <w:tcPr>
            <w:tcW w:w="760" w:type="dxa"/>
            <w:tcBorders>
              <w:top w:val="nil"/>
              <w:left w:val="nil"/>
              <w:bottom w:val="nil"/>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555</w:t>
            </w:r>
          </w:p>
        </w:tc>
      </w:tr>
      <w:tr w:rsidR="005842B7" w:rsidRPr="003E6BBA" w:rsidTr="00855C0E">
        <w:trPr>
          <w:trHeight w:val="315"/>
        </w:trPr>
        <w:tc>
          <w:tcPr>
            <w:tcW w:w="2200" w:type="dxa"/>
            <w:tcBorders>
              <w:top w:val="nil"/>
              <w:left w:val="nil"/>
              <w:bottom w:val="nil"/>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Actual expenses</w:t>
            </w:r>
          </w:p>
        </w:tc>
        <w:tc>
          <w:tcPr>
            <w:tcW w:w="760" w:type="dxa"/>
            <w:tcBorders>
              <w:top w:val="nil"/>
              <w:left w:val="nil"/>
              <w:bottom w:val="nil"/>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202</w:t>
            </w:r>
          </w:p>
        </w:tc>
        <w:tc>
          <w:tcPr>
            <w:tcW w:w="760" w:type="dxa"/>
            <w:tcBorders>
              <w:top w:val="nil"/>
              <w:left w:val="nil"/>
              <w:bottom w:val="nil"/>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140</w:t>
            </w:r>
          </w:p>
        </w:tc>
        <w:tc>
          <w:tcPr>
            <w:tcW w:w="760" w:type="dxa"/>
            <w:tcBorders>
              <w:top w:val="nil"/>
              <w:left w:val="nil"/>
              <w:bottom w:val="nil"/>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111</w:t>
            </w:r>
          </w:p>
        </w:tc>
        <w:tc>
          <w:tcPr>
            <w:tcW w:w="760" w:type="dxa"/>
            <w:tcBorders>
              <w:top w:val="nil"/>
              <w:left w:val="nil"/>
              <w:bottom w:val="nil"/>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41</w:t>
            </w:r>
          </w:p>
        </w:tc>
        <w:tc>
          <w:tcPr>
            <w:tcW w:w="760" w:type="dxa"/>
            <w:tcBorders>
              <w:top w:val="nil"/>
              <w:left w:val="nil"/>
              <w:bottom w:val="nil"/>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41</w:t>
            </w:r>
          </w:p>
        </w:tc>
        <w:tc>
          <w:tcPr>
            <w:tcW w:w="760" w:type="dxa"/>
            <w:tcBorders>
              <w:top w:val="nil"/>
              <w:left w:val="nil"/>
              <w:bottom w:val="nil"/>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11</w:t>
            </w:r>
          </w:p>
        </w:tc>
        <w:tc>
          <w:tcPr>
            <w:tcW w:w="760" w:type="dxa"/>
            <w:tcBorders>
              <w:top w:val="nil"/>
              <w:left w:val="nil"/>
              <w:bottom w:val="nil"/>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5</w:t>
            </w:r>
          </w:p>
        </w:tc>
        <w:tc>
          <w:tcPr>
            <w:tcW w:w="760" w:type="dxa"/>
            <w:tcBorders>
              <w:top w:val="nil"/>
              <w:left w:val="nil"/>
              <w:bottom w:val="nil"/>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4</w:t>
            </w:r>
          </w:p>
        </w:tc>
        <w:tc>
          <w:tcPr>
            <w:tcW w:w="760" w:type="dxa"/>
            <w:tcBorders>
              <w:top w:val="nil"/>
              <w:left w:val="nil"/>
              <w:bottom w:val="nil"/>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555</w:t>
            </w:r>
          </w:p>
        </w:tc>
      </w:tr>
      <w:tr w:rsidR="005842B7" w:rsidRPr="003E6BBA" w:rsidTr="00855C0E">
        <w:trPr>
          <w:trHeight w:val="315"/>
        </w:trPr>
        <w:tc>
          <w:tcPr>
            <w:tcW w:w="2200" w:type="dxa"/>
            <w:tcBorders>
              <w:top w:val="nil"/>
              <w:left w:val="nil"/>
              <w:bottom w:val="single" w:sz="4" w:space="0" w:color="auto"/>
              <w:right w:val="nil"/>
            </w:tcBorders>
            <w:shd w:val="clear" w:color="auto" w:fill="auto"/>
            <w:vAlign w:val="bottom"/>
            <w:hideMark/>
          </w:tcPr>
          <w:p w:rsidR="005842B7" w:rsidRPr="003E6BBA" w:rsidRDefault="00E07C54" w:rsidP="00E07C54">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Economic environment</w:t>
            </w:r>
          </w:p>
        </w:tc>
        <w:tc>
          <w:tcPr>
            <w:tcW w:w="760" w:type="dxa"/>
            <w:tcBorders>
              <w:top w:val="nil"/>
              <w:left w:val="nil"/>
              <w:bottom w:val="single" w:sz="4" w:space="0" w:color="auto"/>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-19</w:t>
            </w:r>
          </w:p>
        </w:tc>
        <w:tc>
          <w:tcPr>
            <w:tcW w:w="760" w:type="dxa"/>
            <w:tcBorders>
              <w:top w:val="nil"/>
              <w:left w:val="nil"/>
              <w:bottom w:val="single" w:sz="4" w:space="0" w:color="auto"/>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0</w:t>
            </w:r>
          </w:p>
        </w:tc>
        <w:tc>
          <w:tcPr>
            <w:tcW w:w="760" w:type="dxa"/>
            <w:tcBorders>
              <w:top w:val="nil"/>
              <w:left w:val="nil"/>
              <w:bottom w:val="single" w:sz="4" w:space="0" w:color="auto"/>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-3</w:t>
            </w:r>
          </w:p>
        </w:tc>
        <w:tc>
          <w:tcPr>
            <w:tcW w:w="760" w:type="dxa"/>
            <w:tcBorders>
              <w:top w:val="nil"/>
              <w:left w:val="nil"/>
              <w:bottom w:val="single" w:sz="4" w:space="0" w:color="auto"/>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16</w:t>
            </w:r>
          </w:p>
        </w:tc>
        <w:tc>
          <w:tcPr>
            <w:tcW w:w="760" w:type="dxa"/>
            <w:tcBorders>
              <w:top w:val="nil"/>
              <w:left w:val="nil"/>
              <w:bottom w:val="single" w:sz="4" w:space="0" w:color="auto"/>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w:t>
            </w:r>
          </w:p>
        </w:tc>
        <w:tc>
          <w:tcPr>
            <w:tcW w:w="760" w:type="dxa"/>
            <w:tcBorders>
              <w:top w:val="nil"/>
              <w:left w:val="nil"/>
              <w:bottom w:val="single" w:sz="4" w:space="0" w:color="auto"/>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w:t>
            </w:r>
          </w:p>
        </w:tc>
        <w:tc>
          <w:tcPr>
            <w:tcW w:w="760" w:type="dxa"/>
            <w:tcBorders>
              <w:top w:val="nil"/>
              <w:left w:val="nil"/>
              <w:bottom w:val="single" w:sz="4" w:space="0" w:color="auto"/>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3</w:t>
            </w:r>
          </w:p>
        </w:tc>
        <w:tc>
          <w:tcPr>
            <w:tcW w:w="760" w:type="dxa"/>
            <w:tcBorders>
              <w:top w:val="nil"/>
              <w:left w:val="nil"/>
              <w:bottom w:val="single" w:sz="4" w:space="0" w:color="auto"/>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0</w:t>
            </w:r>
          </w:p>
        </w:tc>
        <w:tc>
          <w:tcPr>
            <w:tcW w:w="760" w:type="dxa"/>
            <w:tcBorders>
              <w:top w:val="nil"/>
              <w:left w:val="nil"/>
              <w:bottom w:val="single" w:sz="4" w:space="0" w:color="auto"/>
              <w:right w:val="nil"/>
            </w:tcBorders>
            <w:shd w:val="clear" w:color="auto" w:fill="auto"/>
            <w:vAlign w:val="bottom"/>
            <w:hideMark/>
          </w:tcPr>
          <w:p w:rsidR="005842B7" w:rsidRPr="003E6BBA" w:rsidRDefault="005842B7" w:rsidP="00855C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0</w:t>
            </w:r>
          </w:p>
        </w:tc>
      </w:tr>
    </w:tbl>
    <w:p w:rsidR="005A0992" w:rsidRPr="003E6BBA" w:rsidRDefault="005A0992" w:rsidP="00C1760E">
      <w:pPr>
        <w:pStyle w:val="CGCTableFootnote"/>
      </w:pPr>
      <w:r w:rsidRPr="003E6BBA">
        <w:t>Source:</w:t>
      </w:r>
      <w:r w:rsidRPr="003E6BBA">
        <w:tab/>
        <w:t>Commission calculation.</w:t>
      </w:r>
    </w:p>
    <w:p w:rsidR="0032202B" w:rsidRPr="003E6BBA" w:rsidRDefault="0032202B" w:rsidP="0032202B">
      <w:pPr>
        <w:pStyle w:val="CGCNumberedPara"/>
        <w:numPr>
          <w:ilvl w:val="0"/>
          <w:numId w:val="0"/>
        </w:numPr>
      </w:pPr>
    </w:p>
    <w:p w:rsidR="0048596A" w:rsidRPr="003E6BBA" w:rsidRDefault="0048596A" w:rsidP="001667EC">
      <w:pPr>
        <w:pStyle w:val="CGCNumberedPara"/>
        <w:sectPr w:rsidR="0048596A" w:rsidRPr="003E6BBA" w:rsidSect="009844EA">
          <w:pgSz w:w="11906" w:h="16838" w:code="9"/>
          <w:pgMar w:top="1701" w:right="1474" w:bottom="1701" w:left="1474" w:header="709" w:footer="709" w:gutter="0"/>
          <w:cols w:space="708"/>
          <w:titlePg/>
          <w:docGrid w:linePitch="360"/>
        </w:sectPr>
      </w:pPr>
    </w:p>
    <w:p w:rsidR="001F3413" w:rsidRPr="003E6BBA" w:rsidRDefault="001F3413" w:rsidP="001F3413">
      <w:pPr>
        <w:pStyle w:val="Heading2"/>
      </w:pPr>
      <w:bookmarkStart w:id="149" w:name="_Toc106707732"/>
      <w:bookmarkStart w:id="150" w:name="_Toc155675943"/>
      <w:bookmarkStart w:id="151" w:name="_Toc174415778"/>
      <w:bookmarkStart w:id="152" w:name="_Toc174415943"/>
      <w:bookmarkStart w:id="153" w:name="_Toc174416628"/>
      <w:bookmarkStart w:id="154" w:name="_Toc174416670"/>
      <w:bookmarkStart w:id="155" w:name="_Toc405559299"/>
      <w:bookmarkStart w:id="156" w:name="_Toc405559437"/>
      <w:bookmarkStart w:id="157" w:name="_Toc406659228"/>
      <w:r w:rsidRPr="003E6BBA">
        <w:lastRenderedPageBreak/>
        <w:t>ATTACHMENT</w:t>
      </w:r>
      <w:bookmarkEnd w:id="149"/>
      <w:bookmarkEnd w:id="150"/>
      <w:bookmarkEnd w:id="151"/>
      <w:bookmarkEnd w:id="152"/>
      <w:bookmarkEnd w:id="153"/>
      <w:bookmarkEnd w:id="154"/>
      <w:r w:rsidRPr="003E6BBA">
        <w:t xml:space="preserve"> A</w:t>
      </w:r>
      <w:bookmarkEnd w:id="155"/>
      <w:bookmarkEnd w:id="156"/>
      <w:bookmarkEnd w:id="157"/>
    </w:p>
    <w:p w:rsidR="0048596A" w:rsidRPr="003E6BBA" w:rsidRDefault="0048596A" w:rsidP="001F3413">
      <w:pPr>
        <w:pStyle w:val="CGCNumberedPara"/>
        <w:numPr>
          <w:ilvl w:val="1"/>
          <w:numId w:val="43"/>
        </w:numPr>
      </w:pPr>
      <w:r w:rsidRPr="003E6BBA">
        <w:t>Table A1 provides a subset of the 30 most frequent overnight AR-DRGs.</w:t>
      </w:r>
    </w:p>
    <w:p w:rsidR="0048596A" w:rsidRPr="003E6BBA" w:rsidRDefault="0048596A" w:rsidP="0048596A">
      <w:pPr>
        <w:pStyle w:val="CGCTableHeading"/>
      </w:pPr>
      <w:r w:rsidRPr="003E6BBA">
        <w:t>Table A1</w:t>
      </w:r>
      <w:r w:rsidRPr="003E6BBA">
        <w:tab/>
        <w:t>Subset of the most frequent overnight separations in public and private hospitals by AR-DRG, 2007</w:t>
      </w:r>
      <w:r w:rsidRPr="003E6BBA">
        <w:rPr>
          <w:rFonts w:ascii="MS Gothic" w:eastAsia="MS Gothic" w:hAnsi="MS Gothic" w:cs="MS Gothic" w:hint="eastAsia"/>
        </w:rPr>
        <w:t>‑</w:t>
      </w:r>
      <w:r w:rsidRPr="003E6BBA">
        <w:t>08</w:t>
      </w:r>
    </w:p>
    <w:tbl>
      <w:tblPr>
        <w:tblW w:w="8780" w:type="dxa"/>
        <w:tblLayout w:type="fixed"/>
        <w:tblCellMar>
          <w:left w:w="0" w:type="dxa"/>
          <w:right w:w="0" w:type="dxa"/>
        </w:tblCellMar>
        <w:tblLook w:val="04A0" w:firstRow="1" w:lastRow="0" w:firstColumn="1" w:lastColumn="0" w:noHBand="0" w:noVBand="1"/>
      </w:tblPr>
      <w:tblGrid>
        <w:gridCol w:w="3680"/>
        <w:gridCol w:w="617"/>
        <w:gridCol w:w="1210"/>
        <w:gridCol w:w="668"/>
        <w:gridCol w:w="617"/>
        <w:gridCol w:w="1306"/>
        <w:gridCol w:w="682"/>
      </w:tblGrid>
      <w:tr w:rsidR="0048596A" w:rsidRPr="003E6BBA" w:rsidTr="00C1760E">
        <w:trPr>
          <w:trHeight w:val="255"/>
        </w:trPr>
        <w:tc>
          <w:tcPr>
            <w:tcW w:w="3680" w:type="dxa"/>
            <w:tcBorders>
              <w:top w:val="single" w:sz="4" w:space="0" w:color="auto"/>
              <w:left w:val="nil"/>
              <w:bottom w:val="nil"/>
              <w:right w:val="nil"/>
            </w:tcBorders>
            <w:shd w:val="clear" w:color="auto" w:fill="auto"/>
            <w:noWrap/>
            <w:vAlign w:val="center"/>
            <w:hideMark/>
          </w:tcPr>
          <w:p w:rsidR="0048596A" w:rsidRPr="003E6BBA" w:rsidRDefault="0048596A"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w:t>
            </w:r>
          </w:p>
        </w:tc>
        <w:tc>
          <w:tcPr>
            <w:tcW w:w="2495" w:type="dxa"/>
            <w:gridSpan w:val="3"/>
            <w:tcBorders>
              <w:top w:val="single" w:sz="4" w:space="0" w:color="auto"/>
              <w:left w:val="nil"/>
              <w:bottom w:val="nil"/>
              <w:right w:val="nil"/>
            </w:tcBorders>
            <w:shd w:val="clear" w:color="auto" w:fill="auto"/>
            <w:noWrap/>
            <w:vAlign w:val="center"/>
            <w:hideMark/>
          </w:tcPr>
          <w:p w:rsidR="0048596A" w:rsidRPr="003E6BBA" w:rsidRDefault="0048596A" w:rsidP="00C1760E">
            <w:pPr>
              <w:keepNext/>
              <w:keepLines/>
              <w:tabs>
                <w:tab w:val="clear" w:pos="567"/>
              </w:tabs>
              <w:spacing w:after="0" w:line="240" w:lineRule="auto"/>
              <w:ind w:left="193" w:hanging="142"/>
              <w:jc w:val="center"/>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Public hospitals</w:t>
            </w:r>
          </w:p>
        </w:tc>
        <w:tc>
          <w:tcPr>
            <w:tcW w:w="2605" w:type="dxa"/>
            <w:gridSpan w:val="3"/>
            <w:tcBorders>
              <w:top w:val="single" w:sz="4" w:space="0" w:color="auto"/>
              <w:left w:val="nil"/>
              <w:bottom w:val="nil"/>
              <w:right w:val="nil"/>
            </w:tcBorders>
            <w:shd w:val="clear" w:color="auto" w:fill="auto"/>
            <w:noWrap/>
            <w:vAlign w:val="center"/>
            <w:hideMark/>
          </w:tcPr>
          <w:p w:rsidR="0048596A" w:rsidRPr="003E6BBA" w:rsidRDefault="0048596A" w:rsidP="00C1760E">
            <w:pPr>
              <w:keepNext/>
              <w:keepLines/>
              <w:tabs>
                <w:tab w:val="clear" w:pos="567"/>
              </w:tabs>
              <w:spacing w:after="0" w:line="240" w:lineRule="auto"/>
              <w:ind w:left="193" w:hanging="142"/>
              <w:jc w:val="center"/>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Private hospitals</w:t>
            </w:r>
          </w:p>
        </w:tc>
      </w:tr>
      <w:tr w:rsidR="0048596A" w:rsidRPr="003E6BBA" w:rsidTr="00C1760E">
        <w:trPr>
          <w:trHeight w:val="510"/>
        </w:trPr>
        <w:tc>
          <w:tcPr>
            <w:tcW w:w="3680" w:type="dxa"/>
            <w:tcBorders>
              <w:top w:val="nil"/>
              <w:left w:val="nil"/>
              <w:bottom w:val="single" w:sz="4" w:space="0" w:color="auto"/>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Description</w:t>
            </w:r>
          </w:p>
        </w:tc>
        <w:tc>
          <w:tcPr>
            <w:tcW w:w="617" w:type="dxa"/>
            <w:tcBorders>
              <w:top w:val="nil"/>
              <w:left w:val="nil"/>
              <w:bottom w:val="single" w:sz="4" w:space="0" w:color="auto"/>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Rank</w:t>
            </w:r>
          </w:p>
        </w:tc>
        <w:tc>
          <w:tcPr>
            <w:tcW w:w="1210" w:type="dxa"/>
            <w:tcBorders>
              <w:top w:val="nil"/>
              <w:left w:val="nil"/>
              <w:bottom w:val="single" w:sz="4" w:space="0" w:color="auto"/>
              <w:right w:val="nil"/>
            </w:tcBorders>
            <w:shd w:val="clear" w:color="auto" w:fill="auto"/>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Number of separations</w:t>
            </w:r>
          </w:p>
        </w:tc>
        <w:tc>
          <w:tcPr>
            <w:tcW w:w="668" w:type="dxa"/>
            <w:tcBorders>
              <w:top w:val="nil"/>
              <w:left w:val="nil"/>
              <w:bottom w:val="single" w:sz="4" w:space="0" w:color="auto"/>
              <w:right w:val="nil"/>
            </w:tcBorders>
            <w:shd w:val="clear" w:color="auto" w:fill="auto"/>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Per cent</w:t>
            </w:r>
          </w:p>
        </w:tc>
        <w:tc>
          <w:tcPr>
            <w:tcW w:w="617" w:type="dxa"/>
            <w:tcBorders>
              <w:top w:val="nil"/>
              <w:left w:val="nil"/>
              <w:bottom w:val="single" w:sz="4" w:space="0" w:color="auto"/>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Rank</w:t>
            </w:r>
          </w:p>
        </w:tc>
        <w:tc>
          <w:tcPr>
            <w:tcW w:w="1306" w:type="dxa"/>
            <w:tcBorders>
              <w:top w:val="nil"/>
              <w:left w:val="nil"/>
              <w:bottom w:val="single" w:sz="4" w:space="0" w:color="auto"/>
              <w:right w:val="nil"/>
            </w:tcBorders>
            <w:shd w:val="clear" w:color="auto" w:fill="auto"/>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Number of separations</w:t>
            </w:r>
          </w:p>
        </w:tc>
        <w:tc>
          <w:tcPr>
            <w:tcW w:w="682" w:type="dxa"/>
            <w:tcBorders>
              <w:top w:val="nil"/>
              <w:left w:val="nil"/>
              <w:bottom w:val="single" w:sz="4" w:space="0" w:color="auto"/>
              <w:right w:val="nil"/>
            </w:tcBorders>
            <w:shd w:val="clear" w:color="auto" w:fill="auto"/>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Per cent</w:t>
            </w:r>
          </w:p>
        </w:tc>
      </w:tr>
      <w:tr w:rsidR="0048596A" w:rsidRPr="003E6BBA" w:rsidTr="00C1760E">
        <w:trPr>
          <w:trHeight w:val="255"/>
        </w:trPr>
        <w:tc>
          <w:tcPr>
            <w:tcW w:w="3680"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No.</w:t>
            </w:r>
          </w:p>
        </w:tc>
        <w:tc>
          <w:tcPr>
            <w:tcW w:w="1210"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No.</w:t>
            </w:r>
          </w:p>
        </w:tc>
        <w:tc>
          <w:tcPr>
            <w:tcW w:w="668" w:type="dxa"/>
            <w:tcBorders>
              <w:top w:val="nil"/>
              <w:left w:val="nil"/>
              <w:bottom w:val="nil"/>
              <w:right w:val="nil"/>
            </w:tcBorders>
            <w:shd w:val="clear" w:color="auto" w:fill="auto"/>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No.</w:t>
            </w:r>
          </w:p>
        </w:tc>
        <w:tc>
          <w:tcPr>
            <w:tcW w:w="1306"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No.</w:t>
            </w:r>
          </w:p>
        </w:tc>
        <w:tc>
          <w:tcPr>
            <w:tcW w:w="682" w:type="dxa"/>
            <w:tcBorders>
              <w:top w:val="nil"/>
              <w:left w:val="nil"/>
              <w:bottom w:val="nil"/>
              <w:right w:val="nil"/>
            </w:tcBorders>
            <w:shd w:val="clear" w:color="auto" w:fill="auto"/>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w:t>
            </w:r>
          </w:p>
        </w:tc>
      </w:tr>
      <w:tr w:rsidR="0048596A" w:rsidRPr="003E6BBA" w:rsidTr="00C1760E">
        <w:trPr>
          <w:trHeight w:val="255"/>
        </w:trPr>
        <w:tc>
          <w:tcPr>
            <w:tcW w:w="3680"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Vaginal delivery (w/o cscc)</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w:t>
            </w:r>
          </w:p>
        </w:tc>
        <w:tc>
          <w:tcPr>
            <w:tcW w:w="1210"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101 245</w:t>
            </w:r>
          </w:p>
        </w:tc>
        <w:tc>
          <w:tcPr>
            <w:tcW w:w="668"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4.5</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w:t>
            </w:r>
          </w:p>
        </w:tc>
        <w:tc>
          <w:tcPr>
            <w:tcW w:w="1306"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34 421</w:t>
            </w:r>
          </w:p>
        </w:tc>
        <w:tc>
          <w:tcPr>
            <w:tcW w:w="682"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3.4</w:t>
            </w:r>
          </w:p>
        </w:tc>
      </w:tr>
      <w:tr w:rsidR="0048596A" w:rsidRPr="003E6BBA" w:rsidTr="00C1760E">
        <w:trPr>
          <w:trHeight w:val="255"/>
        </w:trPr>
        <w:tc>
          <w:tcPr>
            <w:tcW w:w="3680"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Chest pain</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w:t>
            </w:r>
          </w:p>
        </w:tc>
        <w:tc>
          <w:tcPr>
            <w:tcW w:w="1210"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52 326</w:t>
            </w:r>
          </w:p>
        </w:tc>
        <w:tc>
          <w:tcPr>
            <w:tcW w:w="668"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2.3</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26</w:t>
            </w:r>
          </w:p>
        </w:tc>
        <w:tc>
          <w:tcPr>
            <w:tcW w:w="1306"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8 427</w:t>
            </w:r>
          </w:p>
        </w:tc>
        <w:tc>
          <w:tcPr>
            <w:tcW w:w="682"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0.8</w:t>
            </w:r>
          </w:p>
        </w:tc>
      </w:tr>
      <w:tr w:rsidR="0048596A" w:rsidRPr="003E6BBA" w:rsidTr="00C1760E">
        <w:trPr>
          <w:trHeight w:val="255"/>
        </w:trPr>
        <w:tc>
          <w:tcPr>
            <w:tcW w:w="3680"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Oesophagitis, gastroent and misc. digestive</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3</w:t>
            </w:r>
          </w:p>
        </w:tc>
        <w:tc>
          <w:tcPr>
            <w:tcW w:w="1210"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42 082</w:t>
            </w:r>
          </w:p>
        </w:tc>
        <w:tc>
          <w:tcPr>
            <w:tcW w:w="668"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1.9</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23</w:t>
            </w:r>
          </w:p>
        </w:tc>
        <w:tc>
          <w:tcPr>
            <w:tcW w:w="1306"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9 212</w:t>
            </w:r>
          </w:p>
        </w:tc>
        <w:tc>
          <w:tcPr>
            <w:tcW w:w="682"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0.9</w:t>
            </w:r>
          </w:p>
        </w:tc>
      </w:tr>
      <w:tr w:rsidR="0048596A" w:rsidRPr="003E6BBA" w:rsidTr="00C1760E">
        <w:trPr>
          <w:trHeight w:val="255"/>
        </w:trPr>
        <w:tc>
          <w:tcPr>
            <w:tcW w:w="3680"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Caesarean delivery (w/o cscc)</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4</w:t>
            </w:r>
          </w:p>
        </w:tc>
        <w:tc>
          <w:tcPr>
            <w:tcW w:w="1210"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41 510</w:t>
            </w:r>
          </w:p>
        </w:tc>
        <w:tc>
          <w:tcPr>
            <w:tcW w:w="668"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1.8</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3</w:t>
            </w:r>
          </w:p>
        </w:tc>
        <w:tc>
          <w:tcPr>
            <w:tcW w:w="1306"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28 324</w:t>
            </w:r>
          </w:p>
        </w:tc>
        <w:tc>
          <w:tcPr>
            <w:tcW w:w="682"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2.8</w:t>
            </w:r>
          </w:p>
        </w:tc>
      </w:tr>
      <w:tr w:rsidR="0048596A" w:rsidRPr="003E6BBA" w:rsidTr="00C1760E">
        <w:trPr>
          <w:trHeight w:val="255"/>
        </w:trPr>
        <w:tc>
          <w:tcPr>
            <w:tcW w:w="3680"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Cellulitis (age&gt;59 (w/o cscc)) or age&lt;60)</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5</w:t>
            </w:r>
          </w:p>
        </w:tc>
        <w:tc>
          <w:tcPr>
            <w:tcW w:w="1210"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35 070</w:t>
            </w:r>
          </w:p>
        </w:tc>
        <w:tc>
          <w:tcPr>
            <w:tcW w:w="668"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1.6</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1306"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na</w:t>
            </w:r>
          </w:p>
        </w:tc>
        <w:tc>
          <w:tcPr>
            <w:tcW w:w="682"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r>
      <w:tr w:rsidR="0048596A" w:rsidRPr="003E6BBA" w:rsidTr="00C1760E">
        <w:trPr>
          <w:trHeight w:val="255"/>
        </w:trPr>
        <w:tc>
          <w:tcPr>
            <w:tcW w:w="3680"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Antenatal and other obstetric admission</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6</w:t>
            </w:r>
          </w:p>
        </w:tc>
        <w:tc>
          <w:tcPr>
            <w:tcW w:w="1210"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33 277</w:t>
            </w:r>
          </w:p>
        </w:tc>
        <w:tc>
          <w:tcPr>
            <w:tcW w:w="668"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1.5</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25</w:t>
            </w:r>
          </w:p>
        </w:tc>
        <w:tc>
          <w:tcPr>
            <w:tcW w:w="1306"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8 504</w:t>
            </w:r>
          </w:p>
        </w:tc>
        <w:tc>
          <w:tcPr>
            <w:tcW w:w="682"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0.8</w:t>
            </w:r>
          </w:p>
        </w:tc>
      </w:tr>
      <w:tr w:rsidR="0048596A" w:rsidRPr="003E6BBA" w:rsidTr="00C1760E">
        <w:trPr>
          <w:trHeight w:val="255"/>
        </w:trPr>
        <w:tc>
          <w:tcPr>
            <w:tcW w:w="3680"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Sleep apnoea</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1210"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na</w:t>
            </w:r>
          </w:p>
        </w:tc>
        <w:tc>
          <w:tcPr>
            <w:tcW w:w="668"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w:t>
            </w:r>
          </w:p>
        </w:tc>
        <w:tc>
          <w:tcPr>
            <w:tcW w:w="1306"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34 109</w:t>
            </w:r>
          </w:p>
        </w:tc>
        <w:tc>
          <w:tcPr>
            <w:tcW w:w="682"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3.4</w:t>
            </w:r>
          </w:p>
        </w:tc>
      </w:tr>
      <w:tr w:rsidR="0048596A" w:rsidRPr="003E6BBA" w:rsidTr="00C1760E">
        <w:trPr>
          <w:trHeight w:val="255"/>
        </w:trPr>
        <w:tc>
          <w:tcPr>
            <w:tcW w:w="3680"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Other shoulder procedures</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1210"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na</w:t>
            </w:r>
          </w:p>
        </w:tc>
        <w:tc>
          <w:tcPr>
            <w:tcW w:w="668"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4</w:t>
            </w:r>
          </w:p>
        </w:tc>
        <w:tc>
          <w:tcPr>
            <w:tcW w:w="1306"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26 536</w:t>
            </w:r>
          </w:p>
        </w:tc>
        <w:tc>
          <w:tcPr>
            <w:tcW w:w="682"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2.6</w:t>
            </w:r>
          </w:p>
        </w:tc>
      </w:tr>
      <w:tr w:rsidR="0048596A" w:rsidRPr="003E6BBA" w:rsidTr="00C1760E">
        <w:trPr>
          <w:trHeight w:val="255"/>
        </w:trPr>
        <w:tc>
          <w:tcPr>
            <w:tcW w:w="3680"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Knee replacement and reattachment</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1210"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na</w:t>
            </w:r>
          </w:p>
        </w:tc>
        <w:tc>
          <w:tcPr>
            <w:tcW w:w="668"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5</w:t>
            </w:r>
          </w:p>
        </w:tc>
        <w:tc>
          <w:tcPr>
            <w:tcW w:w="1306"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22 184</w:t>
            </w:r>
          </w:p>
        </w:tc>
        <w:tc>
          <w:tcPr>
            <w:tcW w:w="682"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2.2</w:t>
            </w:r>
          </w:p>
        </w:tc>
      </w:tr>
      <w:tr w:rsidR="0048596A" w:rsidRPr="003E6BBA" w:rsidTr="00C1760E">
        <w:trPr>
          <w:trHeight w:val="255"/>
        </w:trPr>
        <w:tc>
          <w:tcPr>
            <w:tcW w:w="3680"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Inguinal and femoral hernia procedures</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1210"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na</w:t>
            </w:r>
          </w:p>
        </w:tc>
        <w:tc>
          <w:tcPr>
            <w:tcW w:w="668"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6</w:t>
            </w:r>
          </w:p>
        </w:tc>
        <w:tc>
          <w:tcPr>
            <w:tcW w:w="1306"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18 605</w:t>
            </w:r>
          </w:p>
        </w:tc>
        <w:tc>
          <w:tcPr>
            <w:tcW w:w="682" w:type="dxa"/>
            <w:tcBorders>
              <w:top w:val="nil"/>
              <w:left w:val="nil"/>
              <w:bottom w:val="nil"/>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1.8</w:t>
            </w:r>
          </w:p>
        </w:tc>
      </w:tr>
      <w:tr w:rsidR="0048596A" w:rsidRPr="003E6BBA" w:rsidTr="00C1760E">
        <w:trPr>
          <w:trHeight w:val="255"/>
        </w:trPr>
        <w:tc>
          <w:tcPr>
            <w:tcW w:w="3680" w:type="dxa"/>
            <w:tcBorders>
              <w:top w:val="nil"/>
              <w:left w:val="nil"/>
              <w:bottom w:val="single" w:sz="4" w:space="0" w:color="auto"/>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Tonsillectomy and/or adenoidectomy</w:t>
            </w:r>
          </w:p>
        </w:tc>
        <w:tc>
          <w:tcPr>
            <w:tcW w:w="617" w:type="dxa"/>
            <w:tcBorders>
              <w:top w:val="nil"/>
              <w:left w:val="nil"/>
              <w:bottom w:val="single" w:sz="4" w:space="0" w:color="auto"/>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w:t>
            </w:r>
          </w:p>
        </w:tc>
        <w:tc>
          <w:tcPr>
            <w:tcW w:w="1210" w:type="dxa"/>
            <w:tcBorders>
              <w:top w:val="nil"/>
              <w:left w:val="nil"/>
              <w:bottom w:val="single" w:sz="4" w:space="0" w:color="auto"/>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na</w:t>
            </w:r>
          </w:p>
        </w:tc>
        <w:tc>
          <w:tcPr>
            <w:tcW w:w="668" w:type="dxa"/>
            <w:tcBorders>
              <w:top w:val="nil"/>
              <w:left w:val="nil"/>
              <w:bottom w:val="single" w:sz="4" w:space="0" w:color="auto"/>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w:t>
            </w:r>
          </w:p>
        </w:tc>
        <w:tc>
          <w:tcPr>
            <w:tcW w:w="617" w:type="dxa"/>
            <w:tcBorders>
              <w:top w:val="nil"/>
              <w:left w:val="nil"/>
              <w:bottom w:val="single" w:sz="4" w:space="0" w:color="auto"/>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7</w:t>
            </w:r>
          </w:p>
        </w:tc>
        <w:tc>
          <w:tcPr>
            <w:tcW w:w="1306" w:type="dxa"/>
            <w:tcBorders>
              <w:top w:val="nil"/>
              <w:left w:val="nil"/>
              <w:bottom w:val="single" w:sz="4" w:space="0" w:color="auto"/>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17 619</w:t>
            </w:r>
          </w:p>
        </w:tc>
        <w:tc>
          <w:tcPr>
            <w:tcW w:w="682" w:type="dxa"/>
            <w:tcBorders>
              <w:top w:val="nil"/>
              <w:left w:val="nil"/>
              <w:bottom w:val="single" w:sz="4" w:space="0" w:color="auto"/>
              <w:right w:val="nil"/>
            </w:tcBorders>
            <w:shd w:val="clear" w:color="auto" w:fill="auto"/>
            <w:noWrap/>
            <w:vAlign w:val="bottom"/>
            <w:hideMark/>
          </w:tcPr>
          <w:p w:rsidR="0048596A" w:rsidRPr="003E6BBA" w:rsidRDefault="0048596A" w:rsidP="00C1760E">
            <w:pPr>
              <w:keepNext/>
              <w:keepLines/>
              <w:tabs>
                <w:tab w:val="clear" w:pos="567"/>
              </w:tabs>
              <w:spacing w:after="0" w:line="240" w:lineRule="auto"/>
              <w:ind w:left="193" w:hanging="142"/>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1.7</w:t>
            </w:r>
          </w:p>
        </w:tc>
      </w:tr>
    </w:tbl>
    <w:p w:rsidR="0048596A" w:rsidRPr="003E6BBA" w:rsidRDefault="0048596A" w:rsidP="0048596A">
      <w:pPr>
        <w:pStyle w:val="CGCTableFootnote"/>
      </w:pPr>
      <w:r w:rsidRPr="003E6BBA">
        <w:t>Source:</w:t>
      </w:r>
      <w:r w:rsidRPr="003E6BBA">
        <w:tab/>
        <w:t xml:space="preserve">Productivity Commission </w:t>
      </w:r>
      <w:r w:rsidRPr="003E6BBA">
        <w:rPr>
          <w:i/>
        </w:rPr>
        <w:t>Public and private hospitals</w:t>
      </w:r>
      <w:r w:rsidRPr="003E6BBA">
        <w:t>, 2009.</w:t>
      </w:r>
    </w:p>
    <w:p w:rsidR="0048596A" w:rsidRPr="003E6BBA" w:rsidRDefault="0048596A" w:rsidP="0048596A">
      <w:pPr>
        <w:pStyle w:val="CGCNumberedPara"/>
      </w:pPr>
      <w:r w:rsidRPr="003E6BBA">
        <w:t>Table A2 provides a subset of the 30 most frequent same-day AR-DRGs.</w:t>
      </w:r>
    </w:p>
    <w:p w:rsidR="0048596A" w:rsidRPr="003E6BBA" w:rsidRDefault="0048596A" w:rsidP="0048596A">
      <w:pPr>
        <w:pStyle w:val="CGCTableHeading"/>
      </w:pPr>
      <w:r w:rsidRPr="003E6BBA">
        <w:t>Table A2</w:t>
      </w:r>
      <w:r w:rsidRPr="003E6BBA">
        <w:tab/>
        <w:t>Subset of the most frequent same-day separations in public and private hospitals by AR-DRG, 2007</w:t>
      </w:r>
      <w:r w:rsidRPr="003E6BBA">
        <w:rPr>
          <w:rFonts w:ascii="MS Gothic" w:eastAsia="MS Gothic" w:hAnsi="MS Gothic" w:cs="MS Gothic" w:hint="eastAsia"/>
        </w:rPr>
        <w:t>‑</w:t>
      </w:r>
      <w:r w:rsidRPr="003E6BBA">
        <w:t>08</w:t>
      </w:r>
    </w:p>
    <w:tbl>
      <w:tblPr>
        <w:tblW w:w="8780" w:type="dxa"/>
        <w:tblInd w:w="93" w:type="dxa"/>
        <w:tblLook w:val="04A0" w:firstRow="1" w:lastRow="0" w:firstColumn="1" w:lastColumn="0" w:noHBand="0" w:noVBand="1"/>
      </w:tblPr>
      <w:tblGrid>
        <w:gridCol w:w="3680"/>
        <w:gridCol w:w="617"/>
        <w:gridCol w:w="1210"/>
        <w:gridCol w:w="668"/>
        <w:gridCol w:w="617"/>
        <w:gridCol w:w="1306"/>
        <w:gridCol w:w="682"/>
      </w:tblGrid>
      <w:tr w:rsidR="0048596A" w:rsidRPr="003E6BBA" w:rsidTr="00C1760E">
        <w:trPr>
          <w:trHeight w:val="255"/>
        </w:trPr>
        <w:tc>
          <w:tcPr>
            <w:tcW w:w="3680" w:type="dxa"/>
            <w:tcBorders>
              <w:top w:val="single" w:sz="4" w:space="0" w:color="auto"/>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w:t>
            </w:r>
          </w:p>
        </w:tc>
        <w:tc>
          <w:tcPr>
            <w:tcW w:w="2495" w:type="dxa"/>
            <w:gridSpan w:val="3"/>
            <w:tcBorders>
              <w:top w:val="single" w:sz="4" w:space="0" w:color="auto"/>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center"/>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Public hospitals</w:t>
            </w:r>
          </w:p>
        </w:tc>
        <w:tc>
          <w:tcPr>
            <w:tcW w:w="2605" w:type="dxa"/>
            <w:gridSpan w:val="3"/>
            <w:tcBorders>
              <w:top w:val="single" w:sz="4" w:space="0" w:color="auto"/>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center"/>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Private hospitals</w:t>
            </w:r>
          </w:p>
        </w:tc>
      </w:tr>
      <w:tr w:rsidR="0048596A" w:rsidRPr="003E6BBA" w:rsidTr="00C1760E">
        <w:trPr>
          <w:trHeight w:val="510"/>
        </w:trPr>
        <w:tc>
          <w:tcPr>
            <w:tcW w:w="3680" w:type="dxa"/>
            <w:tcBorders>
              <w:top w:val="nil"/>
              <w:left w:val="nil"/>
              <w:bottom w:val="single" w:sz="4" w:space="0" w:color="auto"/>
              <w:right w:val="nil"/>
            </w:tcBorders>
            <w:shd w:val="clear" w:color="auto" w:fill="auto"/>
            <w:noWrap/>
            <w:vAlign w:val="bottom"/>
            <w:hideMark/>
          </w:tcPr>
          <w:p w:rsidR="0048596A" w:rsidRPr="003E6BBA" w:rsidRDefault="0048596A" w:rsidP="00C1760E">
            <w:pPr>
              <w:keepNext/>
              <w:tabs>
                <w:tab w:val="clear" w:pos="567"/>
              </w:tabs>
              <w:spacing w:after="0" w:line="240" w:lineRule="auto"/>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Description</w:t>
            </w:r>
          </w:p>
        </w:tc>
        <w:tc>
          <w:tcPr>
            <w:tcW w:w="617" w:type="dxa"/>
            <w:tcBorders>
              <w:top w:val="nil"/>
              <w:left w:val="nil"/>
              <w:bottom w:val="single" w:sz="4" w:space="0" w:color="auto"/>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Rank</w:t>
            </w:r>
          </w:p>
        </w:tc>
        <w:tc>
          <w:tcPr>
            <w:tcW w:w="1210" w:type="dxa"/>
            <w:tcBorders>
              <w:top w:val="nil"/>
              <w:left w:val="nil"/>
              <w:bottom w:val="single" w:sz="4" w:space="0" w:color="auto"/>
              <w:right w:val="nil"/>
            </w:tcBorders>
            <w:shd w:val="clear" w:color="auto" w:fill="auto"/>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Number of separations</w:t>
            </w:r>
          </w:p>
        </w:tc>
        <w:tc>
          <w:tcPr>
            <w:tcW w:w="668" w:type="dxa"/>
            <w:tcBorders>
              <w:top w:val="nil"/>
              <w:left w:val="nil"/>
              <w:bottom w:val="single" w:sz="4" w:space="0" w:color="auto"/>
              <w:right w:val="nil"/>
            </w:tcBorders>
            <w:shd w:val="clear" w:color="auto" w:fill="auto"/>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Per cent</w:t>
            </w:r>
          </w:p>
        </w:tc>
        <w:tc>
          <w:tcPr>
            <w:tcW w:w="617" w:type="dxa"/>
            <w:tcBorders>
              <w:top w:val="nil"/>
              <w:left w:val="nil"/>
              <w:bottom w:val="single" w:sz="4" w:space="0" w:color="auto"/>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Rank</w:t>
            </w:r>
          </w:p>
        </w:tc>
        <w:tc>
          <w:tcPr>
            <w:tcW w:w="1306" w:type="dxa"/>
            <w:tcBorders>
              <w:top w:val="nil"/>
              <w:left w:val="nil"/>
              <w:bottom w:val="single" w:sz="4" w:space="0" w:color="auto"/>
              <w:right w:val="nil"/>
            </w:tcBorders>
            <w:shd w:val="clear" w:color="auto" w:fill="auto"/>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Number of separations</w:t>
            </w:r>
          </w:p>
        </w:tc>
        <w:tc>
          <w:tcPr>
            <w:tcW w:w="682" w:type="dxa"/>
            <w:tcBorders>
              <w:top w:val="nil"/>
              <w:left w:val="nil"/>
              <w:bottom w:val="single" w:sz="4" w:space="0" w:color="auto"/>
              <w:right w:val="nil"/>
            </w:tcBorders>
            <w:shd w:val="clear" w:color="auto" w:fill="auto"/>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Per cent</w:t>
            </w:r>
          </w:p>
        </w:tc>
      </w:tr>
      <w:tr w:rsidR="0048596A" w:rsidRPr="003E6BBA" w:rsidTr="00C1760E">
        <w:trPr>
          <w:trHeight w:val="255"/>
        </w:trPr>
        <w:tc>
          <w:tcPr>
            <w:tcW w:w="3680"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rPr>
                <w:rFonts w:ascii="Calibri" w:eastAsia="Times New Roman" w:hAnsi="Calibri" w:cs="Times New Roman"/>
                <w:color w:val="000000"/>
                <w:sz w:val="20"/>
                <w:szCs w:val="20"/>
                <w:lang w:eastAsia="en-AU"/>
              </w:rPr>
            </w:pP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No.</w:t>
            </w:r>
          </w:p>
        </w:tc>
        <w:tc>
          <w:tcPr>
            <w:tcW w:w="1210"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No.</w:t>
            </w:r>
          </w:p>
        </w:tc>
        <w:tc>
          <w:tcPr>
            <w:tcW w:w="668" w:type="dxa"/>
            <w:tcBorders>
              <w:top w:val="nil"/>
              <w:left w:val="nil"/>
              <w:bottom w:val="nil"/>
              <w:right w:val="nil"/>
            </w:tcBorders>
            <w:shd w:val="clear" w:color="auto" w:fill="auto"/>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No.</w:t>
            </w:r>
          </w:p>
        </w:tc>
        <w:tc>
          <w:tcPr>
            <w:tcW w:w="1306"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No.</w:t>
            </w:r>
          </w:p>
        </w:tc>
        <w:tc>
          <w:tcPr>
            <w:tcW w:w="682" w:type="dxa"/>
            <w:tcBorders>
              <w:top w:val="nil"/>
              <w:left w:val="nil"/>
              <w:bottom w:val="nil"/>
              <w:right w:val="nil"/>
            </w:tcBorders>
            <w:shd w:val="clear" w:color="auto" w:fill="auto"/>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w:t>
            </w:r>
          </w:p>
        </w:tc>
      </w:tr>
      <w:tr w:rsidR="0048596A" w:rsidRPr="003E6BBA" w:rsidTr="00C1760E">
        <w:trPr>
          <w:trHeight w:val="255"/>
        </w:trPr>
        <w:tc>
          <w:tcPr>
            <w:tcW w:w="3680"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Admit for renal dialysis</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w:t>
            </w:r>
          </w:p>
        </w:tc>
        <w:tc>
          <w:tcPr>
            <w:tcW w:w="1210"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815 622</w:t>
            </w:r>
          </w:p>
        </w:tc>
        <w:tc>
          <w:tcPr>
            <w:tcW w:w="668"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34.8</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3</w:t>
            </w:r>
          </w:p>
        </w:tc>
        <w:tc>
          <w:tcPr>
            <w:tcW w:w="1306"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164 469</w:t>
            </w:r>
          </w:p>
        </w:tc>
        <w:tc>
          <w:tcPr>
            <w:tcW w:w="682"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8.3</w:t>
            </w:r>
          </w:p>
        </w:tc>
      </w:tr>
      <w:tr w:rsidR="0048596A" w:rsidRPr="003E6BBA" w:rsidTr="00C1760E">
        <w:trPr>
          <w:trHeight w:val="255"/>
        </w:trPr>
        <w:tc>
          <w:tcPr>
            <w:tcW w:w="3680"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Chemotherapy</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w:t>
            </w:r>
          </w:p>
        </w:tc>
        <w:tc>
          <w:tcPr>
            <w:tcW w:w="1210"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121 703</w:t>
            </w:r>
          </w:p>
        </w:tc>
        <w:tc>
          <w:tcPr>
            <w:tcW w:w="668"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5.2</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w:t>
            </w:r>
          </w:p>
        </w:tc>
        <w:tc>
          <w:tcPr>
            <w:tcW w:w="1306"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176 290</w:t>
            </w:r>
          </w:p>
        </w:tc>
        <w:tc>
          <w:tcPr>
            <w:tcW w:w="682"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8.9</w:t>
            </w:r>
          </w:p>
        </w:tc>
      </w:tr>
      <w:tr w:rsidR="0048596A" w:rsidRPr="003E6BBA" w:rsidTr="00C1760E">
        <w:trPr>
          <w:trHeight w:val="255"/>
        </w:trPr>
        <w:tc>
          <w:tcPr>
            <w:tcW w:w="3680"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Other (non-complex) colonoscopy</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3</w:t>
            </w:r>
          </w:p>
        </w:tc>
        <w:tc>
          <w:tcPr>
            <w:tcW w:w="1210"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53 385</w:t>
            </w:r>
          </w:p>
        </w:tc>
        <w:tc>
          <w:tcPr>
            <w:tcW w:w="668"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2.3</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w:t>
            </w:r>
          </w:p>
        </w:tc>
        <w:tc>
          <w:tcPr>
            <w:tcW w:w="1306"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169 234</w:t>
            </w:r>
          </w:p>
        </w:tc>
        <w:tc>
          <w:tcPr>
            <w:tcW w:w="682"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8.5</w:t>
            </w:r>
          </w:p>
        </w:tc>
      </w:tr>
      <w:tr w:rsidR="0048596A" w:rsidRPr="003E6BBA" w:rsidTr="00C1760E">
        <w:trPr>
          <w:trHeight w:val="255"/>
        </w:trPr>
        <w:tc>
          <w:tcPr>
            <w:tcW w:w="3680"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Lens procedures</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4</w:t>
            </w:r>
          </w:p>
        </w:tc>
        <w:tc>
          <w:tcPr>
            <w:tcW w:w="1210"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51 907</w:t>
            </w:r>
          </w:p>
        </w:tc>
        <w:tc>
          <w:tcPr>
            <w:tcW w:w="668"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2.2</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4</w:t>
            </w:r>
          </w:p>
        </w:tc>
        <w:tc>
          <w:tcPr>
            <w:tcW w:w="1306"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121 181</w:t>
            </w:r>
          </w:p>
        </w:tc>
        <w:tc>
          <w:tcPr>
            <w:tcW w:w="682"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6.1</w:t>
            </w:r>
          </w:p>
        </w:tc>
      </w:tr>
      <w:tr w:rsidR="0048596A" w:rsidRPr="003E6BBA" w:rsidTr="00C1760E">
        <w:trPr>
          <w:trHeight w:val="255"/>
        </w:trPr>
        <w:tc>
          <w:tcPr>
            <w:tcW w:w="3680"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Antenatal and other obstetric admission</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5</w:t>
            </w:r>
          </w:p>
        </w:tc>
        <w:tc>
          <w:tcPr>
            <w:tcW w:w="1210"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45 835</w:t>
            </w:r>
          </w:p>
        </w:tc>
        <w:tc>
          <w:tcPr>
            <w:tcW w:w="668"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2.0</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rPr>
                <w:rFonts w:ascii="Calibri" w:eastAsia="Times New Roman" w:hAnsi="Calibri" w:cs="Times New Roman"/>
                <w:color w:val="000000"/>
                <w:sz w:val="20"/>
                <w:szCs w:val="20"/>
                <w:lang w:eastAsia="en-AU"/>
              </w:rPr>
            </w:pPr>
          </w:p>
        </w:tc>
        <w:tc>
          <w:tcPr>
            <w:tcW w:w="1306"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na</w:t>
            </w:r>
          </w:p>
        </w:tc>
        <w:tc>
          <w:tcPr>
            <w:tcW w:w="682"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rPr>
                <w:rFonts w:ascii="Calibri" w:eastAsia="Times New Roman" w:hAnsi="Calibri" w:cs="Times New Roman"/>
                <w:color w:val="000000"/>
                <w:sz w:val="20"/>
                <w:szCs w:val="20"/>
                <w:lang w:eastAsia="en-AU"/>
              </w:rPr>
            </w:pPr>
          </w:p>
        </w:tc>
      </w:tr>
      <w:tr w:rsidR="0048596A" w:rsidRPr="003E6BBA" w:rsidTr="00C1760E">
        <w:trPr>
          <w:trHeight w:val="255"/>
        </w:trPr>
        <w:tc>
          <w:tcPr>
            <w:tcW w:w="3680"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Other factors influencing health status</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6</w:t>
            </w:r>
          </w:p>
        </w:tc>
        <w:tc>
          <w:tcPr>
            <w:tcW w:w="1210"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45 378</w:t>
            </w:r>
          </w:p>
        </w:tc>
        <w:tc>
          <w:tcPr>
            <w:tcW w:w="668"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1.9</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8</w:t>
            </w:r>
          </w:p>
        </w:tc>
        <w:tc>
          <w:tcPr>
            <w:tcW w:w="1306"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77 046</w:t>
            </w:r>
          </w:p>
        </w:tc>
        <w:tc>
          <w:tcPr>
            <w:tcW w:w="682"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3.9</w:t>
            </w:r>
          </w:p>
        </w:tc>
      </w:tr>
      <w:tr w:rsidR="0048596A" w:rsidRPr="003E6BBA" w:rsidTr="00C1760E">
        <w:trPr>
          <w:trHeight w:val="255"/>
        </w:trPr>
        <w:tc>
          <w:tcPr>
            <w:tcW w:w="3680"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Chest pain</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7</w:t>
            </w:r>
          </w:p>
        </w:tc>
        <w:tc>
          <w:tcPr>
            <w:tcW w:w="1210"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36 115</w:t>
            </w:r>
          </w:p>
        </w:tc>
        <w:tc>
          <w:tcPr>
            <w:tcW w:w="668"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1.5</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rPr>
                <w:rFonts w:ascii="Calibri" w:eastAsia="Times New Roman" w:hAnsi="Calibri" w:cs="Times New Roman"/>
                <w:color w:val="000000"/>
                <w:sz w:val="20"/>
                <w:szCs w:val="20"/>
                <w:lang w:eastAsia="en-AU"/>
              </w:rPr>
            </w:pPr>
          </w:p>
        </w:tc>
        <w:tc>
          <w:tcPr>
            <w:tcW w:w="1306"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na</w:t>
            </w:r>
          </w:p>
        </w:tc>
        <w:tc>
          <w:tcPr>
            <w:tcW w:w="682"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rPr>
                <w:rFonts w:ascii="Calibri" w:eastAsia="Times New Roman" w:hAnsi="Calibri" w:cs="Times New Roman"/>
                <w:color w:val="000000"/>
                <w:sz w:val="20"/>
                <w:szCs w:val="20"/>
                <w:lang w:eastAsia="en-AU"/>
              </w:rPr>
            </w:pPr>
          </w:p>
        </w:tc>
      </w:tr>
      <w:tr w:rsidR="0048596A" w:rsidRPr="003E6BBA" w:rsidTr="00C1760E">
        <w:trPr>
          <w:trHeight w:val="255"/>
        </w:trPr>
        <w:tc>
          <w:tcPr>
            <w:tcW w:w="3680"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Other gastroscopy for non-major digestive</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8</w:t>
            </w:r>
          </w:p>
        </w:tc>
        <w:tc>
          <w:tcPr>
            <w:tcW w:w="1210"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34 160</w:t>
            </w:r>
          </w:p>
        </w:tc>
        <w:tc>
          <w:tcPr>
            <w:tcW w:w="668"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1.5</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5</w:t>
            </w:r>
          </w:p>
        </w:tc>
        <w:tc>
          <w:tcPr>
            <w:tcW w:w="1306"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97 758</w:t>
            </w:r>
          </w:p>
        </w:tc>
        <w:tc>
          <w:tcPr>
            <w:tcW w:w="682"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4.9</w:t>
            </w:r>
          </w:p>
        </w:tc>
      </w:tr>
      <w:tr w:rsidR="0048596A" w:rsidRPr="003E6BBA" w:rsidTr="00C1760E">
        <w:trPr>
          <w:trHeight w:val="255"/>
        </w:trPr>
        <w:tc>
          <w:tcPr>
            <w:tcW w:w="3680"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Complex gastroscopy</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13</w:t>
            </w:r>
          </w:p>
        </w:tc>
        <w:tc>
          <w:tcPr>
            <w:tcW w:w="1210"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23 513</w:t>
            </w:r>
          </w:p>
        </w:tc>
        <w:tc>
          <w:tcPr>
            <w:tcW w:w="668"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1.0</w:t>
            </w:r>
          </w:p>
        </w:tc>
        <w:tc>
          <w:tcPr>
            <w:tcW w:w="617"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7</w:t>
            </w:r>
          </w:p>
        </w:tc>
        <w:tc>
          <w:tcPr>
            <w:tcW w:w="1306"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89 533</w:t>
            </w:r>
          </w:p>
        </w:tc>
        <w:tc>
          <w:tcPr>
            <w:tcW w:w="682" w:type="dxa"/>
            <w:tcBorders>
              <w:top w:val="nil"/>
              <w:left w:val="nil"/>
              <w:bottom w:val="nil"/>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4.5</w:t>
            </w:r>
          </w:p>
        </w:tc>
      </w:tr>
      <w:tr w:rsidR="0048596A" w:rsidRPr="003E6BBA" w:rsidTr="00C1760E">
        <w:trPr>
          <w:trHeight w:val="255"/>
        </w:trPr>
        <w:tc>
          <w:tcPr>
            <w:tcW w:w="3680" w:type="dxa"/>
            <w:tcBorders>
              <w:top w:val="nil"/>
              <w:left w:val="nil"/>
              <w:bottom w:val="single" w:sz="4" w:space="0" w:color="auto"/>
              <w:right w:val="nil"/>
            </w:tcBorders>
            <w:shd w:val="clear" w:color="auto" w:fill="auto"/>
            <w:noWrap/>
            <w:vAlign w:val="bottom"/>
            <w:hideMark/>
          </w:tcPr>
          <w:p w:rsidR="0048596A" w:rsidRPr="003E6BBA" w:rsidRDefault="0048596A" w:rsidP="00C1760E">
            <w:pPr>
              <w:keepNext/>
              <w:tabs>
                <w:tab w:val="clear" w:pos="567"/>
              </w:tabs>
              <w:spacing w:after="0" w:line="240" w:lineRule="auto"/>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Dental extractions and restorations</w:t>
            </w:r>
          </w:p>
        </w:tc>
        <w:tc>
          <w:tcPr>
            <w:tcW w:w="617" w:type="dxa"/>
            <w:tcBorders>
              <w:top w:val="nil"/>
              <w:left w:val="nil"/>
              <w:bottom w:val="single" w:sz="4" w:space="0" w:color="auto"/>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15</w:t>
            </w:r>
          </w:p>
        </w:tc>
        <w:tc>
          <w:tcPr>
            <w:tcW w:w="1210" w:type="dxa"/>
            <w:tcBorders>
              <w:top w:val="nil"/>
              <w:left w:val="nil"/>
              <w:bottom w:val="single" w:sz="4" w:space="0" w:color="auto"/>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22 983</w:t>
            </w:r>
          </w:p>
        </w:tc>
        <w:tc>
          <w:tcPr>
            <w:tcW w:w="668" w:type="dxa"/>
            <w:tcBorders>
              <w:top w:val="nil"/>
              <w:left w:val="nil"/>
              <w:bottom w:val="single" w:sz="4" w:space="0" w:color="auto"/>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1.0</w:t>
            </w:r>
          </w:p>
        </w:tc>
        <w:tc>
          <w:tcPr>
            <w:tcW w:w="617" w:type="dxa"/>
            <w:tcBorders>
              <w:top w:val="nil"/>
              <w:left w:val="nil"/>
              <w:bottom w:val="single" w:sz="4" w:space="0" w:color="auto"/>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6</w:t>
            </w:r>
          </w:p>
        </w:tc>
        <w:tc>
          <w:tcPr>
            <w:tcW w:w="1306" w:type="dxa"/>
            <w:tcBorders>
              <w:top w:val="nil"/>
              <w:left w:val="nil"/>
              <w:bottom w:val="single" w:sz="4" w:space="0" w:color="auto"/>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 xml:space="preserve"> 91 399</w:t>
            </w:r>
          </w:p>
        </w:tc>
        <w:tc>
          <w:tcPr>
            <w:tcW w:w="682" w:type="dxa"/>
            <w:tcBorders>
              <w:top w:val="nil"/>
              <w:left w:val="nil"/>
              <w:bottom w:val="single" w:sz="4" w:space="0" w:color="auto"/>
              <w:right w:val="nil"/>
            </w:tcBorders>
            <w:shd w:val="clear" w:color="auto" w:fill="auto"/>
            <w:noWrap/>
            <w:vAlign w:val="bottom"/>
            <w:hideMark/>
          </w:tcPr>
          <w:p w:rsidR="0048596A" w:rsidRPr="003E6BBA" w:rsidRDefault="0048596A" w:rsidP="00C1760E">
            <w:pPr>
              <w:keepNext/>
              <w:tabs>
                <w:tab w:val="clear" w:pos="567"/>
              </w:tabs>
              <w:spacing w:after="0" w:line="240" w:lineRule="auto"/>
              <w:jc w:val="right"/>
              <w:rPr>
                <w:rFonts w:ascii="Calibri" w:eastAsia="Times New Roman" w:hAnsi="Calibri" w:cs="Times New Roman"/>
                <w:color w:val="000000"/>
                <w:sz w:val="20"/>
                <w:szCs w:val="20"/>
                <w:lang w:eastAsia="en-AU"/>
              </w:rPr>
            </w:pPr>
            <w:r w:rsidRPr="003E6BBA">
              <w:rPr>
                <w:rFonts w:ascii="Calibri" w:eastAsia="Times New Roman" w:hAnsi="Calibri" w:cs="Times New Roman"/>
                <w:color w:val="000000"/>
                <w:sz w:val="20"/>
                <w:szCs w:val="20"/>
                <w:lang w:eastAsia="en-AU"/>
              </w:rPr>
              <w:t>4.6</w:t>
            </w:r>
          </w:p>
        </w:tc>
      </w:tr>
    </w:tbl>
    <w:p w:rsidR="0048596A" w:rsidRPr="003E6BBA" w:rsidRDefault="0048596A" w:rsidP="0048596A">
      <w:pPr>
        <w:pStyle w:val="CGCTableFootnote"/>
        <w:ind w:left="0" w:firstLine="0"/>
      </w:pPr>
      <w:r w:rsidRPr="003E6BBA">
        <w:t>Source:</w:t>
      </w:r>
      <w:r w:rsidRPr="003E6BBA">
        <w:tab/>
        <w:t xml:space="preserve">Productivity Commission </w:t>
      </w:r>
      <w:r w:rsidRPr="003E6BBA">
        <w:rPr>
          <w:i/>
        </w:rPr>
        <w:t>Public and private hospitals</w:t>
      </w:r>
      <w:r w:rsidRPr="003E6BBA">
        <w:t>, 2009.</w:t>
      </w:r>
    </w:p>
    <w:sectPr w:rsidR="0048596A" w:rsidRPr="003E6BBA" w:rsidSect="003E6BBA">
      <w:footerReference w:type="default" r:id="rId12"/>
      <w:footerReference w:type="first" r:id="rId13"/>
      <w:pgSz w:w="11899" w:h="16838" w:code="9"/>
      <w:pgMar w:top="1701" w:right="1474" w:bottom="1701" w:left="1474" w:header="709" w:footer="709"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F43" w:rsidRDefault="00B95F43" w:rsidP="00410163">
      <w:pPr>
        <w:spacing w:after="0" w:line="240" w:lineRule="auto"/>
      </w:pPr>
      <w:r>
        <w:separator/>
      </w:r>
    </w:p>
  </w:endnote>
  <w:endnote w:type="continuationSeparator" w:id="0">
    <w:p w:rsidR="00B95F43" w:rsidRDefault="00B95F43" w:rsidP="0041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toneSerifStd-Medium">
    <w:altName w:val="MS Mincho"/>
    <w:panose1 w:val="00000000000000000000"/>
    <w:charset w:val="80"/>
    <w:family w:val="roman"/>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43" w:rsidRPr="00410163" w:rsidRDefault="00B95F43" w:rsidP="00410163">
    <w:pPr>
      <w:pStyle w:val="Footer"/>
      <w:tabs>
        <w:tab w:val="clear" w:pos="4513"/>
        <w:tab w:val="right" w:pos="8931"/>
      </w:tabs>
      <w:rPr>
        <w:rFonts w:cstheme="minorHAnsi"/>
      </w:rPr>
    </w:pPr>
    <w:r w:rsidRPr="00410163">
      <w:rPr>
        <w:rFonts w:cstheme="minorHAnsi"/>
      </w:rPr>
      <w:ptab w:relativeTo="margin" w:alignment="center" w:leader="none"/>
    </w:r>
    <w:r w:rsidRPr="00410163">
      <w:rPr>
        <w:rFonts w:cstheme="minorHAnsi"/>
      </w:rPr>
      <w:ptab w:relativeTo="margin" w:alignment="right" w:leader="none"/>
    </w:r>
    <w:r>
      <w:rPr>
        <w:rFonts w:cstheme="minorHAnsi"/>
      </w:rPr>
      <w:fldChar w:fldCharType="begin"/>
    </w:r>
    <w:r>
      <w:rPr>
        <w:rFonts w:cstheme="minorHAnsi"/>
      </w:rPr>
      <w:instrText xml:space="preserve"> PAGE \* MERGEFORMAT </w:instrText>
    </w:r>
    <w:r>
      <w:rPr>
        <w:rFonts w:cstheme="minorHAnsi"/>
      </w:rPr>
      <w:fldChar w:fldCharType="separate"/>
    </w:r>
    <w:r w:rsidR="00DC6FC3">
      <w:rPr>
        <w:rFonts w:cstheme="minorHAnsi"/>
        <w:noProof/>
      </w:rPr>
      <w:t>25</w:t>
    </w:r>
    <w:r>
      <w:rPr>
        <w:rFonts w:cstheme="minorHAns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43" w:rsidRDefault="00B95F43" w:rsidP="00410163">
    <w:pPr>
      <w:pStyle w:val="Footer"/>
      <w:tabs>
        <w:tab w:val="clear" w:pos="4513"/>
      </w:tabs>
    </w:pPr>
    <w:r>
      <w:tab/>
    </w:r>
    <w:r w:rsidR="00F15D2D">
      <w:fldChar w:fldCharType="begin"/>
    </w:r>
    <w:r w:rsidR="00F15D2D">
      <w:instrText xml:space="preserve"> PAGE   \* MERGEFORMAT </w:instrText>
    </w:r>
    <w:r w:rsidR="00F15D2D">
      <w:fldChar w:fldCharType="separate"/>
    </w:r>
    <w:r w:rsidR="00DC6FC3">
      <w:rPr>
        <w:noProof/>
      </w:rPr>
      <w:t>1</w:t>
    </w:r>
    <w:r w:rsidR="00F15D2D">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43" w:rsidRPr="0011178C" w:rsidRDefault="00B95F43" w:rsidP="003E6BBA">
    <w:pPr>
      <w:pStyle w:val="Footer"/>
      <w:jc w:val="right"/>
    </w:pPr>
    <w:r>
      <w:fldChar w:fldCharType="begin"/>
    </w:r>
    <w:r>
      <w:instrText xml:space="preserve"> PAGE  \* Arabic  \* MERGEFORMAT </w:instrText>
    </w:r>
    <w:r>
      <w:fldChar w:fldCharType="separate"/>
    </w:r>
    <w:r>
      <w:rPr>
        <w:noProof/>
      </w:rPr>
      <w:t>28</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43" w:rsidRPr="007E487F" w:rsidRDefault="00B95F43" w:rsidP="003E6BBA">
    <w:pPr>
      <w:pStyle w:val="Footer"/>
      <w:tabs>
        <w:tab w:val="right" w:pos="8931"/>
      </w:tabs>
      <w:rPr>
        <w:sz w:val="20"/>
        <w:szCs w:val="20"/>
      </w:rPr>
    </w:pPr>
    <w:r>
      <w:rPr>
        <w:sz w:val="20"/>
        <w:szCs w:val="20"/>
      </w:rPr>
      <w:fldChar w:fldCharType="begin"/>
    </w:r>
    <w:r>
      <w:rPr>
        <w:sz w:val="20"/>
        <w:szCs w:val="20"/>
      </w:rPr>
      <w:instrText xml:space="preserve"> FILENAME \p </w:instrText>
    </w:r>
    <w:r>
      <w:rPr>
        <w:sz w:val="20"/>
        <w:szCs w:val="20"/>
      </w:rPr>
      <w:fldChar w:fldCharType="separate"/>
    </w:r>
    <w:r w:rsidR="00DC6FC3">
      <w:rPr>
        <w:noProof/>
        <w:sz w:val="20"/>
        <w:szCs w:val="20"/>
      </w:rPr>
      <w:t>I:\R2015\Discussion papers\FINALS\CGC Health substitutability.docx</w:t>
    </w:r>
    <w:r>
      <w:rPr>
        <w:sz w:val="20"/>
        <w:szCs w:val="20"/>
      </w:rPr>
      <w:fldChar w:fldCharType="end"/>
    </w:r>
    <w:r>
      <w:rPr>
        <w:sz w:val="20"/>
        <w:szCs w:val="20"/>
      </w:rPr>
      <w:tab/>
    </w:r>
    <w:r>
      <w:rPr>
        <w:sz w:val="20"/>
        <w:szCs w:val="20"/>
      </w:rPr>
      <w:tab/>
    </w:r>
    <w:r>
      <w:fldChar w:fldCharType="begin"/>
    </w:r>
    <w:r>
      <w:instrText xml:space="preserve"> PAGE   \* MERGEFORMAT </w:instrText>
    </w:r>
    <w:r>
      <w:fldChar w:fldCharType="separate"/>
    </w:r>
    <w:r w:rsidR="00DC6FC3">
      <w:rPr>
        <w:noProof/>
      </w:rPr>
      <w:t>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F43" w:rsidRDefault="00B95F43" w:rsidP="00410163">
      <w:pPr>
        <w:spacing w:after="0" w:line="240" w:lineRule="auto"/>
      </w:pPr>
      <w:r>
        <w:separator/>
      </w:r>
    </w:p>
  </w:footnote>
  <w:footnote w:type="continuationSeparator" w:id="0">
    <w:p w:rsidR="00B95F43" w:rsidRDefault="00B95F43" w:rsidP="00410163">
      <w:pPr>
        <w:spacing w:after="0" w:line="240" w:lineRule="auto"/>
      </w:pPr>
      <w:r>
        <w:continuationSeparator/>
      </w:r>
    </w:p>
  </w:footnote>
  <w:footnote w:id="1">
    <w:p w:rsidR="00B95F43" w:rsidRDefault="00B95F43">
      <w:pPr>
        <w:pStyle w:val="FootnoteText"/>
      </w:pPr>
      <w:r>
        <w:rPr>
          <w:rStyle w:val="FootnoteReference"/>
        </w:rPr>
        <w:footnoteRef/>
      </w:r>
      <w:r>
        <w:t xml:space="preserve"> </w:t>
      </w:r>
      <w:r>
        <w:tab/>
        <w:t>Also includes</w:t>
      </w:r>
      <w:r w:rsidRPr="003E6BBA">
        <w:t xml:space="preserve"> </w:t>
      </w:r>
      <w:r>
        <w:t xml:space="preserve">other Medicare unreferred attendances such as </w:t>
      </w:r>
      <w:r w:rsidRPr="003E6BBA">
        <w:t>enhanced primar</w:t>
      </w:r>
      <w:r>
        <w:t>y care and practice nurse items</w:t>
      </w:r>
      <w:r w:rsidRPr="003E6BBA">
        <w:t>.</w:t>
      </w:r>
    </w:p>
  </w:footnote>
  <w:footnote w:id="2">
    <w:p w:rsidR="00B95F43" w:rsidRDefault="00B95F43" w:rsidP="006E07E2">
      <w:pPr>
        <w:pStyle w:val="FootnoteText"/>
      </w:pPr>
      <w:r>
        <w:rPr>
          <w:rStyle w:val="FootnoteReference"/>
        </w:rPr>
        <w:footnoteRef/>
      </w:r>
      <w:r>
        <w:t xml:space="preserve"> </w:t>
      </w:r>
      <w:r>
        <w:tab/>
      </w:r>
      <w:r w:rsidRPr="00886FFE">
        <w:rPr>
          <w:i/>
        </w:rPr>
        <w:t>Australian hospital statistics 2011-12 — Emergency department care (AIHW)</w:t>
      </w:r>
      <w:r>
        <w:t>. Note, the fi</w:t>
      </w:r>
      <w:r w:rsidRPr="00E115E9">
        <w:t>gure is based on larger hospitals only</w:t>
      </w:r>
      <w:r>
        <w:t xml:space="preserve"> and</w:t>
      </w:r>
      <w:r w:rsidRPr="00E115E9">
        <w:t xml:space="preserve"> does not include GP-type presentations to</w:t>
      </w:r>
      <w:r>
        <w:t xml:space="preserve"> </w:t>
      </w:r>
      <w:r w:rsidRPr="00E115E9">
        <w:t xml:space="preserve">smaller hospital </w:t>
      </w:r>
      <w:r>
        <w:t>ED</w:t>
      </w:r>
      <w:r w:rsidRPr="00E115E9">
        <w:t>s</w:t>
      </w:r>
      <w:r>
        <w:t>.</w:t>
      </w:r>
    </w:p>
  </w:footnote>
  <w:footnote w:id="3">
    <w:p w:rsidR="00B95F43" w:rsidRPr="00B92F1A" w:rsidRDefault="00B95F43" w:rsidP="00FA6D67">
      <w:pPr>
        <w:pStyle w:val="FootnoteText"/>
      </w:pPr>
      <w:r>
        <w:rPr>
          <w:rStyle w:val="FootnoteReference"/>
        </w:rPr>
        <w:footnoteRef/>
      </w:r>
      <w:r>
        <w:t xml:space="preserve"> </w:t>
      </w:r>
      <w:r>
        <w:tab/>
      </w:r>
      <w:r w:rsidRPr="001D7253">
        <w:t xml:space="preserve">Nagree et al, </w:t>
      </w:r>
      <w:r w:rsidRPr="001D7253">
        <w:rPr>
          <w:i/>
        </w:rPr>
        <w:t>Quantifying the proportion of general practice and low-acuity patients in the emergency department</w:t>
      </w:r>
      <w:r w:rsidRPr="001D7253">
        <w:t>, Medical Journal of Australia 198(11), June 2013</w:t>
      </w:r>
      <w:r>
        <w:t>.</w:t>
      </w:r>
    </w:p>
  </w:footnote>
  <w:footnote w:id="4">
    <w:p w:rsidR="00B95F43" w:rsidRPr="006112DB" w:rsidRDefault="00B95F43" w:rsidP="00CC4415">
      <w:pPr>
        <w:pStyle w:val="FootnoteText"/>
        <w:rPr>
          <w:rStyle w:val="FootnoteReference"/>
          <w:vertAlign w:val="baseline"/>
        </w:rPr>
      </w:pPr>
      <w:r w:rsidRPr="00CC4415">
        <w:rPr>
          <w:rStyle w:val="FootnoteReference"/>
          <w:vertAlign w:val="baseline"/>
        </w:rPr>
        <w:footnoteRef/>
      </w:r>
      <w:r w:rsidRPr="00CC4415">
        <w:rPr>
          <w:rStyle w:val="FootnoteReference"/>
          <w:vertAlign w:val="baseline"/>
        </w:rPr>
        <w:t xml:space="preserve"> </w:t>
      </w:r>
      <w:r w:rsidRPr="00A6230A">
        <w:rPr>
          <w:rStyle w:val="FootnoteReference"/>
        </w:rPr>
        <w:tab/>
      </w:r>
      <w:hyperlink r:id="rId1" w:history="1">
        <w:r w:rsidRPr="006112DB">
          <w:rPr>
            <w:rStyle w:val="FootnoteReference"/>
            <w:vertAlign w:val="baseline"/>
          </w:rPr>
          <w:t>http://www.health.nsw.gov.au/policies/manuals/Documents/pmm-6.pdf</w:t>
        </w:r>
      </w:hyperlink>
    </w:p>
  </w:footnote>
  <w:footnote w:id="5">
    <w:p w:rsidR="00B95F43" w:rsidRPr="006112DB" w:rsidRDefault="00B95F43" w:rsidP="006112DB">
      <w:pPr>
        <w:pStyle w:val="FootnoteText"/>
        <w:rPr>
          <w:rStyle w:val="FootnoteReference"/>
          <w:vertAlign w:val="baseline"/>
        </w:rPr>
      </w:pPr>
      <w:r w:rsidRPr="006112DB">
        <w:rPr>
          <w:rStyle w:val="FootnoteReference"/>
          <w:vertAlign w:val="baseline"/>
        </w:rPr>
        <w:footnoteRef/>
      </w:r>
      <w:r w:rsidRPr="006112DB">
        <w:rPr>
          <w:rStyle w:val="FootnoteReference"/>
          <w:vertAlign w:val="baseline"/>
        </w:rPr>
        <w:t xml:space="preserve"> </w:t>
      </w:r>
      <w:r w:rsidRPr="006112DB">
        <w:rPr>
          <w:rStyle w:val="FootnoteReference"/>
          <w:vertAlign w:val="baseline"/>
        </w:rPr>
        <w:tab/>
      </w:r>
      <w:hyperlink r:id="rId2" w:history="1">
        <w:r w:rsidRPr="006112DB">
          <w:rPr>
            <w:rStyle w:val="FootnoteReference"/>
            <w:vertAlign w:val="baseline"/>
          </w:rPr>
          <w:t>http://www.dailytelegraph.com.au/news/nsw/patients-are-clogging-up-state-hospital-emergency-rooms-with-minor-conditions-costing-taxpayers-close-to-1-billion-a-year/story-fni0cx12-1226854682350?nk=97061c97db26cc42f68e6197e3601ab9</w:t>
        </w:r>
      </w:hyperlink>
    </w:p>
  </w:footnote>
  <w:footnote w:id="6">
    <w:p w:rsidR="00B95F43" w:rsidRPr="006112DB" w:rsidRDefault="00B95F43" w:rsidP="006112DB">
      <w:pPr>
        <w:pStyle w:val="FootnoteText"/>
        <w:rPr>
          <w:rStyle w:val="FootnoteReference"/>
          <w:vertAlign w:val="baseline"/>
        </w:rPr>
      </w:pPr>
      <w:r w:rsidRPr="006112DB">
        <w:rPr>
          <w:rStyle w:val="FootnoteReference"/>
          <w:vertAlign w:val="baseline"/>
        </w:rPr>
        <w:footnoteRef/>
      </w:r>
      <w:r w:rsidRPr="006112DB">
        <w:rPr>
          <w:rStyle w:val="FootnoteReference"/>
          <w:vertAlign w:val="baseline"/>
        </w:rPr>
        <w:t xml:space="preserve"> </w:t>
      </w:r>
      <w:r w:rsidRPr="006112DB">
        <w:tab/>
      </w:r>
      <w:hyperlink r:id="rId3" w:history="1">
        <w:r w:rsidRPr="006112DB">
          <w:rPr>
            <w:rStyle w:val="FootnoteReference"/>
            <w:vertAlign w:val="baseline"/>
          </w:rPr>
          <w:t>http://docs.health.vic.gov.au/docs/doc/A6A247F8366D9B05CA257AD2007A291E/$FILE/edcc_</w:t>
        </w:r>
        <w:r>
          <w:t>‌</w:t>
        </w:r>
        <w:r w:rsidRPr="006112DB">
          <w:rPr>
            <w:rStyle w:val="FootnoteReference"/>
            <w:vertAlign w:val="baseline"/>
          </w:rPr>
          <w:t>guidlines.pdf</w:t>
        </w:r>
      </w:hyperlink>
    </w:p>
  </w:footnote>
  <w:footnote w:id="7">
    <w:p w:rsidR="00B95F43" w:rsidRPr="006112DB" w:rsidRDefault="00B95F43" w:rsidP="006112DB">
      <w:pPr>
        <w:pStyle w:val="FootnoteText"/>
        <w:rPr>
          <w:rStyle w:val="FootnoteReference"/>
          <w:vertAlign w:val="baseline"/>
        </w:rPr>
      </w:pPr>
      <w:r w:rsidRPr="006112DB">
        <w:rPr>
          <w:rStyle w:val="FootnoteReference"/>
          <w:vertAlign w:val="baseline"/>
        </w:rPr>
        <w:footnoteRef/>
      </w:r>
      <w:r w:rsidRPr="006112DB">
        <w:rPr>
          <w:rStyle w:val="FootnoteReference"/>
          <w:vertAlign w:val="baseline"/>
        </w:rPr>
        <w:t xml:space="preserve"> </w:t>
      </w:r>
      <w:r>
        <w:tab/>
      </w:r>
      <w:hyperlink r:id="rId4" w:history="1">
        <w:r w:rsidRPr="006112DB">
          <w:rPr>
            <w:rStyle w:val="FootnoteReference"/>
            <w:vertAlign w:val="baseline"/>
          </w:rPr>
          <w:t>http://www.sahealth.sa.gov.au/wps/wcm/connect/public+content/sa+health+internet/protecting+</w:t>
        </w:r>
        <w:r>
          <w:t>‌</w:t>
        </w:r>
        <w:r w:rsidRPr="006112DB">
          <w:rPr>
            <w:rStyle w:val="FootnoteReference"/>
            <w:vertAlign w:val="baseline"/>
          </w:rPr>
          <w:t>public+health/health+promotion+and+protection/emergency+departments+are+for+emergencies</w:t>
        </w:r>
      </w:hyperlink>
      <w:r w:rsidRPr="006112DB">
        <w:rPr>
          <w:rStyle w:val="FootnoteReference"/>
          <w:vertAlign w:val="baseline"/>
        </w:rPr>
        <w:t xml:space="preserve"> </w:t>
      </w:r>
    </w:p>
  </w:footnote>
  <w:footnote w:id="8">
    <w:p w:rsidR="00B95F43" w:rsidRPr="006112DB" w:rsidRDefault="00B95F43" w:rsidP="006112DB">
      <w:pPr>
        <w:pStyle w:val="FootnoteText"/>
      </w:pPr>
      <w:r w:rsidRPr="006112DB">
        <w:rPr>
          <w:rStyle w:val="FootnoteReference"/>
          <w:vertAlign w:val="baseline"/>
        </w:rPr>
        <w:footnoteRef/>
      </w:r>
      <w:r w:rsidRPr="006112DB">
        <w:rPr>
          <w:rStyle w:val="FootnoteReference"/>
          <w:vertAlign w:val="baseline"/>
        </w:rPr>
        <w:t xml:space="preserve"> </w:t>
      </w:r>
      <w:r w:rsidRPr="006112DB">
        <w:rPr>
          <w:rStyle w:val="FootnoteReference"/>
          <w:vertAlign w:val="baseline"/>
        </w:rPr>
        <w:tab/>
      </w:r>
      <w:hyperlink r:id="rId5" w:history="1">
        <w:r w:rsidRPr="006112DB">
          <w:rPr>
            <w:rStyle w:val="FootnoteReference"/>
            <w:vertAlign w:val="baseline"/>
          </w:rPr>
          <w:t>http://www.canberratimes.com.au/act-news/surge-in-demand-puts-canberra-hospital-emergency-department-under-enormous-pressure-20140917-10i2ch.html</w:t>
        </w:r>
      </w:hyperlink>
    </w:p>
  </w:footnote>
  <w:footnote w:id="9">
    <w:p w:rsidR="00B95F43" w:rsidRDefault="00B95F43">
      <w:pPr>
        <w:pStyle w:val="FootnoteText"/>
      </w:pPr>
      <w:r>
        <w:rPr>
          <w:rStyle w:val="FootnoteReference"/>
        </w:rPr>
        <w:footnoteRef/>
      </w:r>
      <w:r>
        <w:t xml:space="preserve"> </w:t>
      </w:r>
      <w:r>
        <w:tab/>
        <w:t xml:space="preserve">Estimates based on the individual occasions of service data presented in AIHW </w:t>
      </w:r>
      <w:r w:rsidRPr="001A6480">
        <w:rPr>
          <w:i/>
        </w:rPr>
        <w:t>Australian hospital statistics</w:t>
      </w:r>
      <w:r>
        <w:t xml:space="preserve"> 2012-13 and the average Medicare patient contribution for each service.</w:t>
      </w:r>
    </w:p>
  </w:footnote>
  <w:footnote w:id="10">
    <w:p w:rsidR="00B95F43" w:rsidRDefault="00B95F43" w:rsidP="00B94CAB">
      <w:pPr>
        <w:pStyle w:val="FootnoteText"/>
      </w:pPr>
      <w:r>
        <w:rPr>
          <w:rStyle w:val="FootnoteReference"/>
        </w:rPr>
        <w:footnoteRef/>
      </w:r>
      <w:r>
        <w:tab/>
        <w:t>AIHW, Australia’s Health 2010, pp 356-357.</w:t>
      </w:r>
    </w:p>
  </w:footnote>
  <w:footnote w:id="11">
    <w:p w:rsidR="00B95F43" w:rsidRDefault="00B95F43" w:rsidP="00307F52">
      <w:pPr>
        <w:pStyle w:val="FootnoteText"/>
      </w:pPr>
      <w:r>
        <w:rPr>
          <w:rStyle w:val="FootnoteReference"/>
        </w:rPr>
        <w:footnoteRef/>
      </w:r>
      <w:r>
        <w:t xml:space="preserve"> </w:t>
      </w:r>
      <w:r>
        <w:tab/>
        <w:t>With t</w:t>
      </w:r>
      <w:r w:rsidRPr="00E24A98">
        <w:t>he move from State-based Accessibility and Remoteness Index of Australia (SARIA) to ABS’s standar</w:t>
      </w:r>
      <w:r>
        <w:t>d classification of remoteness,</w:t>
      </w:r>
      <w:r w:rsidRPr="00E24A98">
        <w:t xml:space="preserve"> Darwin </w:t>
      </w:r>
      <w:r>
        <w:t>is now</w:t>
      </w:r>
      <w:r w:rsidRPr="00E24A98">
        <w:t xml:space="preserve"> considered an outer regional area</w:t>
      </w:r>
      <w:r>
        <w:t>. This will account for the difference in private provision of admitted patient services in Darwin compared with other capital cities.</w:t>
      </w:r>
    </w:p>
  </w:footnote>
  <w:footnote w:id="12">
    <w:p w:rsidR="00B95F43" w:rsidRDefault="00B95F43" w:rsidP="00307F52">
      <w:pPr>
        <w:pStyle w:val="FootnoteText"/>
      </w:pPr>
      <w:r>
        <w:rPr>
          <w:rStyle w:val="FootnoteReference"/>
        </w:rPr>
        <w:footnoteRef/>
      </w:r>
      <w:r>
        <w:t xml:space="preserve"> </w:t>
      </w:r>
      <w:r>
        <w:tab/>
        <w:t xml:space="preserve">Table 6.20 </w:t>
      </w:r>
      <w:r w:rsidRPr="00341B15">
        <w:t>AIHW 2014. Australian hospital statistics 2012-13. Health services series no. 54. Cat. no. HSE 145</w:t>
      </w:r>
      <w:r>
        <w:t xml:space="preserve"> </w:t>
      </w:r>
    </w:p>
  </w:footnote>
  <w:footnote w:id="13">
    <w:p w:rsidR="00B95F43" w:rsidRDefault="00B95F43" w:rsidP="00307F52">
      <w:pPr>
        <w:pStyle w:val="FootnoteText"/>
      </w:pPr>
      <w:r>
        <w:rPr>
          <w:rStyle w:val="FootnoteReference"/>
        </w:rPr>
        <w:footnoteRef/>
      </w:r>
      <w:r>
        <w:t xml:space="preserve"> </w:t>
      </w:r>
      <w:r>
        <w:tab/>
        <w:t>PHIAC Quarterly Statistics September 30 2014.</w:t>
      </w:r>
    </w:p>
  </w:footnote>
  <w:footnote w:id="14">
    <w:p w:rsidR="00B95F43" w:rsidRDefault="00B95F43" w:rsidP="00307F52">
      <w:pPr>
        <w:pStyle w:val="FootnoteText"/>
      </w:pPr>
      <w:r>
        <w:rPr>
          <w:rStyle w:val="FootnoteReference"/>
        </w:rPr>
        <w:footnoteRef/>
      </w:r>
      <w:r>
        <w:t xml:space="preserve"> </w:t>
      </w:r>
      <w:r>
        <w:tab/>
      </w:r>
      <w:r w:rsidRPr="003D2878">
        <w:rPr>
          <w:i/>
        </w:rPr>
        <w:t>Public and private hospitals</w:t>
      </w:r>
      <w:r>
        <w:t>, Productivity Commission Research Report, December 2009, using data from 2007-08.</w:t>
      </w:r>
    </w:p>
  </w:footnote>
  <w:footnote w:id="15">
    <w:p w:rsidR="00B95F43" w:rsidRDefault="00B95F43" w:rsidP="00307F52">
      <w:pPr>
        <w:pStyle w:val="FootnoteText"/>
      </w:pPr>
      <w:r>
        <w:rPr>
          <w:rStyle w:val="FootnoteReference"/>
        </w:rPr>
        <w:footnoteRef/>
      </w:r>
      <w:r>
        <w:t xml:space="preserve"> </w:t>
      </w:r>
      <w:r>
        <w:tab/>
        <w:t>Non-emergency.</w:t>
      </w:r>
    </w:p>
  </w:footnote>
  <w:footnote w:id="16">
    <w:p w:rsidR="00B95F43" w:rsidRDefault="00B95F43" w:rsidP="00307F52">
      <w:pPr>
        <w:pStyle w:val="FootnoteText"/>
      </w:pPr>
      <w:r>
        <w:rPr>
          <w:rStyle w:val="FootnoteReference"/>
        </w:rPr>
        <w:footnoteRef/>
      </w:r>
      <w:r>
        <w:t xml:space="preserve"> </w:t>
      </w:r>
      <w:r>
        <w:tab/>
        <w:t>The data in the tables in the report also use SEIFA as their remoteness indicator instead of IRSEO/NISEIFA remoteness that we use in the rest of the assessment. In our request to AIHW, we have asked for data based on IRSEO/NISEIFA.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CE03038"/>
    <w:lvl w:ilvl="0">
      <w:start w:val="1"/>
      <w:numFmt w:val="decimal"/>
      <w:lvlText w:val="%1."/>
      <w:lvlJc w:val="left"/>
      <w:pPr>
        <w:tabs>
          <w:tab w:val="num" w:pos="1492"/>
        </w:tabs>
        <w:ind w:left="1492" w:hanging="360"/>
      </w:pPr>
    </w:lvl>
  </w:abstractNum>
  <w:abstractNum w:abstractNumId="1">
    <w:nsid w:val="FFFFFF7D"/>
    <w:multiLevelType w:val="singleLevel"/>
    <w:tmpl w:val="B42A3D7C"/>
    <w:lvl w:ilvl="0">
      <w:start w:val="1"/>
      <w:numFmt w:val="decimal"/>
      <w:lvlText w:val="%1."/>
      <w:lvlJc w:val="left"/>
      <w:pPr>
        <w:tabs>
          <w:tab w:val="num" w:pos="1209"/>
        </w:tabs>
        <w:ind w:left="1209" w:hanging="360"/>
      </w:pPr>
    </w:lvl>
  </w:abstractNum>
  <w:abstractNum w:abstractNumId="2">
    <w:nsid w:val="FFFFFF7E"/>
    <w:multiLevelType w:val="singleLevel"/>
    <w:tmpl w:val="126E6FF2"/>
    <w:lvl w:ilvl="0">
      <w:start w:val="1"/>
      <w:numFmt w:val="decimal"/>
      <w:lvlText w:val="%1."/>
      <w:lvlJc w:val="left"/>
      <w:pPr>
        <w:tabs>
          <w:tab w:val="num" w:pos="926"/>
        </w:tabs>
        <w:ind w:left="926" w:hanging="360"/>
      </w:pPr>
    </w:lvl>
  </w:abstractNum>
  <w:abstractNum w:abstractNumId="3">
    <w:nsid w:val="FFFFFF7F"/>
    <w:multiLevelType w:val="singleLevel"/>
    <w:tmpl w:val="A392BDCA"/>
    <w:lvl w:ilvl="0">
      <w:start w:val="1"/>
      <w:numFmt w:val="decimal"/>
      <w:lvlText w:val="%1."/>
      <w:lvlJc w:val="left"/>
      <w:pPr>
        <w:tabs>
          <w:tab w:val="num" w:pos="643"/>
        </w:tabs>
        <w:ind w:left="643" w:hanging="360"/>
      </w:pPr>
    </w:lvl>
  </w:abstractNum>
  <w:abstractNum w:abstractNumId="4">
    <w:nsid w:val="FFFFFF80"/>
    <w:multiLevelType w:val="singleLevel"/>
    <w:tmpl w:val="4D120C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6018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22AB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66E3E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C128486"/>
    <w:lvl w:ilvl="0">
      <w:start w:val="1"/>
      <w:numFmt w:val="decimal"/>
      <w:lvlText w:val="%1."/>
      <w:lvlJc w:val="left"/>
      <w:pPr>
        <w:tabs>
          <w:tab w:val="num" w:pos="360"/>
        </w:tabs>
        <w:ind w:left="360" w:hanging="360"/>
      </w:pPr>
    </w:lvl>
  </w:abstractNum>
  <w:abstractNum w:abstractNumId="9">
    <w:nsid w:val="FFFFFF89"/>
    <w:multiLevelType w:val="singleLevel"/>
    <w:tmpl w:val="C4104514"/>
    <w:lvl w:ilvl="0">
      <w:start w:val="1"/>
      <w:numFmt w:val="bullet"/>
      <w:lvlText w:val=""/>
      <w:lvlJc w:val="left"/>
      <w:pPr>
        <w:tabs>
          <w:tab w:val="num" w:pos="360"/>
        </w:tabs>
        <w:ind w:left="360" w:hanging="360"/>
      </w:pPr>
      <w:rPr>
        <w:rFonts w:ascii="Symbol" w:hAnsi="Symbol" w:hint="default"/>
      </w:rPr>
    </w:lvl>
  </w:abstractNum>
  <w:abstractNum w:abstractNumId="10">
    <w:nsid w:val="13346DA4"/>
    <w:multiLevelType w:val="hybridMultilevel"/>
    <w:tmpl w:val="F9B8A65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3D16AFC"/>
    <w:multiLevelType w:val="multilevel"/>
    <w:tmpl w:val="2AB4C7F0"/>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12">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17013150"/>
    <w:multiLevelType w:val="multilevel"/>
    <w:tmpl w:val="ED94028E"/>
    <w:lvl w:ilvl="0">
      <w:start w:val="1"/>
      <w:numFmt w:val="decimal"/>
      <w:suff w:val="space"/>
      <w:lvlText w:val="Chapter %1"/>
      <w:lvlJc w:val="left"/>
      <w:pPr>
        <w:ind w:left="0" w:firstLine="0"/>
      </w:pPr>
      <w:rPr>
        <w:rFonts w:hint="default"/>
      </w:rPr>
    </w:lvl>
    <w:lvl w:ilvl="1">
      <w:start w:val="1"/>
      <w:numFmt w:val="bullet"/>
      <w:lvlText w:val=""/>
      <w:lvlJc w:val="left"/>
      <w:pPr>
        <w:tabs>
          <w:tab w:val="num" w:pos="567"/>
        </w:tabs>
        <w:ind w:left="567" w:hanging="567"/>
      </w:pPr>
      <w:rPr>
        <w:rFonts w:ascii="Symbol" w:hAnsi="Symbol" w:hint="default"/>
      </w:rPr>
    </w:lvl>
    <w:lvl w:ilvl="2">
      <w:start w:val="1"/>
      <w:numFmt w:val="bullet"/>
      <w:lvlText w:val=""/>
      <w:lvlJc w:val="left"/>
      <w:pPr>
        <w:ind w:left="0" w:firstLine="0"/>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17320BC9"/>
    <w:multiLevelType w:val="hybridMultilevel"/>
    <w:tmpl w:val="B34E4C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181B007C"/>
    <w:multiLevelType w:val="hybridMultilevel"/>
    <w:tmpl w:val="75C454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7">
    <w:nsid w:val="2A344D71"/>
    <w:multiLevelType w:val="hybridMultilevel"/>
    <w:tmpl w:val="2690EF30"/>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8">
    <w:nsid w:val="2C5A46FA"/>
    <w:multiLevelType w:val="hybridMultilevel"/>
    <w:tmpl w:val="7CD0BC3E"/>
    <w:lvl w:ilvl="0" w:tplc="0C090001">
      <w:start w:val="1"/>
      <w:numFmt w:val="bullet"/>
      <w:lvlText w:val=""/>
      <w:lvlJc w:val="left"/>
      <w:pPr>
        <w:ind w:left="720" w:hanging="360"/>
      </w:pPr>
      <w:rPr>
        <w:rFonts w:ascii="Symbol" w:hAnsi="Symbol" w:hint="default"/>
      </w:rPr>
    </w:lvl>
    <w:lvl w:ilvl="1" w:tplc="4ADA0FB8">
      <w:numFmt w:val="bullet"/>
      <w:lvlText w:val="–"/>
      <w:lvlJc w:val="left"/>
      <w:pPr>
        <w:ind w:left="1440" w:hanging="360"/>
      </w:pPr>
      <w:rPr>
        <w:rFonts w:ascii="Calibri" w:eastAsiaTheme="minorHAnsi" w:hAnsi="Calibri" w:cstheme="minorBidi" w:hint="default"/>
      </w:rPr>
    </w:lvl>
    <w:lvl w:ilvl="2" w:tplc="0AAE00DE">
      <w:numFmt w:val="bullet"/>
      <w:lvlText w:val="-"/>
      <w:lvlJc w:val="left"/>
      <w:pPr>
        <w:ind w:left="2160" w:hanging="360"/>
      </w:pPr>
      <w:rPr>
        <w:rFonts w:ascii="Calibri" w:eastAsiaTheme="minorHAnsi" w:hAnsi="Calibri" w:cstheme="minorBidi" w:hint="default"/>
        <w:color w:val="auto"/>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4D549E"/>
    <w:multiLevelType w:val="hybridMultilevel"/>
    <w:tmpl w:val="E8FA3A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1">
    <w:nsid w:val="3F3062BF"/>
    <w:multiLevelType w:val="multilevel"/>
    <w:tmpl w:val="02ACF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0277D0"/>
    <w:multiLevelType w:val="hybridMultilevel"/>
    <w:tmpl w:val="5A4C95BC"/>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3">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547A1F41"/>
    <w:multiLevelType w:val="multilevel"/>
    <w:tmpl w:val="6AD25604"/>
    <w:lvl w:ilvl="0">
      <w:start w:val="1"/>
      <w:numFmt w:val="decimal"/>
      <w:suff w:val="space"/>
      <w:lvlText w:val="Chapter %1"/>
      <w:lvlJc w:val="left"/>
      <w:pPr>
        <w:ind w:left="0" w:firstLine="0"/>
      </w:pPr>
      <w:rPr>
        <w:rFonts w:hint="default"/>
      </w:rPr>
    </w:lvl>
    <w:lvl w:ilvl="1">
      <w:start w:val="1"/>
      <w:numFmt w:val="bullet"/>
      <w:lvlText w:val=""/>
      <w:lvlJc w:val="left"/>
      <w:pPr>
        <w:tabs>
          <w:tab w:val="num" w:pos="567"/>
        </w:tabs>
        <w:ind w:left="567" w:hanging="567"/>
      </w:pPr>
      <w:rPr>
        <w:rFonts w:ascii="Symbol" w:hAnsi="Symbol"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4FB5CEA"/>
    <w:multiLevelType w:val="hybridMultilevel"/>
    <w:tmpl w:val="8482E1B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nsid w:val="575F2258"/>
    <w:multiLevelType w:val="multilevel"/>
    <w:tmpl w:val="653C14F2"/>
    <w:lvl w:ilvl="0">
      <w:start w:val="1"/>
      <w:numFmt w:val="decimal"/>
      <w:lvlText w:val="%1."/>
      <w:lvlJc w:val="left"/>
      <w:pPr>
        <w:tabs>
          <w:tab w:val="num" w:pos="927"/>
        </w:tabs>
        <w:ind w:left="927" w:hanging="360"/>
      </w:pPr>
      <w:rPr>
        <w:rFonts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7">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5622713"/>
    <w:multiLevelType w:val="hybridMultilevel"/>
    <w:tmpl w:val="96B2C6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D517EA6"/>
    <w:multiLevelType w:val="multilevel"/>
    <w:tmpl w:val="D2269042"/>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30">
    <w:nsid w:val="77D62F87"/>
    <w:multiLevelType w:val="hybridMultilevel"/>
    <w:tmpl w:val="D25CA2F6"/>
    <w:lvl w:ilvl="0" w:tplc="5F501E4E">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9"/>
  </w:num>
  <w:num w:numId="12">
    <w:abstractNumId w:val="12"/>
  </w:num>
  <w:num w:numId="13">
    <w:abstractNumId w:val="19"/>
  </w:num>
  <w:num w:numId="14">
    <w:abstractNumId w:val="30"/>
  </w:num>
  <w:num w:numId="15">
    <w:abstractNumId w:val="23"/>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30"/>
  </w:num>
  <w:num w:numId="19">
    <w:abstractNumId w:val="29"/>
  </w:num>
  <w:num w:numId="20">
    <w:abstractNumId w:val="12"/>
  </w:num>
  <w:num w:numId="21">
    <w:abstractNumId w:val="19"/>
  </w:num>
  <w:num w:numId="22">
    <w:abstractNumId w:val="30"/>
  </w:num>
  <w:num w:numId="23">
    <w:abstractNumId w:val="23"/>
  </w:num>
  <w:num w:numId="24">
    <w:abstractNumId w:val="14"/>
  </w:num>
  <w:num w:numId="25">
    <w:abstractNumId w:val="18"/>
  </w:num>
  <w:num w:numId="26">
    <w:abstractNumId w:val="22"/>
  </w:num>
  <w:num w:numId="27">
    <w:abstractNumId w:val="17"/>
  </w:num>
  <w:num w:numId="28">
    <w:abstractNumId w:val="28"/>
  </w:num>
  <w:num w:numId="29">
    <w:abstractNumId w:val="25"/>
  </w:num>
  <w:num w:numId="30">
    <w:abstractNumId w:val="24"/>
  </w:num>
  <w:num w:numId="31">
    <w:abstractNumId w:val="13"/>
  </w:num>
  <w:num w:numId="32">
    <w:abstractNumId w:val="26"/>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9"/>
    </w:lvlOverride>
  </w:num>
  <w:num w:numId="34">
    <w:abstractNumId w:val="15"/>
  </w:num>
  <w:num w:numId="35">
    <w:abstractNumId w:val="11"/>
  </w:num>
  <w:num w:numId="36">
    <w:abstractNumId w:val="12"/>
  </w:num>
  <w:num w:numId="37">
    <w:abstractNumId w:val="12"/>
  </w:num>
  <w:num w:numId="38">
    <w:abstractNumId w:val="29"/>
  </w:num>
  <w:num w:numId="3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27"/>
  </w:num>
  <w:num w:numId="42">
    <w:abstractNumId w:val="20"/>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133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6B29"/>
    <w:rsid w:val="00001731"/>
    <w:rsid w:val="00005454"/>
    <w:rsid w:val="00011DE0"/>
    <w:rsid w:val="00026466"/>
    <w:rsid w:val="00026899"/>
    <w:rsid w:val="000345B2"/>
    <w:rsid w:val="00036DEA"/>
    <w:rsid w:val="00040AB8"/>
    <w:rsid w:val="00042771"/>
    <w:rsid w:val="000501BD"/>
    <w:rsid w:val="0006080C"/>
    <w:rsid w:val="00060898"/>
    <w:rsid w:val="00073682"/>
    <w:rsid w:val="00085030"/>
    <w:rsid w:val="0008525A"/>
    <w:rsid w:val="00090BBF"/>
    <w:rsid w:val="00094289"/>
    <w:rsid w:val="000976EA"/>
    <w:rsid w:val="000A1FFA"/>
    <w:rsid w:val="000A5F3F"/>
    <w:rsid w:val="000B0705"/>
    <w:rsid w:val="000B194D"/>
    <w:rsid w:val="000B1A7C"/>
    <w:rsid w:val="000C193F"/>
    <w:rsid w:val="000C199E"/>
    <w:rsid w:val="000C3A26"/>
    <w:rsid w:val="000C7701"/>
    <w:rsid w:val="000D3845"/>
    <w:rsid w:val="000D61FF"/>
    <w:rsid w:val="000E2303"/>
    <w:rsid w:val="000E5053"/>
    <w:rsid w:val="000E6F61"/>
    <w:rsid w:val="000F2C8C"/>
    <w:rsid w:val="000F51C0"/>
    <w:rsid w:val="000F577B"/>
    <w:rsid w:val="000F5D78"/>
    <w:rsid w:val="000F6176"/>
    <w:rsid w:val="000F6751"/>
    <w:rsid w:val="00101A26"/>
    <w:rsid w:val="00101FC2"/>
    <w:rsid w:val="0010546E"/>
    <w:rsid w:val="00110ADA"/>
    <w:rsid w:val="00114984"/>
    <w:rsid w:val="0012058B"/>
    <w:rsid w:val="001213A8"/>
    <w:rsid w:val="00121E0F"/>
    <w:rsid w:val="001220B9"/>
    <w:rsid w:val="00127272"/>
    <w:rsid w:val="00132A4D"/>
    <w:rsid w:val="00133024"/>
    <w:rsid w:val="00143534"/>
    <w:rsid w:val="00143690"/>
    <w:rsid w:val="00144676"/>
    <w:rsid w:val="00154313"/>
    <w:rsid w:val="00154604"/>
    <w:rsid w:val="0016023D"/>
    <w:rsid w:val="00163488"/>
    <w:rsid w:val="00163CE0"/>
    <w:rsid w:val="0016483F"/>
    <w:rsid w:val="001667EC"/>
    <w:rsid w:val="00167E43"/>
    <w:rsid w:val="00171A6E"/>
    <w:rsid w:val="001727BD"/>
    <w:rsid w:val="001733D2"/>
    <w:rsid w:val="0018007D"/>
    <w:rsid w:val="00182C14"/>
    <w:rsid w:val="00185B9E"/>
    <w:rsid w:val="001861C5"/>
    <w:rsid w:val="001A3B77"/>
    <w:rsid w:val="001A4BE2"/>
    <w:rsid w:val="001A6480"/>
    <w:rsid w:val="001B5EF8"/>
    <w:rsid w:val="001B5F83"/>
    <w:rsid w:val="001C0F78"/>
    <w:rsid w:val="001C4C30"/>
    <w:rsid w:val="001D25BD"/>
    <w:rsid w:val="001D2758"/>
    <w:rsid w:val="001D7150"/>
    <w:rsid w:val="001E2817"/>
    <w:rsid w:val="001E3AA3"/>
    <w:rsid w:val="001E483F"/>
    <w:rsid w:val="001E6928"/>
    <w:rsid w:val="001E7B72"/>
    <w:rsid w:val="001F01CD"/>
    <w:rsid w:val="001F1AC0"/>
    <w:rsid w:val="001F3413"/>
    <w:rsid w:val="002062A8"/>
    <w:rsid w:val="002062E8"/>
    <w:rsid w:val="00207C98"/>
    <w:rsid w:val="00210725"/>
    <w:rsid w:val="0021087E"/>
    <w:rsid w:val="00211AC0"/>
    <w:rsid w:val="00225781"/>
    <w:rsid w:val="002261BE"/>
    <w:rsid w:val="002313E7"/>
    <w:rsid w:val="00233FC0"/>
    <w:rsid w:val="002351F8"/>
    <w:rsid w:val="00236C77"/>
    <w:rsid w:val="0023760D"/>
    <w:rsid w:val="002407D2"/>
    <w:rsid w:val="00245367"/>
    <w:rsid w:val="00247CAF"/>
    <w:rsid w:val="002504CE"/>
    <w:rsid w:val="002609C5"/>
    <w:rsid w:val="00266164"/>
    <w:rsid w:val="002671B4"/>
    <w:rsid w:val="00267A1A"/>
    <w:rsid w:val="0027060D"/>
    <w:rsid w:val="00282596"/>
    <w:rsid w:val="0028330C"/>
    <w:rsid w:val="00285F21"/>
    <w:rsid w:val="0029230C"/>
    <w:rsid w:val="0029467E"/>
    <w:rsid w:val="002950BB"/>
    <w:rsid w:val="0029593A"/>
    <w:rsid w:val="002A453A"/>
    <w:rsid w:val="002A4A16"/>
    <w:rsid w:val="002B3F32"/>
    <w:rsid w:val="002B5D25"/>
    <w:rsid w:val="002B5D66"/>
    <w:rsid w:val="002B6D26"/>
    <w:rsid w:val="002C3EBA"/>
    <w:rsid w:val="002D38DD"/>
    <w:rsid w:val="002E0FF1"/>
    <w:rsid w:val="002E7327"/>
    <w:rsid w:val="002F4241"/>
    <w:rsid w:val="002F5ED5"/>
    <w:rsid w:val="0030002A"/>
    <w:rsid w:val="0030186F"/>
    <w:rsid w:val="00307085"/>
    <w:rsid w:val="0030769A"/>
    <w:rsid w:val="00307F52"/>
    <w:rsid w:val="00310256"/>
    <w:rsid w:val="0032202B"/>
    <w:rsid w:val="00322D40"/>
    <w:rsid w:val="00331417"/>
    <w:rsid w:val="00331539"/>
    <w:rsid w:val="0033446B"/>
    <w:rsid w:val="003370B0"/>
    <w:rsid w:val="00344ADE"/>
    <w:rsid w:val="00354091"/>
    <w:rsid w:val="00357DC4"/>
    <w:rsid w:val="00365760"/>
    <w:rsid w:val="003659BA"/>
    <w:rsid w:val="00366612"/>
    <w:rsid w:val="00370E2D"/>
    <w:rsid w:val="003720B3"/>
    <w:rsid w:val="00380CCB"/>
    <w:rsid w:val="00387F4D"/>
    <w:rsid w:val="00392308"/>
    <w:rsid w:val="00394E06"/>
    <w:rsid w:val="0039776D"/>
    <w:rsid w:val="003A09CA"/>
    <w:rsid w:val="003A5BF8"/>
    <w:rsid w:val="003A6270"/>
    <w:rsid w:val="003A7705"/>
    <w:rsid w:val="003B0888"/>
    <w:rsid w:val="003C35F5"/>
    <w:rsid w:val="003D2878"/>
    <w:rsid w:val="003D3E80"/>
    <w:rsid w:val="003D5C1B"/>
    <w:rsid w:val="003D652B"/>
    <w:rsid w:val="003E0C86"/>
    <w:rsid w:val="003E1F11"/>
    <w:rsid w:val="003E575D"/>
    <w:rsid w:val="003E6BBA"/>
    <w:rsid w:val="003F34F2"/>
    <w:rsid w:val="003F3C8D"/>
    <w:rsid w:val="003F3FED"/>
    <w:rsid w:val="003F74F3"/>
    <w:rsid w:val="0040562E"/>
    <w:rsid w:val="004059B2"/>
    <w:rsid w:val="00410163"/>
    <w:rsid w:val="004113FC"/>
    <w:rsid w:val="00421E37"/>
    <w:rsid w:val="00423BC5"/>
    <w:rsid w:val="004240DB"/>
    <w:rsid w:val="00425D48"/>
    <w:rsid w:val="004347FE"/>
    <w:rsid w:val="00435B1B"/>
    <w:rsid w:val="004373E8"/>
    <w:rsid w:val="004375BF"/>
    <w:rsid w:val="004514BD"/>
    <w:rsid w:val="00452345"/>
    <w:rsid w:val="0046375A"/>
    <w:rsid w:val="00466F2D"/>
    <w:rsid w:val="004733A5"/>
    <w:rsid w:val="00482CA8"/>
    <w:rsid w:val="00484FBC"/>
    <w:rsid w:val="0048596A"/>
    <w:rsid w:val="00492DEB"/>
    <w:rsid w:val="00496B45"/>
    <w:rsid w:val="00496FB0"/>
    <w:rsid w:val="00496FEF"/>
    <w:rsid w:val="004A1C25"/>
    <w:rsid w:val="004A2939"/>
    <w:rsid w:val="004A2BEA"/>
    <w:rsid w:val="004A344B"/>
    <w:rsid w:val="004A61A4"/>
    <w:rsid w:val="004B5A46"/>
    <w:rsid w:val="004C30AC"/>
    <w:rsid w:val="004C7D76"/>
    <w:rsid w:val="004D5DB2"/>
    <w:rsid w:val="004E2D91"/>
    <w:rsid w:val="004E4BA3"/>
    <w:rsid w:val="004E5274"/>
    <w:rsid w:val="004E5BAC"/>
    <w:rsid w:val="004E6AE9"/>
    <w:rsid w:val="00501962"/>
    <w:rsid w:val="0050526A"/>
    <w:rsid w:val="00505C7E"/>
    <w:rsid w:val="00512424"/>
    <w:rsid w:val="0051407C"/>
    <w:rsid w:val="00516A5F"/>
    <w:rsid w:val="005248BC"/>
    <w:rsid w:val="005249EA"/>
    <w:rsid w:val="00526FCD"/>
    <w:rsid w:val="0052776E"/>
    <w:rsid w:val="00533C93"/>
    <w:rsid w:val="005347AB"/>
    <w:rsid w:val="00543510"/>
    <w:rsid w:val="005529B9"/>
    <w:rsid w:val="005535EF"/>
    <w:rsid w:val="0055591E"/>
    <w:rsid w:val="005617D9"/>
    <w:rsid w:val="00572698"/>
    <w:rsid w:val="0057347A"/>
    <w:rsid w:val="005774BA"/>
    <w:rsid w:val="005804F5"/>
    <w:rsid w:val="0058071A"/>
    <w:rsid w:val="005842B7"/>
    <w:rsid w:val="00584A6E"/>
    <w:rsid w:val="00584A70"/>
    <w:rsid w:val="00586214"/>
    <w:rsid w:val="005934F1"/>
    <w:rsid w:val="00597FC8"/>
    <w:rsid w:val="005A0992"/>
    <w:rsid w:val="005A4A8F"/>
    <w:rsid w:val="005B50E6"/>
    <w:rsid w:val="005C402A"/>
    <w:rsid w:val="005C6F20"/>
    <w:rsid w:val="005C7C39"/>
    <w:rsid w:val="005D066E"/>
    <w:rsid w:val="005D58CE"/>
    <w:rsid w:val="005D6093"/>
    <w:rsid w:val="005E0E46"/>
    <w:rsid w:val="005E1DDA"/>
    <w:rsid w:val="005E2A67"/>
    <w:rsid w:val="005E41E5"/>
    <w:rsid w:val="005F1030"/>
    <w:rsid w:val="00600118"/>
    <w:rsid w:val="00602301"/>
    <w:rsid w:val="00607AB1"/>
    <w:rsid w:val="00607C76"/>
    <w:rsid w:val="006112DB"/>
    <w:rsid w:val="00616D85"/>
    <w:rsid w:val="00620ABA"/>
    <w:rsid w:val="006218F7"/>
    <w:rsid w:val="00622E1A"/>
    <w:rsid w:val="00624463"/>
    <w:rsid w:val="00626FB8"/>
    <w:rsid w:val="00632138"/>
    <w:rsid w:val="006328C9"/>
    <w:rsid w:val="006362EC"/>
    <w:rsid w:val="00637279"/>
    <w:rsid w:val="006418D8"/>
    <w:rsid w:val="006479D6"/>
    <w:rsid w:val="00647EA5"/>
    <w:rsid w:val="00651645"/>
    <w:rsid w:val="00651735"/>
    <w:rsid w:val="00656B29"/>
    <w:rsid w:val="00660591"/>
    <w:rsid w:val="006612A7"/>
    <w:rsid w:val="00662376"/>
    <w:rsid w:val="0067163D"/>
    <w:rsid w:val="00671837"/>
    <w:rsid w:val="006722D6"/>
    <w:rsid w:val="00675090"/>
    <w:rsid w:val="00675520"/>
    <w:rsid w:val="0067772F"/>
    <w:rsid w:val="00690DB5"/>
    <w:rsid w:val="006910BA"/>
    <w:rsid w:val="006A3AC9"/>
    <w:rsid w:val="006B493C"/>
    <w:rsid w:val="006B5735"/>
    <w:rsid w:val="006B5CF7"/>
    <w:rsid w:val="006C38B5"/>
    <w:rsid w:val="006C562E"/>
    <w:rsid w:val="006C65C2"/>
    <w:rsid w:val="006D124E"/>
    <w:rsid w:val="006D143B"/>
    <w:rsid w:val="006D28C3"/>
    <w:rsid w:val="006D4B7B"/>
    <w:rsid w:val="006D4D4E"/>
    <w:rsid w:val="006D7F49"/>
    <w:rsid w:val="006E07E2"/>
    <w:rsid w:val="006E53D4"/>
    <w:rsid w:val="006E6038"/>
    <w:rsid w:val="007046EB"/>
    <w:rsid w:val="00710F63"/>
    <w:rsid w:val="00722138"/>
    <w:rsid w:val="00730FF4"/>
    <w:rsid w:val="00741C3D"/>
    <w:rsid w:val="00745B24"/>
    <w:rsid w:val="00746FBB"/>
    <w:rsid w:val="00750784"/>
    <w:rsid w:val="00752BB7"/>
    <w:rsid w:val="0076511A"/>
    <w:rsid w:val="007701FA"/>
    <w:rsid w:val="007710CD"/>
    <w:rsid w:val="0077125A"/>
    <w:rsid w:val="00781FDF"/>
    <w:rsid w:val="0078451F"/>
    <w:rsid w:val="00792D1E"/>
    <w:rsid w:val="00797B86"/>
    <w:rsid w:val="007C5237"/>
    <w:rsid w:val="007D07A8"/>
    <w:rsid w:val="007D6FB7"/>
    <w:rsid w:val="007D75E4"/>
    <w:rsid w:val="007F2181"/>
    <w:rsid w:val="007F6A09"/>
    <w:rsid w:val="00801549"/>
    <w:rsid w:val="008045AF"/>
    <w:rsid w:val="00805CC4"/>
    <w:rsid w:val="00810A78"/>
    <w:rsid w:val="0081262E"/>
    <w:rsid w:val="0081714D"/>
    <w:rsid w:val="00817CCF"/>
    <w:rsid w:val="008231DC"/>
    <w:rsid w:val="0082456D"/>
    <w:rsid w:val="00830CB4"/>
    <w:rsid w:val="00831FDA"/>
    <w:rsid w:val="00833269"/>
    <w:rsid w:val="00833BCA"/>
    <w:rsid w:val="0083433D"/>
    <w:rsid w:val="00835242"/>
    <w:rsid w:val="00835B5A"/>
    <w:rsid w:val="0083717B"/>
    <w:rsid w:val="0084088D"/>
    <w:rsid w:val="00842AFE"/>
    <w:rsid w:val="008434F0"/>
    <w:rsid w:val="0084723A"/>
    <w:rsid w:val="00855C0E"/>
    <w:rsid w:val="00857FC1"/>
    <w:rsid w:val="00862913"/>
    <w:rsid w:val="00862FA3"/>
    <w:rsid w:val="008631A2"/>
    <w:rsid w:val="008653AB"/>
    <w:rsid w:val="00866E01"/>
    <w:rsid w:val="00871E3B"/>
    <w:rsid w:val="00871FC7"/>
    <w:rsid w:val="00872071"/>
    <w:rsid w:val="00872FF0"/>
    <w:rsid w:val="0087352D"/>
    <w:rsid w:val="00881671"/>
    <w:rsid w:val="00883F05"/>
    <w:rsid w:val="0088638F"/>
    <w:rsid w:val="0089010C"/>
    <w:rsid w:val="00890A69"/>
    <w:rsid w:val="00891F47"/>
    <w:rsid w:val="00892BBB"/>
    <w:rsid w:val="00892EBF"/>
    <w:rsid w:val="00896D22"/>
    <w:rsid w:val="008A4BBC"/>
    <w:rsid w:val="008A731F"/>
    <w:rsid w:val="008A7CCF"/>
    <w:rsid w:val="008B3CA5"/>
    <w:rsid w:val="008B5A33"/>
    <w:rsid w:val="008D4E14"/>
    <w:rsid w:val="008D59C1"/>
    <w:rsid w:val="008E17A0"/>
    <w:rsid w:val="008E78E9"/>
    <w:rsid w:val="008E7C3E"/>
    <w:rsid w:val="008F276D"/>
    <w:rsid w:val="008F30EF"/>
    <w:rsid w:val="008F472C"/>
    <w:rsid w:val="0090316D"/>
    <w:rsid w:val="00906636"/>
    <w:rsid w:val="00910A27"/>
    <w:rsid w:val="00912712"/>
    <w:rsid w:val="0091320C"/>
    <w:rsid w:val="00914DC2"/>
    <w:rsid w:val="00915459"/>
    <w:rsid w:val="00920265"/>
    <w:rsid w:val="00921D81"/>
    <w:rsid w:val="00923215"/>
    <w:rsid w:val="00930D0A"/>
    <w:rsid w:val="0093150A"/>
    <w:rsid w:val="00931510"/>
    <w:rsid w:val="00935E84"/>
    <w:rsid w:val="0093673E"/>
    <w:rsid w:val="00936E38"/>
    <w:rsid w:val="00940FF9"/>
    <w:rsid w:val="009435A0"/>
    <w:rsid w:val="00944FD4"/>
    <w:rsid w:val="009456B9"/>
    <w:rsid w:val="009461D5"/>
    <w:rsid w:val="00947B51"/>
    <w:rsid w:val="00960C41"/>
    <w:rsid w:val="00962852"/>
    <w:rsid w:val="0096462E"/>
    <w:rsid w:val="00966D7C"/>
    <w:rsid w:val="00967C39"/>
    <w:rsid w:val="00975F07"/>
    <w:rsid w:val="00976F5D"/>
    <w:rsid w:val="00981D7F"/>
    <w:rsid w:val="009844EA"/>
    <w:rsid w:val="00984A01"/>
    <w:rsid w:val="0098531F"/>
    <w:rsid w:val="00997DA6"/>
    <w:rsid w:val="009A494F"/>
    <w:rsid w:val="009A71C6"/>
    <w:rsid w:val="009B2432"/>
    <w:rsid w:val="009B3094"/>
    <w:rsid w:val="009B6D67"/>
    <w:rsid w:val="009B77DB"/>
    <w:rsid w:val="009C1BA7"/>
    <w:rsid w:val="009C41EA"/>
    <w:rsid w:val="009D0226"/>
    <w:rsid w:val="009D3F69"/>
    <w:rsid w:val="009E6E69"/>
    <w:rsid w:val="009E731E"/>
    <w:rsid w:val="009F1720"/>
    <w:rsid w:val="00A02EC8"/>
    <w:rsid w:val="00A03541"/>
    <w:rsid w:val="00A078E1"/>
    <w:rsid w:val="00A07C94"/>
    <w:rsid w:val="00A11C83"/>
    <w:rsid w:val="00A14209"/>
    <w:rsid w:val="00A14D21"/>
    <w:rsid w:val="00A16404"/>
    <w:rsid w:val="00A16DD9"/>
    <w:rsid w:val="00A24365"/>
    <w:rsid w:val="00A25FA6"/>
    <w:rsid w:val="00A40511"/>
    <w:rsid w:val="00A4131E"/>
    <w:rsid w:val="00A43C45"/>
    <w:rsid w:val="00A44A56"/>
    <w:rsid w:val="00A4577F"/>
    <w:rsid w:val="00A45FD3"/>
    <w:rsid w:val="00A47C52"/>
    <w:rsid w:val="00A47E5D"/>
    <w:rsid w:val="00A548C5"/>
    <w:rsid w:val="00A54EE6"/>
    <w:rsid w:val="00A6230A"/>
    <w:rsid w:val="00A6473D"/>
    <w:rsid w:val="00A651C7"/>
    <w:rsid w:val="00A730DD"/>
    <w:rsid w:val="00A855D4"/>
    <w:rsid w:val="00A87B1C"/>
    <w:rsid w:val="00A93836"/>
    <w:rsid w:val="00A94369"/>
    <w:rsid w:val="00A96DBA"/>
    <w:rsid w:val="00AA383A"/>
    <w:rsid w:val="00AA4844"/>
    <w:rsid w:val="00AA539A"/>
    <w:rsid w:val="00AA7A63"/>
    <w:rsid w:val="00AB1A0E"/>
    <w:rsid w:val="00AB2360"/>
    <w:rsid w:val="00AB2D3A"/>
    <w:rsid w:val="00AB3674"/>
    <w:rsid w:val="00AB6573"/>
    <w:rsid w:val="00AC66E5"/>
    <w:rsid w:val="00AD0201"/>
    <w:rsid w:val="00AD1999"/>
    <w:rsid w:val="00AD347F"/>
    <w:rsid w:val="00AE4C78"/>
    <w:rsid w:val="00AF131A"/>
    <w:rsid w:val="00AF6B89"/>
    <w:rsid w:val="00AF758D"/>
    <w:rsid w:val="00B0477F"/>
    <w:rsid w:val="00B06708"/>
    <w:rsid w:val="00B07E69"/>
    <w:rsid w:val="00B1159B"/>
    <w:rsid w:val="00B143E2"/>
    <w:rsid w:val="00B15F1F"/>
    <w:rsid w:val="00B16D22"/>
    <w:rsid w:val="00B24A2B"/>
    <w:rsid w:val="00B275DD"/>
    <w:rsid w:val="00B339BE"/>
    <w:rsid w:val="00B37B8E"/>
    <w:rsid w:val="00B40487"/>
    <w:rsid w:val="00B423A4"/>
    <w:rsid w:val="00B4399B"/>
    <w:rsid w:val="00B44BF0"/>
    <w:rsid w:val="00B51C0D"/>
    <w:rsid w:val="00B5214A"/>
    <w:rsid w:val="00B54BB2"/>
    <w:rsid w:val="00B576FD"/>
    <w:rsid w:val="00B61C9C"/>
    <w:rsid w:val="00B64ADA"/>
    <w:rsid w:val="00B668C0"/>
    <w:rsid w:val="00B7079F"/>
    <w:rsid w:val="00B7766F"/>
    <w:rsid w:val="00B823FF"/>
    <w:rsid w:val="00B90A06"/>
    <w:rsid w:val="00B90BAA"/>
    <w:rsid w:val="00B922C7"/>
    <w:rsid w:val="00B94CAB"/>
    <w:rsid w:val="00B95F43"/>
    <w:rsid w:val="00BA2177"/>
    <w:rsid w:val="00BA7FBA"/>
    <w:rsid w:val="00BB011A"/>
    <w:rsid w:val="00BB32FA"/>
    <w:rsid w:val="00BB4FDE"/>
    <w:rsid w:val="00BB6BF3"/>
    <w:rsid w:val="00BC2F18"/>
    <w:rsid w:val="00BC4474"/>
    <w:rsid w:val="00BC6277"/>
    <w:rsid w:val="00BC68B1"/>
    <w:rsid w:val="00BD1538"/>
    <w:rsid w:val="00BD1799"/>
    <w:rsid w:val="00BD1BB4"/>
    <w:rsid w:val="00BD45BE"/>
    <w:rsid w:val="00BD54DA"/>
    <w:rsid w:val="00BD7F18"/>
    <w:rsid w:val="00BE2984"/>
    <w:rsid w:val="00BE2B64"/>
    <w:rsid w:val="00BF0C9E"/>
    <w:rsid w:val="00BF38A4"/>
    <w:rsid w:val="00BF4072"/>
    <w:rsid w:val="00BF5C1F"/>
    <w:rsid w:val="00C00061"/>
    <w:rsid w:val="00C00F40"/>
    <w:rsid w:val="00C02E74"/>
    <w:rsid w:val="00C148D4"/>
    <w:rsid w:val="00C1760E"/>
    <w:rsid w:val="00C21F4F"/>
    <w:rsid w:val="00C23569"/>
    <w:rsid w:val="00C27E2F"/>
    <w:rsid w:val="00C32C64"/>
    <w:rsid w:val="00C34DBD"/>
    <w:rsid w:val="00C37D49"/>
    <w:rsid w:val="00C418AA"/>
    <w:rsid w:val="00C526BE"/>
    <w:rsid w:val="00C5502B"/>
    <w:rsid w:val="00C634A2"/>
    <w:rsid w:val="00C65025"/>
    <w:rsid w:val="00C7275B"/>
    <w:rsid w:val="00C76EAE"/>
    <w:rsid w:val="00C810EE"/>
    <w:rsid w:val="00C82E3C"/>
    <w:rsid w:val="00C8402C"/>
    <w:rsid w:val="00C919A2"/>
    <w:rsid w:val="00C91C56"/>
    <w:rsid w:val="00CA2DFB"/>
    <w:rsid w:val="00CA5421"/>
    <w:rsid w:val="00CA7BD1"/>
    <w:rsid w:val="00CC0BE0"/>
    <w:rsid w:val="00CC3160"/>
    <w:rsid w:val="00CC4415"/>
    <w:rsid w:val="00CC6BE2"/>
    <w:rsid w:val="00CC79B1"/>
    <w:rsid w:val="00CE05AE"/>
    <w:rsid w:val="00CE4056"/>
    <w:rsid w:val="00CE5515"/>
    <w:rsid w:val="00CF2B1B"/>
    <w:rsid w:val="00CF5C61"/>
    <w:rsid w:val="00D07082"/>
    <w:rsid w:val="00D1138A"/>
    <w:rsid w:val="00D1280C"/>
    <w:rsid w:val="00D155BC"/>
    <w:rsid w:val="00D21B3A"/>
    <w:rsid w:val="00D22E61"/>
    <w:rsid w:val="00D25B4A"/>
    <w:rsid w:val="00D275B3"/>
    <w:rsid w:val="00D35F7B"/>
    <w:rsid w:val="00D43B69"/>
    <w:rsid w:val="00D46430"/>
    <w:rsid w:val="00D53CC2"/>
    <w:rsid w:val="00D625D7"/>
    <w:rsid w:val="00D671AE"/>
    <w:rsid w:val="00D70554"/>
    <w:rsid w:val="00D706A3"/>
    <w:rsid w:val="00D71464"/>
    <w:rsid w:val="00D7663C"/>
    <w:rsid w:val="00D80144"/>
    <w:rsid w:val="00D805F2"/>
    <w:rsid w:val="00D867FF"/>
    <w:rsid w:val="00D92722"/>
    <w:rsid w:val="00D95324"/>
    <w:rsid w:val="00DA1947"/>
    <w:rsid w:val="00DA3782"/>
    <w:rsid w:val="00DA3A99"/>
    <w:rsid w:val="00DB08F8"/>
    <w:rsid w:val="00DB10B8"/>
    <w:rsid w:val="00DB6ED8"/>
    <w:rsid w:val="00DC6FC3"/>
    <w:rsid w:val="00DC7BFA"/>
    <w:rsid w:val="00DD25A7"/>
    <w:rsid w:val="00DD35EC"/>
    <w:rsid w:val="00DE304E"/>
    <w:rsid w:val="00DE3711"/>
    <w:rsid w:val="00DF3734"/>
    <w:rsid w:val="00DF41E3"/>
    <w:rsid w:val="00E000A9"/>
    <w:rsid w:val="00E01260"/>
    <w:rsid w:val="00E01F7C"/>
    <w:rsid w:val="00E07C54"/>
    <w:rsid w:val="00E15434"/>
    <w:rsid w:val="00E163C1"/>
    <w:rsid w:val="00E216CF"/>
    <w:rsid w:val="00E262F8"/>
    <w:rsid w:val="00E26A8E"/>
    <w:rsid w:val="00E40A02"/>
    <w:rsid w:val="00E45F0F"/>
    <w:rsid w:val="00E506B3"/>
    <w:rsid w:val="00E52AAE"/>
    <w:rsid w:val="00E5605C"/>
    <w:rsid w:val="00E56C83"/>
    <w:rsid w:val="00E60796"/>
    <w:rsid w:val="00E64622"/>
    <w:rsid w:val="00E65B12"/>
    <w:rsid w:val="00E665BF"/>
    <w:rsid w:val="00E70DAC"/>
    <w:rsid w:val="00E7242C"/>
    <w:rsid w:val="00E724A0"/>
    <w:rsid w:val="00E7326B"/>
    <w:rsid w:val="00E82984"/>
    <w:rsid w:val="00E92226"/>
    <w:rsid w:val="00E96C40"/>
    <w:rsid w:val="00EA0C58"/>
    <w:rsid w:val="00EA59F6"/>
    <w:rsid w:val="00EA65FB"/>
    <w:rsid w:val="00EB15F6"/>
    <w:rsid w:val="00EB358C"/>
    <w:rsid w:val="00EB3AB4"/>
    <w:rsid w:val="00EB67DE"/>
    <w:rsid w:val="00EC5B88"/>
    <w:rsid w:val="00EC5F83"/>
    <w:rsid w:val="00ED51E1"/>
    <w:rsid w:val="00ED7987"/>
    <w:rsid w:val="00ED7D73"/>
    <w:rsid w:val="00EE4A2A"/>
    <w:rsid w:val="00EE7A85"/>
    <w:rsid w:val="00EE7E17"/>
    <w:rsid w:val="00EF6507"/>
    <w:rsid w:val="00F05C39"/>
    <w:rsid w:val="00F07CA3"/>
    <w:rsid w:val="00F14B1C"/>
    <w:rsid w:val="00F15D2D"/>
    <w:rsid w:val="00F1658C"/>
    <w:rsid w:val="00F17B1D"/>
    <w:rsid w:val="00F2773F"/>
    <w:rsid w:val="00F358DD"/>
    <w:rsid w:val="00F43646"/>
    <w:rsid w:val="00F476E1"/>
    <w:rsid w:val="00F5429A"/>
    <w:rsid w:val="00F6354D"/>
    <w:rsid w:val="00F66072"/>
    <w:rsid w:val="00F85399"/>
    <w:rsid w:val="00F904E5"/>
    <w:rsid w:val="00F924CB"/>
    <w:rsid w:val="00F94CA7"/>
    <w:rsid w:val="00F9586F"/>
    <w:rsid w:val="00FA3ECB"/>
    <w:rsid w:val="00FA6D67"/>
    <w:rsid w:val="00FB1B24"/>
    <w:rsid w:val="00FB3727"/>
    <w:rsid w:val="00FB43BB"/>
    <w:rsid w:val="00FB443F"/>
    <w:rsid w:val="00FB4A2F"/>
    <w:rsid w:val="00FB4D2F"/>
    <w:rsid w:val="00FC006A"/>
    <w:rsid w:val="00FC23F2"/>
    <w:rsid w:val="00FC5E02"/>
    <w:rsid w:val="00FC7CAF"/>
    <w:rsid w:val="00FD1738"/>
    <w:rsid w:val="00FD1EC7"/>
    <w:rsid w:val="00FE7B60"/>
    <w:rsid w:val="00FF3836"/>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80"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lsdException w:name="heading 8" w:uiPriority="0" w:unhideWhenUsed="0"/>
    <w:lsdException w:name="heading 9"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qFormat="1"/>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Title" w:uiPriority="10" w:unhideWhenUsed="0" w:qFormat="1"/>
    <w:lsdException w:name="Default Paragraph Font" w:uiPriority="1"/>
    <w:lsdException w:name="Subtitle" w:uiPriority="11" w:unhideWhenUsed="0" w:qFormat="1"/>
    <w:lsdException w:name="Body Text 2" w:uiPriority="0"/>
    <w:lsdException w:name="Hyperlink" w:uiPriority="0"/>
    <w:lsdException w:name="Strong" w:uiPriority="22" w:unhideWhenUsed="0" w:qFormat="1"/>
    <w:lsdException w:name="Emphasis"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26FCD"/>
    <w:pPr>
      <w:tabs>
        <w:tab w:val="left" w:pos="567"/>
      </w:tabs>
    </w:pPr>
    <w:rPr>
      <w:sz w:val="24"/>
    </w:rPr>
  </w:style>
  <w:style w:type="paragraph" w:styleId="Heading1">
    <w:name w:val="heading 1"/>
    <w:basedOn w:val="Normal"/>
    <w:next w:val="Heading2"/>
    <w:link w:val="Heading1Char"/>
    <w:uiPriority w:val="9"/>
    <w:qFormat/>
    <w:rsid w:val="00526FCD"/>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526FCD"/>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526FCD"/>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526FCD"/>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526FCD"/>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526FCD"/>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526FC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link w:val="Heading8Char"/>
    <w:semiHidden/>
    <w:rsid w:val="004514BD"/>
    <w:pPr>
      <w:numPr>
        <w:ilvl w:val="7"/>
        <w:numId w:val="45"/>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link w:val="Heading9Char"/>
    <w:semiHidden/>
    <w:rsid w:val="004514BD"/>
    <w:pPr>
      <w:numPr>
        <w:ilvl w:val="8"/>
        <w:numId w:val="45"/>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526FCD"/>
    <w:rPr>
      <w:rFonts w:eastAsiaTheme="majorEastAsia" w:cstheme="majorBidi"/>
      <w:b/>
      <w:i/>
      <w:iCs/>
      <w:color w:val="2C8558"/>
      <w:sz w:val="28"/>
    </w:rPr>
  </w:style>
  <w:style w:type="character" w:customStyle="1" w:styleId="Heading1Char">
    <w:name w:val="Heading 1 Char"/>
    <w:basedOn w:val="DefaultParagraphFont"/>
    <w:link w:val="Heading1"/>
    <w:uiPriority w:val="9"/>
    <w:rsid w:val="00526FCD"/>
    <w:rPr>
      <w:rFonts w:eastAsiaTheme="majorEastAsia" w:cstheme="majorBidi"/>
      <w:b/>
      <w:bCs/>
      <w:caps/>
      <w:color w:val="2C8558"/>
      <w:sz w:val="40"/>
      <w:szCs w:val="28"/>
    </w:rPr>
  </w:style>
  <w:style w:type="character" w:customStyle="1" w:styleId="Heading7Char">
    <w:name w:val="Heading 7 Char"/>
    <w:basedOn w:val="DefaultParagraphFont"/>
    <w:link w:val="Heading7"/>
    <w:uiPriority w:val="9"/>
    <w:semiHidden/>
    <w:rsid w:val="00526FCD"/>
    <w:rPr>
      <w:rFonts w:asciiTheme="majorHAnsi" w:eastAsiaTheme="majorEastAsia" w:hAnsiTheme="majorHAnsi" w:cstheme="majorBidi"/>
      <w:i/>
      <w:iCs/>
      <w:color w:val="404040" w:themeColor="text1" w:themeTint="BF"/>
      <w:sz w:val="24"/>
    </w:rPr>
  </w:style>
  <w:style w:type="character" w:customStyle="1" w:styleId="Heading2Char">
    <w:name w:val="Heading 2 Char"/>
    <w:basedOn w:val="DefaultParagraphFont"/>
    <w:link w:val="Heading2"/>
    <w:uiPriority w:val="9"/>
    <w:rsid w:val="00526FCD"/>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526FCD"/>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526FCD"/>
    <w:rPr>
      <w:rFonts w:eastAsiaTheme="majorEastAsia" w:cstheme="majorBidi"/>
      <w:b/>
      <w:bCs/>
      <w:iCs/>
      <w:color w:val="2C8558"/>
      <w:sz w:val="32"/>
    </w:rPr>
  </w:style>
  <w:style w:type="character" w:customStyle="1" w:styleId="Heading5Char">
    <w:name w:val="Heading 5 Char"/>
    <w:basedOn w:val="DefaultParagraphFont"/>
    <w:link w:val="Heading5"/>
    <w:uiPriority w:val="9"/>
    <w:rsid w:val="00526FCD"/>
    <w:rPr>
      <w:rFonts w:eastAsiaTheme="majorEastAsia" w:cstheme="majorBidi"/>
      <w:b/>
      <w:i/>
      <w:color w:val="2C8558"/>
      <w:sz w:val="28"/>
    </w:rPr>
  </w:style>
  <w:style w:type="paragraph" w:customStyle="1" w:styleId="CGCBulletlist">
    <w:name w:val="CGC Bullet list"/>
    <w:aliases w:val="CGC List 1"/>
    <w:basedOn w:val="Normal"/>
    <w:link w:val="CGCBulletlistCharChar"/>
    <w:qFormat/>
    <w:rsid w:val="003D652B"/>
    <w:pPr>
      <w:numPr>
        <w:numId w:val="11"/>
      </w:numPr>
      <w:tabs>
        <w:tab w:val="clear" w:pos="567"/>
        <w:tab w:val="clear" w:pos="927"/>
      </w:tabs>
      <w:spacing w:before="80" w:line="300" w:lineRule="atLeast"/>
      <w:ind w:left="1134" w:hanging="567"/>
    </w:pPr>
    <w:rPr>
      <w:szCs w:val="20"/>
    </w:rPr>
  </w:style>
  <w:style w:type="paragraph" w:customStyle="1" w:styleId="CGCNumberedPara">
    <w:name w:val="CGC Numbered Para"/>
    <w:aliases w:val="CGC Para No"/>
    <w:basedOn w:val="Normal"/>
    <w:link w:val="CGCParaNoChar"/>
    <w:qFormat/>
    <w:rsid w:val="00526FCD"/>
    <w:pPr>
      <w:numPr>
        <w:ilvl w:val="1"/>
        <w:numId w:val="20"/>
      </w:numPr>
      <w:spacing w:before="120"/>
    </w:pPr>
    <w:rPr>
      <w:szCs w:val="24"/>
    </w:rPr>
  </w:style>
  <w:style w:type="paragraph" w:customStyle="1" w:styleId="CGCTableFootnote">
    <w:name w:val="CGC Table Footnote"/>
    <w:basedOn w:val="CGCNumberedPara"/>
    <w:next w:val="NoSpacing"/>
    <w:link w:val="CGCTableFootnoteChar"/>
    <w:qFormat/>
    <w:rsid w:val="00526FCD"/>
    <w:pPr>
      <w:numPr>
        <w:ilvl w:val="0"/>
        <w:numId w:val="0"/>
      </w:numPr>
      <w:tabs>
        <w:tab w:val="left" w:pos="851"/>
      </w:tabs>
      <w:spacing w:before="0" w:after="0" w:line="240" w:lineRule="auto"/>
      <w:ind w:left="851" w:hanging="851"/>
    </w:pPr>
    <w:rPr>
      <w:sz w:val="20"/>
    </w:rPr>
  </w:style>
  <w:style w:type="paragraph" w:styleId="NoSpacing">
    <w:name w:val="No Spacing"/>
    <w:link w:val="NoSpacingChar"/>
    <w:uiPriority w:val="1"/>
    <w:qFormat/>
    <w:rsid w:val="00526FCD"/>
    <w:pPr>
      <w:tabs>
        <w:tab w:val="left" w:pos="567"/>
      </w:tabs>
      <w:spacing w:after="0" w:line="240" w:lineRule="auto"/>
    </w:pPr>
    <w:rPr>
      <w:sz w:val="24"/>
    </w:rPr>
  </w:style>
  <w:style w:type="paragraph" w:customStyle="1" w:styleId="CGCDataCaption">
    <w:name w:val="CGC Data Caption"/>
    <w:basedOn w:val="CGCTableFootnote"/>
    <w:next w:val="NoSpacing"/>
    <w:link w:val="DataCaptionChar"/>
    <w:qFormat/>
    <w:rsid w:val="00526FCD"/>
  </w:style>
  <w:style w:type="character" w:customStyle="1" w:styleId="DataCaptionChar">
    <w:name w:val="Data Caption Char"/>
    <w:basedOn w:val="DefaultParagraphFont"/>
    <w:link w:val="CGCDataCaption"/>
    <w:rsid w:val="00526FCD"/>
    <w:rPr>
      <w:sz w:val="20"/>
      <w:szCs w:val="24"/>
    </w:rPr>
  </w:style>
  <w:style w:type="paragraph" w:customStyle="1" w:styleId="CGCNumeralList">
    <w:name w:val="CGC Numeral List"/>
    <w:aliases w:val="CGC List 3"/>
    <w:basedOn w:val="Normal"/>
    <w:qFormat/>
    <w:rsid w:val="00526FCD"/>
    <w:pPr>
      <w:numPr>
        <w:numId w:val="21"/>
      </w:numPr>
      <w:tabs>
        <w:tab w:val="clear" w:pos="567"/>
      </w:tabs>
      <w:spacing w:line="300" w:lineRule="atLeast"/>
    </w:pPr>
    <w:rPr>
      <w:szCs w:val="20"/>
    </w:rPr>
  </w:style>
  <w:style w:type="paragraph" w:customStyle="1" w:styleId="CGCQuotation">
    <w:name w:val="CGC Quotation"/>
    <w:basedOn w:val="Normal"/>
    <w:next w:val="CGCNumberedPara"/>
    <w:qFormat/>
    <w:rsid w:val="00526FCD"/>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link w:val="CGCSubbulletlistChar"/>
    <w:qFormat/>
    <w:rsid w:val="001E7B72"/>
    <w:pPr>
      <w:numPr>
        <w:numId w:val="22"/>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526FCD"/>
    <w:pPr>
      <w:numPr>
        <w:numId w:val="23"/>
      </w:numPr>
      <w:ind w:right="1134"/>
    </w:pPr>
    <w:rPr>
      <w:sz w:val="22"/>
    </w:rPr>
  </w:style>
  <w:style w:type="paragraph" w:customStyle="1" w:styleId="CGCTableHeading">
    <w:name w:val="CGC Table Heading"/>
    <w:basedOn w:val="Normal"/>
    <w:next w:val="Normal"/>
    <w:link w:val="CGCTableHeadingChar"/>
    <w:qFormat/>
    <w:rsid w:val="00526FCD"/>
    <w:pPr>
      <w:keepNext/>
      <w:keepLines/>
      <w:tabs>
        <w:tab w:val="clear" w:pos="567"/>
        <w:tab w:val="left" w:pos="1420"/>
      </w:tabs>
      <w:spacing w:before="240" w:after="120" w:line="240" w:lineRule="auto"/>
      <w:ind w:left="1418" w:hanging="1418"/>
    </w:pPr>
    <w:rPr>
      <w:b/>
      <w:szCs w:val="20"/>
    </w:rPr>
  </w:style>
  <w:style w:type="paragraph" w:customStyle="1" w:styleId="CGCTableStub">
    <w:name w:val="CGC Table Stub"/>
    <w:basedOn w:val="Normal"/>
    <w:link w:val="CGCTableStubChar"/>
    <w:rsid w:val="00526FCD"/>
    <w:pPr>
      <w:keepNext/>
      <w:keepLines/>
      <w:tabs>
        <w:tab w:val="left" w:pos="284"/>
      </w:tabs>
      <w:spacing w:before="60" w:after="60" w:line="200" w:lineRule="atLeast"/>
    </w:pPr>
    <w:rPr>
      <w:sz w:val="20"/>
      <w:szCs w:val="20"/>
    </w:rPr>
  </w:style>
  <w:style w:type="paragraph" w:styleId="Header">
    <w:name w:val="header"/>
    <w:basedOn w:val="Normal"/>
    <w:link w:val="HeaderChar"/>
    <w:unhideWhenUsed/>
    <w:rsid w:val="00526FCD"/>
    <w:pPr>
      <w:tabs>
        <w:tab w:val="clear" w:pos="567"/>
        <w:tab w:val="center" w:pos="4513"/>
        <w:tab w:val="right" w:pos="9026"/>
      </w:tabs>
      <w:spacing w:after="0" w:line="240" w:lineRule="auto"/>
    </w:pPr>
  </w:style>
  <w:style w:type="character" w:customStyle="1" w:styleId="HeaderChar">
    <w:name w:val="Header Char"/>
    <w:basedOn w:val="DefaultParagraphFont"/>
    <w:link w:val="Header"/>
    <w:rsid w:val="00526FCD"/>
    <w:rPr>
      <w:sz w:val="24"/>
    </w:rPr>
  </w:style>
  <w:style w:type="paragraph" w:styleId="Footer">
    <w:name w:val="footer"/>
    <w:basedOn w:val="Normal"/>
    <w:link w:val="FooterChar"/>
    <w:uiPriority w:val="99"/>
    <w:unhideWhenUsed/>
    <w:rsid w:val="00526FCD"/>
    <w:pPr>
      <w:tabs>
        <w:tab w:val="clear" w:pos="567"/>
        <w:tab w:val="center" w:pos="4513"/>
        <w:tab w:val="right" w:pos="9026"/>
      </w:tabs>
      <w:spacing w:after="0" w:line="240" w:lineRule="auto"/>
    </w:pPr>
  </w:style>
  <w:style w:type="character" w:customStyle="1" w:styleId="FooterChar">
    <w:name w:val="Footer Char"/>
    <w:basedOn w:val="DefaultParagraphFont"/>
    <w:link w:val="Footer"/>
    <w:uiPriority w:val="99"/>
    <w:rsid w:val="00526FCD"/>
    <w:rPr>
      <w:sz w:val="24"/>
    </w:rPr>
  </w:style>
  <w:style w:type="paragraph" w:styleId="BalloonText">
    <w:name w:val="Balloon Text"/>
    <w:basedOn w:val="Normal"/>
    <w:link w:val="BalloonTextChar"/>
    <w:uiPriority w:val="99"/>
    <w:unhideWhenUsed/>
    <w:rsid w:val="00526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26FCD"/>
    <w:rPr>
      <w:rFonts w:ascii="Tahoma" w:hAnsi="Tahoma" w:cs="Tahoma"/>
      <w:sz w:val="16"/>
      <w:szCs w:val="16"/>
    </w:rPr>
  </w:style>
  <w:style w:type="paragraph" w:styleId="ListParagraph">
    <w:name w:val="List Paragraph"/>
    <w:aliases w:val="List Paragraph1,Recommendation,List Paragraph11,Content descriptions,Bullet point"/>
    <w:basedOn w:val="Normal"/>
    <w:link w:val="ListParagraphChar"/>
    <w:uiPriority w:val="34"/>
    <w:qFormat/>
    <w:rsid w:val="00526FCD"/>
    <w:pPr>
      <w:tabs>
        <w:tab w:val="clear" w:pos="567"/>
      </w:tabs>
      <w:spacing w:line="300" w:lineRule="atLeast"/>
      <w:ind w:left="1134"/>
    </w:pPr>
    <w:rPr>
      <w:szCs w:val="24"/>
    </w:rPr>
  </w:style>
  <w:style w:type="character" w:styleId="Hyperlink">
    <w:name w:val="Hyperlink"/>
    <w:basedOn w:val="DefaultParagraphFont"/>
    <w:rsid w:val="007710CD"/>
    <w:rPr>
      <w:color w:val="0000FF"/>
      <w:u w:val="single"/>
    </w:rPr>
  </w:style>
  <w:style w:type="paragraph" w:styleId="Caption">
    <w:name w:val="caption"/>
    <w:basedOn w:val="Normal"/>
    <w:next w:val="Normal"/>
    <w:link w:val="CaptionChar"/>
    <w:qFormat/>
    <w:rsid w:val="00526FCD"/>
    <w:pPr>
      <w:keepNext/>
      <w:keepLines/>
      <w:tabs>
        <w:tab w:val="clear" w:pos="567"/>
        <w:tab w:val="left" w:pos="1418"/>
      </w:tabs>
      <w:spacing w:before="240" w:after="120" w:line="240" w:lineRule="auto"/>
      <w:ind w:left="1418" w:hanging="1418"/>
    </w:pPr>
    <w:rPr>
      <w:b/>
      <w:bCs/>
      <w:szCs w:val="20"/>
    </w:rPr>
  </w:style>
  <w:style w:type="character" w:customStyle="1" w:styleId="CaptionChar">
    <w:name w:val="Caption Char"/>
    <w:basedOn w:val="DefaultParagraphFont"/>
    <w:link w:val="Caption"/>
    <w:rsid w:val="00526FCD"/>
    <w:rPr>
      <w:b/>
      <w:bCs/>
      <w:sz w:val="24"/>
      <w:szCs w:val="20"/>
    </w:rPr>
  </w:style>
  <w:style w:type="paragraph" w:styleId="FootnoteText">
    <w:name w:val="footnote text"/>
    <w:basedOn w:val="Normal"/>
    <w:link w:val="FootnoteTextChar"/>
    <w:rsid w:val="00526FCD"/>
    <w:pPr>
      <w:spacing w:after="0" w:line="240" w:lineRule="auto"/>
      <w:ind w:left="567" w:hanging="567"/>
    </w:pPr>
    <w:rPr>
      <w:sz w:val="20"/>
      <w:szCs w:val="20"/>
    </w:rPr>
  </w:style>
  <w:style w:type="character" w:customStyle="1" w:styleId="FootnoteTextChar">
    <w:name w:val="Footnote Text Char"/>
    <w:basedOn w:val="DefaultParagraphFont"/>
    <w:link w:val="FootnoteText"/>
    <w:rsid w:val="00526FCD"/>
    <w:rPr>
      <w:sz w:val="20"/>
      <w:szCs w:val="20"/>
    </w:rPr>
  </w:style>
  <w:style w:type="table" w:styleId="TableGrid">
    <w:name w:val="Table Grid"/>
    <w:basedOn w:val="TableNormal"/>
    <w:rsid w:val="0052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81714D"/>
    <w:rPr>
      <w:color w:val="800080" w:themeColor="followedHyperlink"/>
      <w:u w:val="single"/>
    </w:rPr>
  </w:style>
  <w:style w:type="paragraph" w:styleId="TOC1">
    <w:name w:val="toc 1"/>
    <w:basedOn w:val="Normal"/>
    <w:next w:val="Normal"/>
    <w:autoRedefine/>
    <w:uiPriority w:val="39"/>
    <w:unhideWhenUsed/>
    <w:rsid w:val="00962852"/>
    <w:pPr>
      <w:tabs>
        <w:tab w:val="clear" w:pos="567"/>
      </w:tabs>
      <w:spacing w:after="100"/>
    </w:pPr>
  </w:style>
  <w:style w:type="paragraph" w:styleId="TOC2">
    <w:name w:val="toc 2"/>
    <w:basedOn w:val="Normal"/>
    <w:next w:val="Normal"/>
    <w:autoRedefine/>
    <w:uiPriority w:val="39"/>
    <w:unhideWhenUsed/>
    <w:rsid w:val="00962852"/>
    <w:pPr>
      <w:tabs>
        <w:tab w:val="clear" w:pos="567"/>
      </w:tabs>
      <w:spacing w:after="100"/>
      <w:ind w:left="240"/>
    </w:pPr>
  </w:style>
  <w:style w:type="paragraph" w:styleId="TOC3">
    <w:name w:val="toc 3"/>
    <w:basedOn w:val="Normal"/>
    <w:next w:val="Normal"/>
    <w:autoRedefine/>
    <w:uiPriority w:val="39"/>
    <w:unhideWhenUsed/>
    <w:rsid w:val="00962852"/>
    <w:pPr>
      <w:tabs>
        <w:tab w:val="clear" w:pos="567"/>
      </w:tabs>
      <w:spacing w:after="100"/>
      <w:ind w:left="480"/>
    </w:pPr>
  </w:style>
  <w:style w:type="character" w:customStyle="1" w:styleId="CGCParaNoChar">
    <w:name w:val="CGC Para No Char"/>
    <w:aliases w:val="CGC Numbered Para Char"/>
    <w:basedOn w:val="DefaultParagraphFont"/>
    <w:link w:val="CGCNumberedPara"/>
    <w:rsid w:val="005E41E5"/>
    <w:rPr>
      <w:sz w:val="24"/>
      <w:szCs w:val="24"/>
    </w:rPr>
  </w:style>
  <w:style w:type="character" w:customStyle="1" w:styleId="ListParagraphChar">
    <w:name w:val="List Paragraph Char"/>
    <w:aliases w:val="List Paragraph1 Char,Recommendation Char,List Paragraph11 Char,Content descriptions Char,Bullet point Char"/>
    <w:basedOn w:val="DefaultParagraphFont"/>
    <w:link w:val="ListParagraph"/>
    <w:uiPriority w:val="34"/>
    <w:locked/>
    <w:rsid w:val="0016023D"/>
    <w:rPr>
      <w:sz w:val="24"/>
      <w:szCs w:val="24"/>
    </w:rPr>
  </w:style>
  <w:style w:type="character" w:styleId="FootnoteReference">
    <w:name w:val="footnote reference"/>
    <w:basedOn w:val="DefaultParagraphFont"/>
    <w:qFormat/>
    <w:rsid w:val="00835242"/>
    <w:rPr>
      <w:vertAlign w:val="superscript"/>
    </w:rPr>
  </w:style>
  <w:style w:type="character" w:customStyle="1" w:styleId="CGCBulletlistCharChar">
    <w:name w:val="CGC Bullet list Char Char"/>
    <w:basedOn w:val="DefaultParagraphFont"/>
    <w:link w:val="CGCBulletlist"/>
    <w:rsid w:val="003D652B"/>
    <w:rPr>
      <w:sz w:val="24"/>
      <w:szCs w:val="20"/>
    </w:rPr>
  </w:style>
  <w:style w:type="paragraph" w:customStyle="1" w:styleId="Text1">
    <w:name w:val="Text 1"/>
    <w:basedOn w:val="Normal"/>
    <w:link w:val="Text1Char"/>
    <w:rsid w:val="001861C5"/>
    <w:pPr>
      <w:tabs>
        <w:tab w:val="clear" w:pos="567"/>
      </w:tabs>
      <w:spacing w:after="0" w:line="360" w:lineRule="auto"/>
      <w:ind w:firstLine="567"/>
    </w:pPr>
    <w:rPr>
      <w:rFonts w:ascii="Times New Roman" w:eastAsia="Times New Roman" w:hAnsi="Times New Roman" w:cs="Times New Roman"/>
      <w:sz w:val="22"/>
      <w:szCs w:val="24"/>
      <w:lang w:val="en-US"/>
    </w:rPr>
  </w:style>
  <w:style w:type="character" w:customStyle="1" w:styleId="Text1Char">
    <w:name w:val="Text 1 Char"/>
    <w:basedOn w:val="DefaultParagraphFont"/>
    <w:link w:val="Text1"/>
    <w:locked/>
    <w:rsid w:val="001861C5"/>
    <w:rPr>
      <w:rFonts w:ascii="Times New Roman" w:eastAsia="Times New Roman" w:hAnsi="Times New Roman" w:cs="Times New Roman"/>
      <w:szCs w:val="24"/>
      <w:lang w:val="en-US"/>
    </w:rPr>
  </w:style>
  <w:style w:type="paragraph" w:styleId="NormalWeb">
    <w:name w:val="Normal (Web)"/>
    <w:basedOn w:val="Normal"/>
    <w:uiPriority w:val="99"/>
    <w:unhideWhenUsed/>
    <w:rsid w:val="001220B9"/>
    <w:pPr>
      <w:tabs>
        <w:tab w:val="clear" w:pos="567"/>
      </w:tabs>
      <w:spacing w:before="48" w:after="192" w:line="240" w:lineRule="auto"/>
    </w:pPr>
    <w:rPr>
      <w:rFonts w:ascii="Times New Roman" w:eastAsia="Times New Roman" w:hAnsi="Times New Roman" w:cs="Times New Roman"/>
      <w:szCs w:val="24"/>
      <w:lang w:eastAsia="en-AU"/>
    </w:rPr>
  </w:style>
  <w:style w:type="character" w:styleId="CommentReference">
    <w:name w:val="annotation reference"/>
    <w:basedOn w:val="DefaultParagraphFont"/>
    <w:unhideWhenUsed/>
    <w:rsid w:val="001220B9"/>
    <w:rPr>
      <w:sz w:val="16"/>
      <w:szCs w:val="16"/>
    </w:rPr>
  </w:style>
  <w:style w:type="paragraph" w:styleId="CommentText">
    <w:name w:val="annotation text"/>
    <w:basedOn w:val="Normal"/>
    <w:link w:val="CommentTextChar"/>
    <w:unhideWhenUsed/>
    <w:rsid w:val="001220B9"/>
    <w:pPr>
      <w:spacing w:line="240" w:lineRule="auto"/>
    </w:pPr>
    <w:rPr>
      <w:sz w:val="20"/>
      <w:szCs w:val="20"/>
    </w:rPr>
  </w:style>
  <w:style w:type="character" w:customStyle="1" w:styleId="CommentTextChar">
    <w:name w:val="Comment Text Char"/>
    <w:basedOn w:val="DefaultParagraphFont"/>
    <w:link w:val="CommentText"/>
    <w:rsid w:val="001220B9"/>
    <w:rPr>
      <w:sz w:val="20"/>
      <w:szCs w:val="20"/>
    </w:rPr>
  </w:style>
  <w:style w:type="paragraph" w:styleId="CommentSubject">
    <w:name w:val="annotation subject"/>
    <w:basedOn w:val="CommentText"/>
    <w:next w:val="CommentText"/>
    <w:link w:val="CommentSubjectChar"/>
    <w:unhideWhenUsed/>
    <w:rsid w:val="001220B9"/>
    <w:rPr>
      <w:b/>
      <w:bCs/>
    </w:rPr>
  </w:style>
  <w:style w:type="character" w:customStyle="1" w:styleId="CommentSubjectChar">
    <w:name w:val="Comment Subject Char"/>
    <w:basedOn w:val="CommentTextChar"/>
    <w:link w:val="CommentSubject"/>
    <w:rsid w:val="001220B9"/>
    <w:rPr>
      <w:b/>
      <w:bCs/>
      <w:sz w:val="20"/>
      <w:szCs w:val="20"/>
    </w:rPr>
  </w:style>
  <w:style w:type="paragraph" w:customStyle="1" w:styleId="BodyText1">
    <w:name w:val="Body Text1"/>
    <w:basedOn w:val="Normal"/>
    <w:rsid w:val="0010546E"/>
    <w:pPr>
      <w:keepLines/>
      <w:tabs>
        <w:tab w:val="clear" w:pos="567"/>
      </w:tabs>
      <w:spacing w:after="240"/>
      <w:jc w:val="both"/>
    </w:pPr>
    <w:rPr>
      <w:rFonts w:ascii="Arial" w:eastAsia="Times New Roman" w:hAnsi="Arial" w:cs="Times New Roman"/>
      <w:color w:val="000000" w:themeColor="text1"/>
      <w:szCs w:val="20"/>
    </w:rPr>
  </w:style>
  <w:style w:type="character" w:customStyle="1" w:styleId="CGCTableHeadingChar">
    <w:name w:val="CGC Table Heading Char"/>
    <w:basedOn w:val="DefaultParagraphFont"/>
    <w:link w:val="CGCTableHeading"/>
    <w:rsid w:val="00E26A8E"/>
    <w:rPr>
      <w:b/>
      <w:sz w:val="24"/>
      <w:szCs w:val="20"/>
    </w:rPr>
  </w:style>
  <w:style w:type="character" w:customStyle="1" w:styleId="CGCBulletlistChar">
    <w:name w:val="CGC Bullet list Char"/>
    <w:aliases w:val="CGC List 1 Char,CGC Bullet list Char1"/>
    <w:locked/>
    <w:rsid w:val="004E2D91"/>
    <w:rPr>
      <w:sz w:val="24"/>
      <w:szCs w:val="24"/>
    </w:rPr>
  </w:style>
  <w:style w:type="paragraph" w:styleId="TOCHeading">
    <w:name w:val="TOC Heading"/>
    <w:basedOn w:val="Heading1"/>
    <w:next w:val="Normal"/>
    <w:uiPriority w:val="39"/>
    <w:unhideWhenUsed/>
    <w:qFormat/>
    <w:rsid w:val="00D1280C"/>
    <w:pPr>
      <w:keepLines/>
      <w:widowControl/>
      <w:pBdr>
        <w:bottom w:val="none" w:sz="0" w:space="0" w:color="auto"/>
      </w:pBdr>
      <w:tabs>
        <w:tab w:val="clear" w:pos="567"/>
      </w:tabs>
      <w:spacing w:before="480" w:line="276" w:lineRule="auto"/>
      <w:outlineLvl w:val="9"/>
    </w:pPr>
    <w:rPr>
      <w:rFonts w:asciiTheme="majorHAnsi" w:hAnsiTheme="majorHAnsi"/>
      <w:caps w:val="0"/>
      <w:color w:val="365F91" w:themeColor="accent1" w:themeShade="BF"/>
      <w:sz w:val="28"/>
      <w:lang w:val="en-US" w:eastAsia="ja-JP"/>
    </w:rPr>
  </w:style>
  <w:style w:type="character" w:styleId="Emphasis">
    <w:name w:val="Emphasis"/>
    <w:basedOn w:val="DefaultParagraphFont"/>
    <w:uiPriority w:val="20"/>
    <w:qFormat/>
    <w:rsid w:val="00CC79B1"/>
    <w:rPr>
      <w:b/>
      <w:bCs/>
      <w:i w:val="0"/>
      <w:iCs w:val="0"/>
    </w:rPr>
  </w:style>
  <w:style w:type="character" w:customStyle="1" w:styleId="st1">
    <w:name w:val="st1"/>
    <w:basedOn w:val="DefaultParagraphFont"/>
    <w:rsid w:val="00E163C1"/>
  </w:style>
  <w:style w:type="character" w:customStyle="1" w:styleId="CGCTableFootnoteChar">
    <w:name w:val="CGC Table Footnote Char"/>
    <w:basedOn w:val="DefaultParagraphFont"/>
    <w:link w:val="CGCTableFootnote"/>
    <w:rsid w:val="005934F1"/>
    <w:rPr>
      <w:sz w:val="20"/>
      <w:szCs w:val="24"/>
    </w:rPr>
  </w:style>
  <w:style w:type="paragraph" w:customStyle="1" w:styleId="TableRowNormal">
    <w:name w:val="TableRowNormal"/>
    <w:basedOn w:val="Normal"/>
    <w:link w:val="TableRowNormalChar"/>
    <w:rsid w:val="004240DB"/>
    <w:pPr>
      <w:keepNext/>
      <w:keepLines/>
      <w:tabs>
        <w:tab w:val="left" w:pos="475"/>
        <w:tab w:val="left" w:pos="1440"/>
        <w:tab w:val="left" w:pos="2160"/>
        <w:tab w:val="left" w:pos="2880"/>
      </w:tabs>
      <w:spacing w:before="60" w:after="60" w:line="200" w:lineRule="atLeast"/>
      <w:ind w:left="144" w:hanging="144"/>
      <w:jc w:val="right"/>
    </w:pPr>
    <w:rPr>
      <w:rFonts w:ascii="Times New Roman" w:eastAsia="Times New Roman" w:hAnsi="Times New Roman" w:cs="Times New Roman"/>
      <w:sz w:val="20"/>
      <w:szCs w:val="20"/>
    </w:rPr>
  </w:style>
  <w:style w:type="paragraph" w:customStyle="1" w:styleId="TableColHeadings">
    <w:name w:val="TableColHeadings"/>
    <w:basedOn w:val="Normal"/>
    <w:rsid w:val="004240DB"/>
    <w:pPr>
      <w:keepNext/>
      <w:keepLines/>
      <w:tabs>
        <w:tab w:val="left" w:pos="475"/>
        <w:tab w:val="left" w:pos="1440"/>
        <w:tab w:val="left" w:pos="2160"/>
        <w:tab w:val="left" w:pos="2880"/>
      </w:tabs>
      <w:spacing w:before="60" w:after="60" w:line="240" w:lineRule="auto"/>
      <w:jc w:val="right"/>
    </w:pPr>
    <w:rPr>
      <w:rFonts w:ascii="Times New Roman" w:eastAsia="Times New Roman" w:hAnsi="Times New Roman" w:cs="Times New Roman"/>
      <w:sz w:val="20"/>
      <w:szCs w:val="20"/>
    </w:rPr>
  </w:style>
  <w:style w:type="paragraph" w:customStyle="1" w:styleId="TableRowUnits">
    <w:name w:val="TableRowUnits"/>
    <w:basedOn w:val="Normal"/>
    <w:rsid w:val="004240DB"/>
    <w:pPr>
      <w:keepNext/>
      <w:keepLines/>
      <w:tabs>
        <w:tab w:val="left" w:pos="475"/>
        <w:tab w:val="left" w:pos="1440"/>
        <w:tab w:val="left" w:pos="2160"/>
        <w:tab w:val="left" w:pos="2880"/>
      </w:tabs>
      <w:spacing w:after="0" w:line="240" w:lineRule="auto"/>
      <w:jc w:val="right"/>
    </w:pPr>
    <w:rPr>
      <w:rFonts w:ascii="Times New Roman" w:eastAsia="Times New Roman" w:hAnsi="Times New Roman" w:cs="Times New Roman"/>
      <w:sz w:val="20"/>
      <w:szCs w:val="20"/>
    </w:rPr>
  </w:style>
  <w:style w:type="paragraph" w:customStyle="1" w:styleId="Single">
    <w:name w:val="Single"/>
    <w:basedOn w:val="Normal"/>
    <w:next w:val="CGCNumberedPara"/>
    <w:link w:val="SingleChar"/>
    <w:rsid w:val="004240DB"/>
    <w:pPr>
      <w:spacing w:after="0" w:line="240" w:lineRule="auto"/>
    </w:pPr>
    <w:rPr>
      <w:rFonts w:eastAsia="Times New Roman" w:cs="Times New Roman"/>
      <w:szCs w:val="24"/>
    </w:rPr>
  </w:style>
  <w:style w:type="paragraph" w:customStyle="1" w:styleId="Default">
    <w:name w:val="Default"/>
    <w:rsid w:val="00BC4474"/>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A5421"/>
    <w:pPr>
      <w:tabs>
        <w:tab w:val="clear" w:pos="567"/>
      </w:tabs>
      <w:spacing w:after="100"/>
      <w:ind w:left="720"/>
    </w:pPr>
  </w:style>
  <w:style w:type="paragraph" w:styleId="TOC5">
    <w:name w:val="toc 5"/>
    <w:basedOn w:val="Normal"/>
    <w:next w:val="Normal"/>
    <w:autoRedefine/>
    <w:uiPriority w:val="39"/>
    <w:unhideWhenUsed/>
    <w:rsid w:val="00CA5421"/>
    <w:pPr>
      <w:tabs>
        <w:tab w:val="clear" w:pos="567"/>
      </w:tabs>
      <w:spacing w:after="100"/>
      <w:ind w:left="960"/>
    </w:pPr>
  </w:style>
  <w:style w:type="paragraph" w:styleId="TOC6">
    <w:name w:val="toc 6"/>
    <w:basedOn w:val="Normal"/>
    <w:next w:val="Normal"/>
    <w:autoRedefine/>
    <w:uiPriority w:val="39"/>
    <w:unhideWhenUsed/>
    <w:rsid w:val="00CA5421"/>
    <w:pPr>
      <w:tabs>
        <w:tab w:val="clear" w:pos="567"/>
      </w:tabs>
      <w:spacing w:after="100"/>
      <w:ind w:left="1200"/>
    </w:pPr>
  </w:style>
  <w:style w:type="paragraph" w:styleId="TOC7">
    <w:name w:val="toc 7"/>
    <w:basedOn w:val="Normal"/>
    <w:next w:val="Normal"/>
    <w:autoRedefine/>
    <w:uiPriority w:val="39"/>
    <w:unhideWhenUsed/>
    <w:rsid w:val="00CA5421"/>
    <w:pPr>
      <w:tabs>
        <w:tab w:val="clear" w:pos="567"/>
      </w:tabs>
      <w:spacing w:after="100"/>
      <w:ind w:left="1440"/>
    </w:pPr>
  </w:style>
  <w:style w:type="paragraph" w:styleId="TOC8">
    <w:name w:val="toc 8"/>
    <w:basedOn w:val="Normal"/>
    <w:next w:val="Normal"/>
    <w:autoRedefine/>
    <w:uiPriority w:val="39"/>
    <w:unhideWhenUsed/>
    <w:rsid w:val="00CA5421"/>
    <w:pPr>
      <w:tabs>
        <w:tab w:val="clear" w:pos="567"/>
      </w:tabs>
      <w:spacing w:after="100"/>
      <w:ind w:left="1680"/>
    </w:pPr>
  </w:style>
  <w:style w:type="paragraph" w:styleId="TOC9">
    <w:name w:val="toc 9"/>
    <w:basedOn w:val="Normal"/>
    <w:next w:val="Normal"/>
    <w:autoRedefine/>
    <w:uiPriority w:val="39"/>
    <w:unhideWhenUsed/>
    <w:rsid w:val="00CA5421"/>
    <w:pPr>
      <w:tabs>
        <w:tab w:val="clear" w:pos="567"/>
      </w:tabs>
      <w:spacing w:after="100"/>
      <w:ind w:left="1920"/>
    </w:pPr>
  </w:style>
  <w:style w:type="character" w:customStyle="1" w:styleId="Heading8Char">
    <w:name w:val="Heading 8 Char"/>
    <w:aliases w:val="(Do not use) Char,(Sub-section Nos) Char"/>
    <w:basedOn w:val="DefaultParagraphFont"/>
    <w:link w:val="Heading8"/>
    <w:semiHidden/>
    <w:rsid w:val="004514BD"/>
    <w:rPr>
      <w:rFonts w:ascii="Arial" w:hAnsi="Arial"/>
      <w:i/>
      <w:sz w:val="20"/>
      <w:szCs w:val="20"/>
    </w:rPr>
  </w:style>
  <w:style w:type="character" w:customStyle="1" w:styleId="Heading9Char">
    <w:name w:val="Heading 9 Char"/>
    <w:aliases w:val="Heading 9 (Do not use) Char,(Subsubsection Nos) Char"/>
    <w:basedOn w:val="DefaultParagraphFont"/>
    <w:link w:val="Heading9"/>
    <w:semiHidden/>
    <w:rsid w:val="004514BD"/>
    <w:rPr>
      <w:rFonts w:ascii="Arial" w:hAnsi="Arial"/>
      <w:b/>
      <w:i/>
      <w:sz w:val="18"/>
      <w:szCs w:val="20"/>
    </w:rPr>
  </w:style>
  <w:style w:type="paragraph" w:styleId="DocumentMap">
    <w:name w:val="Document Map"/>
    <w:basedOn w:val="Normal"/>
    <w:link w:val="DocumentMapChar"/>
    <w:rsid w:val="004514B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4514BD"/>
    <w:rPr>
      <w:rFonts w:ascii="Tahoma" w:hAnsi="Tahoma" w:cs="Tahoma"/>
      <w:sz w:val="20"/>
      <w:szCs w:val="20"/>
      <w:shd w:val="clear" w:color="auto" w:fill="000080"/>
    </w:rPr>
  </w:style>
  <w:style w:type="character" w:styleId="EndnoteReference">
    <w:name w:val="endnote reference"/>
    <w:basedOn w:val="DefaultParagraphFont"/>
    <w:rsid w:val="004514BD"/>
    <w:rPr>
      <w:vertAlign w:val="superscript"/>
    </w:rPr>
  </w:style>
  <w:style w:type="paragraph" w:styleId="EndnoteText">
    <w:name w:val="endnote text"/>
    <w:basedOn w:val="Normal"/>
    <w:link w:val="EndnoteTextChar"/>
    <w:rsid w:val="004514BD"/>
    <w:rPr>
      <w:sz w:val="20"/>
      <w:szCs w:val="20"/>
    </w:rPr>
  </w:style>
  <w:style w:type="character" w:customStyle="1" w:styleId="EndnoteTextChar">
    <w:name w:val="Endnote Text Char"/>
    <w:basedOn w:val="DefaultParagraphFont"/>
    <w:link w:val="EndnoteText"/>
    <w:rsid w:val="004514BD"/>
    <w:rPr>
      <w:sz w:val="20"/>
      <w:szCs w:val="20"/>
    </w:rPr>
  </w:style>
  <w:style w:type="paragraph" w:styleId="Index1">
    <w:name w:val="index 1"/>
    <w:basedOn w:val="Normal"/>
    <w:rsid w:val="004514BD"/>
  </w:style>
  <w:style w:type="paragraph" w:styleId="Index2">
    <w:name w:val="index 2"/>
    <w:basedOn w:val="Normal"/>
    <w:next w:val="Index1"/>
    <w:rsid w:val="004514BD"/>
    <w:pPr>
      <w:ind w:left="284"/>
    </w:pPr>
  </w:style>
  <w:style w:type="paragraph" w:styleId="Index3">
    <w:name w:val="index 3"/>
    <w:basedOn w:val="Normal"/>
    <w:next w:val="Index1"/>
    <w:rsid w:val="004514BD"/>
    <w:pPr>
      <w:ind w:left="567"/>
    </w:pPr>
  </w:style>
  <w:style w:type="paragraph" w:styleId="Index4">
    <w:name w:val="index 4"/>
    <w:basedOn w:val="Normal"/>
    <w:next w:val="Normal"/>
    <w:rsid w:val="004514BD"/>
    <w:pPr>
      <w:ind w:left="880" w:hanging="220"/>
    </w:pPr>
  </w:style>
  <w:style w:type="paragraph" w:styleId="Index5">
    <w:name w:val="index 5"/>
    <w:basedOn w:val="Normal"/>
    <w:next w:val="Normal"/>
    <w:rsid w:val="004514BD"/>
    <w:pPr>
      <w:ind w:left="1100" w:hanging="220"/>
    </w:pPr>
  </w:style>
  <w:style w:type="paragraph" w:styleId="Index6">
    <w:name w:val="index 6"/>
    <w:basedOn w:val="Normal"/>
    <w:next w:val="Normal"/>
    <w:rsid w:val="004514BD"/>
    <w:pPr>
      <w:ind w:left="1320" w:hanging="220"/>
    </w:pPr>
  </w:style>
  <w:style w:type="paragraph" w:styleId="Index7">
    <w:name w:val="index 7"/>
    <w:basedOn w:val="Normal"/>
    <w:next w:val="Normal"/>
    <w:rsid w:val="004514BD"/>
    <w:pPr>
      <w:ind w:left="1540" w:hanging="220"/>
    </w:pPr>
  </w:style>
  <w:style w:type="paragraph" w:styleId="Index8">
    <w:name w:val="index 8"/>
    <w:basedOn w:val="Normal"/>
    <w:next w:val="Normal"/>
    <w:rsid w:val="004514BD"/>
    <w:pPr>
      <w:ind w:left="1760" w:hanging="220"/>
    </w:pPr>
  </w:style>
  <w:style w:type="paragraph" w:styleId="Index9">
    <w:name w:val="index 9"/>
    <w:basedOn w:val="Normal"/>
    <w:next w:val="Normal"/>
    <w:rsid w:val="004514BD"/>
    <w:pPr>
      <w:ind w:left="1980" w:hanging="220"/>
    </w:pPr>
  </w:style>
  <w:style w:type="paragraph" w:styleId="IndexHeading">
    <w:name w:val="index heading"/>
    <w:basedOn w:val="Normal"/>
    <w:next w:val="Index1"/>
    <w:rsid w:val="004514BD"/>
  </w:style>
  <w:style w:type="paragraph" w:styleId="List">
    <w:name w:val="List"/>
    <w:basedOn w:val="Normal"/>
    <w:rsid w:val="004514BD"/>
    <w:pPr>
      <w:spacing w:line="300" w:lineRule="atLeast"/>
    </w:pPr>
  </w:style>
  <w:style w:type="paragraph" w:styleId="MacroText">
    <w:name w:val="macro"/>
    <w:link w:val="MacroTextChar"/>
    <w:rsid w:val="004514B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4514BD"/>
    <w:rPr>
      <w:rFonts w:ascii="Courier New" w:hAnsi="Courier New" w:cs="Courier New"/>
    </w:rPr>
  </w:style>
  <w:style w:type="character" w:styleId="PageNumber">
    <w:name w:val="page number"/>
    <w:basedOn w:val="DefaultParagraphFont"/>
    <w:rsid w:val="004514BD"/>
  </w:style>
  <w:style w:type="paragraph" w:styleId="TableofAuthorities">
    <w:name w:val="table of authorities"/>
    <w:basedOn w:val="Normal"/>
    <w:next w:val="Normal"/>
    <w:rsid w:val="004514BD"/>
    <w:pPr>
      <w:tabs>
        <w:tab w:val="clear" w:pos="567"/>
      </w:tabs>
      <w:ind w:left="220" w:hanging="220"/>
    </w:pPr>
  </w:style>
  <w:style w:type="paragraph" w:styleId="TableofFigures">
    <w:name w:val="table of figures"/>
    <w:basedOn w:val="Normal"/>
    <w:next w:val="Normal"/>
    <w:rsid w:val="004514BD"/>
    <w:pPr>
      <w:tabs>
        <w:tab w:val="clear" w:pos="567"/>
      </w:tabs>
    </w:pPr>
  </w:style>
  <w:style w:type="paragraph" w:styleId="TOAHeading">
    <w:name w:val="toa heading"/>
    <w:basedOn w:val="Normal"/>
    <w:next w:val="Normal"/>
    <w:rsid w:val="004514BD"/>
    <w:pPr>
      <w:spacing w:before="120"/>
    </w:pPr>
    <w:rPr>
      <w:rFonts w:cs="Arial"/>
      <w:b/>
      <w:bCs/>
    </w:rPr>
  </w:style>
  <w:style w:type="character" w:customStyle="1" w:styleId="NoSpacingChar">
    <w:name w:val="No Spacing Char"/>
    <w:basedOn w:val="DefaultParagraphFont"/>
    <w:link w:val="NoSpacing"/>
    <w:uiPriority w:val="1"/>
    <w:rsid w:val="004514BD"/>
    <w:rPr>
      <w:sz w:val="24"/>
    </w:rPr>
  </w:style>
  <w:style w:type="character" w:customStyle="1" w:styleId="CGCSubbulletlistChar">
    <w:name w:val="CGC Sub bullet list Char"/>
    <w:aliases w:val="CGC List 2 Char"/>
    <w:basedOn w:val="DefaultParagraphFont"/>
    <w:link w:val="CGCSubbulletlist"/>
    <w:locked/>
    <w:rsid w:val="004514BD"/>
    <w:rPr>
      <w:sz w:val="24"/>
      <w:szCs w:val="20"/>
    </w:rPr>
  </w:style>
  <w:style w:type="character" w:customStyle="1" w:styleId="TableRowNormalChar">
    <w:name w:val="TableRowNormal Char"/>
    <w:basedOn w:val="DefaultParagraphFont"/>
    <w:link w:val="TableRowNormal"/>
    <w:locked/>
    <w:rsid w:val="004514BD"/>
    <w:rPr>
      <w:rFonts w:ascii="Times New Roman" w:eastAsia="Times New Roman" w:hAnsi="Times New Roman" w:cs="Times New Roman"/>
      <w:sz w:val="20"/>
      <w:szCs w:val="20"/>
    </w:rPr>
  </w:style>
  <w:style w:type="character" w:customStyle="1" w:styleId="CGCTableStubChar">
    <w:name w:val="CGC Table Stub Char"/>
    <w:basedOn w:val="DefaultParagraphFont"/>
    <w:link w:val="CGCTableStub"/>
    <w:rsid w:val="004514BD"/>
    <w:rPr>
      <w:sz w:val="20"/>
      <w:szCs w:val="20"/>
    </w:rPr>
  </w:style>
  <w:style w:type="character" w:customStyle="1" w:styleId="SingleChar">
    <w:name w:val="Single Char"/>
    <w:basedOn w:val="DefaultParagraphFont"/>
    <w:link w:val="Single"/>
    <w:locked/>
    <w:rsid w:val="004514BD"/>
    <w:rPr>
      <w:rFonts w:eastAsia="Times New Roman" w:cs="Times New Roman"/>
      <w:sz w:val="24"/>
      <w:szCs w:val="24"/>
    </w:rPr>
  </w:style>
  <w:style w:type="paragraph" w:customStyle="1" w:styleId="h1num">
    <w:name w:val="h1num"/>
    <w:basedOn w:val="Normal"/>
    <w:rsid w:val="004514BD"/>
    <w:pPr>
      <w:keepNext/>
      <w:pBdr>
        <w:bottom w:val="single" w:sz="6" w:space="1" w:color="auto"/>
      </w:pBdr>
      <w:tabs>
        <w:tab w:val="clear" w:pos="567"/>
      </w:tabs>
      <w:spacing w:before="2400" w:after="200" w:line="240" w:lineRule="auto"/>
      <w:outlineLvl w:val="0"/>
    </w:pPr>
    <w:rPr>
      <w:rFonts w:eastAsia="Times New Roman" w:cs="Arial"/>
      <w:b/>
      <w:bCs/>
      <w:caps/>
      <w:color w:val="329664"/>
      <w:sz w:val="40"/>
      <w:szCs w:val="32"/>
    </w:rPr>
  </w:style>
  <w:style w:type="paragraph" w:customStyle="1" w:styleId="StyleBodyText2Body">
    <w:name w:val="Style Body Text 2 + +Body"/>
    <w:basedOn w:val="BodyText2"/>
    <w:rsid w:val="004514BD"/>
    <w:pPr>
      <w:keepNext/>
      <w:keepLines/>
      <w:tabs>
        <w:tab w:val="clear" w:pos="567"/>
        <w:tab w:val="left" w:pos="1440"/>
        <w:tab w:val="left" w:pos="2160"/>
        <w:tab w:val="left" w:pos="2880"/>
      </w:tabs>
      <w:spacing w:before="60" w:after="60" w:line="240" w:lineRule="auto"/>
    </w:pPr>
    <w:rPr>
      <w:rFonts w:eastAsia="Times New Roman" w:cs="Times New Roman"/>
      <w:sz w:val="20"/>
      <w:szCs w:val="24"/>
    </w:rPr>
  </w:style>
  <w:style w:type="paragraph" w:styleId="BodyText2">
    <w:name w:val="Body Text 2"/>
    <w:basedOn w:val="Normal"/>
    <w:link w:val="BodyText2Char"/>
    <w:rsid w:val="004514BD"/>
    <w:pPr>
      <w:spacing w:after="120" w:line="480" w:lineRule="auto"/>
    </w:pPr>
  </w:style>
  <w:style w:type="character" w:customStyle="1" w:styleId="BodyText2Char">
    <w:name w:val="Body Text 2 Char"/>
    <w:basedOn w:val="DefaultParagraphFont"/>
    <w:link w:val="BodyText2"/>
    <w:rsid w:val="004514BD"/>
    <w:rPr>
      <w:sz w:val="24"/>
    </w:rPr>
  </w:style>
  <w:style w:type="paragraph" w:styleId="Title">
    <w:name w:val="Title"/>
    <w:basedOn w:val="Normal"/>
    <w:link w:val="TitleChar"/>
    <w:uiPriority w:val="10"/>
    <w:rsid w:val="004514BD"/>
    <w:pPr>
      <w:spacing w:before="120" w:after="360" w:line="240" w:lineRule="auto"/>
      <w:jc w:val="right"/>
    </w:pPr>
    <w:rPr>
      <w:rFonts w:ascii="Tahoma" w:eastAsia="Batang" w:hAnsi="Tahoma" w:cs="Times New Roman"/>
      <w:sz w:val="48"/>
      <w:szCs w:val="24"/>
      <w:lang w:eastAsia="ko-KR"/>
    </w:rPr>
  </w:style>
  <w:style w:type="character" w:customStyle="1" w:styleId="TitleChar">
    <w:name w:val="Title Char"/>
    <w:basedOn w:val="DefaultParagraphFont"/>
    <w:link w:val="Title"/>
    <w:uiPriority w:val="10"/>
    <w:rsid w:val="004514BD"/>
    <w:rPr>
      <w:rFonts w:ascii="Tahoma" w:eastAsia="Batang" w:hAnsi="Tahoma" w:cs="Times New Roman"/>
      <w:sz w:val="48"/>
      <w:szCs w:val="24"/>
      <w:lang w:eastAsia="ko-KR"/>
    </w:rPr>
  </w:style>
  <w:style w:type="character" w:styleId="Strong">
    <w:name w:val="Strong"/>
    <w:basedOn w:val="DefaultParagraphFont"/>
    <w:uiPriority w:val="22"/>
    <w:rsid w:val="004514BD"/>
    <w:rPr>
      <w:b/>
      <w:bCs/>
    </w:rPr>
  </w:style>
  <w:style w:type="character" w:customStyle="1" w:styleId="apple-converted-space">
    <w:name w:val="apple-converted-space"/>
    <w:basedOn w:val="DefaultParagraphFont"/>
    <w:rsid w:val="004514BD"/>
  </w:style>
  <w:style w:type="paragraph" w:customStyle="1" w:styleId="Style1">
    <w:name w:val="Style1"/>
    <w:basedOn w:val="CGCBulletlist"/>
    <w:link w:val="Style1Char"/>
    <w:rsid w:val="004514BD"/>
    <w:pPr>
      <w:numPr>
        <w:numId w:val="0"/>
      </w:numPr>
      <w:tabs>
        <w:tab w:val="left" w:pos="1134"/>
      </w:tabs>
      <w:ind w:left="1134" w:hanging="567"/>
    </w:pPr>
  </w:style>
  <w:style w:type="character" w:customStyle="1" w:styleId="Style1Char">
    <w:name w:val="Style1 Char"/>
    <w:basedOn w:val="CGCBulletlistCharChar"/>
    <w:link w:val="Style1"/>
    <w:rsid w:val="004514BD"/>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80" w:line="3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unhideWhenUsed="0"/>
    <w:lsdException w:name="heading 8" w:uiPriority="0" w:unhideWhenUsed="0"/>
    <w:lsdException w:name="heading 9" w:uiPriority="0" w:unhideWhenUsed="0"/>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0" w:qFormat="1"/>
    <w:lsdException w:name="table of figures" w:uiPriority="0"/>
    <w:lsdException w:name="footnote reference" w:uiPriority="0" w:qFormat="1"/>
    <w:lsdException w:name="annotation reference" w:uiPriority="0"/>
    <w:lsdException w:name="pag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Title" w:uiPriority="10" w:unhideWhenUsed="0" w:qFormat="1"/>
    <w:lsdException w:name="Default Paragraph Font" w:uiPriority="1"/>
    <w:lsdException w:name="Subtitle" w:uiPriority="11" w:unhideWhenUsed="0" w:qFormat="1"/>
    <w:lsdException w:name="Body Text 2" w:uiPriority="0"/>
    <w:lsdException w:name="Hyperlink" w:uiPriority="0"/>
    <w:lsdException w:name="Strong" w:uiPriority="22" w:unhideWhenUsed="0" w:qFormat="1"/>
    <w:lsdException w:name="Emphasis" w:uiPriority="20" w:unhideWhenUsed="0" w:qFormat="1"/>
    <w:lsdException w:name="Document Map"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526FCD"/>
    <w:pPr>
      <w:tabs>
        <w:tab w:val="left" w:pos="567"/>
      </w:tabs>
    </w:pPr>
    <w:rPr>
      <w:sz w:val="24"/>
    </w:rPr>
  </w:style>
  <w:style w:type="paragraph" w:styleId="Heading1">
    <w:name w:val="heading 1"/>
    <w:basedOn w:val="Normal"/>
    <w:next w:val="Heading2"/>
    <w:link w:val="Heading1Char"/>
    <w:uiPriority w:val="9"/>
    <w:qFormat/>
    <w:rsid w:val="00526FCD"/>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526FCD"/>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526FCD"/>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526FCD"/>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526FCD"/>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526FCD"/>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526FC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link w:val="Heading8Char"/>
    <w:semiHidden/>
    <w:rsid w:val="004514BD"/>
    <w:pPr>
      <w:numPr>
        <w:ilvl w:val="7"/>
        <w:numId w:val="45"/>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link w:val="Heading9Char"/>
    <w:semiHidden/>
    <w:rsid w:val="004514BD"/>
    <w:pPr>
      <w:numPr>
        <w:ilvl w:val="8"/>
        <w:numId w:val="45"/>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526FCD"/>
    <w:rPr>
      <w:rFonts w:eastAsiaTheme="majorEastAsia" w:cstheme="majorBidi"/>
      <w:b/>
      <w:i/>
      <w:iCs/>
      <w:color w:val="2C8558"/>
      <w:sz w:val="28"/>
    </w:rPr>
  </w:style>
  <w:style w:type="character" w:customStyle="1" w:styleId="Heading1Char">
    <w:name w:val="Heading 1 Char"/>
    <w:basedOn w:val="DefaultParagraphFont"/>
    <w:link w:val="Heading1"/>
    <w:uiPriority w:val="9"/>
    <w:rsid w:val="00526FCD"/>
    <w:rPr>
      <w:rFonts w:eastAsiaTheme="majorEastAsia" w:cstheme="majorBidi"/>
      <w:b/>
      <w:bCs/>
      <w:caps/>
      <w:color w:val="2C8558"/>
      <w:sz w:val="40"/>
      <w:szCs w:val="28"/>
    </w:rPr>
  </w:style>
  <w:style w:type="character" w:customStyle="1" w:styleId="Heading7Char">
    <w:name w:val="Heading 7 Char"/>
    <w:basedOn w:val="DefaultParagraphFont"/>
    <w:link w:val="Heading7"/>
    <w:uiPriority w:val="9"/>
    <w:semiHidden/>
    <w:rsid w:val="00526FCD"/>
    <w:rPr>
      <w:rFonts w:asciiTheme="majorHAnsi" w:eastAsiaTheme="majorEastAsia" w:hAnsiTheme="majorHAnsi" w:cstheme="majorBidi"/>
      <w:i/>
      <w:iCs/>
      <w:color w:val="404040" w:themeColor="text1" w:themeTint="BF"/>
      <w:sz w:val="24"/>
    </w:rPr>
  </w:style>
  <w:style w:type="character" w:customStyle="1" w:styleId="Heading2Char">
    <w:name w:val="Heading 2 Char"/>
    <w:basedOn w:val="DefaultParagraphFont"/>
    <w:link w:val="Heading2"/>
    <w:uiPriority w:val="9"/>
    <w:rsid w:val="00526FCD"/>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526FCD"/>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526FCD"/>
    <w:rPr>
      <w:rFonts w:eastAsiaTheme="majorEastAsia" w:cstheme="majorBidi"/>
      <w:b/>
      <w:bCs/>
      <w:iCs/>
      <w:color w:val="2C8558"/>
      <w:sz w:val="32"/>
    </w:rPr>
  </w:style>
  <w:style w:type="character" w:customStyle="1" w:styleId="Heading5Char">
    <w:name w:val="Heading 5 Char"/>
    <w:basedOn w:val="DefaultParagraphFont"/>
    <w:link w:val="Heading5"/>
    <w:uiPriority w:val="9"/>
    <w:rsid w:val="00526FCD"/>
    <w:rPr>
      <w:rFonts w:eastAsiaTheme="majorEastAsia" w:cstheme="majorBidi"/>
      <w:b/>
      <w:i/>
      <w:color w:val="2C8558"/>
      <w:sz w:val="28"/>
    </w:rPr>
  </w:style>
  <w:style w:type="paragraph" w:customStyle="1" w:styleId="CGCBulletlist">
    <w:name w:val="CGC Bullet list"/>
    <w:aliases w:val="CGC List 1"/>
    <w:basedOn w:val="Normal"/>
    <w:link w:val="CGCBulletlistCharChar"/>
    <w:qFormat/>
    <w:rsid w:val="003D652B"/>
    <w:pPr>
      <w:numPr>
        <w:numId w:val="11"/>
      </w:numPr>
      <w:tabs>
        <w:tab w:val="clear" w:pos="567"/>
        <w:tab w:val="clear" w:pos="927"/>
      </w:tabs>
      <w:spacing w:before="80" w:line="300" w:lineRule="atLeast"/>
      <w:ind w:left="1134" w:hanging="567"/>
    </w:pPr>
    <w:rPr>
      <w:szCs w:val="20"/>
    </w:rPr>
  </w:style>
  <w:style w:type="paragraph" w:customStyle="1" w:styleId="CGCNumberedPara">
    <w:name w:val="CGC Numbered Para"/>
    <w:aliases w:val="CGC Para No"/>
    <w:basedOn w:val="Normal"/>
    <w:link w:val="CGCParaNoChar"/>
    <w:qFormat/>
    <w:rsid w:val="00526FCD"/>
    <w:pPr>
      <w:numPr>
        <w:ilvl w:val="1"/>
        <w:numId w:val="20"/>
      </w:numPr>
      <w:spacing w:before="120"/>
    </w:pPr>
    <w:rPr>
      <w:szCs w:val="24"/>
    </w:rPr>
  </w:style>
  <w:style w:type="paragraph" w:customStyle="1" w:styleId="CGCTableFootnote">
    <w:name w:val="CGC Table Footnote"/>
    <w:basedOn w:val="CGCNumberedPara"/>
    <w:next w:val="NoSpacing"/>
    <w:link w:val="CGCTableFootnoteChar"/>
    <w:qFormat/>
    <w:rsid w:val="00526FCD"/>
    <w:pPr>
      <w:numPr>
        <w:ilvl w:val="0"/>
        <w:numId w:val="0"/>
      </w:numPr>
      <w:tabs>
        <w:tab w:val="left" w:pos="851"/>
      </w:tabs>
      <w:spacing w:before="0" w:after="0" w:line="240" w:lineRule="auto"/>
      <w:ind w:left="851" w:hanging="851"/>
    </w:pPr>
    <w:rPr>
      <w:sz w:val="20"/>
    </w:rPr>
  </w:style>
  <w:style w:type="paragraph" w:styleId="NoSpacing">
    <w:name w:val="No Spacing"/>
    <w:link w:val="NoSpacingChar"/>
    <w:uiPriority w:val="1"/>
    <w:qFormat/>
    <w:rsid w:val="00526FCD"/>
    <w:pPr>
      <w:tabs>
        <w:tab w:val="left" w:pos="567"/>
      </w:tabs>
      <w:spacing w:after="0" w:line="240" w:lineRule="auto"/>
    </w:pPr>
    <w:rPr>
      <w:sz w:val="24"/>
    </w:rPr>
  </w:style>
  <w:style w:type="paragraph" w:customStyle="1" w:styleId="CGCDataCaption">
    <w:name w:val="CGC Data Caption"/>
    <w:basedOn w:val="CGCTableFootnote"/>
    <w:next w:val="NoSpacing"/>
    <w:link w:val="DataCaptionChar"/>
    <w:qFormat/>
    <w:rsid w:val="00526FCD"/>
  </w:style>
  <w:style w:type="character" w:customStyle="1" w:styleId="DataCaptionChar">
    <w:name w:val="Data Caption Char"/>
    <w:basedOn w:val="DefaultParagraphFont"/>
    <w:link w:val="CGCDataCaption"/>
    <w:rsid w:val="00526FCD"/>
    <w:rPr>
      <w:sz w:val="20"/>
      <w:szCs w:val="24"/>
    </w:rPr>
  </w:style>
  <w:style w:type="paragraph" w:customStyle="1" w:styleId="CGCNumeralList">
    <w:name w:val="CGC Numeral List"/>
    <w:aliases w:val="CGC List 3"/>
    <w:basedOn w:val="Normal"/>
    <w:qFormat/>
    <w:rsid w:val="00526FCD"/>
    <w:pPr>
      <w:numPr>
        <w:numId w:val="21"/>
      </w:numPr>
      <w:tabs>
        <w:tab w:val="clear" w:pos="567"/>
      </w:tabs>
      <w:spacing w:line="300" w:lineRule="atLeast"/>
    </w:pPr>
    <w:rPr>
      <w:szCs w:val="20"/>
    </w:rPr>
  </w:style>
  <w:style w:type="paragraph" w:customStyle="1" w:styleId="CGCQuotation">
    <w:name w:val="CGC Quotation"/>
    <w:basedOn w:val="Normal"/>
    <w:next w:val="CGCNumberedPara"/>
    <w:qFormat/>
    <w:rsid w:val="00526FCD"/>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link w:val="CGCSubbulletlistChar"/>
    <w:qFormat/>
    <w:rsid w:val="001E7B72"/>
    <w:pPr>
      <w:numPr>
        <w:numId w:val="22"/>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526FCD"/>
    <w:pPr>
      <w:numPr>
        <w:numId w:val="23"/>
      </w:numPr>
      <w:ind w:right="1134"/>
    </w:pPr>
    <w:rPr>
      <w:sz w:val="22"/>
    </w:rPr>
  </w:style>
  <w:style w:type="paragraph" w:customStyle="1" w:styleId="CGCTableHeading">
    <w:name w:val="CGC Table Heading"/>
    <w:basedOn w:val="Normal"/>
    <w:next w:val="Normal"/>
    <w:link w:val="CGCTableHeadingChar"/>
    <w:qFormat/>
    <w:rsid w:val="00526FCD"/>
    <w:pPr>
      <w:keepNext/>
      <w:keepLines/>
      <w:tabs>
        <w:tab w:val="clear" w:pos="567"/>
        <w:tab w:val="left" w:pos="1420"/>
      </w:tabs>
      <w:spacing w:before="240" w:after="120" w:line="240" w:lineRule="auto"/>
      <w:ind w:left="1418" w:hanging="1418"/>
    </w:pPr>
    <w:rPr>
      <w:b/>
      <w:szCs w:val="20"/>
    </w:rPr>
  </w:style>
  <w:style w:type="paragraph" w:customStyle="1" w:styleId="CGCTableStub">
    <w:name w:val="CGC Table Stub"/>
    <w:basedOn w:val="Normal"/>
    <w:link w:val="CGCTableStubChar"/>
    <w:rsid w:val="00526FCD"/>
    <w:pPr>
      <w:keepNext/>
      <w:keepLines/>
      <w:tabs>
        <w:tab w:val="left" w:pos="284"/>
      </w:tabs>
      <w:spacing w:before="60" w:after="60" w:line="200" w:lineRule="atLeast"/>
    </w:pPr>
    <w:rPr>
      <w:sz w:val="20"/>
      <w:szCs w:val="20"/>
    </w:rPr>
  </w:style>
  <w:style w:type="paragraph" w:styleId="Header">
    <w:name w:val="header"/>
    <w:basedOn w:val="Normal"/>
    <w:link w:val="HeaderChar"/>
    <w:unhideWhenUsed/>
    <w:rsid w:val="00526FCD"/>
    <w:pPr>
      <w:tabs>
        <w:tab w:val="clear" w:pos="567"/>
        <w:tab w:val="center" w:pos="4513"/>
        <w:tab w:val="right" w:pos="9026"/>
      </w:tabs>
      <w:spacing w:after="0" w:line="240" w:lineRule="auto"/>
    </w:pPr>
  </w:style>
  <w:style w:type="character" w:customStyle="1" w:styleId="HeaderChar">
    <w:name w:val="Header Char"/>
    <w:basedOn w:val="DefaultParagraphFont"/>
    <w:link w:val="Header"/>
    <w:rsid w:val="00526FCD"/>
    <w:rPr>
      <w:sz w:val="24"/>
    </w:rPr>
  </w:style>
  <w:style w:type="paragraph" w:styleId="Footer">
    <w:name w:val="footer"/>
    <w:basedOn w:val="Normal"/>
    <w:link w:val="FooterChar"/>
    <w:uiPriority w:val="99"/>
    <w:unhideWhenUsed/>
    <w:rsid w:val="00526FCD"/>
    <w:pPr>
      <w:tabs>
        <w:tab w:val="clear" w:pos="567"/>
        <w:tab w:val="center" w:pos="4513"/>
        <w:tab w:val="right" w:pos="9026"/>
      </w:tabs>
      <w:spacing w:after="0" w:line="240" w:lineRule="auto"/>
    </w:pPr>
  </w:style>
  <w:style w:type="character" w:customStyle="1" w:styleId="FooterChar">
    <w:name w:val="Footer Char"/>
    <w:basedOn w:val="DefaultParagraphFont"/>
    <w:link w:val="Footer"/>
    <w:uiPriority w:val="99"/>
    <w:rsid w:val="00526FCD"/>
    <w:rPr>
      <w:sz w:val="24"/>
    </w:rPr>
  </w:style>
  <w:style w:type="paragraph" w:styleId="BalloonText">
    <w:name w:val="Balloon Text"/>
    <w:basedOn w:val="Normal"/>
    <w:link w:val="BalloonTextChar"/>
    <w:uiPriority w:val="99"/>
    <w:unhideWhenUsed/>
    <w:rsid w:val="00526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26FCD"/>
    <w:rPr>
      <w:rFonts w:ascii="Tahoma" w:hAnsi="Tahoma" w:cs="Tahoma"/>
      <w:sz w:val="16"/>
      <w:szCs w:val="16"/>
    </w:rPr>
  </w:style>
  <w:style w:type="paragraph" w:styleId="ListParagraph">
    <w:name w:val="List Paragraph"/>
    <w:aliases w:val="List Paragraph1,Recommendation,List Paragraph11,Content descriptions,Bullet point"/>
    <w:basedOn w:val="Normal"/>
    <w:link w:val="ListParagraphChar"/>
    <w:uiPriority w:val="34"/>
    <w:qFormat/>
    <w:rsid w:val="00526FCD"/>
    <w:pPr>
      <w:tabs>
        <w:tab w:val="clear" w:pos="567"/>
      </w:tabs>
      <w:spacing w:line="300" w:lineRule="atLeast"/>
      <w:ind w:left="1134"/>
    </w:pPr>
    <w:rPr>
      <w:szCs w:val="24"/>
    </w:rPr>
  </w:style>
  <w:style w:type="character" w:styleId="Hyperlink">
    <w:name w:val="Hyperlink"/>
    <w:basedOn w:val="DefaultParagraphFont"/>
    <w:rsid w:val="007710CD"/>
    <w:rPr>
      <w:color w:val="0000FF"/>
      <w:u w:val="single"/>
    </w:rPr>
  </w:style>
  <w:style w:type="paragraph" w:styleId="Caption">
    <w:name w:val="caption"/>
    <w:basedOn w:val="Normal"/>
    <w:next w:val="Normal"/>
    <w:link w:val="CaptionChar"/>
    <w:qFormat/>
    <w:rsid w:val="00526FCD"/>
    <w:pPr>
      <w:keepNext/>
      <w:keepLines/>
      <w:tabs>
        <w:tab w:val="clear" w:pos="567"/>
        <w:tab w:val="left" w:pos="1418"/>
      </w:tabs>
      <w:spacing w:before="240" w:after="120" w:line="240" w:lineRule="auto"/>
      <w:ind w:left="1418" w:hanging="1418"/>
    </w:pPr>
    <w:rPr>
      <w:b/>
      <w:bCs/>
      <w:szCs w:val="20"/>
    </w:rPr>
  </w:style>
  <w:style w:type="character" w:customStyle="1" w:styleId="CaptionChar">
    <w:name w:val="Caption Char"/>
    <w:basedOn w:val="DefaultParagraphFont"/>
    <w:link w:val="Caption"/>
    <w:rsid w:val="00526FCD"/>
    <w:rPr>
      <w:b/>
      <w:bCs/>
      <w:sz w:val="24"/>
      <w:szCs w:val="20"/>
    </w:rPr>
  </w:style>
  <w:style w:type="paragraph" w:styleId="FootnoteText">
    <w:name w:val="footnote text"/>
    <w:basedOn w:val="Normal"/>
    <w:link w:val="FootnoteTextChar"/>
    <w:rsid w:val="00526FCD"/>
    <w:pPr>
      <w:spacing w:after="0" w:line="240" w:lineRule="auto"/>
      <w:ind w:left="567" w:hanging="567"/>
    </w:pPr>
    <w:rPr>
      <w:sz w:val="20"/>
      <w:szCs w:val="20"/>
    </w:rPr>
  </w:style>
  <w:style w:type="character" w:customStyle="1" w:styleId="FootnoteTextChar">
    <w:name w:val="Footnote Text Char"/>
    <w:basedOn w:val="DefaultParagraphFont"/>
    <w:link w:val="FootnoteText"/>
    <w:rsid w:val="00526FCD"/>
    <w:rPr>
      <w:sz w:val="20"/>
      <w:szCs w:val="20"/>
    </w:rPr>
  </w:style>
  <w:style w:type="table" w:styleId="TableGrid">
    <w:name w:val="Table Grid"/>
    <w:basedOn w:val="TableNormal"/>
    <w:rsid w:val="00526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unhideWhenUsed/>
    <w:rsid w:val="0081714D"/>
    <w:rPr>
      <w:color w:val="800080" w:themeColor="followedHyperlink"/>
      <w:u w:val="single"/>
    </w:rPr>
  </w:style>
  <w:style w:type="paragraph" w:styleId="TOC1">
    <w:name w:val="toc 1"/>
    <w:basedOn w:val="Normal"/>
    <w:next w:val="Normal"/>
    <w:autoRedefine/>
    <w:uiPriority w:val="39"/>
    <w:unhideWhenUsed/>
    <w:rsid w:val="00962852"/>
    <w:pPr>
      <w:tabs>
        <w:tab w:val="clear" w:pos="567"/>
      </w:tabs>
      <w:spacing w:after="100"/>
    </w:pPr>
  </w:style>
  <w:style w:type="paragraph" w:styleId="TOC2">
    <w:name w:val="toc 2"/>
    <w:basedOn w:val="Normal"/>
    <w:next w:val="Normal"/>
    <w:autoRedefine/>
    <w:uiPriority w:val="39"/>
    <w:unhideWhenUsed/>
    <w:rsid w:val="00962852"/>
    <w:pPr>
      <w:tabs>
        <w:tab w:val="clear" w:pos="567"/>
      </w:tabs>
      <w:spacing w:after="100"/>
      <w:ind w:left="240"/>
    </w:pPr>
  </w:style>
  <w:style w:type="paragraph" w:styleId="TOC3">
    <w:name w:val="toc 3"/>
    <w:basedOn w:val="Normal"/>
    <w:next w:val="Normal"/>
    <w:autoRedefine/>
    <w:uiPriority w:val="39"/>
    <w:unhideWhenUsed/>
    <w:rsid w:val="00962852"/>
    <w:pPr>
      <w:tabs>
        <w:tab w:val="clear" w:pos="567"/>
      </w:tabs>
      <w:spacing w:after="100"/>
      <w:ind w:left="480"/>
    </w:pPr>
  </w:style>
  <w:style w:type="character" w:customStyle="1" w:styleId="CGCParaNoChar">
    <w:name w:val="CGC Para No Char"/>
    <w:aliases w:val="CGC Numbered Para Char"/>
    <w:basedOn w:val="DefaultParagraphFont"/>
    <w:link w:val="CGCNumberedPara"/>
    <w:rsid w:val="005E41E5"/>
    <w:rPr>
      <w:sz w:val="24"/>
      <w:szCs w:val="24"/>
    </w:rPr>
  </w:style>
  <w:style w:type="character" w:customStyle="1" w:styleId="ListParagraphChar">
    <w:name w:val="List Paragraph Char"/>
    <w:aliases w:val="List Paragraph1 Char,Recommendation Char,List Paragraph11 Char,Content descriptions Char,Bullet point Char"/>
    <w:basedOn w:val="DefaultParagraphFont"/>
    <w:link w:val="ListParagraph"/>
    <w:uiPriority w:val="34"/>
    <w:locked/>
    <w:rsid w:val="0016023D"/>
    <w:rPr>
      <w:sz w:val="24"/>
      <w:szCs w:val="24"/>
    </w:rPr>
  </w:style>
  <w:style w:type="character" w:styleId="FootnoteReference">
    <w:name w:val="footnote reference"/>
    <w:basedOn w:val="DefaultParagraphFont"/>
    <w:qFormat/>
    <w:rsid w:val="00835242"/>
    <w:rPr>
      <w:vertAlign w:val="superscript"/>
    </w:rPr>
  </w:style>
  <w:style w:type="character" w:customStyle="1" w:styleId="CGCBulletlistCharChar">
    <w:name w:val="CGC Bullet list Char Char"/>
    <w:basedOn w:val="DefaultParagraphFont"/>
    <w:link w:val="CGCBulletlist"/>
    <w:rsid w:val="003D652B"/>
    <w:rPr>
      <w:sz w:val="24"/>
      <w:szCs w:val="20"/>
    </w:rPr>
  </w:style>
  <w:style w:type="paragraph" w:customStyle="1" w:styleId="Text1">
    <w:name w:val="Text 1"/>
    <w:basedOn w:val="Normal"/>
    <w:link w:val="Text1Char"/>
    <w:rsid w:val="001861C5"/>
    <w:pPr>
      <w:tabs>
        <w:tab w:val="clear" w:pos="567"/>
      </w:tabs>
      <w:spacing w:after="0" w:line="360" w:lineRule="auto"/>
      <w:ind w:firstLine="567"/>
    </w:pPr>
    <w:rPr>
      <w:rFonts w:ascii="Times New Roman" w:eastAsia="Times New Roman" w:hAnsi="Times New Roman" w:cs="Times New Roman"/>
      <w:sz w:val="22"/>
      <w:szCs w:val="24"/>
      <w:lang w:val="en-US"/>
    </w:rPr>
  </w:style>
  <w:style w:type="character" w:customStyle="1" w:styleId="Text1Char">
    <w:name w:val="Text 1 Char"/>
    <w:basedOn w:val="DefaultParagraphFont"/>
    <w:link w:val="Text1"/>
    <w:locked/>
    <w:rsid w:val="001861C5"/>
    <w:rPr>
      <w:rFonts w:ascii="Times New Roman" w:eastAsia="Times New Roman" w:hAnsi="Times New Roman" w:cs="Times New Roman"/>
      <w:szCs w:val="24"/>
      <w:lang w:val="en-US"/>
    </w:rPr>
  </w:style>
  <w:style w:type="paragraph" w:styleId="NormalWeb">
    <w:name w:val="Normal (Web)"/>
    <w:basedOn w:val="Normal"/>
    <w:uiPriority w:val="99"/>
    <w:unhideWhenUsed/>
    <w:rsid w:val="001220B9"/>
    <w:pPr>
      <w:tabs>
        <w:tab w:val="clear" w:pos="567"/>
      </w:tabs>
      <w:spacing w:before="48" w:after="192" w:line="240" w:lineRule="auto"/>
    </w:pPr>
    <w:rPr>
      <w:rFonts w:ascii="Times New Roman" w:eastAsia="Times New Roman" w:hAnsi="Times New Roman" w:cs="Times New Roman"/>
      <w:szCs w:val="24"/>
      <w:lang w:eastAsia="en-AU"/>
    </w:rPr>
  </w:style>
  <w:style w:type="character" w:styleId="CommentReference">
    <w:name w:val="annotation reference"/>
    <w:basedOn w:val="DefaultParagraphFont"/>
    <w:unhideWhenUsed/>
    <w:rsid w:val="001220B9"/>
    <w:rPr>
      <w:sz w:val="16"/>
      <w:szCs w:val="16"/>
    </w:rPr>
  </w:style>
  <w:style w:type="paragraph" w:styleId="CommentText">
    <w:name w:val="annotation text"/>
    <w:basedOn w:val="Normal"/>
    <w:link w:val="CommentTextChar"/>
    <w:unhideWhenUsed/>
    <w:rsid w:val="001220B9"/>
    <w:pPr>
      <w:spacing w:line="240" w:lineRule="auto"/>
    </w:pPr>
    <w:rPr>
      <w:sz w:val="20"/>
      <w:szCs w:val="20"/>
    </w:rPr>
  </w:style>
  <w:style w:type="character" w:customStyle="1" w:styleId="CommentTextChar">
    <w:name w:val="Comment Text Char"/>
    <w:basedOn w:val="DefaultParagraphFont"/>
    <w:link w:val="CommentText"/>
    <w:rsid w:val="001220B9"/>
    <w:rPr>
      <w:sz w:val="20"/>
      <w:szCs w:val="20"/>
    </w:rPr>
  </w:style>
  <w:style w:type="paragraph" w:styleId="CommentSubject">
    <w:name w:val="annotation subject"/>
    <w:basedOn w:val="CommentText"/>
    <w:next w:val="CommentText"/>
    <w:link w:val="CommentSubjectChar"/>
    <w:unhideWhenUsed/>
    <w:rsid w:val="001220B9"/>
    <w:rPr>
      <w:b/>
      <w:bCs/>
    </w:rPr>
  </w:style>
  <w:style w:type="character" w:customStyle="1" w:styleId="CommentSubjectChar">
    <w:name w:val="Comment Subject Char"/>
    <w:basedOn w:val="CommentTextChar"/>
    <w:link w:val="CommentSubject"/>
    <w:rsid w:val="001220B9"/>
    <w:rPr>
      <w:b/>
      <w:bCs/>
      <w:sz w:val="20"/>
      <w:szCs w:val="20"/>
    </w:rPr>
  </w:style>
  <w:style w:type="paragraph" w:customStyle="1" w:styleId="BodyText1">
    <w:name w:val="Body Text1"/>
    <w:basedOn w:val="Normal"/>
    <w:rsid w:val="0010546E"/>
    <w:pPr>
      <w:keepLines/>
      <w:tabs>
        <w:tab w:val="clear" w:pos="567"/>
      </w:tabs>
      <w:spacing w:after="240"/>
      <w:jc w:val="both"/>
    </w:pPr>
    <w:rPr>
      <w:rFonts w:ascii="Arial" w:eastAsia="Times New Roman" w:hAnsi="Arial" w:cs="Times New Roman"/>
      <w:color w:val="000000" w:themeColor="text1"/>
      <w:szCs w:val="20"/>
    </w:rPr>
  </w:style>
  <w:style w:type="character" w:customStyle="1" w:styleId="CGCTableHeadingChar">
    <w:name w:val="CGC Table Heading Char"/>
    <w:basedOn w:val="DefaultParagraphFont"/>
    <w:link w:val="CGCTableHeading"/>
    <w:rsid w:val="00E26A8E"/>
    <w:rPr>
      <w:b/>
      <w:sz w:val="24"/>
      <w:szCs w:val="20"/>
    </w:rPr>
  </w:style>
  <w:style w:type="character" w:customStyle="1" w:styleId="CGCBulletlistChar">
    <w:name w:val="CGC Bullet list Char"/>
    <w:aliases w:val="CGC List 1 Char,CGC Bullet list Char1"/>
    <w:locked/>
    <w:rsid w:val="004E2D91"/>
    <w:rPr>
      <w:sz w:val="24"/>
      <w:szCs w:val="24"/>
    </w:rPr>
  </w:style>
  <w:style w:type="paragraph" w:styleId="TOCHeading">
    <w:name w:val="TOC Heading"/>
    <w:basedOn w:val="Heading1"/>
    <w:next w:val="Normal"/>
    <w:uiPriority w:val="39"/>
    <w:unhideWhenUsed/>
    <w:qFormat/>
    <w:rsid w:val="00D1280C"/>
    <w:pPr>
      <w:keepLines/>
      <w:widowControl/>
      <w:pBdr>
        <w:bottom w:val="none" w:sz="0" w:space="0" w:color="auto"/>
      </w:pBdr>
      <w:tabs>
        <w:tab w:val="clear" w:pos="567"/>
      </w:tabs>
      <w:spacing w:before="480" w:line="276" w:lineRule="auto"/>
      <w:outlineLvl w:val="9"/>
    </w:pPr>
    <w:rPr>
      <w:rFonts w:asciiTheme="majorHAnsi" w:hAnsiTheme="majorHAnsi"/>
      <w:caps w:val="0"/>
      <w:color w:val="365F91" w:themeColor="accent1" w:themeShade="BF"/>
      <w:sz w:val="28"/>
      <w:lang w:val="en-US" w:eastAsia="ja-JP"/>
    </w:rPr>
  </w:style>
  <w:style w:type="character" w:styleId="Emphasis">
    <w:name w:val="Emphasis"/>
    <w:basedOn w:val="DefaultParagraphFont"/>
    <w:uiPriority w:val="20"/>
    <w:qFormat/>
    <w:rsid w:val="00CC79B1"/>
    <w:rPr>
      <w:b/>
      <w:bCs/>
      <w:i w:val="0"/>
      <w:iCs w:val="0"/>
    </w:rPr>
  </w:style>
  <w:style w:type="character" w:customStyle="1" w:styleId="st1">
    <w:name w:val="st1"/>
    <w:basedOn w:val="DefaultParagraphFont"/>
    <w:rsid w:val="00E163C1"/>
  </w:style>
  <w:style w:type="character" w:customStyle="1" w:styleId="CGCTableFootnoteChar">
    <w:name w:val="CGC Table Footnote Char"/>
    <w:basedOn w:val="DefaultParagraphFont"/>
    <w:link w:val="CGCTableFootnote"/>
    <w:rsid w:val="005934F1"/>
    <w:rPr>
      <w:sz w:val="20"/>
      <w:szCs w:val="24"/>
    </w:rPr>
  </w:style>
  <w:style w:type="paragraph" w:customStyle="1" w:styleId="TableRowNormal">
    <w:name w:val="TableRowNormal"/>
    <w:basedOn w:val="Normal"/>
    <w:link w:val="TableRowNormalChar"/>
    <w:rsid w:val="004240DB"/>
    <w:pPr>
      <w:keepNext/>
      <w:keepLines/>
      <w:tabs>
        <w:tab w:val="left" w:pos="475"/>
        <w:tab w:val="left" w:pos="1440"/>
        <w:tab w:val="left" w:pos="2160"/>
        <w:tab w:val="left" w:pos="2880"/>
      </w:tabs>
      <w:spacing w:before="60" w:after="60" w:line="200" w:lineRule="atLeast"/>
      <w:ind w:left="144" w:hanging="144"/>
      <w:jc w:val="right"/>
    </w:pPr>
    <w:rPr>
      <w:rFonts w:ascii="Times New Roman" w:eastAsia="Times New Roman" w:hAnsi="Times New Roman" w:cs="Times New Roman"/>
      <w:sz w:val="20"/>
      <w:szCs w:val="20"/>
    </w:rPr>
  </w:style>
  <w:style w:type="paragraph" w:customStyle="1" w:styleId="TableColHeadings">
    <w:name w:val="TableColHeadings"/>
    <w:basedOn w:val="Normal"/>
    <w:rsid w:val="004240DB"/>
    <w:pPr>
      <w:keepNext/>
      <w:keepLines/>
      <w:tabs>
        <w:tab w:val="left" w:pos="475"/>
        <w:tab w:val="left" w:pos="1440"/>
        <w:tab w:val="left" w:pos="2160"/>
        <w:tab w:val="left" w:pos="2880"/>
      </w:tabs>
      <w:spacing w:before="60" w:after="60" w:line="240" w:lineRule="auto"/>
      <w:jc w:val="right"/>
    </w:pPr>
    <w:rPr>
      <w:rFonts w:ascii="Times New Roman" w:eastAsia="Times New Roman" w:hAnsi="Times New Roman" w:cs="Times New Roman"/>
      <w:sz w:val="20"/>
      <w:szCs w:val="20"/>
    </w:rPr>
  </w:style>
  <w:style w:type="paragraph" w:customStyle="1" w:styleId="TableRowUnits">
    <w:name w:val="TableRowUnits"/>
    <w:basedOn w:val="Normal"/>
    <w:rsid w:val="004240DB"/>
    <w:pPr>
      <w:keepNext/>
      <w:keepLines/>
      <w:tabs>
        <w:tab w:val="left" w:pos="475"/>
        <w:tab w:val="left" w:pos="1440"/>
        <w:tab w:val="left" w:pos="2160"/>
        <w:tab w:val="left" w:pos="2880"/>
      </w:tabs>
      <w:spacing w:after="0" w:line="240" w:lineRule="auto"/>
      <w:jc w:val="right"/>
    </w:pPr>
    <w:rPr>
      <w:rFonts w:ascii="Times New Roman" w:eastAsia="Times New Roman" w:hAnsi="Times New Roman" w:cs="Times New Roman"/>
      <w:sz w:val="20"/>
      <w:szCs w:val="20"/>
    </w:rPr>
  </w:style>
  <w:style w:type="paragraph" w:customStyle="1" w:styleId="Single">
    <w:name w:val="Single"/>
    <w:basedOn w:val="Normal"/>
    <w:next w:val="CGCNumberedPara"/>
    <w:link w:val="SingleChar"/>
    <w:rsid w:val="004240DB"/>
    <w:pPr>
      <w:spacing w:after="0" w:line="240" w:lineRule="auto"/>
    </w:pPr>
    <w:rPr>
      <w:rFonts w:eastAsia="Times New Roman" w:cs="Times New Roman"/>
      <w:szCs w:val="24"/>
    </w:rPr>
  </w:style>
  <w:style w:type="paragraph" w:customStyle="1" w:styleId="Default">
    <w:name w:val="Default"/>
    <w:rsid w:val="00BC4474"/>
    <w:pPr>
      <w:autoSpaceDE w:val="0"/>
      <w:autoSpaceDN w:val="0"/>
      <w:adjustRightInd w:val="0"/>
      <w:spacing w:after="0" w:line="240" w:lineRule="auto"/>
    </w:pPr>
    <w:rPr>
      <w:rFonts w:ascii="Arial" w:hAnsi="Arial" w:cs="Arial"/>
      <w:color w:val="000000"/>
      <w:sz w:val="24"/>
      <w:szCs w:val="24"/>
    </w:rPr>
  </w:style>
  <w:style w:type="paragraph" w:styleId="TOC4">
    <w:name w:val="toc 4"/>
    <w:basedOn w:val="Normal"/>
    <w:next w:val="Normal"/>
    <w:autoRedefine/>
    <w:uiPriority w:val="39"/>
    <w:unhideWhenUsed/>
    <w:rsid w:val="00CA5421"/>
    <w:pPr>
      <w:tabs>
        <w:tab w:val="clear" w:pos="567"/>
      </w:tabs>
      <w:spacing w:after="100"/>
      <w:ind w:left="720"/>
    </w:pPr>
  </w:style>
  <w:style w:type="paragraph" w:styleId="TOC5">
    <w:name w:val="toc 5"/>
    <w:basedOn w:val="Normal"/>
    <w:next w:val="Normal"/>
    <w:autoRedefine/>
    <w:uiPriority w:val="39"/>
    <w:unhideWhenUsed/>
    <w:rsid w:val="00CA5421"/>
    <w:pPr>
      <w:tabs>
        <w:tab w:val="clear" w:pos="567"/>
      </w:tabs>
      <w:spacing w:after="100"/>
      <w:ind w:left="960"/>
    </w:pPr>
  </w:style>
  <w:style w:type="paragraph" w:styleId="TOC6">
    <w:name w:val="toc 6"/>
    <w:basedOn w:val="Normal"/>
    <w:next w:val="Normal"/>
    <w:autoRedefine/>
    <w:uiPriority w:val="39"/>
    <w:unhideWhenUsed/>
    <w:rsid w:val="00CA5421"/>
    <w:pPr>
      <w:tabs>
        <w:tab w:val="clear" w:pos="567"/>
      </w:tabs>
      <w:spacing w:after="100"/>
      <w:ind w:left="1200"/>
    </w:pPr>
  </w:style>
  <w:style w:type="paragraph" w:styleId="TOC7">
    <w:name w:val="toc 7"/>
    <w:basedOn w:val="Normal"/>
    <w:next w:val="Normal"/>
    <w:autoRedefine/>
    <w:uiPriority w:val="39"/>
    <w:unhideWhenUsed/>
    <w:rsid w:val="00CA5421"/>
    <w:pPr>
      <w:tabs>
        <w:tab w:val="clear" w:pos="567"/>
      </w:tabs>
      <w:spacing w:after="100"/>
      <w:ind w:left="1440"/>
    </w:pPr>
  </w:style>
  <w:style w:type="paragraph" w:styleId="TOC8">
    <w:name w:val="toc 8"/>
    <w:basedOn w:val="Normal"/>
    <w:next w:val="Normal"/>
    <w:autoRedefine/>
    <w:uiPriority w:val="39"/>
    <w:unhideWhenUsed/>
    <w:rsid w:val="00CA5421"/>
    <w:pPr>
      <w:tabs>
        <w:tab w:val="clear" w:pos="567"/>
      </w:tabs>
      <w:spacing w:after="100"/>
      <w:ind w:left="1680"/>
    </w:pPr>
  </w:style>
  <w:style w:type="paragraph" w:styleId="TOC9">
    <w:name w:val="toc 9"/>
    <w:basedOn w:val="Normal"/>
    <w:next w:val="Normal"/>
    <w:autoRedefine/>
    <w:uiPriority w:val="39"/>
    <w:unhideWhenUsed/>
    <w:rsid w:val="00CA5421"/>
    <w:pPr>
      <w:tabs>
        <w:tab w:val="clear" w:pos="567"/>
      </w:tabs>
      <w:spacing w:after="100"/>
      <w:ind w:left="1920"/>
    </w:pPr>
  </w:style>
  <w:style w:type="character" w:customStyle="1" w:styleId="Heading8Char">
    <w:name w:val="Heading 8 Char"/>
    <w:aliases w:val="(Do not use) Char,(Sub-section Nos) Char"/>
    <w:basedOn w:val="DefaultParagraphFont"/>
    <w:link w:val="Heading8"/>
    <w:semiHidden/>
    <w:rsid w:val="004514BD"/>
    <w:rPr>
      <w:rFonts w:ascii="Arial" w:hAnsi="Arial"/>
      <w:i/>
      <w:sz w:val="20"/>
      <w:szCs w:val="20"/>
    </w:rPr>
  </w:style>
  <w:style w:type="character" w:customStyle="1" w:styleId="Heading9Char">
    <w:name w:val="Heading 9 Char"/>
    <w:aliases w:val="Heading 9 (Do not use) Char,(Subsubsection Nos) Char"/>
    <w:basedOn w:val="DefaultParagraphFont"/>
    <w:link w:val="Heading9"/>
    <w:semiHidden/>
    <w:rsid w:val="004514BD"/>
    <w:rPr>
      <w:rFonts w:ascii="Arial" w:hAnsi="Arial"/>
      <w:b/>
      <w:i/>
      <w:sz w:val="18"/>
      <w:szCs w:val="20"/>
    </w:rPr>
  </w:style>
  <w:style w:type="paragraph" w:styleId="DocumentMap">
    <w:name w:val="Document Map"/>
    <w:basedOn w:val="Normal"/>
    <w:link w:val="DocumentMapChar"/>
    <w:rsid w:val="004514B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4514BD"/>
    <w:rPr>
      <w:rFonts w:ascii="Tahoma" w:hAnsi="Tahoma" w:cs="Tahoma"/>
      <w:sz w:val="20"/>
      <w:szCs w:val="20"/>
      <w:shd w:val="clear" w:color="auto" w:fill="000080"/>
    </w:rPr>
  </w:style>
  <w:style w:type="character" w:styleId="EndnoteReference">
    <w:name w:val="endnote reference"/>
    <w:basedOn w:val="DefaultParagraphFont"/>
    <w:rsid w:val="004514BD"/>
    <w:rPr>
      <w:vertAlign w:val="superscript"/>
    </w:rPr>
  </w:style>
  <w:style w:type="paragraph" w:styleId="EndnoteText">
    <w:name w:val="endnote text"/>
    <w:basedOn w:val="Normal"/>
    <w:link w:val="EndnoteTextChar"/>
    <w:rsid w:val="004514BD"/>
    <w:rPr>
      <w:sz w:val="20"/>
      <w:szCs w:val="20"/>
    </w:rPr>
  </w:style>
  <w:style w:type="character" w:customStyle="1" w:styleId="EndnoteTextChar">
    <w:name w:val="Endnote Text Char"/>
    <w:basedOn w:val="DefaultParagraphFont"/>
    <w:link w:val="EndnoteText"/>
    <w:rsid w:val="004514BD"/>
    <w:rPr>
      <w:sz w:val="20"/>
      <w:szCs w:val="20"/>
    </w:rPr>
  </w:style>
  <w:style w:type="paragraph" w:styleId="Index1">
    <w:name w:val="index 1"/>
    <w:basedOn w:val="Normal"/>
    <w:rsid w:val="004514BD"/>
  </w:style>
  <w:style w:type="paragraph" w:styleId="Index2">
    <w:name w:val="index 2"/>
    <w:basedOn w:val="Normal"/>
    <w:next w:val="Index1"/>
    <w:rsid w:val="004514BD"/>
    <w:pPr>
      <w:ind w:left="284"/>
    </w:pPr>
  </w:style>
  <w:style w:type="paragraph" w:styleId="Index3">
    <w:name w:val="index 3"/>
    <w:basedOn w:val="Normal"/>
    <w:next w:val="Index1"/>
    <w:rsid w:val="004514BD"/>
    <w:pPr>
      <w:ind w:left="567"/>
    </w:pPr>
  </w:style>
  <w:style w:type="paragraph" w:styleId="Index4">
    <w:name w:val="index 4"/>
    <w:basedOn w:val="Normal"/>
    <w:next w:val="Normal"/>
    <w:rsid w:val="004514BD"/>
    <w:pPr>
      <w:ind w:left="880" w:hanging="220"/>
    </w:pPr>
  </w:style>
  <w:style w:type="paragraph" w:styleId="Index5">
    <w:name w:val="index 5"/>
    <w:basedOn w:val="Normal"/>
    <w:next w:val="Normal"/>
    <w:rsid w:val="004514BD"/>
    <w:pPr>
      <w:ind w:left="1100" w:hanging="220"/>
    </w:pPr>
  </w:style>
  <w:style w:type="paragraph" w:styleId="Index6">
    <w:name w:val="index 6"/>
    <w:basedOn w:val="Normal"/>
    <w:next w:val="Normal"/>
    <w:rsid w:val="004514BD"/>
    <w:pPr>
      <w:ind w:left="1320" w:hanging="220"/>
    </w:pPr>
  </w:style>
  <w:style w:type="paragraph" w:styleId="Index7">
    <w:name w:val="index 7"/>
    <w:basedOn w:val="Normal"/>
    <w:next w:val="Normal"/>
    <w:rsid w:val="004514BD"/>
    <w:pPr>
      <w:ind w:left="1540" w:hanging="220"/>
    </w:pPr>
  </w:style>
  <w:style w:type="paragraph" w:styleId="Index8">
    <w:name w:val="index 8"/>
    <w:basedOn w:val="Normal"/>
    <w:next w:val="Normal"/>
    <w:rsid w:val="004514BD"/>
    <w:pPr>
      <w:ind w:left="1760" w:hanging="220"/>
    </w:pPr>
  </w:style>
  <w:style w:type="paragraph" w:styleId="Index9">
    <w:name w:val="index 9"/>
    <w:basedOn w:val="Normal"/>
    <w:next w:val="Normal"/>
    <w:rsid w:val="004514BD"/>
    <w:pPr>
      <w:ind w:left="1980" w:hanging="220"/>
    </w:pPr>
  </w:style>
  <w:style w:type="paragraph" w:styleId="IndexHeading">
    <w:name w:val="index heading"/>
    <w:basedOn w:val="Normal"/>
    <w:next w:val="Index1"/>
    <w:rsid w:val="004514BD"/>
  </w:style>
  <w:style w:type="paragraph" w:styleId="List">
    <w:name w:val="List"/>
    <w:basedOn w:val="Normal"/>
    <w:rsid w:val="004514BD"/>
    <w:pPr>
      <w:spacing w:line="300" w:lineRule="atLeast"/>
    </w:pPr>
  </w:style>
  <w:style w:type="paragraph" w:styleId="MacroText">
    <w:name w:val="macro"/>
    <w:link w:val="MacroTextChar"/>
    <w:rsid w:val="004514B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4514BD"/>
    <w:rPr>
      <w:rFonts w:ascii="Courier New" w:hAnsi="Courier New" w:cs="Courier New"/>
    </w:rPr>
  </w:style>
  <w:style w:type="character" w:styleId="PageNumber">
    <w:name w:val="page number"/>
    <w:basedOn w:val="DefaultParagraphFont"/>
    <w:rsid w:val="004514BD"/>
  </w:style>
  <w:style w:type="paragraph" w:styleId="TableofAuthorities">
    <w:name w:val="table of authorities"/>
    <w:basedOn w:val="Normal"/>
    <w:next w:val="Normal"/>
    <w:rsid w:val="004514BD"/>
    <w:pPr>
      <w:tabs>
        <w:tab w:val="clear" w:pos="567"/>
      </w:tabs>
      <w:ind w:left="220" w:hanging="220"/>
    </w:pPr>
  </w:style>
  <w:style w:type="paragraph" w:styleId="TableofFigures">
    <w:name w:val="table of figures"/>
    <w:basedOn w:val="Normal"/>
    <w:next w:val="Normal"/>
    <w:rsid w:val="004514BD"/>
    <w:pPr>
      <w:tabs>
        <w:tab w:val="clear" w:pos="567"/>
      </w:tabs>
    </w:pPr>
  </w:style>
  <w:style w:type="paragraph" w:styleId="TOAHeading">
    <w:name w:val="toa heading"/>
    <w:basedOn w:val="Normal"/>
    <w:next w:val="Normal"/>
    <w:rsid w:val="004514BD"/>
    <w:pPr>
      <w:spacing w:before="120"/>
    </w:pPr>
    <w:rPr>
      <w:rFonts w:cs="Arial"/>
      <w:b/>
      <w:bCs/>
    </w:rPr>
  </w:style>
  <w:style w:type="character" w:customStyle="1" w:styleId="NoSpacingChar">
    <w:name w:val="No Spacing Char"/>
    <w:basedOn w:val="DefaultParagraphFont"/>
    <w:link w:val="NoSpacing"/>
    <w:uiPriority w:val="1"/>
    <w:rsid w:val="004514BD"/>
    <w:rPr>
      <w:sz w:val="24"/>
    </w:rPr>
  </w:style>
  <w:style w:type="character" w:customStyle="1" w:styleId="CGCSubbulletlistChar">
    <w:name w:val="CGC Sub bullet list Char"/>
    <w:aliases w:val="CGC List 2 Char"/>
    <w:basedOn w:val="DefaultParagraphFont"/>
    <w:link w:val="CGCSubbulletlist"/>
    <w:locked/>
    <w:rsid w:val="004514BD"/>
    <w:rPr>
      <w:sz w:val="24"/>
      <w:szCs w:val="20"/>
    </w:rPr>
  </w:style>
  <w:style w:type="character" w:customStyle="1" w:styleId="TableRowNormalChar">
    <w:name w:val="TableRowNormal Char"/>
    <w:basedOn w:val="DefaultParagraphFont"/>
    <w:link w:val="TableRowNormal"/>
    <w:locked/>
    <w:rsid w:val="004514BD"/>
    <w:rPr>
      <w:rFonts w:ascii="Times New Roman" w:eastAsia="Times New Roman" w:hAnsi="Times New Roman" w:cs="Times New Roman"/>
      <w:sz w:val="20"/>
      <w:szCs w:val="20"/>
    </w:rPr>
  </w:style>
  <w:style w:type="character" w:customStyle="1" w:styleId="CGCTableStubChar">
    <w:name w:val="CGC Table Stub Char"/>
    <w:basedOn w:val="DefaultParagraphFont"/>
    <w:link w:val="CGCTableStub"/>
    <w:rsid w:val="004514BD"/>
    <w:rPr>
      <w:sz w:val="20"/>
      <w:szCs w:val="20"/>
    </w:rPr>
  </w:style>
  <w:style w:type="character" w:customStyle="1" w:styleId="SingleChar">
    <w:name w:val="Single Char"/>
    <w:basedOn w:val="DefaultParagraphFont"/>
    <w:link w:val="Single"/>
    <w:locked/>
    <w:rsid w:val="004514BD"/>
    <w:rPr>
      <w:rFonts w:eastAsia="Times New Roman" w:cs="Times New Roman"/>
      <w:sz w:val="24"/>
      <w:szCs w:val="24"/>
    </w:rPr>
  </w:style>
  <w:style w:type="paragraph" w:customStyle="1" w:styleId="h1num">
    <w:name w:val="h1num"/>
    <w:basedOn w:val="Normal"/>
    <w:rsid w:val="004514BD"/>
    <w:pPr>
      <w:keepNext/>
      <w:pBdr>
        <w:bottom w:val="single" w:sz="6" w:space="1" w:color="auto"/>
      </w:pBdr>
      <w:tabs>
        <w:tab w:val="clear" w:pos="567"/>
      </w:tabs>
      <w:spacing w:before="2400" w:after="200" w:line="240" w:lineRule="auto"/>
      <w:outlineLvl w:val="0"/>
    </w:pPr>
    <w:rPr>
      <w:rFonts w:eastAsia="Times New Roman" w:cs="Arial"/>
      <w:b/>
      <w:bCs/>
      <w:caps/>
      <w:color w:val="329664"/>
      <w:sz w:val="40"/>
      <w:szCs w:val="32"/>
    </w:rPr>
  </w:style>
  <w:style w:type="paragraph" w:customStyle="1" w:styleId="StyleBodyText2Body">
    <w:name w:val="Style Body Text 2 + +Body"/>
    <w:basedOn w:val="BodyText2"/>
    <w:rsid w:val="004514BD"/>
    <w:pPr>
      <w:keepNext/>
      <w:keepLines/>
      <w:tabs>
        <w:tab w:val="clear" w:pos="567"/>
        <w:tab w:val="left" w:pos="1440"/>
        <w:tab w:val="left" w:pos="2160"/>
        <w:tab w:val="left" w:pos="2880"/>
      </w:tabs>
      <w:spacing w:before="60" w:after="60" w:line="240" w:lineRule="auto"/>
    </w:pPr>
    <w:rPr>
      <w:rFonts w:eastAsia="Times New Roman" w:cs="Times New Roman"/>
      <w:sz w:val="20"/>
      <w:szCs w:val="24"/>
    </w:rPr>
  </w:style>
  <w:style w:type="paragraph" w:styleId="BodyText2">
    <w:name w:val="Body Text 2"/>
    <w:basedOn w:val="Normal"/>
    <w:link w:val="BodyText2Char"/>
    <w:rsid w:val="004514BD"/>
    <w:pPr>
      <w:spacing w:after="120" w:line="480" w:lineRule="auto"/>
    </w:pPr>
  </w:style>
  <w:style w:type="character" w:customStyle="1" w:styleId="BodyText2Char">
    <w:name w:val="Body Text 2 Char"/>
    <w:basedOn w:val="DefaultParagraphFont"/>
    <w:link w:val="BodyText2"/>
    <w:rsid w:val="004514BD"/>
    <w:rPr>
      <w:sz w:val="24"/>
    </w:rPr>
  </w:style>
  <w:style w:type="paragraph" w:styleId="Title">
    <w:name w:val="Title"/>
    <w:basedOn w:val="Normal"/>
    <w:link w:val="TitleChar"/>
    <w:uiPriority w:val="10"/>
    <w:rsid w:val="004514BD"/>
    <w:pPr>
      <w:spacing w:before="120" w:after="360" w:line="240" w:lineRule="auto"/>
      <w:jc w:val="right"/>
    </w:pPr>
    <w:rPr>
      <w:rFonts w:ascii="Tahoma" w:eastAsia="Batang" w:hAnsi="Tahoma" w:cs="Times New Roman"/>
      <w:sz w:val="48"/>
      <w:szCs w:val="24"/>
      <w:lang w:eastAsia="ko-KR"/>
    </w:rPr>
  </w:style>
  <w:style w:type="character" w:customStyle="1" w:styleId="TitleChar">
    <w:name w:val="Title Char"/>
    <w:basedOn w:val="DefaultParagraphFont"/>
    <w:link w:val="Title"/>
    <w:uiPriority w:val="10"/>
    <w:rsid w:val="004514BD"/>
    <w:rPr>
      <w:rFonts w:ascii="Tahoma" w:eastAsia="Batang" w:hAnsi="Tahoma" w:cs="Times New Roman"/>
      <w:sz w:val="48"/>
      <w:szCs w:val="24"/>
      <w:lang w:eastAsia="ko-KR"/>
    </w:rPr>
  </w:style>
  <w:style w:type="character" w:styleId="Strong">
    <w:name w:val="Strong"/>
    <w:basedOn w:val="DefaultParagraphFont"/>
    <w:uiPriority w:val="22"/>
    <w:rsid w:val="004514BD"/>
    <w:rPr>
      <w:b/>
      <w:bCs/>
    </w:rPr>
  </w:style>
  <w:style w:type="character" w:customStyle="1" w:styleId="apple-converted-space">
    <w:name w:val="apple-converted-space"/>
    <w:basedOn w:val="DefaultParagraphFont"/>
    <w:rsid w:val="004514BD"/>
  </w:style>
  <w:style w:type="paragraph" w:customStyle="1" w:styleId="Style1">
    <w:name w:val="Style1"/>
    <w:basedOn w:val="CGCBulletlist"/>
    <w:link w:val="Style1Char"/>
    <w:rsid w:val="004514BD"/>
    <w:pPr>
      <w:numPr>
        <w:numId w:val="0"/>
      </w:numPr>
      <w:tabs>
        <w:tab w:val="left" w:pos="1134"/>
      </w:tabs>
      <w:ind w:left="1134" w:hanging="567"/>
    </w:pPr>
  </w:style>
  <w:style w:type="character" w:customStyle="1" w:styleId="Style1Char">
    <w:name w:val="Style1 Char"/>
    <w:basedOn w:val="CGCBulletlistCharChar"/>
    <w:link w:val="Style1"/>
    <w:rsid w:val="004514BD"/>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8090">
      <w:bodyDiv w:val="1"/>
      <w:marLeft w:val="0"/>
      <w:marRight w:val="0"/>
      <w:marTop w:val="0"/>
      <w:marBottom w:val="0"/>
      <w:divBdr>
        <w:top w:val="none" w:sz="0" w:space="0" w:color="auto"/>
        <w:left w:val="none" w:sz="0" w:space="0" w:color="auto"/>
        <w:bottom w:val="none" w:sz="0" w:space="0" w:color="auto"/>
        <w:right w:val="none" w:sz="0" w:space="0" w:color="auto"/>
      </w:divBdr>
    </w:div>
    <w:div w:id="45185084">
      <w:bodyDiv w:val="1"/>
      <w:marLeft w:val="0"/>
      <w:marRight w:val="0"/>
      <w:marTop w:val="0"/>
      <w:marBottom w:val="0"/>
      <w:divBdr>
        <w:top w:val="none" w:sz="0" w:space="0" w:color="auto"/>
        <w:left w:val="none" w:sz="0" w:space="0" w:color="auto"/>
        <w:bottom w:val="none" w:sz="0" w:space="0" w:color="auto"/>
        <w:right w:val="none" w:sz="0" w:space="0" w:color="auto"/>
      </w:divBdr>
    </w:div>
    <w:div w:id="59715132">
      <w:bodyDiv w:val="1"/>
      <w:marLeft w:val="0"/>
      <w:marRight w:val="0"/>
      <w:marTop w:val="0"/>
      <w:marBottom w:val="0"/>
      <w:divBdr>
        <w:top w:val="none" w:sz="0" w:space="0" w:color="auto"/>
        <w:left w:val="none" w:sz="0" w:space="0" w:color="auto"/>
        <w:bottom w:val="none" w:sz="0" w:space="0" w:color="auto"/>
        <w:right w:val="none" w:sz="0" w:space="0" w:color="auto"/>
      </w:divBdr>
    </w:div>
    <w:div w:id="359209278">
      <w:bodyDiv w:val="1"/>
      <w:marLeft w:val="0"/>
      <w:marRight w:val="0"/>
      <w:marTop w:val="0"/>
      <w:marBottom w:val="0"/>
      <w:divBdr>
        <w:top w:val="none" w:sz="0" w:space="0" w:color="auto"/>
        <w:left w:val="none" w:sz="0" w:space="0" w:color="auto"/>
        <w:bottom w:val="none" w:sz="0" w:space="0" w:color="auto"/>
        <w:right w:val="none" w:sz="0" w:space="0" w:color="auto"/>
      </w:divBdr>
    </w:div>
    <w:div w:id="518394530">
      <w:bodyDiv w:val="1"/>
      <w:marLeft w:val="0"/>
      <w:marRight w:val="0"/>
      <w:marTop w:val="0"/>
      <w:marBottom w:val="0"/>
      <w:divBdr>
        <w:top w:val="none" w:sz="0" w:space="0" w:color="auto"/>
        <w:left w:val="none" w:sz="0" w:space="0" w:color="auto"/>
        <w:bottom w:val="none" w:sz="0" w:space="0" w:color="auto"/>
        <w:right w:val="none" w:sz="0" w:space="0" w:color="auto"/>
      </w:divBdr>
    </w:div>
    <w:div w:id="622420033">
      <w:bodyDiv w:val="1"/>
      <w:marLeft w:val="0"/>
      <w:marRight w:val="0"/>
      <w:marTop w:val="0"/>
      <w:marBottom w:val="0"/>
      <w:divBdr>
        <w:top w:val="none" w:sz="0" w:space="0" w:color="auto"/>
        <w:left w:val="none" w:sz="0" w:space="0" w:color="auto"/>
        <w:bottom w:val="none" w:sz="0" w:space="0" w:color="auto"/>
        <w:right w:val="none" w:sz="0" w:space="0" w:color="auto"/>
      </w:divBdr>
    </w:div>
    <w:div w:id="843397049">
      <w:bodyDiv w:val="1"/>
      <w:marLeft w:val="0"/>
      <w:marRight w:val="0"/>
      <w:marTop w:val="0"/>
      <w:marBottom w:val="0"/>
      <w:divBdr>
        <w:top w:val="none" w:sz="0" w:space="0" w:color="auto"/>
        <w:left w:val="none" w:sz="0" w:space="0" w:color="auto"/>
        <w:bottom w:val="none" w:sz="0" w:space="0" w:color="auto"/>
        <w:right w:val="none" w:sz="0" w:space="0" w:color="auto"/>
      </w:divBdr>
    </w:div>
    <w:div w:id="889654012">
      <w:bodyDiv w:val="1"/>
      <w:marLeft w:val="0"/>
      <w:marRight w:val="0"/>
      <w:marTop w:val="0"/>
      <w:marBottom w:val="0"/>
      <w:divBdr>
        <w:top w:val="none" w:sz="0" w:space="0" w:color="auto"/>
        <w:left w:val="none" w:sz="0" w:space="0" w:color="auto"/>
        <w:bottom w:val="none" w:sz="0" w:space="0" w:color="auto"/>
        <w:right w:val="none" w:sz="0" w:space="0" w:color="auto"/>
      </w:divBdr>
    </w:div>
    <w:div w:id="904528386">
      <w:bodyDiv w:val="1"/>
      <w:marLeft w:val="0"/>
      <w:marRight w:val="0"/>
      <w:marTop w:val="0"/>
      <w:marBottom w:val="0"/>
      <w:divBdr>
        <w:top w:val="none" w:sz="0" w:space="0" w:color="auto"/>
        <w:left w:val="none" w:sz="0" w:space="0" w:color="auto"/>
        <w:bottom w:val="none" w:sz="0" w:space="0" w:color="auto"/>
        <w:right w:val="none" w:sz="0" w:space="0" w:color="auto"/>
      </w:divBdr>
    </w:div>
    <w:div w:id="918367549">
      <w:bodyDiv w:val="1"/>
      <w:marLeft w:val="0"/>
      <w:marRight w:val="0"/>
      <w:marTop w:val="0"/>
      <w:marBottom w:val="0"/>
      <w:divBdr>
        <w:top w:val="none" w:sz="0" w:space="0" w:color="auto"/>
        <w:left w:val="none" w:sz="0" w:space="0" w:color="auto"/>
        <w:bottom w:val="none" w:sz="0" w:space="0" w:color="auto"/>
        <w:right w:val="none" w:sz="0" w:space="0" w:color="auto"/>
      </w:divBdr>
    </w:div>
    <w:div w:id="935593922">
      <w:bodyDiv w:val="1"/>
      <w:marLeft w:val="0"/>
      <w:marRight w:val="0"/>
      <w:marTop w:val="0"/>
      <w:marBottom w:val="0"/>
      <w:divBdr>
        <w:top w:val="none" w:sz="0" w:space="0" w:color="auto"/>
        <w:left w:val="none" w:sz="0" w:space="0" w:color="auto"/>
        <w:bottom w:val="none" w:sz="0" w:space="0" w:color="auto"/>
        <w:right w:val="none" w:sz="0" w:space="0" w:color="auto"/>
      </w:divBdr>
    </w:div>
    <w:div w:id="955018533">
      <w:bodyDiv w:val="1"/>
      <w:marLeft w:val="0"/>
      <w:marRight w:val="0"/>
      <w:marTop w:val="0"/>
      <w:marBottom w:val="0"/>
      <w:divBdr>
        <w:top w:val="none" w:sz="0" w:space="0" w:color="auto"/>
        <w:left w:val="none" w:sz="0" w:space="0" w:color="auto"/>
        <w:bottom w:val="none" w:sz="0" w:space="0" w:color="auto"/>
        <w:right w:val="none" w:sz="0" w:space="0" w:color="auto"/>
      </w:divBdr>
    </w:div>
    <w:div w:id="994258805">
      <w:bodyDiv w:val="1"/>
      <w:marLeft w:val="0"/>
      <w:marRight w:val="0"/>
      <w:marTop w:val="0"/>
      <w:marBottom w:val="0"/>
      <w:divBdr>
        <w:top w:val="none" w:sz="0" w:space="0" w:color="auto"/>
        <w:left w:val="none" w:sz="0" w:space="0" w:color="auto"/>
        <w:bottom w:val="none" w:sz="0" w:space="0" w:color="auto"/>
        <w:right w:val="none" w:sz="0" w:space="0" w:color="auto"/>
      </w:divBdr>
    </w:div>
    <w:div w:id="1138568723">
      <w:bodyDiv w:val="1"/>
      <w:marLeft w:val="0"/>
      <w:marRight w:val="0"/>
      <w:marTop w:val="0"/>
      <w:marBottom w:val="0"/>
      <w:divBdr>
        <w:top w:val="none" w:sz="0" w:space="0" w:color="auto"/>
        <w:left w:val="none" w:sz="0" w:space="0" w:color="auto"/>
        <w:bottom w:val="none" w:sz="0" w:space="0" w:color="auto"/>
        <w:right w:val="none" w:sz="0" w:space="0" w:color="auto"/>
      </w:divBdr>
    </w:div>
    <w:div w:id="1140071090">
      <w:bodyDiv w:val="1"/>
      <w:marLeft w:val="0"/>
      <w:marRight w:val="0"/>
      <w:marTop w:val="0"/>
      <w:marBottom w:val="0"/>
      <w:divBdr>
        <w:top w:val="none" w:sz="0" w:space="0" w:color="auto"/>
        <w:left w:val="none" w:sz="0" w:space="0" w:color="auto"/>
        <w:bottom w:val="none" w:sz="0" w:space="0" w:color="auto"/>
        <w:right w:val="none" w:sz="0" w:space="0" w:color="auto"/>
      </w:divBdr>
    </w:div>
    <w:div w:id="1296788698">
      <w:bodyDiv w:val="1"/>
      <w:marLeft w:val="0"/>
      <w:marRight w:val="0"/>
      <w:marTop w:val="0"/>
      <w:marBottom w:val="0"/>
      <w:divBdr>
        <w:top w:val="none" w:sz="0" w:space="0" w:color="auto"/>
        <w:left w:val="none" w:sz="0" w:space="0" w:color="auto"/>
        <w:bottom w:val="none" w:sz="0" w:space="0" w:color="auto"/>
        <w:right w:val="none" w:sz="0" w:space="0" w:color="auto"/>
      </w:divBdr>
    </w:div>
    <w:div w:id="1310551822">
      <w:bodyDiv w:val="1"/>
      <w:marLeft w:val="0"/>
      <w:marRight w:val="0"/>
      <w:marTop w:val="0"/>
      <w:marBottom w:val="0"/>
      <w:divBdr>
        <w:top w:val="none" w:sz="0" w:space="0" w:color="auto"/>
        <w:left w:val="none" w:sz="0" w:space="0" w:color="auto"/>
        <w:bottom w:val="none" w:sz="0" w:space="0" w:color="auto"/>
        <w:right w:val="none" w:sz="0" w:space="0" w:color="auto"/>
      </w:divBdr>
    </w:div>
    <w:div w:id="1365405106">
      <w:bodyDiv w:val="1"/>
      <w:marLeft w:val="0"/>
      <w:marRight w:val="0"/>
      <w:marTop w:val="0"/>
      <w:marBottom w:val="0"/>
      <w:divBdr>
        <w:top w:val="none" w:sz="0" w:space="0" w:color="auto"/>
        <w:left w:val="none" w:sz="0" w:space="0" w:color="auto"/>
        <w:bottom w:val="none" w:sz="0" w:space="0" w:color="auto"/>
        <w:right w:val="none" w:sz="0" w:space="0" w:color="auto"/>
      </w:divBdr>
    </w:div>
    <w:div w:id="1483278762">
      <w:bodyDiv w:val="1"/>
      <w:marLeft w:val="0"/>
      <w:marRight w:val="0"/>
      <w:marTop w:val="0"/>
      <w:marBottom w:val="0"/>
      <w:divBdr>
        <w:top w:val="none" w:sz="0" w:space="0" w:color="auto"/>
        <w:left w:val="none" w:sz="0" w:space="0" w:color="auto"/>
        <w:bottom w:val="none" w:sz="0" w:space="0" w:color="auto"/>
        <w:right w:val="none" w:sz="0" w:space="0" w:color="auto"/>
      </w:divBdr>
    </w:div>
    <w:div w:id="1545829357">
      <w:bodyDiv w:val="1"/>
      <w:marLeft w:val="0"/>
      <w:marRight w:val="0"/>
      <w:marTop w:val="0"/>
      <w:marBottom w:val="0"/>
      <w:divBdr>
        <w:top w:val="none" w:sz="0" w:space="0" w:color="auto"/>
        <w:left w:val="none" w:sz="0" w:space="0" w:color="auto"/>
        <w:bottom w:val="none" w:sz="0" w:space="0" w:color="auto"/>
        <w:right w:val="none" w:sz="0" w:space="0" w:color="auto"/>
      </w:divBdr>
      <w:divsChild>
        <w:div w:id="1103185747">
          <w:marLeft w:val="0"/>
          <w:marRight w:val="0"/>
          <w:marTop w:val="0"/>
          <w:marBottom w:val="0"/>
          <w:divBdr>
            <w:top w:val="none" w:sz="0" w:space="0" w:color="auto"/>
            <w:left w:val="none" w:sz="0" w:space="0" w:color="auto"/>
            <w:bottom w:val="none" w:sz="0" w:space="0" w:color="auto"/>
            <w:right w:val="none" w:sz="0" w:space="0" w:color="auto"/>
          </w:divBdr>
          <w:divsChild>
            <w:div w:id="927234015">
              <w:marLeft w:val="0"/>
              <w:marRight w:val="0"/>
              <w:marTop w:val="0"/>
              <w:marBottom w:val="0"/>
              <w:divBdr>
                <w:top w:val="none" w:sz="0" w:space="0" w:color="auto"/>
                <w:left w:val="none" w:sz="0" w:space="0" w:color="auto"/>
                <w:bottom w:val="none" w:sz="0" w:space="0" w:color="auto"/>
                <w:right w:val="none" w:sz="0" w:space="0" w:color="auto"/>
              </w:divBdr>
              <w:divsChild>
                <w:div w:id="231817055">
                  <w:marLeft w:val="0"/>
                  <w:marRight w:val="0"/>
                  <w:marTop w:val="0"/>
                  <w:marBottom w:val="0"/>
                  <w:divBdr>
                    <w:top w:val="none" w:sz="0" w:space="0" w:color="auto"/>
                    <w:left w:val="none" w:sz="0" w:space="0" w:color="auto"/>
                    <w:bottom w:val="none" w:sz="0" w:space="0" w:color="auto"/>
                    <w:right w:val="none" w:sz="0" w:space="0" w:color="auto"/>
                  </w:divBdr>
                  <w:divsChild>
                    <w:div w:id="1735394091">
                      <w:marLeft w:val="0"/>
                      <w:marRight w:val="0"/>
                      <w:marTop w:val="0"/>
                      <w:marBottom w:val="0"/>
                      <w:divBdr>
                        <w:top w:val="none" w:sz="0" w:space="0" w:color="auto"/>
                        <w:left w:val="none" w:sz="0" w:space="0" w:color="auto"/>
                        <w:bottom w:val="none" w:sz="0" w:space="0" w:color="auto"/>
                        <w:right w:val="none" w:sz="0" w:space="0" w:color="auto"/>
                      </w:divBdr>
                      <w:divsChild>
                        <w:div w:id="373508080">
                          <w:marLeft w:val="0"/>
                          <w:marRight w:val="0"/>
                          <w:marTop w:val="45"/>
                          <w:marBottom w:val="0"/>
                          <w:divBdr>
                            <w:top w:val="none" w:sz="0" w:space="0" w:color="auto"/>
                            <w:left w:val="none" w:sz="0" w:space="0" w:color="auto"/>
                            <w:bottom w:val="none" w:sz="0" w:space="0" w:color="auto"/>
                            <w:right w:val="none" w:sz="0" w:space="0" w:color="auto"/>
                          </w:divBdr>
                          <w:divsChild>
                            <w:div w:id="1889219318">
                              <w:marLeft w:val="0"/>
                              <w:marRight w:val="0"/>
                              <w:marTop w:val="0"/>
                              <w:marBottom w:val="0"/>
                              <w:divBdr>
                                <w:top w:val="none" w:sz="0" w:space="0" w:color="auto"/>
                                <w:left w:val="none" w:sz="0" w:space="0" w:color="auto"/>
                                <w:bottom w:val="none" w:sz="0" w:space="0" w:color="auto"/>
                                <w:right w:val="none" w:sz="0" w:space="0" w:color="auto"/>
                              </w:divBdr>
                              <w:divsChild>
                                <w:div w:id="534196787">
                                  <w:marLeft w:val="2070"/>
                                  <w:marRight w:val="3810"/>
                                  <w:marTop w:val="0"/>
                                  <w:marBottom w:val="0"/>
                                  <w:divBdr>
                                    <w:top w:val="none" w:sz="0" w:space="0" w:color="auto"/>
                                    <w:left w:val="none" w:sz="0" w:space="0" w:color="auto"/>
                                    <w:bottom w:val="none" w:sz="0" w:space="0" w:color="auto"/>
                                    <w:right w:val="none" w:sz="0" w:space="0" w:color="auto"/>
                                  </w:divBdr>
                                  <w:divsChild>
                                    <w:div w:id="820972008">
                                      <w:marLeft w:val="0"/>
                                      <w:marRight w:val="0"/>
                                      <w:marTop w:val="0"/>
                                      <w:marBottom w:val="0"/>
                                      <w:divBdr>
                                        <w:top w:val="none" w:sz="0" w:space="0" w:color="auto"/>
                                        <w:left w:val="none" w:sz="0" w:space="0" w:color="auto"/>
                                        <w:bottom w:val="none" w:sz="0" w:space="0" w:color="auto"/>
                                        <w:right w:val="none" w:sz="0" w:space="0" w:color="auto"/>
                                      </w:divBdr>
                                      <w:divsChild>
                                        <w:div w:id="1394933878">
                                          <w:marLeft w:val="0"/>
                                          <w:marRight w:val="0"/>
                                          <w:marTop w:val="0"/>
                                          <w:marBottom w:val="0"/>
                                          <w:divBdr>
                                            <w:top w:val="none" w:sz="0" w:space="0" w:color="auto"/>
                                            <w:left w:val="none" w:sz="0" w:space="0" w:color="auto"/>
                                            <w:bottom w:val="none" w:sz="0" w:space="0" w:color="auto"/>
                                            <w:right w:val="none" w:sz="0" w:space="0" w:color="auto"/>
                                          </w:divBdr>
                                          <w:divsChild>
                                            <w:div w:id="936327127">
                                              <w:marLeft w:val="0"/>
                                              <w:marRight w:val="0"/>
                                              <w:marTop w:val="0"/>
                                              <w:marBottom w:val="0"/>
                                              <w:divBdr>
                                                <w:top w:val="none" w:sz="0" w:space="0" w:color="auto"/>
                                                <w:left w:val="none" w:sz="0" w:space="0" w:color="auto"/>
                                                <w:bottom w:val="none" w:sz="0" w:space="0" w:color="auto"/>
                                                <w:right w:val="none" w:sz="0" w:space="0" w:color="auto"/>
                                              </w:divBdr>
                                              <w:divsChild>
                                                <w:div w:id="1845590506">
                                                  <w:marLeft w:val="0"/>
                                                  <w:marRight w:val="0"/>
                                                  <w:marTop w:val="0"/>
                                                  <w:marBottom w:val="0"/>
                                                  <w:divBdr>
                                                    <w:top w:val="none" w:sz="0" w:space="0" w:color="auto"/>
                                                    <w:left w:val="none" w:sz="0" w:space="0" w:color="auto"/>
                                                    <w:bottom w:val="none" w:sz="0" w:space="0" w:color="auto"/>
                                                    <w:right w:val="none" w:sz="0" w:space="0" w:color="auto"/>
                                                  </w:divBdr>
                                                  <w:divsChild>
                                                    <w:div w:id="1756396275">
                                                      <w:marLeft w:val="0"/>
                                                      <w:marRight w:val="0"/>
                                                      <w:marTop w:val="0"/>
                                                      <w:marBottom w:val="0"/>
                                                      <w:divBdr>
                                                        <w:top w:val="none" w:sz="0" w:space="0" w:color="auto"/>
                                                        <w:left w:val="none" w:sz="0" w:space="0" w:color="auto"/>
                                                        <w:bottom w:val="none" w:sz="0" w:space="0" w:color="auto"/>
                                                        <w:right w:val="none" w:sz="0" w:space="0" w:color="auto"/>
                                                      </w:divBdr>
                                                      <w:divsChild>
                                                        <w:div w:id="75347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491562">
      <w:bodyDiv w:val="1"/>
      <w:marLeft w:val="0"/>
      <w:marRight w:val="0"/>
      <w:marTop w:val="0"/>
      <w:marBottom w:val="0"/>
      <w:divBdr>
        <w:top w:val="none" w:sz="0" w:space="0" w:color="auto"/>
        <w:left w:val="none" w:sz="0" w:space="0" w:color="auto"/>
        <w:bottom w:val="none" w:sz="0" w:space="0" w:color="auto"/>
        <w:right w:val="none" w:sz="0" w:space="0" w:color="auto"/>
      </w:divBdr>
    </w:div>
    <w:div w:id="1583753364">
      <w:bodyDiv w:val="1"/>
      <w:marLeft w:val="0"/>
      <w:marRight w:val="0"/>
      <w:marTop w:val="0"/>
      <w:marBottom w:val="0"/>
      <w:divBdr>
        <w:top w:val="none" w:sz="0" w:space="0" w:color="auto"/>
        <w:left w:val="none" w:sz="0" w:space="0" w:color="auto"/>
        <w:bottom w:val="none" w:sz="0" w:space="0" w:color="auto"/>
        <w:right w:val="none" w:sz="0" w:space="0" w:color="auto"/>
      </w:divBdr>
    </w:div>
    <w:div w:id="1631785905">
      <w:bodyDiv w:val="1"/>
      <w:marLeft w:val="0"/>
      <w:marRight w:val="0"/>
      <w:marTop w:val="0"/>
      <w:marBottom w:val="0"/>
      <w:divBdr>
        <w:top w:val="none" w:sz="0" w:space="0" w:color="auto"/>
        <w:left w:val="none" w:sz="0" w:space="0" w:color="auto"/>
        <w:bottom w:val="none" w:sz="0" w:space="0" w:color="auto"/>
        <w:right w:val="none" w:sz="0" w:space="0" w:color="auto"/>
      </w:divBdr>
    </w:div>
    <w:div w:id="1737438861">
      <w:bodyDiv w:val="1"/>
      <w:marLeft w:val="0"/>
      <w:marRight w:val="0"/>
      <w:marTop w:val="0"/>
      <w:marBottom w:val="0"/>
      <w:divBdr>
        <w:top w:val="none" w:sz="0" w:space="0" w:color="auto"/>
        <w:left w:val="none" w:sz="0" w:space="0" w:color="auto"/>
        <w:bottom w:val="none" w:sz="0" w:space="0" w:color="auto"/>
        <w:right w:val="none" w:sz="0" w:space="0" w:color="auto"/>
      </w:divBdr>
    </w:div>
    <w:div w:id="1780177220">
      <w:bodyDiv w:val="1"/>
      <w:marLeft w:val="0"/>
      <w:marRight w:val="0"/>
      <w:marTop w:val="0"/>
      <w:marBottom w:val="0"/>
      <w:divBdr>
        <w:top w:val="none" w:sz="0" w:space="0" w:color="auto"/>
        <w:left w:val="none" w:sz="0" w:space="0" w:color="auto"/>
        <w:bottom w:val="none" w:sz="0" w:space="0" w:color="auto"/>
        <w:right w:val="none" w:sz="0" w:space="0" w:color="auto"/>
      </w:divBdr>
    </w:div>
    <w:div w:id="1802191541">
      <w:bodyDiv w:val="1"/>
      <w:marLeft w:val="0"/>
      <w:marRight w:val="0"/>
      <w:marTop w:val="0"/>
      <w:marBottom w:val="0"/>
      <w:divBdr>
        <w:top w:val="none" w:sz="0" w:space="0" w:color="auto"/>
        <w:left w:val="none" w:sz="0" w:space="0" w:color="auto"/>
        <w:bottom w:val="none" w:sz="0" w:space="0" w:color="auto"/>
        <w:right w:val="none" w:sz="0" w:space="0" w:color="auto"/>
      </w:divBdr>
    </w:div>
    <w:div w:id="1998262897">
      <w:bodyDiv w:val="1"/>
      <w:marLeft w:val="0"/>
      <w:marRight w:val="0"/>
      <w:marTop w:val="0"/>
      <w:marBottom w:val="0"/>
      <w:divBdr>
        <w:top w:val="none" w:sz="0" w:space="0" w:color="auto"/>
        <w:left w:val="none" w:sz="0" w:space="0" w:color="auto"/>
        <w:bottom w:val="none" w:sz="0" w:space="0" w:color="auto"/>
        <w:right w:val="none" w:sz="0" w:space="0" w:color="auto"/>
      </w:divBdr>
    </w:div>
    <w:div w:id="205773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docs.health.vic.gov.au/docs/doc/A6A247F8366D9B05CA257AD2007A291E/$FILE/edcc_guidlines.pdf" TargetMode="External"/><Relationship Id="rId2" Type="http://schemas.openxmlformats.org/officeDocument/2006/relationships/hyperlink" Target="http://www.dailytelegraph.com.au/news/nsw/patients-are-clogging-up-state-hospital-emergency-rooms-with-minor-conditions-costing-taxpayers-close-to-1-billion-a-year/story-fni0cx12-1226854682350?nk=97061c97db26cc42f68e6197e3601ab9" TargetMode="External"/><Relationship Id="rId1" Type="http://schemas.openxmlformats.org/officeDocument/2006/relationships/hyperlink" Target="http://www.health.nsw.gov.au/policies/manuals/Documents/pmm-6.pdf" TargetMode="External"/><Relationship Id="rId5" Type="http://schemas.openxmlformats.org/officeDocument/2006/relationships/hyperlink" Target="http://www.canberratimes.com.au/act-news/surge-in-demand-puts-canberra-hospital-emergency-department-under-enormous-pressure-20140917-10i2ch.html" TargetMode="External"/><Relationship Id="rId4" Type="http://schemas.openxmlformats.org/officeDocument/2006/relationships/hyperlink" Target="http://www.sahealth.sa.gov.au/wps/wcm/connect/public+content/sa+health+internet/protecting+public+health/health+promotion+and+protection/emergency+departments+are+for+emergenc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cna01\ODrive\Word%20Templates\Official%20Template\Document%20Templates\Agenda%20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540C6-B025-4627-9523-C32D3FDB5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Paper.dotx</Template>
  <TotalTime>0</TotalTime>
  <Pages>26</Pages>
  <Words>8596</Words>
  <Characters>49000</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2014-12-18T04:29:00Z</cp:lastPrinted>
  <dcterms:created xsi:type="dcterms:W3CDTF">2014-12-18T04:28:00Z</dcterms:created>
  <dcterms:modified xsi:type="dcterms:W3CDTF">2014-12-18T04:29:00Z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-1314165004</vt:i4>
  </property>
  <property fmtid="{D5CDD505-2E9C-101B-9397-08002B2CF9AE}" pid="3" name="_NewReviewCycle">
    <vt:lpwstr/>
  </property>
  <property fmtid="{D5CDD505-2E9C-101B-9397-08002B2CF9AE}" pid="4" name="_EmailSubject">
    <vt:lpwstr>Health substitutability</vt:lpwstr>
  </property>
  <property fmtid="{D5CDD505-2E9C-101B-9397-08002B2CF9AE}" pid="5" name="_AuthorEmail">
    <vt:lpwstr>Anthony.Nichols@cgc.gov.au</vt:lpwstr>
  </property>
  <property fmtid="{D5CDD505-2E9C-101B-9397-08002B2CF9AE}" pid="6" name="_AuthorEmailDisplayName">
    <vt:lpwstr>Anthony Nichols</vt:lpwstr>
  </property>
  <property fmtid="{D5CDD505-2E9C-101B-9397-08002B2CF9AE}" pid="7" name="_ReviewingToolsShownOnce">
    <vt:lpwstr/>
  </property>
</Properties>
</file>