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6A" w:rsidRDefault="00D7706A" w:rsidP="00D7706A">
      <w:pPr>
        <w:tabs>
          <w:tab w:val="clear" w:pos="567"/>
        </w:tabs>
        <w:spacing w:before="240" w:line="240" w:lineRule="auto"/>
      </w:pPr>
      <w:r>
        <w:t>27 February 2015</w:t>
      </w:r>
    </w:p>
    <w:p w:rsidR="00D7706A" w:rsidRDefault="00D7706A" w:rsidP="00D7706A">
      <w:pPr>
        <w:tabs>
          <w:tab w:val="clear" w:pos="567"/>
        </w:tabs>
        <w:spacing w:line="240" w:lineRule="auto"/>
      </w:pPr>
    </w:p>
    <w:p w:rsidR="00D7706A" w:rsidRDefault="00D7706A" w:rsidP="00D7706A">
      <w:pPr>
        <w:tabs>
          <w:tab w:val="clear" w:pos="567"/>
        </w:tabs>
        <w:spacing w:line="240" w:lineRule="auto"/>
      </w:pPr>
      <w:r>
        <w:t>The Hon Joe Hockey MP</w:t>
      </w:r>
      <w:r>
        <w:br/>
        <w:t>Treasurer</w:t>
      </w:r>
      <w:r>
        <w:br/>
        <w:t>Parliament House</w:t>
      </w:r>
      <w:r>
        <w:br/>
      </w:r>
      <w:proofErr w:type="gramStart"/>
      <w:r>
        <w:t>CANBERRA  ACT</w:t>
      </w:r>
      <w:proofErr w:type="gramEnd"/>
      <w:r>
        <w:t xml:space="preserve">  2600</w:t>
      </w:r>
    </w:p>
    <w:p w:rsidR="00D7706A" w:rsidRDefault="00D7706A" w:rsidP="00D7706A">
      <w:pPr>
        <w:tabs>
          <w:tab w:val="clear" w:pos="567"/>
        </w:tabs>
        <w:spacing w:line="240" w:lineRule="auto"/>
      </w:pPr>
    </w:p>
    <w:p w:rsidR="00D7706A" w:rsidRDefault="00D7706A" w:rsidP="00D7706A">
      <w:pPr>
        <w:tabs>
          <w:tab w:val="clear" w:pos="567"/>
        </w:tabs>
        <w:spacing w:line="240" w:lineRule="auto"/>
      </w:pPr>
      <w:r>
        <w:t>Dear Treasurer</w:t>
      </w:r>
    </w:p>
    <w:p w:rsidR="00D7706A" w:rsidRDefault="00D7706A" w:rsidP="00D7706A">
      <w:pPr>
        <w:tabs>
          <w:tab w:val="right" w:pos="8931"/>
        </w:tabs>
        <w:spacing w:before="240" w:afterLines="80" w:after="192" w:line="240" w:lineRule="auto"/>
      </w:pPr>
      <w:r>
        <w:t xml:space="preserve">In your letter of 23 December 2014 you asked the Commission to consider the treatment of GST relativities in relation to </w:t>
      </w:r>
      <w:r w:rsidR="0047344B">
        <w:t xml:space="preserve">large and </w:t>
      </w:r>
      <w:r>
        <w:t>volatile revenue sources</w:t>
      </w:r>
      <w:r w:rsidR="00B05DC6">
        <w:t>. Specifically you sought</w:t>
      </w:r>
      <w:r>
        <w:t xml:space="preserve"> advice on a possible approach that would mitigate the negative effects of revenue volatility and ensure that States’ shares of GST in the year are appropriate for their fiscal circumstances in that year. </w:t>
      </w:r>
    </w:p>
    <w:p w:rsidR="00D7706A" w:rsidRDefault="0047344B" w:rsidP="00D7706A">
      <w:pPr>
        <w:tabs>
          <w:tab w:val="right" w:pos="8931"/>
        </w:tabs>
        <w:spacing w:before="240" w:afterLines="80" w:after="192" w:line="240" w:lineRule="auto"/>
      </w:pPr>
      <w:r w:rsidRPr="0047344B">
        <w:t>The</w:t>
      </w:r>
      <w:r w:rsidR="009E039C">
        <w:t>se</w:t>
      </w:r>
      <w:r w:rsidRPr="0047344B">
        <w:t xml:space="preserve"> issues were also raised by Western Australia in the course of the Commission’s 2015 Methodology </w:t>
      </w:r>
      <w:r>
        <w:t>R</w:t>
      </w:r>
      <w:r w:rsidRPr="0047344B">
        <w:t>eview</w:t>
      </w:r>
      <w:r>
        <w:t>,</w:t>
      </w:r>
      <w:r w:rsidRPr="0047344B">
        <w:t xml:space="preserve"> and we consulted States on them as part of the review process</w:t>
      </w:r>
      <w:r w:rsidR="00D7706A">
        <w:t>.</w:t>
      </w:r>
      <w:r w:rsidR="009E039C">
        <w:t xml:space="preserve"> Our consideration of these issues and our conclusions are </w:t>
      </w:r>
      <w:r w:rsidR="00B12813">
        <w:t>addressed</w:t>
      </w:r>
      <w:r w:rsidR="009E039C">
        <w:t xml:space="preserve"> in our 2015 Review report.</w:t>
      </w:r>
    </w:p>
    <w:p w:rsidR="00B05DC6" w:rsidRDefault="00B05DC6" w:rsidP="00B05DC6">
      <w:pPr>
        <w:tabs>
          <w:tab w:val="right" w:pos="8931"/>
        </w:tabs>
        <w:spacing w:before="240" w:afterLines="80" w:after="192" w:line="240" w:lineRule="auto"/>
      </w:pPr>
      <w:r>
        <w:t>We have carefully considered if the current system could be modified to both achieve HFE and have a GST distribution in the application year which more closely reflects the fiscal capacities of States in that year. While several approaches were explored, we do not recommend any as appropriately meeting the HFE objective.</w:t>
      </w:r>
    </w:p>
    <w:p w:rsidR="00D7706A" w:rsidRDefault="0047344B" w:rsidP="00D7706A">
      <w:pPr>
        <w:tabs>
          <w:tab w:val="right" w:pos="8931"/>
        </w:tabs>
        <w:spacing w:before="240" w:afterLines="80" w:after="192" w:line="240" w:lineRule="auto"/>
      </w:pPr>
      <w:r w:rsidRPr="0047344B">
        <w:t>We have concluded that using three year averaging, applied consistently to all assessments, provides the most reliable, practical and fair outcome consistent with achieving HFE over a run of years (albeit with a lag since reliable data are only available on a historical basis). This approach balances competing considerations of practicality, data reliability, contemporaneity and policy neutrality, and predictably smooths payment flows over time</w:t>
      </w:r>
      <w:r>
        <w:t>.</w:t>
      </w:r>
    </w:p>
    <w:p w:rsidR="00B05DC6" w:rsidRDefault="00B05DC6" w:rsidP="00B05DC6">
      <w:pPr>
        <w:tabs>
          <w:tab w:val="right" w:pos="8931"/>
        </w:tabs>
        <w:spacing w:before="240" w:afterLines="80" w:after="192" w:line="240" w:lineRule="auto"/>
      </w:pPr>
      <w:r>
        <w:t>In the attached paper we present analysis of the issues, a discussion of the alternative approaches that we considered and States’ views on this issue.</w:t>
      </w:r>
    </w:p>
    <w:p w:rsidR="00B05DC6" w:rsidRDefault="00B05DC6" w:rsidP="00D7706A">
      <w:pPr>
        <w:tabs>
          <w:tab w:val="right" w:pos="8931"/>
        </w:tabs>
        <w:spacing w:before="240" w:afterLines="80" w:after="192" w:line="240" w:lineRule="auto"/>
      </w:pPr>
    </w:p>
    <w:p w:rsidR="00B05DC6" w:rsidRDefault="00B05DC6" w:rsidP="00D7706A">
      <w:pPr>
        <w:tabs>
          <w:tab w:val="right" w:pos="8931"/>
        </w:tabs>
        <w:spacing w:before="240" w:afterLines="80" w:after="192" w:line="240" w:lineRule="auto"/>
      </w:pPr>
    </w:p>
    <w:p w:rsidR="00B05DC6" w:rsidRDefault="00B05DC6" w:rsidP="00D7706A">
      <w:pPr>
        <w:tabs>
          <w:tab w:val="right" w:pos="8931"/>
        </w:tabs>
        <w:spacing w:before="240" w:afterLines="80" w:after="192" w:line="240" w:lineRule="auto"/>
      </w:pPr>
    </w:p>
    <w:p w:rsidR="0047344B" w:rsidRDefault="0047344B" w:rsidP="00D7706A">
      <w:pPr>
        <w:tabs>
          <w:tab w:val="right" w:pos="8931"/>
        </w:tabs>
        <w:spacing w:before="240" w:afterLines="80" w:after="192" w:line="240" w:lineRule="auto"/>
      </w:pPr>
      <w:r w:rsidRPr="0047344B">
        <w:lastRenderedPageBreak/>
        <w:t xml:space="preserve">Our findings are based on retaining HFE as the objective of the GST distribution – we have not considered alternative objectives which we consider are matters for determination by Governments.  </w:t>
      </w:r>
      <w:r w:rsidR="00B05DC6">
        <w:t>However, i</w:t>
      </w:r>
      <w:r w:rsidR="009E039C">
        <w:t xml:space="preserve">f </w:t>
      </w:r>
      <w:r w:rsidRPr="0047344B">
        <w:t>Governments wish</w:t>
      </w:r>
      <w:r w:rsidR="009E039C">
        <w:t>,</w:t>
      </w:r>
      <w:r w:rsidRPr="0047344B">
        <w:t xml:space="preserve"> for any reason</w:t>
      </w:r>
      <w:r w:rsidR="009E039C">
        <w:t>,</w:t>
      </w:r>
      <w:r w:rsidRPr="0047344B">
        <w:t xml:space="preserve"> to adopt relativities providing a higher GST share to Western Australia, with a consequent lower share for other </w:t>
      </w:r>
      <w:r>
        <w:t>S</w:t>
      </w:r>
      <w:r w:rsidRPr="0047344B">
        <w:t>tates</w:t>
      </w:r>
      <w:r w:rsidR="009E039C">
        <w:t>, i</w:t>
      </w:r>
      <w:r w:rsidR="009E039C" w:rsidRPr="0047344B">
        <w:t>llustrative relativities are provided in th</w:t>
      </w:r>
      <w:r w:rsidR="00B05DC6">
        <w:t>at paper</w:t>
      </w:r>
      <w:r>
        <w:t>.</w:t>
      </w:r>
    </w:p>
    <w:p w:rsidR="009E039C" w:rsidRDefault="009E039C" w:rsidP="00D7706A">
      <w:pPr>
        <w:tabs>
          <w:tab w:val="right" w:pos="8931"/>
        </w:tabs>
        <w:spacing w:before="240" w:afterLines="80" w:after="192" w:line="240" w:lineRule="auto"/>
      </w:pPr>
    </w:p>
    <w:p w:rsidR="00D7706A" w:rsidRDefault="00D7706A" w:rsidP="009E039C">
      <w:pPr>
        <w:tabs>
          <w:tab w:val="clear" w:pos="567"/>
        </w:tabs>
        <w:spacing w:before="240" w:after="480" w:line="240" w:lineRule="auto"/>
      </w:pPr>
      <w:r>
        <w:t>Yours sincerely</w:t>
      </w:r>
    </w:p>
    <w:p w:rsidR="00CD68B1" w:rsidRDefault="00CD68B1" w:rsidP="009E039C">
      <w:pPr>
        <w:tabs>
          <w:tab w:val="clear" w:pos="567"/>
        </w:tabs>
        <w:spacing w:before="240" w:after="480" w:line="240" w:lineRule="auto"/>
      </w:pPr>
      <w:r>
        <w:rPr>
          <w:noProof/>
          <w:lang w:eastAsia="en-AU"/>
        </w:rPr>
        <w:drawing>
          <wp:inline distT="0" distB="0" distL="0" distR="0">
            <wp:extent cx="2027016" cy="523875"/>
            <wp:effectExtent l="0" t="0" r="0" b="0"/>
            <wp:docPr id="1" name="Picture 1" descr="O:\Executive\Administration\Members\GS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xecutive\Administration\Members\GS si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524343"/>
                    </a:xfrm>
                    <a:prstGeom prst="rect">
                      <a:avLst/>
                    </a:prstGeom>
                    <a:noFill/>
                    <a:ln>
                      <a:noFill/>
                    </a:ln>
                  </pic:spPr>
                </pic:pic>
              </a:graphicData>
            </a:graphic>
          </wp:inline>
        </w:drawing>
      </w:r>
    </w:p>
    <w:p w:rsidR="00D7706A" w:rsidRDefault="00D7706A" w:rsidP="009E039C">
      <w:pPr>
        <w:tabs>
          <w:tab w:val="clear" w:pos="567"/>
          <w:tab w:val="center" w:pos="5103"/>
          <w:tab w:val="right" w:pos="7371"/>
        </w:tabs>
        <w:spacing w:after="840" w:line="240" w:lineRule="auto"/>
      </w:pPr>
      <w:r>
        <w:t>G J Smith</w:t>
      </w:r>
      <w:r>
        <w:br/>
        <w:t>Chairperson</w:t>
      </w:r>
      <w:bookmarkStart w:id="0" w:name="_GoBack"/>
      <w:bookmarkEnd w:id="0"/>
    </w:p>
    <w:sectPr w:rsidR="00D7706A" w:rsidSect="0004123E">
      <w:footerReference w:type="default" r:id="rId10"/>
      <w:headerReference w:type="first" r:id="rId11"/>
      <w:footerReference w:type="first" r:id="rId12"/>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06A" w:rsidRDefault="00D7706A">
      <w:r>
        <w:separator/>
      </w:r>
    </w:p>
  </w:endnote>
  <w:endnote w:type="continuationSeparator" w:id="0">
    <w:p w:rsidR="00D7706A" w:rsidRDefault="00D7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11178C" w:rsidRDefault="00AB1A13" w:rsidP="003929D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4" w:type="dxa"/>
      <w:tblLook w:val="0000" w:firstRow="0" w:lastRow="0" w:firstColumn="0" w:lastColumn="0" w:noHBand="0" w:noVBand="0"/>
    </w:tblPr>
    <w:tblGrid>
      <w:gridCol w:w="5495"/>
      <w:gridCol w:w="3609"/>
    </w:tblGrid>
    <w:tr w:rsidR="00D7706A" w:rsidRPr="00EE0539" w:rsidTr="007E4D3A">
      <w:tc>
        <w:tcPr>
          <w:tcW w:w="5495" w:type="dxa"/>
          <w:tcBorders>
            <w:top w:val="single" w:sz="4" w:space="0" w:color="auto"/>
          </w:tcBorders>
          <w:noWrap/>
        </w:tcPr>
        <w:p w:rsidR="00D7706A" w:rsidRPr="00EE0539" w:rsidRDefault="00D7706A" w:rsidP="007E4D3A">
          <w:pPr>
            <w:spacing w:before="20" w:after="0" w:line="240" w:lineRule="auto"/>
            <w:ind w:left="-26"/>
            <w:rPr>
              <w:szCs w:val="22"/>
            </w:rPr>
          </w:pPr>
          <w:r w:rsidRPr="00EE0539">
            <w:rPr>
              <w:szCs w:val="22"/>
            </w:rPr>
            <w:t xml:space="preserve">Phoenix House </w:t>
          </w:r>
        </w:p>
      </w:tc>
      <w:tc>
        <w:tcPr>
          <w:tcW w:w="3609" w:type="dxa"/>
          <w:tcBorders>
            <w:top w:val="single" w:sz="4" w:space="0" w:color="auto"/>
          </w:tcBorders>
        </w:tcPr>
        <w:p w:rsidR="00D7706A" w:rsidRPr="00EE0539" w:rsidRDefault="00D7706A" w:rsidP="007E4D3A">
          <w:pPr>
            <w:spacing w:before="20" w:after="0" w:line="240" w:lineRule="auto"/>
            <w:ind w:left="142" w:right="-56"/>
            <w:jc w:val="right"/>
            <w:rPr>
              <w:szCs w:val="22"/>
            </w:rPr>
          </w:pPr>
          <w:r w:rsidRPr="00EE0539">
            <w:rPr>
              <w:szCs w:val="22"/>
            </w:rPr>
            <w:t>Tel:  61 2 6229 8800</w:t>
          </w:r>
        </w:p>
      </w:tc>
    </w:tr>
    <w:tr w:rsidR="00D7706A" w:rsidRPr="00EE0539" w:rsidTr="007E4D3A">
      <w:tc>
        <w:tcPr>
          <w:tcW w:w="5495" w:type="dxa"/>
        </w:tcPr>
        <w:p w:rsidR="00D7706A" w:rsidRPr="00EE0539" w:rsidRDefault="00D7706A" w:rsidP="007E4D3A">
          <w:pPr>
            <w:spacing w:before="20" w:after="0" w:line="240" w:lineRule="auto"/>
            <w:ind w:left="-26"/>
            <w:rPr>
              <w:szCs w:val="22"/>
            </w:rPr>
          </w:pPr>
          <w:r w:rsidRPr="00EE0539">
            <w:rPr>
              <w:szCs w:val="22"/>
            </w:rPr>
            <w:t>First Floor</w:t>
          </w:r>
        </w:p>
      </w:tc>
      <w:tc>
        <w:tcPr>
          <w:tcW w:w="3609" w:type="dxa"/>
        </w:tcPr>
        <w:p w:rsidR="00D7706A" w:rsidRPr="00EE0539" w:rsidRDefault="00D7706A" w:rsidP="007E4D3A">
          <w:pPr>
            <w:spacing w:before="20" w:after="0" w:line="240" w:lineRule="auto"/>
            <w:ind w:left="142" w:right="-56"/>
            <w:jc w:val="right"/>
            <w:rPr>
              <w:szCs w:val="22"/>
            </w:rPr>
          </w:pPr>
          <w:r w:rsidRPr="00EE0539">
            <w:rPr>
              <w:szCs w:val="22"/>
            </w:rPr>
            <w:t>Fax:  61 2 6229 8821</w:t>
          </w:r>
        </w:p>
      </w:tc>
    </w:tr>
    <w:tr w:rsidR="00D7706A" w:rsidRPr="00EE0539" w:rsidTr="007E4D3A">
      <w:tc>
        <w:tcPr>
          <w:tcW w:w="5495" w:type="dxa"/>
        </w:tcPr>
        <w:p w:rsidR="00D7706A" w:rsidRPr="00EE0539" w:rsidRDefault="00D7706A" w:rsidP="007E4D3A">
          <w:pPr>
            <w:spacing w:before="20" w:after="0" w:line="240" w:lineRule="auto"/>
            <w:ind w:left="-26"/>
            <w:rPr>
              <w:szCs w:val="22"/>
            </w:rPr>
          </w:pPr>
          <w:r w:rsidRPr="00EE0539">
            <w:rPr>
              <w:szCs w:val="22"/>
            </w:rPr>
            <w:t>86-88 Northbourne Avenue</w:t>
          </w:r>
        </w:p>
      </w:tc>
      <w:tc>
        <w:tcPr>
          <w:tcW w:w="3609" w:type="dxa"/>
        </w:tcPr>
        <w:p w:rsidR="00D7706A" w:rsidRPr="00EE0539" w:rsidRDefault="00D7706A" w:rsidP="007E4D3A">
          <w:pPr>
            <w:spacing w:before="20" w:after="0" w:line="240" w:lineRule="auto"/>
            <w:ind w:left="142" w:right="-56"/>
            <w:jc w:val="right"/>
            <w:rPr>
              <w:szCs w:val="22"/>
            </w:rPr>
          </w:pPr>
          <w:r w:rsidRPr="00EE0539">
            <w:rPr>
              <w:szCs w:val="22"/>
            </w:rPr>
            <w:t xml:space="preserve">Email:  </w:t>
          </w:r>
          <w:hyperlink r:id="rId1" w:history="1">
            <w:r w:rsidRPr="00EE0539">
              <w:rPr>
                <w:color w:val="0000FF"/>
                <w:szCs w:val="22"/>
                <w:u w:val="single"/>
              </w:rPr>
              <w:t>secretary@cgc.gov.au</w:t>
            </w:r>
          </w:hyperlink>
          <w:r w:rsidRPr="00EE0539">
            <w:rPr>
              <w:szCs w:val="22"/>
            </w:rPr>
            <w:t xml:space="preserve"> </w:t>
          </w:r>
        </w:p>
      </w:tc>
    </w:tr>
    <w:tr w:rsidR="00D7706A" w:rsidRPr="00EE0539" w:rsidTr="007E4D3A">
      <w:tc>
        <w:tcPr>
          <w:tcW w:w="5495" w:type="dxa"/>
        </w:tcPr>
        <w:p w:rsidR="00D7706A" w:rsidRPr="00EE0539" w:rsidRDefault="00D7706A" w:rsidP="007E4D3A">
          <w:pPr>
            <w:spacing w:before="20" w:after="0" w:line="240" w:lineRule="auto"/>
            <w:ind w:left="-26"/>
            <w:rPr>
              <w:szCs w:val="22"/>
            </w:rPr>
          </w:pPr>
          <w:r w:rsidRPr="00EE0539">
            <w:rPr>
              <w:szCs w:val="22"/>
            </w:rPr>
            <w:t>BRADDON  ACT  2612</w:t>
          </w:r>
        </w:p>
      </w:tc>
      <w:tc>
        <w:tcPr>
          <w:tcW w:w="3609" w:type="dxa"/>
        </w:tcPr>
        <w:p w:rsidR="00D7706A" w:rsidRPr="00EE0539" w:rsidRDefault="00D7706A" w:rsidP="007E4D3A">
          <w:pPr>
            <w:spacing w:before="20" w:after="0" w:line="240" w:lineRule="auto"/>
            <w:ind w:left="142" w:right="-56"/>
            <w:jc w:val="right"/>
            <w:rPr>
              <w:szCs w:val="22"/>
              <w:lang w:val="fr-FR"/>
            </w:rPr>
          </w:pPr>
          <w:r w:rsidRPr="00EE0539">
            <w:rPr>
              <w:szCs w:val="22"/>
              <w:lang w:val="fr-FR"/>
            </w:rPr>
            <w:t>Internet</w:t>
          </w:r>
          <w:proofErr w:type="gramStart"/>
          <w:r w:rsidRPr="00EE0539">
            <w:rPr>
              <w:szCs w:val="22"/>
              <w:lang w:val="fr-FR"/>
            </w:rPr>
            <w:t xml:space="preserve">:  </w:t>
          </w:r>
          <w:proofErr w:type="gramEnd"/>
          <w:hyperlink r:id="rId2" w:history="1">
            <w:r w:rsidRPr="00EE0539">
              <w:rPr>
                <w:color w:val="0000FF"/>
                <w:szCs w:val="22"/>
                <w:u w:val="single"/>
                <w:lang w:val="fr-FR"/>
              </w:rPr>
              <w:t>http://www.cgc.gov.au</w:t>
            </w:r>
          </w:hyperlink>
          <w:r w:rsidRPr="00EE0539">
            <w:rPr>
              <w:szCs w:val="22"/>
              <w:lang w:val="fr-FR"/>
            </w:rPr>
            <w:t xml:space="preserve"> </w:t>
          </w:r>
        </w:p>
      </w:tc>
    </w:tr>
  </w:tbl>
  <w:p w:rsidR="00AB1A13" w:rsidRPr="007E487F" w:rsidRDefault="00AB1A13" w:rsidP="00DC0F02">
    <w:pPr>
      <w:pStyle w:val="Footer"/>
      <w:tabs>
        <w:tab w:val="right" w:pos="8931"/>
      </w:tabs>
      <w:rPr>
        <w:sz w:val="20"/>
        <w:szCs w:val="20"/>
      </w:rPr>
    </w:pPr>
    <w:r>
      <w:rPr>
        <w:sz w:val="20"/>
        <w:szCs w:val="20"/>
      </w:rPr>
      <w:tab/>
    </w:r>
    <w:r w:rsidR="00DC0F02">
      <w:rPr>
        <w:sz w:val="20"/>
        <w:szCs w:val="20"/>
      </w:rPr>
      <w:tab/>
    </w:r>
    <w:r w:rsidR="00F56813">
      <w:fldChar w:fldCharType="begin"/>
    </w:r>
    <w:r w:rsidR="00F56813">
      <w:instrText xml:space="preserve"> PAGE   \* MERGEFORMAT </w:instrText>
    </w:r>
    <w:r w:rsidR="00F56813">
      <w:fldChar w:fldCharType="separate"/>
    </w:r>
    <w:r w:rsidR="00CD68B1">
      <w:rPr>
        <w:noProof/>
      </w:rPr>
      <w:t>1</w:t>
    </w:r>
    <w:r w:rsidR="00F568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06A" w:rsidRDefault="00D7706A">
      <w:r>
        <w:separator/>
      </w:r>
    </w:p>
  </w:footnote>
  <w:footnote w:type="continuationSeparator" w:id="0">
    <w:p w:rsidR="00D7706A" w:rsidRDefault="00D77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6A" w:rsidRDefault="00D7706A" w:rsidP="00D7706A">
    <w:pPr>
      <w:pStyle w:val="Header"/>
      <w:jc w:val="center"/>
    </w:pPr>
    <w:r>
      <w:rPr>
        <w:noProof/>
        <w:lang w:eastAsia="en-AU"/>
      </w:rPr>
      <w:drawing>
        <wp:inline distT="0" distB="0" distL="0" distR="0" wp14:anchorId="3AA515AF" wp14:editId="6A3DBAEE">
          <wp:extent cx="2477135" cy="1286510"/>
          <wp:effectExtent l="0" t="0" r="0" b="8890"/>
          <wp:docPr id="28" name="Picture 28" descr="CGC_stacked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12865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6A"/>
    <w:rsid w:val="00016FE0"/>
    <w:rsid w:val="00022EA9"/>
    <w:rsid w:val="00024745"/>
    <w:rsid w:val="00032F41"/>
    <w:rsid w:val="0004123E"/>
    <w:rsid w:val="00041748"/>
    <w:rsid w:val="00041E84"/>
    <w:rsid w:val="000424EA"/>
    <w:rsid w:val="00056373"/>
    <w:rsid w:val="00061111"/>
    <w:rsid w:val="000624BB"/>
    <w:rsid w:val="000648E8"/>
    <w:rsid w:val="00093796"/>
    <w:rsid w:val="000A3898"/>
    <w:rsid w:val="000A52A1"/>
    <w:rsid w:val="000B2942"/>
    <w:rsid w:val="000B3557"/>
    <w:rsid w:val="000B64E3"/>
    <w:rsid w:val="000D1354"/>
    <w:rsid w:val="000D7C54"/>
    <w:rsid w:val="000E0210"/>
    <w:rsid w:val="000E6AA5"/>
    <w:rsid w:val="000E7F56"/>
    <w:rsid w:val="000F1CDA"/>
    <w:rsid w:val="001039C2"/>
    <w:rsid w:val="001040AD"/>
    <w:rsid w:val="0011178C"/>
    <w:rsid w:val="00112CF0"/>
    <w:rsid w:val="001211AB"/>
    <w:rsid w:val="001218B8"/>
    <w:rsid w:val="00124ED1"/>
    <w:rsid w:val="00136497"/>
    <w:rsid w:val="00141BD1"/>
    <w:rsid w:val="00147115"/>
    <w:rsid w:val="001477CE"/>
    <w:rsid w:val="0016723A"/>
    <w:rsid w:val="00171A05"/>
    <w:rsid w:val="00172F3A"/>
    <w:rsid w:val="001730FD"/>
    <w:rsid w:val="00173798"/>
    <w:rsid w:val="00173BE6"/>
    <w:rsid w:val="00173E72"/>
    <w:rsid w:val="001807C0"/>
    <w:rsid w:val="001811DE"/>
    <w:rsid w:val="00187145"/>
    <w:rsid w:val="001B0110"/>
    <w:rsid w:val="001B3048"/>
    <w:rsid w:val="001B696E"/>
    <w:rsid w:val="001B6A56"/>
    <w:rsid w:val="001C469B"/>
    <w:rsid w:val="001C6A71"/>
    <w:rsid w:val="001D638B"/>
    <w:rsid w:val="001D6DFA"/>
    <w:rsid w:val="001E6180"/>
    <w:rsid w:val="001E674B"/>
    <w:rsid w:val="001E68FC"/>
    <w:rsid w:val="00204026"/>
    <w:rsid w:val="00212948"/>
    <w:rsid w:val="00217839"/>
    <w:rsid w:val="00225A3B"/>
    <w:rsid w:val="0023081D"/>
    <w:rsid w:val="0023329C"/>
    <w:rsid w:val="00236DC0"/>
    <w:rsid w:val="002373A2"/>
    <w:rsid w:val="00242517"/>
    <w:rsid w:val="0024260B"/>
    <w:rsid w:val="0024401F"/>
    <w:rsid w:val="0024569B"/>
    <w:rsid w:val="0025443B"/>
    <w:rsid w:val="00255B5A"/>
    <w:rsid w:val="002671A2"/>
    <w:rsid w:val="00267496"/>
    <w:rsid w:val="00275B68"/>
    <w:rsid w:val="002845EA"/>
    <w:rsid w:val="00286EBE"/>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DEF"/>
    <w:rsid w:val="00311D33"/>
    <w:rsid w:val="00313664"/>
    <w:rsid w:val="00314F90"/>
    <w:rsid w:val="0033102E"/>
    <w:rsid w:val="00331401"/>
    <w:rsid w:val="00333234"/>
    <w:rsid w:val="00335ED1"/>
    <w:rsid w:val="00337EF8"/>
    <w:rsid w:val="00342A60"/>
    <w:rsid w:val="0034379D"/>
    <w:rsid w:val="0034646D"/>
    <w:rsid w:val="00347BE5"/>
    <w:rsid w:val="003522E0"/>
    <w:rsid w:val="0035267F"/>
    <w:rsid w:val="0035580D"/>
    <w:rsid w:val="003639FB"/>
    <w:rsid w:val="00363BF7"/>
    <w:rsid w:val="00382AE5"/>
    <w:rsid w:val="003929D2"/>
    <w:rsid w:val="00393FA5"/>
    <w:rsid w:val="003A27BB"/>
    <w:rsid w:val="003B673D"/>
    <w:rsid w:val="003C2577"/>
    <w:rsid w:val="003C4448"/>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43EC1"/>
    <w:rsid w:val="00453264"/>
    <w:rsid w:val="00462B54"/>
    <w:rsid w:val="00463064"/>
    <w:rsid w:val="00472461"/>
    <w:rsid w:val="0047344B"/>
    <w:rsid w:val="004809B8"/>
    <w:rsid w:val="004821B9"/>
    <w:rsid w:val="00491D88"/>
    <w:rsid w:val="0049605C"/>
    <w:rsid w:val="004965F7"/>
    <w:rsid w:val="004A7048"/>
    <w:rsid w:val="004B0A0A"/>
    <w:rsid w:val="004B1C4B"/>
    <w:rsid w:val="004B60CB"/>
    <w:rsid w:val="004C1CB5"/>
    <w:rsid w:val="004E769A"/>
    <w:rsid w:val="00500ACD"/>
    <w:rsid w:val="00504061"/>
    <w:rsid w:val="00505BAE"/>
    <w:rsid w:val="00506956"/>
    <w:rsid w:val="00515380"/>
    <w:rsid w:val="005176CA"/>
    <w:rsid w:val="00537A77"/>
    <w:rsid w:val="00541A14"/>
    <w:rsid w:val="00543F9C"/>
    <w:rsid w:val="00546D39"/>
    <w:rsid w:val="00550E84"/>
    <w:rsid w:val="00551368"/>
    <w:rsid w:val="005577B0"/>
    <w:rsid w:val="00562084"/>
    <w:rsid w:val="00570EED"/>
    <w:rsid w:val="005716FC"/>
    <w:rsid w:val="00575DEF"/>
    <w:rsid w:val="00583A33"/>
    <w:rsid w:val="005867D2"/>
    <w:rsid w:val="005963CC"/>
    <w:rsid w:val="00596E19"/>
    <w:rsid w:val="005A241E"/>
    <w:rsid w:val="005A6FED"/>
    <w:rsid w:val="005B1BC4"/>
    <w:rsid w:val="005B6894"/>
    <w:rsid w:val="005C13B2"/>
    <w:rsid w:val="005C27E3"/>
    <w:rsid w:val="005C37CB"/>
    <w:rsid w:val="005C459C"/>
    <w:rsid w:val="005D1A9F"/>
    <w:rsid w:val="005D52FA"/>
    <w:rsid w:val="005D61FE"/>
    <w:rsid w:val="005E266F"/>
    <w:rsid w:val="005E5734"/>
    <w:rsid w:val="005E73CE"/>
    <w:rsid w:val="005F07DC"/>
    <w:rsid w:val="005F64FB"/>
    <w:rsid w:val="0060251E"/>
    <w:rsid w:val="00602DDE"/>
    <w:rsid w:val="00611737"/>
    <w:rsid w:val="00614DE8"/>
    <w:rsid w:val="00622669"/>
    <w:rsid w:val="00622FE1"/>
    <w:rsid w:val="00625CE5"/>
    <w:rsid w:val="00635027"/>
    <w:rsid w:val="00644A7B"/>
    <w:rsid w:val="006556D9"/>
    <w:rsid w:val="00661C46"/>
    <w:rsid w:val="006652D3"/>
    <w:rsid w:val="00667CF3"/>
    <w:rsid w:val="006769C4"/>
    <w:rsid w:val="00677627"/>
    <w:rsid w:val="00677BD5"/>
    <w:rsid w:val="0068025E"/>
    <w:rsid w:val="00693C87"/>
    <w:rsid w:val="006A05C7"/>
    <w:rsid w:val="006A607B"/>
    <w:rsid w:val="006A6E27"/>
    <w:rsid w:val="006A72B0"/>
    <w:rsid w:val="006B3E4D"/>
    <w:rsid w:val="006C52B9"/>
    <w:rsid w:val="006D1DFE"/>
    <w:rsid w:val="006E60B1"/>
    <w:rsid w:val="006E6BC2"/>
    <w:rsid w:val="006E77BB"/>
    <w:rsid w:val="0070150E"/>
    <w:rsid w:val="00705DB8"/>
    <w:rsid w:val="00713225"/>
    <w:rsid w:val="0071434A"/>
    <w:rsid w:val="0072512A"/>
    <w:rsid w:val="00731EE6"/>
    <w:rsid w:val="007355A6"/>
    <w:rsid w:val="00740A71"/>
    <w:rsid w:val="007477C5"/>
    <w:rsid w:val="00747938"/>
    <w:rsid w:val="00762AFB"/>
    <w:rsid w:val="00765BA8"/>
    <w:rsid w:val="00766007"/>
    <w:rsid w:val="00770A26"/>
    <w:rsid w:val="007A1364"/>
    <w:rsid w:val="007A24A0"/>
    <w:rsid w:val="007A4AB2"/>
    <w:rsid w:val="007A5E68"/>
    <w:rsid w:val="007B1BF7"/>
    <w:rsid w:val="007C404B"/>
    <w:rsid w:val="007C4BAE"/>
    <w:rsid w:val="007D1D3B"/>
    <w:rsid w:val="007D5960"/>
    <w:rsid w:val="007E114E"/>
    <w:rsid w:val="007E487F"/>
    <w:rsid w:val="007E4B2D"/>
    <w:rsid w:val="007E587D"/>
    <w:rsid w:val="007E71E9"/>
    <w:rsid w:val="007F1D06"/>
    <w:rsid w:val="008010D7"/>
    <w:rsid w:val="00803443"/>
    <w:rsid w:val="0080680D"/>
    <w:rsid w:val="00812C05"/>
    <w:rsid w:val="0081322A"/>
    <w:rsid w:val="008162AB"/>
    <w:rsid w:val="00843E6F"/>
    <w:rsid w:val="00846E4A"/>
    <w:rsid w:val="00851AF5"/>
    <w:rsid w:val="00851FB5"/>
    <w:rsid w:val="008647DE"/>
    <w:rsid w:val="00864B95"/>
    <w:rsid w:val="008800D3"/>
    <w:rsid w:val="00886CDD"/>
    <w:rsid w:val="0089214D"/>
    <w:rsid w:val="00893C0D"/>
    <w:rsid w:val="008A20DA"/>
    <w:rsid w:val="008B5C8F"/>
    <w:rsid w:val="008B5F16"/>
    <w:rsid w:val="008B7722"/>
    <w:rsid w:val="008C0E5C"/>
    <w:rsid w:val="008D348B"/>
    <w:rsid w:val="008E2BE4"/>
    <w:rsid w:val="008E6B4E"/>
    <w:rsid w:val="008E7970"/>
    <w:rsid w:val="008E7C34"/>
    <w:rsid w:val="008F0C36"/>
    <w:rsid w:val="008F377B"/>
    <w:rsid w:val="00915512"/>
    <w:rsid w:val="009233CC"/>
    <w:rsid w:val="009240D8"/>
    <w:rsid w:val="009360D7"/>
    <w:rsid w:val="009362C9"/>
    <w:rsid w:val="00942387"/>
    <w:rsid w:val="0094626F"/>
    <w:rsid w:val="009462D2"/>
    <w:rsid w:val="009652D5"/>
    <w:rsid w:val="009677F8"/>
    <w:rsid w:val="00971146"/>
    <w:rsid w:val="00972A9A"/>
    <w:rsid w:val="00991675"/>
    <w:rsid w:val="00992008"/>
    <w:rsid w:val="00996409"/>
    <w:rsid w:val="00996D00"/>
    <w:rsid w:val="009A03DC"/>
    <w:rsid w:val="009A6CF3"/>
    <w:rsid w:val="009B43BF"/>
    <w:rsid w:val="009B4A2D"/>
    <w:rsid w:val="009C1E0B"/>
    <w:rsid w:val="009D545A"/>
    <w:rsid w:val="009D6D44"/>
    <w:rsid w:val="009E039C"/>
    <w:rsid w:val="009E22FA"/>
    <w:rsid w:val="009E4744"/>
    <w:rsid w:val="009E4EC9"/>
    <w:rsid w:val="009E5D5A"/>
    <w:rsid w:val="009F2262"/>
    <w:rsid w:val="009F4ADA"/>
    <w:rsid w:val="009F6A0D"/>
    <w:rsid w:val="00A07991"/>
    <w:rsid w:val="00A10CDE"/>
    <w:rsid w:val="00A1680D"/>
    <w:rsid w:val="00A23AB0"/>
    <w:rsid w:val="00A266C5"/>
    <w:rsid w:val="00A309C6"/>
    <w:rsid w:val="00A32E4E"/>
    <w:rsid w:val="00A505DE"/>
    <w:rsid w:val="00A5327C"/>
    <w:rsid w:val="00A5721C"/>
    <w:rsid w:val="00A67913"/>
    <w:rsid w:val="00A81A94"/>
    <w:rsid w:val="00A9681E"/>
    <w:rsid w:val="00AA007A"/>
    <w:rsid w:val="00AB073E"/>
    <w:rsid w:val="00AB1A13"/>
    <w:rsid w:val="00AB4E9F"/>
    <w:rsid w:val="00AC210F"/>
    <w:rsid w:val="00AC319E"/>
    <w:rsid w:val="00AE3A1E"/>
    <w:rsid w:val="00AE734F"/>
    <w:rsid w:val="00AF2656"/>
    <w:rsid w:val="00AF6110"/>
    <w:rsid w:val="00AF6AC6"/>
    <w:rsid w:val="00B00611"/>
    <w:rsid w:val="00B04354"/>
    <w:rsid w:val="00B05DC6"/>
    <w:rsid w:val="00B12813"/>
    <w:rsid w:val="00B249FC"/>
    <w:rsid w:val="00B317E7"/>
    <w:rsid w:val="00B33A57"/>
    <w:rsid w:val="00B34083"/>
    <w:rsid w:val="00B37728"/>
    <w:rsid w:val="00B45C64"/>
    <w:rsid w:val="00B46A32"/>
    <w:rsid w:val="00B46B29"/>
    <w:rsid w:val="00B53547"/>
    <w:rsid w:val="00B53597"/>
    <w:rsid w:val="00B55D3E"/>
    <w:rsid w:val="00B62590"/>
    <w:rsid w:val="00B6729F"/>
    <w:rsid w:val="00B82627"/>
    <w:rsid w:val="00B90AA7"/>
    <w:rsid w:val="00B94335"/>
    <w:rsid w:val="00BA65E5"/>
    <w:rsid w:val="00BB09DF"/>
    <w:rsid w:val="00BB3FC5"/>
    <w:rsid w:val="00BC2B3B"/>
    <w:rsid w:val="00BC4579"/>
    <w:rsid w:val="00BD3D24"/>
    <w:rsid w:val="00C0018A"/>
    <w:rsid w:val="00C00905"/>
    <w:rsid w:val="00C035B5"/>
    <w:rsid w:val="00C11ABD"/>
    <w:rsid w:val="00C14FB2"/>
    <w:rsid w:val="00C176AC"/>
    <w:rsid w:val="00C21EF9"/>
    <w:rsid w:val="00C222F7"/>
    <w:rsid w:val="00C24839"/>
    <w:rsid w:val="00C27C23"/>
    <w:rsid w:val="00C41C84"/>
    <w:rsid w:val="00C554D4"/>
    <w:rsid w:val="00C61B02"/>
    <w:rsid w:val="00C719A2"/>
    <w:rsid w:val="00C72165"/>
    <w:rsid w:val="00C83041"/>
    <w:rsid w:val="00C90B42"/>
    <w:rsid w:val="00C9475D"/>
    <w:rsid w:val="00C95056"/>
    <w:rsid w:val="00C951FD"/>
    <w:rsid w:val="00CA7F28"/>
    <w:rsid w:val="00CB0768"/>
    <w:rsid w:val="00CB131F"/>
    <w:rsid w:val="00CB4DCD"/>
    <w:rsid w:val="00CB4F2D"/>
    <w:rsid w:val="00CC1690"/>
    <w:rsid w:val="00CC665A"/>
    <w:rsid w:val="00CD68B1"/>
    <w:rsid w:val="00CE04A0"/>
    <w:rsid w:val="00CE34DC"/>
    <w:rsid w:val="00D07FB4"/>
    <w:rsid w:val="00D21FA8"/>
    <w:rsid w:val="00D236B7"/>
    <w:rsid w:val="00D23E48"/>
    <w:rsid w:val="00D244BE"/>
    <w:rsid w:val="00D43096"/>
    <w:rsid w:val="00D46AB2"/>
    <w:rsid w:val="00D47815"/>
    <w:rsid w:val="00D656EB"/>
    <w:rsid w:val="00D7706A"/>
    <w:rsid w:val="00D771FD"/>
    <w:rsid w:val="00D7796D"/>
    <w:rsid w:val="00D81B18"/>
    <w:rsid w:val="00D83541"/>
    <w:rsid w:val="00D93A16"/>
    <w:rsid w:val="00D9496D"/>
    <w:rsid w:val="00DA0768"/>
    <w:rsid w:val="00DA161A"/>
    <w:rsid w:val="00DA5A94"/>
    <w:rsid w:val="00DB2355"/>
    <w:rsid w:val="00DB3BB4"/>
    <w:rsid w:val="00DC0F02"/>
    <w:rsid w:val="00DC0F8D"/>
    <w:rsid w:val="00DC2284"/>
    <w:rsid w:val="00DC3CA4"/>
    <w:rsid w:val="00DE4578"/>
    <w:rsid w:val="00DF04EE"/>
    <w:rsid w:val="00DF3E35"/>
    <w:rsid w:val="00E03ED5"/>
    <w:rsid w:val="00E06243"/>
    <w:rsid w:val="00E07169"/>
    <w:rsid w:val="00E1688C"/>
    <w:rsid w:val="00E22665"/>
    <w:rsid w:val="00E30499"/>
    <w:rsid w:val="00E30B51"/>
    <w:rsid w:val="00E324BB"/>
    <w:rsid w:val="00E377E8"/>
    <w:rsid w:val="00E43464"/>
    <w:rsid w:val="00E47A69"/>
    <w:rsid w:val="00E571BB"/>
    <w:rsid w:val="00E74435"/>
    <w:rsid w:val="00E758AD"/>
    <w:rsid w:val="00E77D4E"/>
    <w:rsid w:val="00E91860"/>
    <w:rsid w:val="00E954B7"/>
    <w:rsid w:val="00E96FDB"/>
    <w:rsid w:val="00EA107B"/>
    <w:rsid w:val="00EC16F1"/>
    <w:rsid w:val="00ED05D6"/>
    <w:rsid w:val="00ED0C6F"/>
    <w:rsid w:val="00ED2FCC"/>
    <w:rsid w:val="00EE5F75"/>
    <w:rsid w:val="00EF2722"/>
    <w:rsid w:val="00EF6805"/>
    <w:rsid w:val="00F00508"/>
    <w:rsid w:val="00F01E52"/>
    <w:rsid w:val="00F042DC"/>
    <w:rsid w:val="00F07099"/>
    <w:rsid w:val="00F105EA"/>
    <w:rsid w:val="00F11117"/>
    <w:rsid w:val="00F12541"/>
    <w:rsid w:val="00F22035"/>
    <w:rsid w:val="00F22D18"/>
    <w:rsid w:val="00F36C87"/>
    <w:rsid w:val="00F46927"/>
    <w:rsid w:val="00F55854"/>
    <w:rsid w:val="00F56813"/>
    <w:rsid w:val="00F70110"/>
    <w:rsid w:val="00F72C93"/>
    <w:rsid w:val="00F80A88"/>
    <w:rsid w:val="00F823F5"/>
    <w:rsid w:val="00F9170D"/>
    <w:rsid w:val="00F94368"/>
    <w:rsid w:val="00F9494C"/>
    <w:rsid w:val="00FA15C8"/>
    <w:rsid w:val="00FA2D86"/>
    <w:rsid w:val="00FA348C"/>
    <w:rsid w:val="00FB0AD8"/>
    <w:rsid w:val="00FB4DBB"/>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er" w:uiPriority="99"/>
    <w:lsdException w:name="footer" w:uiPriority="99"/>
    <w:lsdException w:name="Default Paragraph Font" w:uiPriority="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7706A"/>
    <w:pPr>
      <w:tabs>
        <w:tab w:val="left" w:pos="567"/>
      </w:tabs>
      <w:spacing w:after="80" w:line="320" w:lineRule="atLeast"/>
    </w:pPr>
    <w:rPr>
      <w:rFonts w:eastAsia="Times New Roman" w:cs="Times New Roman"/>
      <w:sz w:val="24"/>
      <w:szCs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szCs w:val="2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szCs w:val="2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szCs w:val="22"/>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szCs w:val="22"/>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szCs w:val="22"/>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eastAsiaTheme="minorHAnsi" w:hAnsi="Arial" w:cstheme="minorBidi"/>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eastAsiaTheme="minorHAnsi" w:hAnsi="Arial" w:cstheme="minorBidi"/>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eastAsiaTheme="minorHAnsi"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rFonts w:eastAsiaTheme="minorHAnsi" w:cstheme="minorBidi"/>
      <w:b/>
      <w:bCs/>
      <w:szCs w:val="20"/>
    </w:rPr>
  </w:style>
  <w:style w:type="paragraph" w:customStyle="1" w:styleId="CGCBulletlist">
    <w:name w:val="CGC Bullet list"/>
    <w:aliases w:val="CGC List 1"/>
    <w:basedOn w:val="Normal"/>
    <w:qFormat/>
    <w:rsid w:val="00DC0F02"/>
    <w:pPr>
      <w:numPr>
        <w:numId w:val="36"/>
      </w:numPr>
      <w:tabs>
        <w:tab w:val="clear" w:pos="567"/>
        <w:tab w:val="clear" w:pos="927"/>
        <w:tab w:val="left" w:pos="1134"/>
      </w:tabs>
      <w:spacing w:before="80" w:line="300" w:lineRule="atLeast"/>
      <w:ind w:left="1134" w:hanging="567"/>
    </w:pPr>
    <w:rPr>
      <w:rFonts w:eastAsiaTheme="minorHAnsi" w:cstheme="minorBidi"/>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rFonts w:eastAsiaTheme="minorHAnsi" w:cstheme="minorBidi"/>
      <w:szCs w:val="20"/>
    </w:rPr>
  </w:style>
  <w:style w:type="paragraph" w:customStyle="1" w:styleId="CGCNumberedPara">
    <w:name w:val="CGC Numbered Para"/>
    <w:aliases w:val="CGC Para No"/>
    <w:basedOn w:val="Normal"/>
    <w:qFormat/>
    <w:rsid w:val="00622669"/>
    <w:pPr>
      <w:numPr>
        <w:ilvl w:val="1"/>
        <w:numId w:val="37"/>
      </w:numPr>
      <w:spacing w:before="120"/>
    </w:pPr>
    <w:rPr>
      <w:rFonts w:eastAsiaTheme="minorHAnsi" w:cstheme="minorBidi"/>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rFonts w:eastAsiaTheme="minorHAnsi" w:cstheme="minorBidi"/>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rFonts w:eastAsiaTheme="minorHAnsi" w:cstheme="minorBidi"/>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rFonts w:eastAsiaTheme="minorHAnsi" w:cstheme="minorBidi"/>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eastAsiaTheme="minorHAnsi"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rFonts w:eastAsiaTheme="minorHAnsi" w:cstheme="minorBidi"/>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rPr>
      <w:rFonts w:eastAsiaTheme="minorHAnsi" w:cstheme="minorBidi"/>
      <w:szCs w:val="22"/>
    </w:r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rFonts w:eastAsiaTheme="minorHAnsi" w:cstheme="minorBidi"/>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rPr>
      <w:rFonts w:eastAsiaTheme="minorHAnsi" w:cstheme="minorBidi"/>
      <w:szCs w:val="22"/>
    </w:rPr>
  </w:style>
  <w:style w:type="character" w:styleId="Hyperlink">
    <w:name w:val="Hyperlink"/>
    <w:basedOn w:val="DefaultParagraphFont"/>
    <w:rsid w:val="00765BA8"/>
    <w:rPr>
      <w:color w:val="0000FF"/>
      <w:u w:val="single"/>
    </w:rPr>
  </w:style>
  <w:style w:type="paragraph" w:styleId="Index1">
    <w:name w:val="index 1"/>
    <w:basedOn w:val="Normal"/>
    <w:rsid w:val="00212948"/>
    <w:rPr>
      <w:rFonts w:eastAsiaTheme="minorHAnsi" w:cstheme="minorBidi"/>
      <w:szCs w:val="22"/>
    </w:rPr>
  </w:style>
  <w:style w:type="paragraph" w:styleId="Index2">
    <w:name w:val="index 2"/>
    <w:basedOn w:val="Normal"/>
    <w:next w:val="Index1"/>
    <w:rsid w:val="00212948"/>
    <w:pPr>
      <w:ind w:left="284"/>
    </w:pPr>
    <w:rPr>
      <w:rFonts w:eastAsiaTheme="minorHAnsi" w:cstheme="minorBidi"/>
      <w:szCs w:val="22"/>
    </w:rPr>
  </w:style>
  <w:style w:type="paragraph" w:styleId="Index3">
    <w:name w:val="index 3"/>
    <w:basedOn w:val="Normal"/>
    <w:next w:val="Index1"/>
    <w:rsid w:val="00212948"/>
    <w:pPr>
      <w:ind w:left="567"/>
    </w:pPr>
    <w:rPr>
      <w:rFonts w:eastAsiaTheme="minorHAnsi" w:cstheme="minorBidi"/>
      <w:szCs w:val="22"/>
    </w:rPr>
  </w:style>
  <w:style w:type="paragraph" w:styleId="Index4">
    <w:name w:val="index 4"/>
    <w:basedOn w:val="Normal"/>
    <w:next w:val="Normal"/>
    <w:rsid w:val="00765BA8"/>
    <w:pPr>
      <w:ind w:left="880" w:hanging="220"/>
    </w:pPr>
    <w:rPr>
      <w:rFonts w:eastAsiaTheme="minorHAnsi" w:cstheme="minorBidi"/>
      <w:szCs w:val="22"/>
    </w:rPr>
  </w:style>
  <w:style w:type="paragraph" w:styleId="Index5">
    <w:name w:val="index 5"/>
    <w:basedOn w:val="Normal"/>
    <w:next w:val="Normal"/>
    <w:rsid w:val="00765BA8"/>
    <w:pPr>
      <w:ind w:left="1100" w:hanging="220"/>
    </w:pPr>
    <w:rPr>
      <w:rFonts w:eastAsiaTheme="minorHAnsi" w:cstheme="minorBidi"/>
      <w:szCs w:val="22"/>
    </w:rPr>
  </w:style>
  <w:style w:type="paragraph" w:styleId="Index6">
    <w:name w:val="index 6"/>
    <w:basedOn w:val="Normal"/>
    <w:next w:val="Normal"/>
    <w:rsid w:val="00765BA8"/>
    <w:pPr>
      <w:ind w:left="1320" w:hanging="220"/>
    </w:pPr>
    <w:rPr>
      <w:rFonts w:eastAsiaTheme="minorHAnsi" w:cstheme="minorBidi"/>
      <w:szCs w:val="22"/>
    </w:rPr>
  </w:style>
  <w:style w:type="paragraph" w:styleId="Index7">
    <w:name w:val="index 7"/>
    <w:basedOn w:val="Normal"/>
    <w:next w:val="Normal"/>
    <w:rsid w:val="00765BA8"/>
    <w:pPr>
      <w:ind w:left="1540" w:hanging="220"/>
    </w:pPr>
    <w:rPr>
      <w:rFonts w:eastAsiaTheme="minorHAnsi" w:cstheme="minorBidi"/>
      <w:szCs w:val="22"/>
    </w:rPr>
  </w:style>
  <w:style w:type="paragraph" w:styleId="Index8">
    <w:name w:val="index 8"/>
    <w:basedOn w:val="Normal"/>
    <w:next w:val="Normal"/>
    <w:rsid w:val="00765BA8"/>
    <w:pPr>
      <w:ind w:left="1760" w:hanging="220"/>
    </w:pPr>
    <w:rPr>
      <w:rFonts w:eastAsiaTheme="minorHAnsi" w:cstheme="minorBidi"/>
      <w:szCs w:val="22"/>
    </w:rPr>
  </w:style>
  <w:style w:type="paragraph" w:styleId="Index9">
    <w:name w:val="index 9"/>
    <w:basedOn w:val="Normal"/>
    <w:next w:val="Normal"/>
    <w:rsid w:val="00765BA8"/>
    <w:pPr>
      <w:ind w:left="1980" w:hanging="220"/>
    </w:pPr>
    <w:rPr>
      <w:rFonts w:eastAsiaTheme="minorHAnsi" w:cstheme="minorBidi"/>
      <w:szCs w:val="22"/>
    </w:rPr>
  </w:style>
  <w:style w:type="paragraph" w:styleId="IndexHeading">
    <w:name w:val="index heading"/>
    <w:basedOn w:val="Normal"/>
    <w:next w:val="Index1"/>
    <w:rsid w:val="00765BA8"/>
    <w:rPr>
      <w:rFonts w:eastAsiaTheme="minorHAnsi" w:cstheme="minorBidi"/>
      <w:szCs w:val="22"/>
    </w:rPr>
  </w:style>
  <w:style w:type="paragraph" w:styleId="List">
    <w:name w:val="List"/>
    <w:basedOn w:val="Normal"/>
    <w:rsid w:val="003A27BB"/>
    <w:pPr>
      <w:spacing w:line="300" w:lineRule="atLeast"/>
    </w:pPr>
    <w:rPr>
      <w:rFonts w:eastAsiaTheme="minorHAnsi" w:cstheme="minorBidi"/>
      <w:szCs w:val="22"/>
    </w:r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rPr>
      <w:rFonts w:eastAsiaTheme="minorHAnsi" w:cstheme="minorBidi"/>
      <w:szCs w:val="22"/>
    </w:rPr>
  </w:style>
  <w:style w:type="paragraph" w:styleId="TableofFigures">
    <w:name w:val="table of figures"/>
    <w:basedOn w:val="Normal"/>
    <w:next w:val="Normal"/>
    <w:rsid w:val="00765BA8"/>
    <w:pPr>
      <w:tabs>
        <w:tab w:val="clear" w:pos="567"/>
      </w:tabs>
    </w:pPr>
    <w:rPr>
      <w:rFonts w:eastAsiaTheme="minorHAnsi" w:cstheme="minorBidi"/>
      <w:szCs w:val="22"/>
    </w:r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eastAsiaTheme="minorHAnsi" w:cs="Arial"/>
      <w:b/>
      <w:bCs/>
      <w:szCs w:val="22"/>
    </w:rPr>
  </w:style>
  <w:style w:type="paragraph" w:styleId="TOC1">
    <w:name w:val="toc 1"/>
    <w:basedOn w:val="Normal"/>
    <w:next w:val="Normal"/>
    <w:rsid w:val="00996409"/>
    <w:pPr>
      <w:tabs>
        <w:tab w:val="clear" w:pos="567"/>
        <w:tab w:val="right" w:pos="8942"/>
      </w:tabs>
      <w:spacing w:before="120" w:after="120"/>
    </w:pPr>
    <w:rPr>
      <w:rFonts w:eastAsiaTheme="minorHAnsi" w:cstheme="minorBidi"/>
      <w:b/>
      <w:bCs/>
      <w:caps/>
      <w:szCs w:val="20"/>
    </w:rPr>
  </w:style>
  <w:style w:type="paragraph" w:styleId="TOC2">
    <w:name w:val="toc 2"/>
    <w:basedOn w:val="Normal"/>
    <w:next w:val="Normal"/>
    <w:rsid w:val="006A72B0"/>
    <w:pPr>
      <w:tabs>
        <w:tab w:val="clear" w:pos="567"/>
        <w:tab w:val="right" w:pos="8942"/>
      </w:tabs>
      <w:spacing w:after="0"/>
      <w:ind w:left="851"/>
    </w:pPr>
    <w:rPr>
      <w:rFonts w:eastAsiaTheme="minorHAnsi" w:cstheme="minorBidi"/>
      <w:szCs w:val="20"/>
    </w:rPr>
  </w:style>
  <w:style w:type="paragraph" w:styleId="TOC3">
    <w:name w:val="toc 3"/>
    <w:basedOn w:val="Normal"/>
    <w:next w:val="Normal"/>
    <w:rsid w:val="00996409"/>
    <w:pPr>
      <w:tabs>
        <w:tab w:val="clear" w:pos="567"/>
        <w:tab w:val="right" w:pos="8942"/>
      </w:tabs>
      <w:spacing w:after="0"/>
      <w:ind w:left="567"/>
    </w:pPr>
    <w:rPr>
      <w:rFonts w:eastAsiaTheme="minorHAnsi" w:cstheme="minorBidi"/>
      <w:iCs/>
      <w:caps/>
      <w:szCs w:val="22"/>
    </w:rPr>
  </w:style>
  <w:style w:type="paragraph" w:styleId="TOC4">
    <w:name w:val="toc 4"/>
    <w:basedOn w:val="Normal"/>
    <w:next w:val="Normal"/>
    <w:rsid w:val="00996409"/>
    <w:pPr>
      <w:tabs>
        <w:tab w:val="clear" w:pos="567"/>
        <w:tab w:val="right" w:pos="8942"/>
      </w:tabs>
      <w:spacing w:after="0"/>
      <w:ind w:left="1134"/>
    </w:pPr>
    <w:rPr>
      <w:rFonts w:eastAsiaTheme="minorHAnsi" w:cstheme="minorBidi"/>
      <w:szCs w:val="22"/>
    </w:rPr>
  </w:style>
  <w:style w:type="paragraph" w:styleId="TOC5">
    <w:name w:val="toc 5"/>
    <w:basedOn w:val="Normal"/>
    <w:next w:val="Normal"/>
    <w:rsid w:val="00765BA8"/>
    <w:pPr>
      <w:tabs>
        <w:tab w:val="clear" w:pos="567"/>
      </w:tabs>
      <w:spacing w:after="0"/>
      <w:ind w:left="1701"/>
    </w:pPr>
    <w:rPr>
      <w:rFonts w:eastAsiaTheme="minorHAnsi" w:cstheme="minorBidi"/>
      <w:sz w:val="18"/>
      <w:szCs w:val="18"/>
    </w:rPr>
  </w:style>
  <w:style w:type="paragraph" w:styleId="TOC6">
    <w:name w:val="toc 6"/>
    <w:basedOn w:val="Normal"/>
    <w:next w:val="Normal"/>
    <w:rsid w:val="00765BA8"/>
    <w:pPr>
      <w:tabs>
        <w:tab w:val="clear" w:pos="567"/>
      </w:tabs>
      <w:spacing w:after="0"/>
      <w:ind w:left="1100"/>
    </w:pPr>
    <w:rPr>
      <w:rFonts w:eastAsiaTheme="minorHAnsi" w:cstheme="minorBidi"/>
      <w:sz w:val="18"/>
      <w:szCs w:val="18"/>
    </w:rPr>
  </w:style>
  <w:style w:type="paragraph" w:styleId="TOC7">
    <w:name w:val="toc 7"/>
    <w:basedOn w:val="Normal"/>
    <w:next w:val="Normal"/>
    <w:rsid w:val="00765BA8"/>
    <w:pPr>
      <w:tabs>
        <w:tab w:val="clear" w:pos="567"/>
      </w:tabs>
      <w:spacing w:after="0"/>
      <w:ind w:left="1320"/>
    </w:pPr>
    <w:rPr>
      <w:rFonts w:eastAsiaTheme="minorHAnsi" w:cstheme="minorBidi"/>
      <w:sz w:val="18"/>
      <w:szCs w:val="18"/>
    </w:rPr>
  </w:style>
  <w:style w:type="paragraph" w:styleId="TOC8">
    <w:name w:val="toc 8"/>
    <w:basedOn w:val="Normal"/>
    <w:next w:val="Normal"/>
    <w:rsid w:val="00765BA8"/>
    <w:pPr>
      <w:tabs>
        <w:tab w:val="clear" w:pos="567"/>
      </w:tabs>
      <w:spacing w:after="0"/>
      <w:ind w:left="1540"/>
    </w:pPr>
    <w:rPr>
      <w:rFonts w:eastAsiaTheme="minorHAnsi" w:cstheme="minorBidi"/>
      <w:sz w:val="18"/>
      <w:szCs w:val="18"/>
    </w:rPr>
  </w:style>
  <w:style w:type="paragraph" w:styleId="TOC9">
    <w:name w:val="toc 9"/>
    <w:basedOn w:val="Normal"/>
    <w:next w:val="Normal"/>
    <w:rsid w:val="00765BA8"/>
    <w:pPr>
      <w:tabs>
        <w:tab w:val="clear" w:pos="567"/>
      </w:tabs>
      <w:spacing w:after="0"/>
      <w:ind w:left="1760"/>
    </w:pPr>
    <w:rPr>
      <w:rFonts w:eastAsiaTheme="minorHAnsi" w:cstheme="minorBidi"/>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rFonts w:eastAsiaTheme="minorHAnsi" w:cstheme="minorBidi"/>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er" w:uiPriority="99"/>
    <w:lsdException w:name="footer" w:uiPriority="99"/>
    <w:lsdException w:name="Default Paragraph Font" w:uiPriority="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7706A"/>
    <w:pPr>
      <w:tabs>
        <w:tab w:val="left" w:pos="567"/>
      </w:tabs>
      <w:spacing w:after="80" w:line="320" w:lineRule="atLeast"/>
    </w:pPr>
    <w:rPr>
      <w:rFonts w:eastAsia="Times New Roman" w:cs="Times New Roman"/>
      <w:sz w:val="24"/>
      <w:szCs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szCs w:val="2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szCs w:val="2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szCs w:val="22"/>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szCs w:val="22"/>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szCs w:val="22"/>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eastAsiaTheme="minorHAnsi" w:hAnsi="Arial" w:cstheme="minorBidi"/>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eastAsiaTheme="minorHAnsi" w:hAnsi="Arial" w:cstheme="minorBidi"/>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eastAsiaTheme="minorHAnsi"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rFonts w:eastAsiaTheme="minorHAnsi" w:cstheme="minorBidi"/>
      <w:b/>
      <w:bCs/>
      <w:szCs w:val="20"/>
    </w:rPr>
  </w:style>
  <w:style w:type="paragraph" w:customStyle="1" w:styleId="CGCBulletlist">
    <w:name w:val="CGC Bullet list"/>
    <w:aliases w:val="CGC List 1"/>
    <w:basedOn w:val="Normal"/>
    <w:qFormat/>
    <w:rsid w:val="00DC0F02"/>
    <w:pPr>
      <w:numPr>
        <w:numId w:val="36"/>
      </w:numPr>
      <w:tabs>
        <w:tab w:val="clear" w:pos="567"/>
        <w:tab w:val="clear" w:pos="927"/>
        <w:tab w:val="left" w:pos="1134"/>
      </w:tabs>
      <w:spacing w:before="80" w:line="300" w:lineRule="atLeast"/>
      <w:ind w:left="1134" w:hanging="567"/>
    </w:pPr>
    <w:rPr>
      <w:rFonts w:eastAsiaTheme="minorHAnsi" w:cstheme="minorBidi"/>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rFonts w:eastAsiaTheme="minorHAnsi" w:cstheme="minorBidi"/>
      <w:szCs w:val="20"/>
    </w:rPr>
  </w:style>
  <w:style w:type="paragraph" w:customStyle="1" w:styleId="CGCNumberedPara">
    <w:name w:val="CGC Numbered Para"/>
    <w:aliases w:val="CGC Para No"/>
    <w:basedOn w:val="Normal"/>
    <w:qFormat/>
    <w:rsid w:val="00622669"/>
    <w:pPr>
      <w:numPr>
        <w:ilvl w:val="1"/>
        <w:numId w:val="37"/>
      </w:numPr>
      <w:spacing w:before="120"/>
    </w:pPr>
    <w:rPr>
      <w:rFonts w:eastAsiaTheme="minorHAnsi" w:cstheme="minorBidi"/>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rFonts w:eastAsiaTheme="minorHAnsi" w:cstheme="minorBidi"/>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rFonts w:eastAsiaTheme="minorHAnsi" w:cstheme="minorBidi"/>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rFonts w:eastAsiaTheme="minorHAnsi" w:cstheme="minorBidi"/>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eastAsiaTheme="minorHAnsi"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rFonts w:eastAsiaTheme="minorHAnsi" w:cstheme="minorBidi"/>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rPr>
      <w:rFonts w:eastAsiaTheme="minorHAnsi" w:cstheme="minorBidi"/>
      <w:szCs w:val="22"/>
    </w:r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rFonts w:eastAsiaTheme="minorHAnsi" w:cstheme="minorBidi"/>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rPr>
      <w:rFonts w:eastAsiaTheme="minorHAnsi" w:cstheme="minorBidi"/>
      <w:szCs w:val="22"/>
    </w:rPr>
  </w:style>
  <w:style w:type="character" w:styleId="Hyperlink">
    <w:name w:val="Hyperlink"/>
    <w:basedOn w:val="DefaultParagraphFont"/>
    <w:rsid w:val="00765BA8"/>
    <w:rPr>
      <w:color w:val="0000FF"/>
      <w:u w:val="single"/>
    </w:rPr>
  </w:style>
  <w:style w:type="paragraph" w:styleId="Index1">
    <w:name w:val="index 1"/>
    <w:basedOn w:val="Normal"/>
    <w:rsid w:val="00212948"/>
    <w:rPr>
      <w:rFonts w:eastAsiaTheme="minorHAnsi" w:cstheme="minorBidi"/>
      <w:szCs w:val="22"/>
    </w:rPr>
  </w:style>
  <w:style w:type="paragraph" w:styleId="Index2">
    <w:name w:val="index 2"/>
    <w:basedOn w:val="Normal"/>
    <w:next w:val="Index1"/>
    <w:rsid w:val="00212948"/>
    <w:pPr>
      <w:ind w:left="284"/>
    </w:pPr>
    <w:rPr>
      <w:rFonts w:eastAsiaTheme="minorHAnsi" w:cstheme="minorBidi"/>
      <w:szCs w:val="22"/>
    </w:rPr>
  </w:style>
  <w:style w:type="paragraph" w:styleId="Index3">
    <w:name w:val="index 3"/>
    <w:basedOn w:val="Normal"/>
    <w:next w:val="Index1"/>
    <w:rsid w:val="00212948"/>
    <w:pPr>
      <w:ind w:left="567"/>
    </w:pPr>
    <w:rPr>
      <w:rFonts w:eastAsiaTheme="minorHAnsi" w:cstheme="minorBidi"/>
      <w:szCs w:val="22"/>
    </w:rPr>
  </w:style>
  <w:style w:type="paragraph" w:styleId="Index4">
    <w:name w:val="index 4"/>
    <w:basedOn w:val="Normal"/>
    <w:next w:val="Normal"/>
    <w:rsid w:val="00765BA8"/>
    <w:pPr>
      <w:ind w:left="880" w:hanging="220"/>
    </w:pPr>
    <w:rPr>
      <w:rFonts w:eastAsiaTheme="minorHAnsi" w:cstheme="minorBidi"/>
      <w:szCs w:val="22"/>
    </w:rPr>
  </w:style>
  <w:style w:type="paragraph" w:styleId="Index5">
    <w:name w:val="index 5"/>
    <w:basedOn w:val="Normal"/>
    <w:next w:val="Normal"/>
    <w:rsid w:val="00765BA8"/>
    <w:pPr>
      <w:ind w:left="1100" w:hanging="220"/>
    </w:pPr>
    <w:rPr>
      <w:rFonts w:eastAsiaTheme="minorHAnsi" w:cstheme="minorBidi"/>
      <w:szCs w:val="22"/>
    </w:rPr>
  </w:style>
  <w:style w:type="paragraph" w:styleId="Index6">
    <w:name w:val="index 6"/>
    <w:basedOn w:val="Normal"/>
    <w:next w:val="Normal"/>
    <w:rsid w:val="00765BA8"/>
    <w:pPr>
      <w:ind w:left="1320" w:hanging="220"/>
    </w:pPr>
    <w:rPr>
      <w:rFonts w:eastAsiaTheme="minorHAnsi" w:cstheme="minorBidi"/>
      <w:szCs w:val="22"/>
    </w:rPr>
  </w:style>
  <w:style w:type="paragraph" w:styleId="Index7">
    <w:name w:val="index 7"/>
    <w:basedOn w:val="Normal"/>
    <w:next w:val="Normal"/>
    <w:rsid w:val="00765BA8"/>
    <w:pPr>
      <w:ind w:left="1540" w:hanging="220"/>
    </w:pPr>
    <w:rPr>
      <w:rFonts w:eastAsiaTheme="minorHAnsi" w:cstheme="minorBidi"/>
      <w:szCs w:val="22"/>
    </w:rPr>
  </w:style>
  <w:style w:type="paragraph" w:styleId="Index8">
    <w:name w:val="index 8"/>
    <w:basedOn w:val="Normal"/>
    <w:next w:val="Normal"/>
    <w:rsid w:val="00765BA8"/>
    <w:pPr>
      <w:ind w:left="1760" w:hanging="220"/>
    </w:pPr>
    <w:rPr>
      <w:rFonts w:eastAsiaTheme="minorHAnsi" w:cstheme="minorBidi"/>
      <w:szCs w:val="22"/>
    </w:rPr>
  </w:style>
  <w:style w:type="paragraph" w:styleId="Index9">
    <w:name w:val="index 9"/>
    <w:basedOn w:val="Normal"/>
    <w:next w:val="Normal"/>
    <w:rsid w:val="00765BA8"/>
    <w:pPr>
      <w:ind w:left="1980" w:hanging="220"/>
    </w:pPr>
    <w:rPr>
      <w:rFonts w:eastAsiaTheme="minorHAnsi" w:cstheme="minorBidi"/>
      <w:szCs w:val="22"/>
    </w:rPr>
  </w:style>
  <w:style w:type="paragraph" w:styleId="IndexHeading">
    <w:name w:val="index heading"/>
    <w:basedOn w:val="Normal"/>
    <w:next w:val="Index1"/>
    <w:rsid w:val="00765BA8"/>
    <w:rPr>
      <w:rFonts w:eastAsiaTheme="minorHAnsi" w:cstheme="minorBidi"/>
      <w:szCs w:val="22"/>
    </w:rPr>
  </w:style>
  <w:style w:type="paragraph" w:styleId="List">
    <w:name w:val="List"/>
    <w:basedOn w:val="Normal"/>
    <w:rsid w:val="003A27BB"/>
    <w:pPr>
      <w:spacing w:line="300" w:lineRule="atLeast"/>
    </w:pPr>
    <w:rPr>
      <w:rFonts w:eastAsiaTheme="minorHAnsi" w:cstheme="minorBidi"/>
      <w:szCs w:val="22"/>
    </w:r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rPr>
      <w:rFonts w:eastAsiaTheme="minorHAnsi" w:cstheme="minorBidi"/>
      <w:szCs w:val="22"/>
    </w:rPr>
  </w:style>
  <w:style w:type="paragraph" w:styleId="TableofFigures">
    <w:name w:val="table of figures"/>
    <w:basedOn w:val="Normal"/>
    <w:next w:val="Normal"/>
    <w:rsid w:val="00765BA8"/>
    <w:pPr>
      <w:tabs>
        <w:tab w:val="clear" w:pos="567"/>
      </w:tabs>
    </w:pPr>
    <w:rPr>
      <w:rFonts w:eastAsiaTheme="minorHAnsi" w:cstheme="minorBidi"/>
      <w:szCs w:val="22"/>
    </w:r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eastAsiaTheme="minorHAnsi" w:cs="Arial"/>
      <w:b/>
      <w:bCs/>
      <w:szCs w:val="22"/>
    </w:rPr>
  </w:style>
  <w:style w:type="paragraph" w:styleId="TOC1">
    <w:name w:val="toc 1"/>
    <w:basedOn w:val="Normal"/>
    <w:next w:val="Normal"/>
    <w:rsid w:val="00996409"/>
    <w:pPr>
      <w:tabs>
        <w:tab w:val="clear" w:pos="567"/>
        <w:tab w:val="right" w:pos="8942"/>
      </w:tabs>
      <w:spacing w:before="120" w:after="120"/>
    </w:pPr>
    <w:rPr>
      <w:rFonts w:eastAsiaTheme="minorHAnsi" w:cstheme="minorBidi"/>
      <w:b/>
      <w:bCs/>
      <w:caps/>
      <w:szCs w:val="20"/>
    </w:rPr>
  </w:style>
  <w:style w:type="paragraph" w:styleId="TOC2">
    <w:name w:val="toc 2"/>
    <w:basedOn w:val="Normal"/>
    <w:next w:val="Normal"/>
    <w:rsid w:val="006A72B0"/>
    <w:pPr>
      <w:tabs>
        <w:tab w:val="clear" w:pos="567"/>
        <w:tab w:val="right" w:pos="8942"/>
      </w:tabs>
      <w:spacing w:after="0"/>
      <w:ind w:left="851"/>
    </w:pPr>
    <w:rPr>
      <w:rFonts w:eastAsiaTheme="minorHAnsi" w:cstheme="minorBidi"/>
      <w:szCs w:val="20"/>
    </w:rPr>
  </w:style>
  <w:style w:type="paragraph" w:styleId="TOC3">
    <w:name w:val="toc 3"/>
    <w:basedOn w:val="Normal"/>
    <w:next w:val="Normal"/>
    <w:rsid w:val="00996409"/>
    <w:pPr>
      <w:tabs>
        <w:tab w:val="clear" w:pos="567"/>
        <w:tab w:val="right" w:pos="8942"/>
      </w:tabs>
      <w:spacing w:after="0"/>
      <w:ind w:left="567"/>
    </w:pPr>
    <w:rPr>
      <w:rFonts w:eastAsiaTheme="minorHAnsi" w:cstheme="minorBidi"/>
      <w:iCs/>
      <w:caps/>
      <w:szCs w:val="22"/>
    </w:rPr>
  </w:style>
  <w:style w:type="paragraph" w:styleId="TOC4">
    <w:name w:val="toc 4"/>
    <w:basedOn w:val="Normal"/>
    <w:next w:val="Normal"/>
    <w:rsid w:val="00996409"/>
    <w:pPr>
      <w:tabs>
        <w:tab w:val="clear" w:pos="567"/>
        <w:tab w:val="right" w:pos="8942"/>
      </w:tabs>
      <w:spacing w:after="0"/>
      <w:ind w:left="1134"/>
    </w:pPr>
    <w:rPr>
      <w:rFonts w:eastAsiaTheme="minorHAnsi" w:cstheme="minorBidi"/>
      <w:szCs w:val="22"/>
    </w:rPr>
  </w:style>
  <w:style w:type="paragraph" w:styleId="TOC5">
    <w:name w:val="toc 5"/>
    <w:basedOn w:val="Normal"/>
    <w:next w:val="Normal"/>
    <w:rsid w:val="00765BA8"/>
    <w:pPr>
      <w:tabs>
        <w:tab w:val="clear" w:pos="567"/>
      </w:tabs>
      <w:spacing w:after="0"/>
      <w:ind w:left="1701"/>
    </w:pPr>
    <w:rPr>
      <w:rFonts w:eastAsiaTheme="minorHAnsi" w:cstheme="minorBidi"/>
      <w:sz w:val="18"/>
      <w:szCs w:val="18"/>
    </w:rPr>
  </w:style>
  <w:style w:type="paragraph" w:styleId="TOC6">
    <w:name w:val="toc 6"/>
    <w:basedOn w:val="Normal"/>
    <w:next w:val="Normal"/>
    <w:rsid w:val="00765BA8"/>
    <w:pPr>
      <w:tabs>
        <w:tab w:val="clear" w:pos="567"/>
      </w:tabs>
      <w:spacing w:after="0"/>
      <w:ind w:left="1100"/>
    </w:pPr>
    <w:rPr>
      <w:rFonts w:eastAsiaTheme="minorHAnsi" w:cstheme="minorBidi"/>
      <w:sz w:val="18"/>
      <w:szCs w:val="18"/>
    </w:rPr>
  </w:style>
  <w:style w:type="paragraph" w:styleId="TOC7">
    <w:name w:val="toc 7"/>
    <w:basedOn w:val="Normal"/>
    <w:next w:val="Normal"/>
    <w:rsid w:val="00765BA8"/>
    <w:pPr>
      <w:tabs>
        <w:tab w:val="clear" w:pos="567"/>
      </w:tabs>
      <w:spacing w:after="0"/>
      <w:ind w:left="1320"/>
    </w:pPr>
    <w:rPr>
      <w:rFonts w:eastAsiaTheme="minorHAnsi" w:cstheme="minorBidi"/>
      <w:sz w:val="18"/>
      <w:szCs w:val="18"/>
    </w:rPr>
  </w:style>
  <w:style w:type="paragraph" w:styleId="TOC8">
    <w:name w:val="toc 8"/>
    <w:basedOn w:val="Normal"/>
    <w:next w:val="Normal"/>
    <w:rsid w:val="00765BA8"/>
    <w:pPr>
      <w:tabs>
        <w:tab w:val="clear" w:pos="567"/>
      </w:tabs>
      <w:spacing w:after="0"/>
      <w:ind w:left="1540"/>
    </w:pPr>
    <w:rPr>
      <w:rFonts w:eastAsiaTheme="minorHAnsi" w:cstheme="minorBidi"/>
      <w:sz w:val="18"/>
      <w:szCs w:val="18"/>
    </w:rPr>
  </w:style>
  <w:style w:type="paragraph" w:styleId="TOC9">
    <w:name w:val="toc 9"/>
    <w:basedOn w:val="Normal"/>
    <w:next w:val="Normal"/>
    <w:rsid w:val="00765BA8"/>
    <w:pPr>
      <w:tabs>
        <w:tab w:val="clear" w:pos="567"/>
      </w:tabs>
      <w:spacing w:after="0"/>
      <w:ind w:left="1760"/>
    </w:pPr>
    <w:rPr>
      <w:rFonts w:eastAsiaTheme="minorHAnsi" w:cstheme="minorBidi"/>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rFonts w:eastAsiaTheme="minorHAnsi" w:cstheme="minorBidi"/>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gc.gov.au" TargetMode="External"/><Relationship Id="rId1" Type="http://schemas.openxmlformats.org/officeDocument/2006/relationships/hyperlink" Target="mailto:secretary@cg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59FAC-F28C-47D6-842D-D69DDBB1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331</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t:lpstr>
    </vt:vector>
  </TitlesOfParts>
  <Company>Commonwealth Grants Commission</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Kathleen Morris</dc:creator>
  <cp:lastModifiedBy>Jenny Connolly</cp:lastModifiedBy>
  <cp:revision>4</cp:revision>
  <cp:lastPrinted>2015-02-24T03:25:00Z</cp:lastPrinted>
  <dcterms:created xsi:type="dcterms:W3CDTF">2015-02-24T06:17:00Z</dcterms:created>
  <dcterms:modified xsi:type="dcterms:W3CDTF">2015-02-26T22:36:00Z</dcterms:modified>
</cp:coreProperties>
</file>