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5ACFE" w14:textId="77777777" w:rsidR="00DC0F02" w:rsidRDefault="0066006C" w:rsidP="0066006C">
      <w:pPr>
        <w:jc w:val="center"/>
      </w:pPr>
      <w:bookmarkStart w:id="0" w:name="_GoBack"/>
      <w:bookmarkEnd w:id="0"/>
      <w:r>
        <w:rPr>
          <w:noProof/>
          <w:lang w:eastAsia="en-AU"/>
        </w:rPr>
        <w:drawing>
          <wp:inline distT="0" distB="0" distL="0" distR="0" wp14:anchorId="5646A607" wp14:editId="6F5C4CF5">
            <wp:extent cx="2476500" cy="1285875"/>
            <wp:effectExtent l="19050" t="0" r="0" b="0"/>
            <wp:docPr id="10" name="Picture 10" descr="CGC_stacked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GC_stackedstrip"/>
                    <pic:cNvPicPr>
                      <a:picLocks noChangeAspect="1" noChangeArrowheads="1"/>
                    </pic:cNvPicPr>
                  </pic:nvPicPr>
                  <pic:blipFill>
                    <a:blip r:embed="rId8"/>
                    <a:srcRect/>
                    <a:stretch>
                      <a:fillRect/>
                    </a:stretch>
                  </pic:blipFill>
                  <pic:spPr bwMode="auto">
                    <a:xfrm>
                      <a:off x="0" y="0"/>
                      <a:ext cx="2476500" cy="1285875"/>
                    </a:xfrm>
                    <a:prstGeom prst="rect">
                      <a:avLst/>
                    </a:prstGeom>
                    <a:noFill/>
                    <a:ln w="9525">
                      <a:noFill/>
                      <a:miter lim="800000"/>
                      <a:headEnd/>
                      <a:tailEnd/>
                    </a:ln>
                  </pic:spPr>
                </pic:pic>
              </a:graphicData>
            </a:graphic>
          </wp:inline>
        </w:drawing>
      </w:r>
    </w:p>
    <w:p w14:paraId="0CDA7A59" w14:textId="77777777" w:rsidR="0066006C" w:rsidRDefault="0066006C" w:rsidP="0066006C">
      <w:pPr>
        <w:pStyle w:val="Heading4"/>
        <w:spacing w:before="2400"/>
        <w:jc w:val="center"/>
        <w:rPr>
          <w:smallCaps/>
          <w:sz w:val="52"/>
          <w:szCs w:val="52"/>
        </w:rPr>
      </w:pPr>
      <w:bookmarkStart w:id="1" w:name="_Toc12958057"/>
      <w:bookmarkStart w:id="2" w:name="_Toc12958228"/>
      <w:bookmarkStart w:id="3" w:name="_Toc13234950"/>
      <w:bookmarkStart w:id="4" w:name="_Toc14687918"/>
      <w:bookmarkStart w:id="5" w:name="_Toc14688018"/>
      <w:bookmarkStart w:id="6" w:name="_Toc16854902"/>
      <w:bookmarkStart w:id="7" w:name="_Toc17105354"/>
      <w:bookmarkStart w:id="8" w:name="_Toc17105406"/>
      <w:bookmarkStart w:id="9" w:name="_Toc17105561"/>
      <w:bookmarkStart w:id="10" w:name="_Toc17105646"/>
      <w:bookmarkStart w:id="11" w:name="_Toc17380110"/>
      <w:bookmarkStart w:id="12" w:name="_Toc17380431"/>
      <w:bookmarkStart w:id="13" w:name="_Toc17380576"/>
      <w:bookmarkStart w:id="14" w:name="_Toc17381146"/>
      <w:bookmarkStart w:id="15" w:name="_Toc17381348"/>
      <w:bookmarkStart w:id="16" w:name="_Toc17538319"/>
      <w:bookmarkStart w:id="17" w:name="_Toc19030025"/>
      <w:bookmarkStart w:id="18" w:name="_Toc19262875"/>
      <w:bookmarkStart w:id="19" w:name="_Toc21705417"/>
      <w:bookmarkStart w:id="20" w:name="_Toc22045787"/>
      <w:bookmarkStart w:id="21" w:name="_Toc23847420"/>
      <w:r w:rsidRPr="0066006C">
        <w:rPr>
          <w:sz w:val="52"/>
          <w:szCs w:val="52"/>
        </w:rPr>
        <w:t xml:space="preserve">2019 </w:t>
      </w:r>
      <w:r w:rsidRPr="009E175D">
        <w:rPr>
          <w:smallCaps/>
          <w:sz w:val="52"/>
          <w:szCs w:val="52"/>
        </w:rPr>
        <w:t>Norfolk Island Inquiry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494554A" w14:textId="77777777" w:rsidR="00F43845" w:rsidRPr="00F43845" w:rsidRDefault="00F43845" w:rsidP="00F43845">
      <w:pPr>
        <w:pStyle w:val="Heading4"/>
        <w:spacing w:before="1800"/>
        <w:jc w:val="center"/>
        <w:rPr>
          <w:smallCaps/>
          <w:sz w:val="52"/>
          <w:szCs w:val="52"/>
        </w:rPr>
      </w:pPr>
      <w:bookmarkStart w:id="22" w:name="_Toc21705418"/>
      <w:bookmarkStart w:id="23" w:name="_Toc22045788"/>
      <w:bookmarkStart w:id="24" w:name="_Toc23847421"/>
      <w:r w:rsidRPr="00F43845">
        <w:rPr>
          <w:smallCaps/>
          <w:sz w:val="52"/>
          <w:szCs w:val="52"/>
        </w:rPr>
        <w:t>Final Report</w:t>
      </w:r>
      <w:bookmarkEnd w:id="22"/>
      <w:bookmarkEnd w:id="23"/>
      <w:bookmarkEnd w:id="24"/>
    </w:p>
    <w:p w14:paraId="3998D120" w14:textId="77777777" w:rsidR="0066006C" w:rsidRDefault="0066006C" w:rsidP="00F43845">
      <w:pPr>
        <w:spacing w:before="1560"/>
      </w:pPr>
      <w:r>
        <w:t>Staff of the Commonwealth Grants Commission completed this inquiry in response to a request from the Department of Infrastructure,</w:t>
      </w:r>
      <w:r w:rsidR="00ED7886">
        <w:t xml:space="preserve"> Transport, Cities and</w:t>
      </w:r>
      <w:r>
        <w:t xml:space="preserve"> Regional Development. </w:t>
      </w:r>
    </w:p>
    <w:p w14:paraId="369B78EA" w14:textId="1820854D" w:rsidR="0066006C" w:rsidRPr="00F43845" w:rsidRDefault="00E15618" w:rsidP="00F43845">
      <w:pPr>
        <w:spacing w:before="1560"/>
        <w:jc w:val="right"/>
        <w:rPr>
          <w:b/>
          <w:smallCaps/>
          <w:color w:val="2C8558"/>
          <w:sz w:val="32"/>
          <w:szCs w:val="32"/>
        </w:rPr>
        <w:sectPr w:rsidR="0066006C" w:rsidRPr="00F43845" w:rsidSect="0028293D">
          <w:footerReference w:type="first" r:id="rId9"/>
          <w:pgSz w:w="11899" w:h="16838" w:code="9"/>
          <w:pgMar w:top="1701" w:right="1474" w:bottom="1701" w:left="1474" w:header="709" w:footer="709" w:gutter="0"/>
          <w:pgNumType w:fmt="lowerRoman" w:start="1"/>
          <w:cols w:space="708"/>
          <w:docGrid w:linePitch="326"/>
        </w:sectPr>
      </w:pPr>
      <w:bookmarkStart w:id="25" w:name="_Toc12958058"/>
      <w:bookmarkStart w:id="26" w:name="_Toc12958229"/>
      <w:bookmarkStart w:id="27" w:name="_Toc13234951"/>
      <w:bookmarkStart w:id="28" w:name="_Toc14687919"/>
      <w:bookmarkStart w:id="29" w:name="_Toc14688019"/>
      <w:bookmarkStart w:id="30" w:name="_Toc16854903"/>
      <w:bookmarkStart w:id="31" w:name="_Toc17105355"/>
      <w:bookmarkStart w:id="32" w:name="_Toc17105407"/>
      <w:bookmarkStart w:id="33" w:name="_Toc17105562"/>
      <w:bookmarkStart w:id="34" w:name="_Toc17105647"/>
      <w:bookmarkStart w:id="35" w:name="_Toc17380111"/>
      <w:bookmarkStart w:id="36" w:name="_Toc17380432"/>
      <w:bookmarkStart w:id="37" w:name="_Toc17380577"/>
      <w:bookmarkStart w:id="38" w:name="_Toc17381147"/>
      <w:bookmarkStart w:id="39" w:name="_Toc17381349"/>
      <w:bookmarkStart w:id="40" w:name="_Toc17538320"/>
      <w:bookmarkStart w:id="41" w:name="_Toc19030026"/>
      <w:bookmarkStart w:id="42" w:name="_Toc19262876"/>
      <w:r>
        <w:rPr>
          <w:b/>
          <w:smallCaps/>
          <w:color w:val="2C8558"/>
          <w:sz w:val="32"/>
          <w:szCs w:val="32"/>
        </w:rPr>
        <w:t>November</w:t>
      </w:r>
      <w:r w:rsidR="002776C2" w:rsidRPr="00F43845">
        <w:rPr>
          <w:b/>
          <w:smallCaps/>
          <w:color w:val="2C8558"/>
          <w:sz w:val="32"/>
          <w:szCs w:val="32"/>
        </w:rPr>
        <w:t xml:space="preserve"> </w:t>
      </w:r>
      <w:r w:rsidR="0066006C" w:rsidRPr="00F43845">
        <w:rPr>
          <w:b/>
          <w:smallCaps/>
          <w:color w:val="2C8558"/>
          <w:sz w:val="32"/>
          <w:szCs w:val="32"/>
        </w:rPr>
        <w:t>2019</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57A7D02" w14:textId="77777777" w:rsidR="0066006C" w:rsidRDefault="0066006C" w:rsidP="009E175D">
      <w:pPr>
        <w:pStyle w:val="Heading3"/>
      </w:pPr>
      <w:bookmarkStart w:id="43" w:name="_Toc12958060"/>
      <w:bookmarkStart w:id="44" w:name="_Toc12958231"/>
      <w:bookmarkStart w:id="45" w:name="_Toc13234953"/>
      <w:bookmarkStart w:id="46" w:name="_Toc14687921"/>
      <w:bookmarkStart w:id="47" w:name="_Toc14688021"/>
      <w:bookmarkStart w:id="48" w:name="_Toc16854905"/>
      <w:bookmarkStart w:id="49" w:name="_Toc17105357"/>
      <w:bookmarkStart w:id="50" w:name="_Toc17105409"/>
      <w:bookmarkStart w:id="51" w:name="_Toc17105564"/>
      <w:bookmarkStart w:id="52" w:name="_Toc17105649"/>
      <w:bookmarkStart w:id="53" w:name="_Toc17380113"/>
      <w:bookmarkStart w:id="54" w:name="_Toc17380434"/>
      <w:bookmarkStart w:id="55" w:name="_Toc17380579"/>
      <w:bookmarkStart w:id="56" w:name="_Toc17381149"/>
      <w:bookmarkStart w:id="57" w:name="_Toc17381351"/>
      <w:bookmarkStart w:id="58" w:name="_Toc17538321"/>
      <w:bookmarkStart w:id="59" w:name="_Toc19030027"/>
      <w:bookmarkStart w:id="60" w:name="_Toc19262877"/>
      <w:bookmarkStart w:id="61" w:name="_Toc21705419"/>
      <w:bookmarkStart w:id="62" w:name="_Toc22045789"/>
      <w:bookmarkStart w:id="63" w:name="_Toc23847422"/>
      <w:r>
        <w:lastRenderedPageBreak/>
        <w:t>Acknowledgements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71A5A97" w14:textId="49509608" w:rsidR="00116105" w:rsidRDefault="00F7243D" w:rsidP="0066006C">
      <w:r>
        <w:t xml:space="preserve">We appreciate the ready </w:t>
      </w:r>
      <w:r w:rsidR="00B477F7">
        <w:t xml:space="preserve">and extensive </w:t>
      </w:r>
      <w:r>
        <w:t xml:space="preserve">co-operation extended to Commission staff </w:t>
      </w:r>
      <w:r w:rsidR="00B477F7">
        <w:t xml:space="preserve">and </w:t>
      </w:r>
      <w:r w:rsidR="00087EB3">
        <w:t xml:space="preserve">the </w:t>
      </w:r>
      <w:r w:rsidR="00B477F7">
        <w:t xml:space="preserve">information provided </w:t>
      </w:r>
      <w:r>
        <w:t xml:space="preserve">during this </w:t>
      </w:r>
      <w:r w:rsidR="002D2A02">
        <w:t>inquiry</w:t>
      </w:r>
      <w:r>
        <w:t xml:space="preserve"> by the Department of Infrastructure,</w:t>
      </w:r>
      <w:r w:rsidR="00BC7C02">
        <w:t xml:space="preserve"> Transport, Cities and</w:t>
      </w:r>
      <w:r>
        <w:t xml:space="preserve"> Regional Development and the </w:t>
      </w:r>
      <w:r w:rsidR="00B477F7">
        <w:t>Norfolk Island Regional Council.</w:t>
      </w:r>
      <w:r w:rsidR="00865BFC">
        <w:t xml:space="preserve"> The report would not have been possible without this assistance. </w:t>
      </w:r>
      <w:r w:rsidR="00B477F7">
        <w:t xml:space="preserve"> </w:t>
      </w:r>
      <w:r w:rsidR="00116105">
        <w:br w:type="page"/>
      </w:r>
    </w:p>
    <w:p w14:paraId="59123AC8" w14:textId="77777777" w:rsidR="0066006C" w:rsidRDefault="001A3244" w:rsidP="003B27C7">
      <w:pPr>
        <w:pStyle w:val="Heading2"/>
        <w:spacing w:after="0"/>
      </w:pPr>
      <w:bookmarkStart w:id="64" w:name="_Toc12958232"/>
      <w:bookmarkStart w:id="65" w:name="_Toc13234954"/>
      <w:bookmarkStart w:id="66" w:name="_Toc14687922"/>
      <w:bookmarkStart w:id="67" w:name="_Toc14688022"/>
      <w:bookmarkStart w:id="68" w:name="_Toc16854906"/>
      <w:bookmarkStart w:id="69" w:name="_Toc17105358"/>
      <w:bookmarkStart w:id="70" w:name="_Toc17105410"/>
      <w:bookmarkStart w:id="71" w:name="_Toc17105565"/>
      <w:bookmarkStart w:id="72" w:name="_Toc17105650"/>
      <w:bookmarkStart w:id="73" w:name="_Toc17380435"/>
      <w:bookmarkStart w:id="74" w:name="_Toc19262878"/>
      <w:bookmarkStart w:id="75" w:name="_Toc21705420"/>
      <w:bookmarkStart w:id="76" w:name="_Toc23847423"/>
      <w:r>
        <w:lastRenderedPageBreak/>
        <w:t>Contents</w:t>
      </w:r>
      <w:bookmarkEnd w:id="64"/>
      <w:bookmarkEnd w:id="65"/>
      <w:bookmarkEnd w:id="66"/>
      <w:bookmarkEnd w:id="67"/>
      <w:bookmarkEnd w:id="68"/>
      <w:bookmarkEnd w:id="69"/>
      <w:bookmarkEnd w:id="70"/>
      <w:bookmarkEnd w:id="71"/>
      <w:bookmarkEnd w:id="72"/>
      <w:bookmarkEnd w:id="73"/>
      <w:bookmarkEnd w:id="74"/>
      <w:bookmarkEnd w:id="75"/>
      <w:bookmarkEnd w:id="76"/>
    </w:p>
    <w:p w14:paraId="1FA31C04" w14:textId="29EC43AA" w:rsidR="00D15428" w:rsidRDefault="00EA1C93">
      <w:pPr>
        <w:pStyle w:val="TOC4"/>
        <w:rPr>
          <w:rFonts w:eastAsiaTheme="minorEastAsia"/>
          <w:noProof/>
          <w:sz w:val="22"/>
          <w:lang w:eastAsia="en-AU"/>
        </w:rPr>
      </w:pPr>
      <w:r>
        <w:fldChar w:fldCharType="begin"/>
      </w:r>
      <w:r>
        <w:instrText xml:space="preserve"> TOC \o "2-2" \f \h \z \u \t "Heading 2,1,Heading 3,3,Heading 4,4" </w:instrText>
      </w:r>
      <w:r>
        <w:fldChar w:fldCharType="separate"/>
      </w:r>
    </w:p>
    <w:p w14:paraId="4F76915B" w14:textId="500FFE64" w:rsidR="00D15428" w:rsidRDefault="00150A14">
      <w:pPr>
        <w:pStyle w:val="TOC3"/>
        <w:rPr>
          <w:rFonts w:eastAsiaTheme="minorEastAsia"/>
          <w:iCs w:val="0"/>
          <w:caps w:val="0"/>
          <w:noProof/>
          <w:sz w:val="22"/>
          <w:lang w:eastAsia="en-AU"/>
        </w:rPr>
      </w:pPr>
      <w:hyperlink w:anchor="_Toc23847422" w:history="1">
        <w:r w:rsidR="00D15428" w:rsidRPr="00642086">
          <w:rPr>
            <w:rStyle w:val="Hyperlink"/>
            <w:noProof/>
          </w:rPr>
          <w:t>Acknowledgements</w:t>
        </w:r>
        <w:r w:rsidR="00D15428">
          <w:rPr>
            <w:noProof/>
            <w:webHidden/>
          </w:rPr>
          <w:tab/>
        </w:r>
        <w:r w:rsidR="00D15428" w:rsidRPr="00D15428">
          <w:rPr>
            <w:caps w:val="0"/>
            <w:noProof/>
            <w:webHidden/>
          </w:rPr>
          <w:fldChar w:fldCharType="begin"/>
        </w:r>
        <w:r w:rsidR="00D15428" w:rsidRPr="00D15428">
          <w:rPr>
            <w:caps w:val="0"/>
            <w:noProof/>
            <w:webHidden/>
          </w:rPr>
          <w:instrText xml:space="preserve"> PAGEREF _Toc23847422 \h </w:instrText>
        </w:r>
        <w:r w:rsidR="00D15428" w:rsidRPr="00D15428">
          <w:rPr>
            <w:caps w:val="0"/>
            <w:noProof/>
            <w:webHidden/>
          </w:rPr>
        </w:r>
        <w:r w:rsidR="00D15428" w:rsidRPr="00D15428">
          <w:rPr>
            <w:caps w:val="0"/>
            <w:noProof/>
            <w:webHidden/>
          </w:rPr>
          <w:fldChar w:fldCharType="separate"/>
        </w:r>
        <w:r w:rsidR="00DE7AA1">
          <w:rPr>
            <w:caps w:val="0"/>
            <w:noProof/>
            <w:webHidden/>
          </w:rPr>
          <w:t>ii</w:t>
        </w:r>
        <w:r w:rsidR="00D15428" w:rsidRPr="00D15428">
          <w:rPr>
            <w:caps w:val="0"/>
            <w:noProof/>
            <w:webHidden/>
          </w:rPr>
          <w:fldChar w:fldCharType="end"/>
        </w:r>
      </w:hyperlink>
    </w:p>
    <w:p w14:paraId="12B329FA" w14:textId="44C779F0" w:rsidR="00D15428" w:rsidRDefault="00150A14">
      <w:pPr>
        <w:pStyle w:val="TOC1"/>
        <w:rPr>
          <w:rFonts w:eastAsiaTheme="minorEastAsia"/>
          <w:b w:val="0"/>
          <w:bCs w:val="0"/>
          <w:caps w:val="0"/>
          <w:noProof/>
          <w:sz w:val="22"/>
          <w:szCs w:val="22"/>
          <w:lang w:eastAsia="en-AU"/>
        </w:rPr>
      </w:pPr>
      <w:hyperlink w:anchor="_Toc23847423" w:history="1">
        <w:r w:rsidR="00D15428" w:rsidRPr="00642086">
          <w:rPr>
            <w:rStyle w:val="Hyperlink"/>
            <w:noProof/>
          </w:rPr>
          <w:t>Contents</w:t>
        </w:r>
        <w:r w:rsidR="00D15428">
          <w:rPr>
            <w:noProof/>
            <w:webHidden/>
          </w:rPr>
          <w:tab/>
        </w:r>
        <w:r w:rsidR="00D15428" w:rsidRPr="00D15428">
          <w:rPr>
            <w:caps w:val="0"/>
            <w:noProof/>
            <w:webHidden/>
          </w:rPr>
          <w:fldChar w:fldCharType="begin"/>
        </w:r>
        <w:r w:rsidR="00D15428" w:rsidRPr="00D15428">
          <w:rPr>
            <w:caps w:val="0"/>
            <w:noProof/>
            <w:webHidden/>
          </w:rPr>
          <w:instrText xml:space="preserve"> PAGEREF _Toc23847423 \h </w:instrText>
        </w:r>
        <w:r w:rsidR="00D15428" w:rsidRPr="00D15428">
          <w:rPr>
            <w:caps w:val="0"/>
            <w:noProof/>
            <w:webHidden/>
          </w:rPr>
        </w:r>
        <w:r w:rsidR="00D15428" w:rsidRPr="00D15428">
          <w:rPr>
            <w:caps w:val="0"/>
            <w:noProof/>
            <w:webHidden/>
          </w:rPr>
          <w:fldChar w:fldCharType="separate"/>
        </w:r>
        <w:r w:rsidR="00DE7AA1">
          <w:rPr>
            <w:caps w:val="0"/>
            <w:noProof/>
            <w:webHidden/>
          </w:rPr>
          <w:t>iii</w:t>
        </w:r>
        <w:r w:rsidR="00D15428" w:rsidRPr="00D15428">
          <w:rPr>
            <w:caps w:val="0"/>
            <w:noProof/>
            <w:webHidden/>
          </w:rPr>
          <w:fldChar w:fldCharType="end"/>
        </w:r>
      </w:hyperlink>
    </w:p>
    <w:p w14:paraId="7E5E0E18" w14:textId="4472A6DB" w:rsidR="00D15428" w:rsidRDefault="00150A14">
      <w:pPr>
        <w:pStyle w:val="TOC1"/>
        <w:rPr>
          <w:rFonts w:eastAsiaTheme="minorEastAsia"/>
          <w:b w:val="0"/>
          <w:bCs w:val="0"/>
          <w:caps w:val="0"/>
          <w:noProof/>
          <w:sz w:val="22"/>
          <w:szCs w:val="22"/>
          <w:lang w:eastAsia="en-AU"/>
        </w:rPr>
      </w:pPr>
      <w:hyperlink w:anchor="_Toc23847424" w:history="1">
        <w:r w:rsidR="00D15428" w:rsidRPr="00642086">
          <w:rPr>
            <w:rStyle w:val="Hyperlink"/>
            <w:noProof/>
          </w:rPr>
          <w:t>List of acronyms</w:t>
        </w:r>
        <w:r w:rsidR="00D15428">
          <w:rPr>
            <w:noProof/>
            <w:webHidden/>
          </w:rPr>
          <w:tab/>
        </w:r>
        <w:r w:rsidR="00D15428" w:rsidRPr="00D15428">
          <w:rPr>
            <w:caps w:val="0"/>
            <w:noProof/>
            <w:webHidden/>
          </w:rPr>
          <w:fldChar w:fldCharType="begin"/>
        </w:r>
        <w:r w:rsidR="00D15428" w:rsidRPr="00D15428">
          <w:rPr>
            <w:caps w:val="0"/>
            <w:noProof/>
            <w:webHidden/>
          </w:rPr>
          <w:instrText xml:space="preserve"> PAGEREF _Toc23847424 \h </w:instrText>
        </w:r>
        <w:r w:rsidR="00D15428" w:rsidRPr="00D15428">
          <w:rPr>
            <w:caps w:val="0"/>
            <w:noProof/>
            <w:webHidden/>
          </w:rPr>
        </w:r>
        <w:r w:rsidR="00D15428" w:rsidRPr="00D15428">
          <w:rPr>
            <w:caps w:val="0"/>
            <w:noProof/>
            <w:webHidden/>
          </w:rPr>
          <w:fldChar w:fldCharType="separate"/>
        </w:r>
        <w:r w:rsidR="00DE7AA1">
          <w:rPr>
            <w:caps w:val="0"/>
            <w:noProof/>
            <w:webHidden/>
          </w:rPr>
          <w:t>vii</w:t>
        </w:r>
        <w:r w:rsidR="00D15428" w:rsidRPr="00D15428">
          <w:rPr>
            <w:caps w:val="0"/>
            <w:noProof/>
            <w:webHidden/>
          </w:rPr>
          <w:fldChar w:fldCharType="end"/>
        </w:r>
      </w:hyperlink>
    </w:p>
    <w:p w14:paraId="794FAA59" w14:textId="7F5407F7" w:rsidR="00D15428" w:rsidRDefault="00150A14">
      <w:pPr>
        <w:pStyle w:val="TOC1"/>
        <w:rPr>
          <w:rFonts w:eastAsiaTheme="minorEastAsia"/>
          <w:b w:val="0"/>
          <w:bCs w:val="0"/>
          <w:caps w:val="0"/>
          <w:noProof/>
          <w:sz w:val="22"/>
          <w:szCs w:val="22"/>
          <w:lang w:eastAsia="en-AU"/>
        </w:rPr>
      </w:pPr>
      <w:hyperlink w:anchor="_Toc23847425" w:history="1">
        <w:r w:rsidR="00D15428" w:rsidRPr="00642086">
          <w:rPr>
            <w:rStyle w:val="Hyperlink"/>
            <w:noProof/>
          </w:rPr>
          <w:t>OVERVIEW</w:t>
        </w:r>
        <w:r w:rsidR="00D15428">
          <w:rPr>
            <w:noProof/>
            <w:webHidden/>
          </w:rPr>
          <w:tab/>
        </w:r>
        <w:r w:rsidR="00D15428" w:rsidRPr="00D15428">
          <w:rPr>
            <w:caps w:val="0"/>
            <w:noProof/>
            <w:webHidden/>
          </w:rPr>
          <w:fldChar w:fldCharType="begin"/>
        </w:r>
        <w:r w:rsidR="00D15428" w:rsidRPr="00D15428">
          <w:rPr>
            <w:caps w:val="0"/>
            <w:noProof/>
            <w:webHidden/>
          </w:rPr>
          <w:instrText xml:space="preserve"> PAGEREF _Toc23847425 \h </w:instrText>
        </w:r>
        <w:r w:rsidR="00D15428" w:rsidRPr="00D15428">
          <w:rPr>
            <w:caps w:val="0"/>
            <w:noProof/>
            <w:webHidden/>
          </w:rPr>
        </w:r>
        <w:r w:rsidR="00D15428" w:rsidRPr="00D15428">
          <w:rPr>
            <w:caps w:val="0"/>
            <w:noProof/>
            <w:webHidden/>
          </w:rPr>
          <w:fldChar w:fldCharType="separate"/>
        </w:r>
        <w:r w:rsidR="00DE7AA1">
          <w:rPr>
            <w:caps w:val="0"/>
            <w:noProof/>
            <w:webHidden/>
          </w:rPr>
          <w:t>ix</w:t>
        </w:r>
        <w:r w:rsidR="00D15428" w:rsidRPr="00D15428">
          <w:rPr>
            <w:caps w:val="0"/>
            <w:noProof/>
            <w:webHidden/>
          </w:rPr>
          <w:fldChar w:fldCharType="end"/>
        </w:r>
      </w:hyperlink>
    </w:p>
    <w:p w14:paraId="00470D73" w14:textId="21575694" w:rsidR="00D15428" w:rsidRDefault="00150A14">
      <w:pPr>
        <w:pStyle w:val="TOC3"/>
        <w:rPr>
          <w:rFonts w:eastAsiaTheme="minorEastAsia"/>
          <w:iCs w:val="0"/>
          <w:caps w:val="0"/>
          <w:noProof/>
          <w:sz w:val="22"/>
          <w:lang w:eastAsia="en-AU"/>
        </w:rPr>
      </w:pPr>
      <w:hyperlink w:anchor="_Toc23847426" w:history="1">
        <w:r w:rsidR="00D15428" w:rsidRPr="00642086">
          <w:rPr>
            <w:rStyle w:val="Hyperlink"/>
            <w:noProof/>
          </w:rPr>
          <w:t>Task</w:t>
        </w:r>
        <w:r w:rsidR="00D15428">
          <w:rPr>
            <w:noProof/>
            <w:webHidden/>
          </w:rPr>
          <w:tab/>
        </w:r>
        <w:r w:rsidR="00D15428" w:rsidRPr="00D15428">
          <w:rPr>
            <w:caps w:val="0"/>
            <w:noProof/>
            <w:webHidden/>
          </w:rPr>
          <w:fldChar w:fldCharType="begin"/>
        </w:r>
        <w:r w:rsidR="00D15428" w:rsidRPr="00D15428">
          <w:rPr>
            <w:caps w:val="0"/>
            <w:noProof/>
            <w:webHidden/>
          </w:rPr>
          <w:instrText xml:space="preserve"> PAGEREF _Toc23847426 \h </w:instrText>
        </w:r>
        <w:r w:rsidR="00D15428" w:rsidRPr="00D15428">
          <w:rPr>
            <w:caps w:val="0"/>
            <w:noProof/>
            <w:webHidden/>
          </w:rPr>
        </w:r>
        <w:r w:rsidR="00D15428" w:rsidRPr="00D15428">
          <w:rPr>
            <w:caps w:val="0"/>
            <w:noProof/>
            <w:webHidden/>
          </w:rPr>
          <w:fldChar w:fldCharType="separate"/>
        </w:r>
        <w:r w:rsidR="00DE7AA1">
          <w:rPr>
            <w:caps w:val="0"/>
            <w:noProof/>
            <w:webHidden/>
          </w:rPr>
          <w:t>ix</w:t>
        </w:r>
        <w:r w:rsidR="00D15428" w:rsidRPr="00D15428">
          <w:rPr>
            <w:caps w:val="0"/>
            <w:noProof/>
            <w:webHidden/>
          </w:rPr>
          <w:fldChar w:fldCharType="end"/>
        </w:r>
      </w:hyperlink>
    </w:p>
    <w:p w14:paraId="40DBA4A8" w14:textId="76BF791D" w:rsidR="00D15428" w:rsidRDefault="00150A14">
      <w:pPr>
        <w:pStyle w:val="TOC3"/>
        <w:rPr>
          <w:rFonts w:eastAsiaTheme="minorEastAsia"/>
          <w:iCs w:val="0"/>
          <w:caps w:val="0"/>
          <w:noProof/>
          <w:sz w:val="22"/>
          <w:lang w:eastAsia="en-AU"/>
        </w:rPr>
      </w:pPr>
      <w:hyperlink w:anchor="_Toc23847427" w:history="1">
        <w:r w:rsidR="00D15428" w:rsidRPr="00642086">
          <w:rPr>
            <w:rStyle w:val="Hyperlink"/>
            <w:noProof/>
          </w:rPr>
          <w:t>The Commission’s approach</w:t>
        </w:r>
        <w:r w:rsidR="00D15428">
          <w:rPr>
            <w:noProof/>
            <w:webHidden/>
          </w:rPr>
          <w:tab/>
        </w:r>
        <w:r w:rsidR="00D15428" w:rsidRPr="00D15428">
          <w:rPr>
            <w:caps w:val="0"/>
            <w:noProof/>
            <w:webHidden/>
          </w:rPr>
          <w:fldChar w:fldCharType="begin"/>
        </w:r>
        <w:r w:rsidR="00D15428" w:rsidRPr="00D15428">
          <w:rPr>
            <w:caps w:val="0"/>
            <w:noProof/>
            <w:webHidden/>
          </w:rPr>
          <w:instrText xml:space="preserve"> PAGEREF _Toc23847427 \h </w:instrText>
        </w:r>
        <w:r w:rsidR="00D15428" w:rsidRPr="00D15428">
          <w:rPr>
            <w:caps w:val="0"/>
            <w:noProof/>
            <w:webHidden/>
          </w:rPr>
        </w:r>
        <w:r w:rsidR="00D15428" w:rsidRPr="00D15428">
          <w:rPr>
            <w:caps w:val="0"/>
            <w:noProof/>
            <w:webHidden/>
          </w:rPr>
          <w:fldChar w:fldCharType="separate"/>
        </w:r>
        <w:r w:rsidR="00DE7AA1">
          <w:rPr>
            <w:caps w:val="0"/>
            <w:noProof/>
            <w:webHidden/>
          </w:rPr>
          <w:t>ix</w:t>
        </w:r>
        <w:r w:rsidR="00D15428" w:rsidRPr="00D15428">
          <w:rPr>
            <w:caps w:val="0"/>
            <w:noProof/>
            <w:webHidden/>
          </w:rPr>
          <w:fldChar w:fldCharType="end"/>
        </w:r>
      </w:hyperlink>
    </w:p>
    <w:p w14:paraId="45489D7F" w14:textId="62D80157" w:rsidR="00D15428" w:rsidRDefault="00150A14">
      <w:pPr>
        <w:pStyle w:val="TOC3"/>
        <w:rPr>
          <w:rFonts w:eastAsiaTheme="minorEastAsia"/>
          <w:iCs w:val="0"/>
          <w:caps w:val="0"/>
          <w:noProof/>
          <w:sz w:val="22"/>
          <w:lang w:eastAsia="en-AU"/>
        </w:rPr>
      </w:pPr>
      <w:hyperlink w:anchor="_Toc23847428" w:history="1">
        <w:r w:rsidR="00D15428" w:rsidRPr="00642086">
          <w:rPr>
            <w:rStyle w:val="Hyperlink"/>
            <w:noProof/>
          </w:rPr>
          <w:t>Norfolk Island circumstances</w:t>
        </w:r>
        <w:r w:rsidR="00D15428">
          <w:rPr>
            <w:noProof/>
            <w:webHidden/>
          </w:rPr>
          <w:tab/>
        </w:r>
        <w:r w:rsidR="00D15428" w:rsidRPr="00D15428">
          <w:rPr>
            <w:caps w:val="0"/>
            <w:noProof/>
            <w:webHidden/>
          </w:rPr>
          <w:fldChar w:fldCharType="begin"/>
        </w:r>
        <w:r w:rsidR="00D15428" w:rsidRPr="00D15428">
          <w:rPr>
            <w:caps w:val="0"/>
            <w:noProof/>
            <w:webHidden/>
          </w:rPr>
          <w:instrText xml:space="preserve"> PAGEREF _Toc23847428 \h </w:instrText>
        </w:r>
        <w:r w:rsidR="00D15428" w:rsidRPr="00D15428">
          <w:rPr>
            <w:caps w:val="0"/>
            <w:noProof/>
            <w:webHidden/>
          </w:rPr>
        </w:r>
        <w:r w:rsidR="00D15428" w:rsidRPr="00D15428">
          <w:rPr>
            <w:caps w:val="0"/>
            <w:noProof/>
            <w:webHidden/>
          </w:rPr>
          <w:fldChar w:fldCharType="separate"/>
        </w:r>
        <w:r w:rsidR="00DE7AA1">
          <w:rPr>
            <w:caps w:val="0"/>
            <w:noProof/>
            <w:webHidden/>
          </w:rPr>
          <w:t>x</w:t>
        </w:r>
        <w:r w:rsidR="00D15428" w:rsidRPr="00D15428">
          <w:rPr>
            <w:caps w:val="0"/>
            <w:noProof/>
            <w:webHidden/>
          </w:rPr>
          <w:fldChar w:fldCharType="end"/>
        </w:r>
      </w:hyperlink>
    </w:p>
    <w:p w14:paraId="0DCED88C" w14:textId="2061B202" w:rsidR="00D15428" w:rsidRDefault="00150A14">
      <w:pPr>
        <w:pStyle w:val="TOC4"/>
        <w:rPr>
          <w:rFonts w:eastAsiaTheme="minorEastAsia"/>
          <w:noProof/>
          <w:sz w:val="22"/>
          <w:lang w:eastAsia="en-AU"/>
        </w:rPr>
      </w:pPr>
      <w:hyperlink w:anchor="_Toc23847429" w:history="1">
        <w:r w:rsidR="00D15428" w:rsidRPr="00642086">
          <w:rPr>
            <w:rStyle w:val="Hyperlink"/>
            <w:noProof/>
          </w:rPr>
          <w:t>Unique circumstances</w:t>
        </w:r>
        <w:r w:rsidR="00D15428">
          <w:rPr>
            <w:noProof/>
            <w:webHidden/>
          </w:rPr>
          <w:tab/>
        </w:r>
        <w:r w:rsidR="00D15428">
          <w:rPr>
            <w:noProof/>
            <w:webHidden/>
          </w:rPr>
          <w:fldChar w:fldCharType="begin"/>
        </w:r>
        <w:r w:rsidR="00D15428">
          <w:rPr>
            <w:noProof/>
            <w:webHidden/>
          </w:rPr>
          <w:instrText xml:space="preserve"> PAGEREF _Toc23847429 \h </w:instrText>
        </w:r>
        <w:r w:rsidR="00D15428">
          <w:rPr>
            <w:noProof/>
            <w:webHidden/>
          </w:rPr>
        </w:r>
        <w:r w:rsidR="00D15428">
          <w:rPr>
            <w:noProof/>
            <w:webHidden/>
          </w:rPr>
          <w:fldChar w:fldCharType="separate"/>
        </w:r>
        <w:r w:rsidR="00DE7AA1">
          <w:rPr>
            <w:noProof/>
            <w:webHidden/>
          </w:rPr>
          <w:t>x</w:t>
        </w:r>
        <w:r w:rsidR="00D15428">
          <w:rPr>
            <w:noProof/>
            <w:webHidden/>
          </w:rPr>
          <w:fldChar w:fldCharType="end"/>
        </w:r>
      </w:hyperlink>
    </w:p>
    <w:p w14:paraId="53562A4E" w14:textId="3AAC9EE1" w:rsidR="00D15428" w:rsidRDefault="00150A14">
      <w:pPr>
        <w:pStyle w:val="TOC4"/>
        <w:rPr>
          <w:rFonts w:eastAsiaTheme="minorEastAsia"/>
          <w:noProof/>
          <w:sz w:val="22"/>
          <w:lang w:eastAsia="en-AU"/>
        </w:rPr>
      </w:pPr>
      <w:hyperlink w:anchor="_Toc23847430" w:history="1">
        <w:r w:rsidR="00D15428" w:rsidRPr="00642086">
          <w:rPr>
            <w:rStyle w:val="Hyperlink"/>
            <w:noProof/>
          </w:rPr>
          <w:t>Governance and service delivery arrangements</w:t>
        </w:r>
        <w:r w:rsidR="00D15428">
          <w:rPr>
            <w:noProof/>
            <w:webHidden/>
          </w:rPr>
          <w:tab/>
        </w:r>
        <w:r w:rsidR="00D15428">
          <w:rPr>
            <w:noProof/>
            <w:webHidden/>
          </w:rPr>
          <w:fldChar w:fldCharType="begin"/>
        </w:r>
        <w:r w:rsidR="00D15428">
          <w:rPr>
            <w:noProof/>
            <w:webHidden/>
          </w:rPr>
          <w:instrText xml:space="preserve"> PAGEREF _Toc23847430 \h </w:instrText>
        </w:r>
        <w:r w:rsidR="00D15428">
          <w:rPr>
            <w:noProof/>
            <w:webHidden/>
          </w:rPr>
        </w:r>
        <w:r w:rsidR="00D15428">
          <w:rPr>
            <w:noProof/>
            <w:webHidden/>
          </w:rPr>
          <w:fldChar w:fldCharType="separate"/>
        </w:r>
        <w:r w:rsidR="00DE7AA1">
          <w:rPr>
            <w:noProof/>
            <w:webHidden/>
          </w:rPr>
          <w:t>xi</w:t>
        </w:r>
        <w:r w:rsidR="00D15428">
          <w:rPr>
            <w:noProof/>
            <w:webHidden/>
          </w:rPr>
          <w:fldChar w:fldCharType="end"/>
        </w:r>
      </w:hyperlink>
    </w:p>
    <w:p w14:paraId="2BA1DC10" w14:textId="46DBF04B" w:rsidR="00D15428" w:rsidRDefault="00150A14">
      <w:pPr>
        <w:pStyle w:val="TOC3"/>
        <w:rPr>
          <w:rFonts w:eastAsiaTheme="minorEastAsia"/>
          <w:iCs w:val="0"/>
          <w:caps w:val="0"/>
          <w:noProof/>
          <w:sz w:val="22"/>
          <w:lang w:eastAsia="en-AU"/>
        </w:rPr>
      </w:pPr>
      <w:hyperlink w:anchor="_Toc23847431" w:history="1">
        <w:r w:rsidR="00D15428" w:rsidRPr="00642086">
          <w:rPr>
            <w:rStyle w:val="Hyperlink"/>
            <w:noProof/>
          </w:rPr>
          <w:t>revenue and expense assessments and results</w:t>
        </w:r>
        <w:r w:rsidR="00D15428">
          <w:rPr>
            <w:noProof/>
            <w:webHidden/>
          </w:rPr>
          <w:tab/>
        </w:r>
        <w:r w:rsidR="00D15428" w:rsidRPr="00D15428">
          <w:rPr>
            <w:caps w:val="0"/>
            <w:noProof/>
            <w:webHidden/>
          </w:rPr>
          <w:fldChar w:fldCharType="begin"/>
        </w:r>
        <w:r w:rsidR="00D15428" w:rsidRPr="00D15428">
          <w:rPr>
            <w:caps w:val="0"/>
            <w:noProof/>
            <w:webHidden/>
          </w:rPr>
          <w:instrText xml:space="preserve"> PAGEREF _Toc23847431 \h </w:instrText>
        </w:r>
        <w:r w:rsidR="00D15428" w:rsidRPr="00D15428">
          <w:rPr>
            <w:caps w:val="0"/>
            <w:noProof/>
            <w:webHidden/>
          </w:rPr>
        </w:r>
        <w:r w:rsidR="00D15428" w:rsidRPr="00D15428">
          <w:rPr>
            <w:caps w:val="0"/>
            <w:noProof/>
            <w:webHidden/>
          </w:rPr>
          <w:fldChar w:fldCharType="separate"/>
        </w:r>
        <w:r w:rsidR="00DE7AA1">
          <w:rPr>
            <w:caps w:val="0"/>
            <w:noProof/>
            <w:webHidden/>
          </w:rPr>
          <w:t>xii</w:t>
        </w:r>
        <w:r w:rsidR="00D15428" w:rsidRPr="00D15428">
          <w:rPr>
            <w:caps w:val="0"/>
            <w:noProof/>
            <w:webHidden/>
          </w:rPr>
          <w:fldChar w:fldCharType="end"/>
        </w:r>
      </w:hyperlink>
    </w:p>
    <w:p w14:paraId="7B841099" w14:textId="19EBBF3A" w:rsidR="00D15428" w:rsidRDefault="00150A14">
      <w:pPr>
        <w:pStyle w:val="TOC4"/>
        <w:rPr>
          <w:rFonts w:eastAsiaTheme="minorEastAsia"/>
          <w:noProof/>
          <w:sz w:val="22"/>
          <w:lang w:eastAsia="en-AU"/>
        </w:rPr>
      </w:pPr>
      <w:hyperlink w:anchor="_Toc23847432" w:history="1">
        <w:r w:rsidR="00D15428" w:rsidRPr="00642086">
          <w:rPr>
            <w:rStyle w:val="Hyperlink"/>
            <w:noProof/>
          </w:rPr>
          <w:t>State-type revenues</w:t>
        </w:r>
        <w:r w:rsidR="00D15428">
          <w:rPr>
            <w:noProof/>
            <w:webHidden/>
          </w:rPr>
          <w:tab/>
        </w:r>
        <w:r w:rsidR="00D15428">
          <w:rPr>
            <w:noProof/>
            <w:webHidden/>
          </w:rPr>
          <w:fldChar w:fldCharType="begin"/>
        </w:r>
        <w:r w:rsidR="00D15428">
          <w:rPr>
            <w:noProof/>
            <w:webHidden/>
          </w:rPr>
          <w:instrText xml:space="preserve"> PAGEREF _Toc23847432 \h </w:instrText>
        </w:r>
        <w:r w:rsidR="00D15428">
          <w:rPr>
            <w:noProof/>
            <w:webHidden/>
          </w:rPr>
        </w:r>
        <w:r w:rsidR="00D15428">
          <w:rPr>
            <w:noProof/>
            <w:webHidden/>
          </w:rPr>
          <w:fldChar w:fldCharType="separate"/>
        </w:r>
        <w:r w:rsidR="00DE7AA1">
          <w:rPr>
            <w:noProof/>
            <w:webHidden/>
          </w:rPr>
          <w:t>xii</w:t>
        </w:r>
        <w:r w:rsidR="00D15428">
          <w:rPr>
            <w:noProof/>
            <w:webHidden/>
          </w:rPr>
          <w:fldChar w:fldCharType="end"/>
        </w:r>
      </w:hyperlink>
    </w:p>
    <w:p w14:paraId="147DC608" w14:textId="06B58DB5" w:rsidR="00D15428" w:rsidRDefault="00150A14">
      <w:pPr>
        <w:pStyle w:val="TOC4"/>
        <w:rPr>
          <w:rFonts w:eastAsiaTheme="minorEastAsia"/>
          <w:noProof/>
          <w:sz w:val="22"/>
          <w:lang w:eastAsia="en-AU"/>
        </w:rPr>
      </w:pPr>
      <w:hyperlink w:anchor="_Toc23847433" w:history="1">
        <w:r w:rsidR="00D15428" w:rsidRPr="00642086">
          <w:rPr>
            <w:rStyle w:val="Hyperlink"/>
            <w:noProof/>
          </w:rPr>
          <w:t>Local government-type revenues</w:t>
        </w:r>
        <w:r w:rsidR="00D15428">
          <w:rPr>
            <w:noProof/>
            <w:webHidden/>
          </w:rPr>
          <w:tab/>
        </w:r>
        <w:r w:rsidR="00D15428">
          <w:rPr>
            <w:noProof/>
            <w:webHidden/>
          </w:rPr>
          <w:fldChar w:fldCharType="begin"/>
        </w:r>
        <w:r w:rsidR="00D15428">
          <w:rPr>
            <w:noProof/>
            <w:webHidden/>
          </w:rPr>
          <w:instrText xml:space="preserve"> PAGEREF _Toc23847433 \h </w:instrText>
        </w:r>
        <w:r w:rsidR="00D15428">
          <w:rPr>
            <w:noProof/>
            <w:webHidden/>
          </w:rPr>
        </w:r>
        <w:r w:rsidR="00D15428">
          <w:rPr>
            <w:noProof/>
            <w:webHidden/>
          </w:rPr>
          <w:fldChar w:fldCharType="separate"/>
        </w:r>
        <w:r w:rsidR="00DE7AA1">
          <w:rPr>
            <w:noProof/>
            <w:webHidden/>
          </w:rPr>
          <w:t>xiii</w:t>
        </w:r>
        <w:r w:rsidR="00D15428">
          <w:rPr>
            <w:noProof/>
            <w:webHidden/>
          </w:rPr>
          <w:fldChar w:fldCharType="end"/>
        </w:r>
      </w:hyperlink>
    </w:p>
    <w:p w14:paraId="3822CB8B" w14:textId="618150BE" w:rsidR="00D15428" w:rsidRDefault="00150A14">
      <w:pPr>
        <w:pStyle w:val="TOC4"/>
        <w:rPr>
          <w:rFonts w:eastAsiaTheme="minorEastAsia"/>
          <w:noProof/>
          <w:sz w:val="22"/>
          <w:lang w:eastAsia="en-AU"/>
        </w:rPr>
      </w:pPr>
      <w:hyperlink w:anchor="_Toc23847434" w:history="1">
        <w:r w:rsidR="00D15428" w:rsidRPr="00642086">
          <w:rPr>
            <w:rStyle w:val="Hyperlink"/>
            <w:noProof/>
          </w:rPr>
          <w:t>State-type expenses</w:t>
        </w:r>
        <w:r w:rsidR="00D15428">
          <w:rPr>
            <w:noProof/>
            <w:webHidden/>
          </w:rPr>
          <w:tab/>
        </w:r>
        <w:r w:rsidR="00D15428">
          <w:rPr>
            <w:noProof/>
            <w:webHidden/>
          </w:rPr>
          <w:fldChar w:fldCharType="begin"/>
        </w:r>
        <w:r w:rsidR="00D15428">
          <w:rPr>
            <w:noProof/>
            <w:webHidden/>
          </w:rPr>
          <w:instrText xml:space="preserve"> PAGEREF _Toc23847434 \h </w:instrText>
        </w:r>
        <w:r w:rsidR="00D15428">
          <w:rPr>
            <w:noProof/>
            <w:webHidden/>
          </w:rPr>
        </w:r>
        <w:r w:rsidR="00D15428">
          <w:rPr>
            <w:noProof/>
            <w:webHidden/>
          </w:rPr>
          <w:fldChar w:fldCharType="separate"/>
        </w:r>
        <w:r w:rsidR="00DE7AA1">
          <w:rPr>
            <w:noProof/>
            <w:webHidden/>
          </w:rPr>
          <w:t>xiii</w:t>
        </w:r>
        <w:r w:rsidR="00D15428">
          <w:rPr>
            <w:noProof/>
            <w:webHidden/>
          </w:rPr>
          <w:fldChar w:fldCharType="end"/>
        </w:r>
      </w:hyperlink>
    </w:p>
    <w:p w14:paraId="29E75489" w14:textId="55BA5E81" w:rsidR="00D15428" w:rsidRDefault="00150A14">
      <w:pPr>
        <w:pStyle w:val="TOC4"/>
        <w:rPr>
          <w:rFonts w:eastAsiaTheme="minorEastAsia"/>
          <w:noProof/>
          <w:sz w:val="22"/>
          <w:lang w:eastAsia="en-AU"/>
        </w:rPr>
      </w:pPr>
      <w:hyperlink w:anchor="_Toc23847435" w:history="1">
        <w:r w:rsidR="00D15428" w:rsidRPr="00642086">
          <w:rPr>
            <w:rStyle w:val="Hyperlink"/>
            <w:noProof/>
          </w:rPr>
          <w:t>Local government-type expenses</w:t>
        </w:r>
        <w:r w:rsidR="00D15428">
          <w:rPr>
            <w:noProof/>
            <w:webHidden/>
          </w:rPr>
          <w:tab/>
        </w:r>
        <w:r w:rsidR="00D15428">
          <w:rPr>
            <w:noProof/>
            <w:webHidden/>
          </w:rPr>
          <w:fldChar w:fldCharType="begin"/>
        </w:r>
        <w:r w:rsidR="00D15428">
          <w:rPr>
            <w:noProof/>
            <w:webHidden/>
          </w:rPr>
          <w:instrText xml:space="preserve"> PAGEREF _Toc23847435 \h </w:instrText>
        </w:r>
        <w:r w:rsidR="00D15428">
          <w:rPr>
            <w:noProof/>
            <w:webHidden/>
          </w:rPr>
        </w:r>
        <w:r w:rsidR="00D15428">
          <w:rPr>
            <w:noProof/>
            <w:webHidden/>
          </w:rPr>
          <w:fldChar w:fldCharType="separate"/>
        </w:r>
        <w:r w:rsidR="00DE7AA1">
          <w:rPr>
            <w:noProof/>
            <w:webHidden/>
          </w:rPr>
          <w:t>xiv</w:t>
        </w:r>
        <w:r w:rsidR="00D15428">
          <w:rPr>
            <w:noProof/>
            <w:webHidden/>
          </w:rPr>
          <w:fldChar w:fldCharType="end"/>
        </w:r>
      </w:hyperlink>
    </w:p>
    <w:p w14:paraId="2AA2D8B9" w14:textId="44CB160C" w:rsidR="00D15428" w:rsidRDefault="00150A14">
      <w:pPr>
        <w:pStyle w:val="TOC4"/>
        <w:rPr>
          <w:rFonts w:eastAsiaTheme="minorEastAsia"/>
          <w:noProof/>
          <w:sz w:val="22"/>
          <w:lang w:eastAsia="en-AU"/>
        </w:rPr>
      </w:pPr>
      <w:hyperlink w:anchor="_Toc23847436" w:history="1">
        <w:r w:rsidR="00D15428" w:rsidRPr="00642086">
          <w:rPr>
            <w:rStyle w:val="Hyperlink"/>
            <w:noProof/>
          </w:rPr>
          <w:t>Overall results</w:t>
        </w:r>
        <w:r w:rsidR="00D15428">
          <w:rPr>
            <w:noProof/>
            <w:webHidden/>
          </w:rPr>
          <w:tab/>
        </w:r>
        <w:r w:rsidR="00D15428">
          <w:rPr>
            <w:noProof/>
            <w:webHidden/>
          </w:rPr>
          <w:fldChar w:fldCharType="begin"/>
        </w:r>
        <w:r w:rsidR="00D15428">
          <w:rPr>
            <w:noProof/>
            <w:webHidden/>
          </w:rPr>
          <w:instrText xml:space="preserve"> PAGEREF _Toc23847436 \h </w:instrText>
        </w:r>
        <w:r w:rsidR="00D15428">
          <w:rPr>
            <w:noProof/>
            <w:webHidden/>
          </w:rPr>
        </w:r>
        <w:r w:rsidR="00D15428">
          <w:rPr>
            <w:noProof/>
            <w:webHidden/>
          </w:rPr>
          <w:fldChar w:fldCharType="separate"/>
        </w:r>
        <w:r w:rsidR="00DE7AA1">
          <w:rPr>
            <w:noProof/>
            <w:webHidden/>
          </w:rPr>
          <w:t>xiv</w:t>
        </w:r>
        <w:r w:rsidR="00D15428">
          <w:rPr>
            <w:noProof/>
            <w:webHidden/>
          </w:rPr>
          <w:fldChar w:fldCharType="end"/>
        </w:r>
      </w:hyperlink>
    </w:p>
    <w:p w14:paraId="4460F996" w14:textId="7786982A" w:rsidR="00D15428" w:rsidRDefault="00150A14">
      <w:pPr>
        <w:pStyle w:val="TOC4"/>
        <w:rPr>
          <w:rFonts w:eastAsiaTheme="minorEastAsia"/>
          <w:noProof/>
          <w:sz w:val="22"/>
          <w:lang w:eastAsia="en-AU"/>
        </w:rPr>
      </w:pPr>
      <w:hyperlink w:anchor="_Toc23847437" w:history="1">
        <w:r w:rsidR="00D15428" w:rsidRPr="00642086">
          <w:rPr>
            <w:rStyle w:val="Hyperlink"/>
            <w:noProof/>
          </w:rPr>
          <w:t>Infrastructure</w:t>
        </w:r>
        <w:r w:rsidR="00D15428">
          <w:rPr>
            <w:noProof/>
            <w:webHidden/>
          </w:rPr>
          <w:tab/>
        </w:r>
        <w:r w:rsidR="00D15428">
          <w:rPr>
            <w:noProof/>
            <w:webHidden/>
          </w:rPr>
          <w:fldChar w:fldCharType="begin"/>
        </w:r>
        <w:r w:rsidR="00D15428">
          <w:rPr>
            <w:noProof/>
            <w:webHidden/>
          </w:rPr>
          <w:instrText xml:space="preserve"> PAGEREF _Toc23847437 \h </w:instrText>
        </w:r>
        <w:r w:rsidR="00D15428">
          <w:rPr>
            <w:noProof/>
            <w:webHidden/>
          </w:rPr>
        </w:r>
        <w:r w:rsidR="00D15428">
          <w:rPr>
            <w:noProof/>
            <w:webHidden/>
          </w:rPr>
          <w:fldChar w:fldCharType="separate"/>
        </w:r>
        <w:r w:rsidR="00DE7AA1">
          <w:rPr>
            <w:noProof/>
            <w:webHidden/>
          </w:rPr>
          <w:t>xv</w:t>
        </w:r>
        <w:r w:rsidR="00D15428">
          <w:rPr>
            <w:noProof/>
            <w:webHidden/>
          </w:rPr>
          <w:fldChar w:fldCharType="end"/>
        </w:r>
      </w:hyperlink>
    </w:p>
    <w:p w14:paraId="5753DB2A" w14:textId="6ACC72C5" w:rsidR="00D15428" w:rsidRDefault="00150A14">
      <w:pPr>
        <w:pStyle w:val="TOC1"/>
        <w:rPr>
          <w:rFonts w:eastAsiaTheme="minorEastAsia"/>
          <w:b w:val="0"/>
          <w:bCs w:val="0"/>
          <w:caps w:val="0"/>
          <w:noProof/>
          <w:sz w:val="22"/>
          <w:szCs w:val="22"/>
          <w:lang w:eastAsia="en-AU"/>
        </w:rPr>
      </w:pPr>
      <w:hyperlink w:anchor="_Toc23847438" w:history="1">
        <w:r w:rsidR="00D15428" w:rsidRPr="00642086">
          <w:rPr>
            <w:rStyle w:val="Hyperlink"/>
            <w:noProof/>
          </w:rPr>
          <w:t>Terms of reference</w:t>
        </w:r>
        <w:r w:rsidR="00D15428">
          <w:rPr>
            <w:noProof/>
            <w:webHidden/>
          </w:rPr>
          <w:tab/>
        </w:r>
        <w:r w:rsidR="00D15428">
          <w:rPr>
            <w:noProof/>
            <w:webHidden/>
          </w:rPr>
          <w:fldChar w:fldCharType="begin"/>
        </w:r>
        <w:r w:rsidR="00D15428">
          <w:rPr>
            <w:noProof/>
            <w:webHidden/>
          </w:rPr>
          <w:instrText xml:space="preserve"> PAGEREF _Toc23847438 \h </w:instrText>
        </w:r>
        <w:r w:rsidR="00D15428">
          <w:rPr>
            <w:noProof/>
            <w:webHidden/>
          </w:rPr>
        </w:r>
        <w:r w:rsidR="00D15428">
          <w:rPr>
            <w:noProof/>
            <w:webHidden/>
          </w:rPr>
          <w:fldChar w:fldCharType="separate"/>
        </w:r>
        <w:r w:rsidR="00DE7AA1">
          <w:rPr>
            <w:noProof/>
            <w:webHidden/>
          </w:rPr>
          <w:t>xvi</w:t>
        </w:r>
        <w:r w:rsidR="00D15428">
          <w:rPr>
            <w:noProof/>
            <w:webHidden/>
          </w:rPr>
          <w:fldChar w:fldCharType="end"/>
        </w:r>
      </w:hyperlink>
    </w:p>
    <w:p w14:paraId="470BB4C5" w14:textId="207AA7C1" w:rsidR="00D15428" w:rsidRDefault="00150A14">
      <w:pPr>
        <w:pStyle w:val="TOC1"/>
        <w:tabs>
          <w:tab w:val="left" w:pos="851"/>
        </w:tabs>
        <w:rPr>
          <w:rFonts w:eastAsiaTheme="minorEastAsia"/>
          <w:b w:val="0"/>
          <w:bCs w:val="0"/>
          <w:caps w:val="0"/>
          <w:noProof/>
          <w:sz w:val="22"/>
          <w:szCs w:val="22"/>
          <w:lang w:eastAsia="en-AU"/>
        </w:rPr>
      </w:pPr>
      <w:hyperlink w:anchor="_Toc23847439" w:history="1">
        <w:r w:rsidR="00D15428" w:rsidRPr="00642086">
          <w:rPr>
            <w:rStyle w:val="Hyperlink"/>
            <w:noProof/>
          </w:rPr>
          <w:t>1</w:t>
        </w:r>
        <w:r w:rsidR="00D15428">
          <w:rPr>
            <w:rFonts w:eastAsiaTheme="minorEastAsia"/>
            <w:b w:val="0"/>
            <w:bCs w:val="0"/>
            <w:caps w:val="0"/>
            <w:noProof/>
            <w:sz w:val="22"/>
            <w:szCs w:val="22"/>
            <w:lang w:eastAsia="en-AU"/>
          </w:rPr>
          <w:tab/>
        </w:r>
        <w:r w:rsidR="00D15428" w:rsidRPr="00642086">
          <w:rPr>
            <w:rStyle w:val="Hyperlink"/>
            <w:noProof/>
          </w:rPr>
          <w:t>Introduction</w:t>
        </w:r>
        <w:r w:rsidR="00D15428">
          <w:rPr>
            <w:noProof/>
            <w:webHidden/>
          </w:rPr>
          <w:tab/>
        </w:r>
        <w:r w:rsidR="00D15428">
          <w:rPr>
            <w:noProof/>
            <w:webHidden/>
          </w:rPr>
          <w:fldChar w:fldCharType="begin"/>
        </w:r>
        <w:r w:rsidR="00D15428">
          <w:rPr>
            <w:noProof/>
            <w:webHidden/>
          </w:rPr>
          <w:instrText xml:space="preserve"> PAGEREF _Toc23847439 \h </w:instrText>
        </w:r>
        <w:r w:rsidR="00D15428">
          <w:rPr>
            <w:noProof/>
            <w:webHidden/>
          </w:rPr>
        </w:r>
        <w:r w:rsidR="00D15428">
          <w:rPr>
            <w:noProof/>
            <w:webHidden/>
          </w:rPr>
          <w:fldChar w:fldCharType="separate"/>
        </w:r>
        <w:r w:rsidR="00DE7AA1">
          <w:rPr>
            <w:noProof/>
            <w:webHidden/>
          </w:rPr>
          <w:t>1</w:t>
        </w:r>
        <w:r w:rsidR="00D15428">
          <w:rPr>
            <w:noProof/>
            <w:webHidden/>
          </w:rPr>
          <w:fldChar w:fldCharType="end"/>
        </w:r>
      </w:hyperlink>
    </w:p>
    <w:p w14:paraId="2722D397" w14:textId="5295F96D" w:rsidR="00D15428" w:rsidRDefault="00150A14">
      <w:pPr>
        <w:pStyle w:val="TOC3"/>
        <w:rPr>
          <w:rFonts w:eastAsiaTheme="minorEastAsia"/>
          <w:iCs w:val="0"/>
          <w:caps w:val="0"/>
          <w:noProof/>
          <w:sz w:val="22"/>
          <w:lang w:eastAsia="en-AU"/>
        </w:rPr>
      </w:pPr>
      <w:hyperlink w:anchor="_Toc23847440" w:history="1">
        <w:r w:rsidR="00D15428" w:rsidRPr="00642086">
          <w:rPr>
            <w:rStyle w:val="Hyperlink"/>
            <w:noProof/>
          </w:rPr>
          <w:t>The task</w:t>
        </w:r>
        <w:r w:rsidR="00D15428">
          <w:rPr>
            <w:noProof/>
            <w:webHidden/>
          </w:rPr>
          <w:tab/>
        </w:r>
        <w:r w:rsidR="00D15428">
          <w:rPr>
            <w:noProof/>
            <w:webHidden/>
          </w:rPr>
          <w:fldChar w:fldCharType="begin"/>
        </w:r>
        <w:r w:rsidR="00D15428">
          <w:rPr>
            <w:noProof/>
            <w:webHidden/>
          </w:rPr>
          <w:instrText xml:space="preserve"> PAGEREF _Toc23847440 \h </w:instrText>
        </w:r>
        <w:r w:rsidR="00D15428">
          <w:rPr>
            <w:noProof/>
            <w:webHidden/>
          </w:rPr>
        </w:r>
        <w:r w:rsidR="00D15428">
          <w:rPr>
            <w:noProof/>
            <w:webHidden/>
          </w:rPr>
          <w:fldChar w:fldCharType="separate"/>
        </w:r>
        <w:r w:rsidR="00DE7AA1">
          <w:rPr>
            <w:noProof/>
            <w:webHidden/>
          </w:rPr>
          <w:t>1</w:t>
        </w:r>
        <w:r w:rsidR="00D15428">
          <w:rPr>
            <w:noProof/>
            <w:webHidden/>
          </w:rPr>
          <w:fldChar w:fldCharType="end"/>
        </w:r>
      </w:hyperlink>
    </w:p>
    <w:p w14:paraId="7E1C2284" w14:textId="20AED537" w:rsidR="00D15428" w:rsidRDefault="00150A14">
      <w:pPr>
        <w:pStyle w:val="TOC3"/>
        <w:rPr>
          <w:rFonts w:eastAsiaTheme="minorEastAsia"/>
          <w:iCs w:val="0"/>
          <w:caps w:val="0"/>
          <w:noProof/>
          <w:sz w:val="22"/>
          <w:lang w:eastAsia="en-AU"/>
        </w:rPr>
      </w:pPr>
      <w:hyperlink w:anchor="_Toc23847441" w:history="1">
        <w:r w:rsidR="00D15428" w:rsidRPr="00642086">
          <w:rPr>
            <w:rStyle w:val="Hyperlink"/>
            <w:noProof/>
          </w:rPr>
          <w:t>General approach</w:t>
        </w:r>
        <w:r w:rsidR="00D15428">
          <w:rPr>
            <w:noProof/>
            <w:webHidden/>
          </w:rPr>
          <w:tab/>
        </w:r>
        <w:r w:rsidR="00D15428">
          <w:rPr>
            <w:noProof/>
            <w:webHidden/>
          </w:rPr>
          <w:fldChar w:fldCharType="begin"/>
        </w:r>
        <w:r w:rsidR="00D15428">
          <w:rPr>
            <w:noProof/>
            <w:webHidden/>
          </w:rPr>
          <w:instrText xml:space="preserve"> PAGEREF _Toc23847441 \h </w:instrText>
        </w:r>
        <w:r w:rsidR="00D15428">
          <w:rPr>
            <w:noProof/>
            <w:webHidden/>
          </w:rPr>
        </w:r>
        <w:r w:rsidR="00D15428">
          <w:rPr>
            <w:noProof/>
            <w:webHidden/>
          </w:rPr>
          <w:fldChar w:fldCharType="separate"/>
        </w:r>
        <w:r w:rsidR="00DE7AA1">
          <w:rPr>
            <w:noProof/>
            <w:webHidden/>
          </w:rPr>
          <w:t>2</w:t>
        </w:r>
        <w:r w:rsidR="00D15428">
          <w:rPr>
            <w:noProof/>
            <w:webHidden/>
          </w:rPr>
          <w:fldChar w:fldCharType="end"/>
        </w:r>
      </w:hyperlink>
    </w:p>
    <w:p w14:paraId="186519EB" w14:textId="38F1570B" w:rsidR="00D15428" w:rsidRDefault="00150A14">
      <w:pPr>
        <w:pStyle w:val="TOC3"/>
        <w:rPr>
          <w:rFonts w:eastAsiaTheme="minorEastAsia"/>
          <w:iCs w:val="0"/>
          <w:caps w:val="0"/>
          <w:noProof/>
          <w:sz w:val="22"/>
          <w:lang w:eastAsia="en-AU"/>
        </w:rPr>
      </w:pPr>
      <w:hyperlink w:anchor="_Toc23847442" w:history="1">
        <w:r w:rsidR="00D15428" w:rsidRPr="00642086">
          <w:rPr>
            <w:rStyle w:val="Hyperlink"/>
            <w:noProof/>
          </w:rPr>
          <w:t>Concepts</w:t>
        </w:r>
        <w:r w:rsidR="00D15428">
          <w:rPr>
            <w:noProof/>
            <w:webHidden/>
          </w:rPr>
          <w:tab/>
        </w:r>
        <w:r w:rsidR="00D15428">
          <w:rPr>
            <w:noProof/>
            <w:webHidden/>
          </w:rPr>
          <w:fldChar w:fldCharType="begin"/>
        </w:r>
        <w:r w:rsidR="00D15428">
          <w:rPr>
            <w:noProof/>
            <w:webHidden/>
          </w:rPr>
          <w:instrText xml:space="preserve"> PAGEREF _Toc23847442 \h </w:instrText>
        </w:r>
        <w:r w:rsidR="00D15428">
          <w:rPr>
            <w:noProof/>
            <w:webHidden/>
          </w:rPr>
        </w:r>
        <w:r w:rsidR="00D15428">
          <w:rPr>
            <w:noProof/>
            <w:webHidden/>
          </w:rPr>
          <w:fldChar w:fldCharType="separate"/>
        </w:r>
        <w:r w:rsidR="00DE7AA1">
          <w:rPr>
            <w:noProof/>
            <w:webHidden/>
          </w:rPr>
          <w:t>4</w:t>
        </w:r>
        <w:r w:rsidR="00D15428">
          <w:rPr>
            <w:noProof/>
            <w:webHidden/>
          </w:rPr>
          <w:fldChar w:fldCharType="end"/>
        </w:r>
      </w:hyperlink>
    </w:p>
    <w:p w14:paraId="799FF880" w14:textId="5F237685" w:rsidR="00D15428" w:rsidRDefault="00150A14">
      <w:pPr>
        <w:pStyle w:val="TOC4"/>
        <w:rPr>
          <w:rFonts w:eastAsiaTheme="minorEastAsia"/>
          <w:noProof/>
          <w:sz w:val="22"/>
          <w:lang w:eastAsia="en-AU"/>
        </w:rPr>
      </w:pPr>
      <w:hyperlink w:anchor="_Toc23847443" w:history="1">
        <w:r w:rsidR="00D15428" w:rsidRPr="00642086">
          <w:rPr>
            <w:rStyle w:val="Hyperlink"/>
            <w:noProof/>
          </w:rPr>
          <w:t>Comparable communities</w:t>
        </w:r>
        <w:r w:rsidR="00D15428">
          <w:rPr>
            <w:noProof/>
            <w:webHidden/>
          </w:rPr>
          <w:tab/>
        </w:r>
        <w:r w:rsidR="00D15428">
          <w:rPr>
            <w:noProof/>
            <w:webHidden/>
          </w:rPr>
          <w:fldChar w:fldCharType="begin"/>
        </w:r>
        <w:r w:rsidR="00D15428">
          <w:rPr>
            <w:noProof/>
            <w:webHidden/>
          </w:rPr>
          <w:instrText xml:space="preserve"> PAGEREF _Toc23847443 \h </w:instrText>
        </w:r>
        <w:r w:rsidR="00D15428">
          <w:rPr>
            <w:noProof/>
            <w:webHidden/>
          </w:rPr>
        </w:r>
        <w:r w:rsidR="00D15428">
          <w:rPr>
            <w:noProof/>
            <w:webHidden/>
          </w:rPr>
          <w:fldChar w:fldCharType="separate"/>
        </w:r>
        <w:r w:rsidR="00DE7AA1">
          <w:rPr>
            <w:noProof/>
            <w:webHidden/>
          </w:rPr>
          <w:t>4</w:t>
        </w:r>
        <w:r w:rsidR="00D15428">
          <w:rPr>
            <w:noProof/>
            <w:webHidden/>
          </w:rPr>
          <w:fldChar w:fldCharType="end"/>
        </w:r>
      </w:hyperlink>
    </w:p>
    <w:p w14:paraId="090D462E" w14:textId="416FBDDF" w:rsidR="00D15428" w:rsidRDefault="00150A14">
      <w:pPr>
        <w:pStyle w:val="TOC4"/>
        <w:rPr>
          <w:rFonts w:eastAsiaTheme="minorEastAsia"/>
          <w:noProof/>
          <w:sz w:val="22"/>
          <w:lang w:eastAsia="en-AU"/>
        </w:rPr>
      </w:pPr>
      <w:hyperlink w:anchor="_Toc23847444" w:history="1">
        <w:r w:rsidR="00D15428" w:rsidRPr="00642086">
          <w:rPr>
            <w:rStyle w:val="Hyperlink"/>
            <w:noProof/>
          </w:rPr>
          <w:t>Norfolk Island circumstances</w:t>
        </w:r>
        <w:r w:rsidR="00D15428">
          <w:rPr>
            <w:noProof/>
            <w:webHidden/>
          </w:rPr>
          <w:tab/>
        </w:r>
        <w:r w:rsidR="00D15428">
          <w:rPr>
            <w:noProof/>
            <w:webHidden/>
          </w:rPr>
          <w:fldChar w:fldCharType="begin"/>
        </w:r>
        <w:r w:rsidR="00D15428">
          <w:rPr>
            <w:noProof/>
            <w:webHidden/>
          </w:rPr>
          <w:instrText xml:space="preserve"> PAGEREF _Toc23847444 \h </w:instrText>
        </w:r>
        <w:r w:rsidR="00D15428">
          <w:rPr>
            <w:noProof/>
            <w:webHidden/>
          </w:rPr>
        </w:r>
        <w:r w:rsidR="00D15428">
          <w:rPr>
            <w:noProof/>
            <w:webHidden/>
          </w:rPr>
          <w:fldChar w:fldCharType="separate"/>
        </w:r>
        <w:r w:rsidR="00DE7AA1">
          <w:rPr>
            <w:noProof/>
            <w:webHidden/>
          </w:rPr>
          <w:t>4</w:t>
        </w:r>
        <w:r w:rsidR="00D15428">
          <w:rPr>
            <w:noProof/>
            <w:webHidden/>
          </w:rPr>
          <w:fldChar w:fldCharType="end"/>
        </w:r>
      </w:hyperlink>
    </w:p>
    <w:p w14:paraId="5D4A19F7" w14:textId="3C1C0D13" w:rsidR="00D15428" w:rsidRDefault="00150A14">
      <w:pPr>
        <w:pStyle w:val="TOC4"/>
        <w:rPr>
          <w:rFonts w:eastAsiaTheme="minorEastAsia"/>
          <w:noProof/>
          <w:sz w:val="22"/>
          <w:lang w:eastAsia="en-AU"/>
        </w:rPr>
      </w:pPr>
      <w:hyperlink w:anchor="_Toc23847445" w:history="1">
        <w:r w:rsidR="00D15428" w:rsidRPr="00642086">
          <w:rPr>
            <w:rStyle w:val="Hyperlink"/>
            <w:noProof/>
          </w:rPr>
          <w:t>Average efficiency</w:t>
        </w:r>
        <w:r w:rsidR="00D15428">
          <w:rPr>
            <w:noProof/>
            <w:webHidden/>
          </w:rPr>
          <w:tab/>
        </w:r>
        <w:r w:rsidR="00D15428">
          <w:rPr>
            <w:noProof/>
            <w:webHidden/>
          </w:rPr>
          <w:fldChar w:fldCharType="begin"/>
        </w:r>
        <w:r w:rsidR="00D15428">
          <w:rPr>
            <w:noProof/>
            <w:webHidden/>
          </w:rPr>
          <w:instrText xml:space="preserve"> PAGEREF _Toc23847445 \h </w:instrText>
        </w:r>
        <w:r w:rsidR="00D15428">
          <w:rPr>
            <w:noProof/>
            <w:webHidden/>
          </w:rPr>
        </w:r>
        <w:r w:rsidR="00D15428">
          <w:rPr>
            <w:noProof/>
            <w:webHidden/>
          </w:rPr>
          <w:fldChar w:fldCharType="separate"/>
        </w:r>
        <w:r w:rsidR="00DE7AA1">
          <w:rPr>
            <w:noProof/>
            <w:webHidden/>
          </w:rPr>
          <w:t>4</w:t>
        </w:r>
        <w:r w:rsidR="00D15428">
          <w:rPr>
            <w:noProof/>
            <w:webHidden/>
          </w:rPr>
          <w:fldChar w:fldCharType="end"/>
        </w:r>
      </w:hyperlink>
    </w:p>
    <w:p w14:paraId="7ED30EF7" w14:textId="5D1C3E63" w:rsidR="00D15428" w:rsidRDefault="00150A14">
      <w:pPr>
        <w:pStyle w:val="TOC3"/>
        <w:rPr>
          <w:rFonts w:eastAsiaTheme="minorEastAsia"/>
          <w:iCs w:val="0"/>
          <w:caps w:val="0"/>
          <w:noProof/>
          <w:sz w:val="22"/>
          <w:lang w:eastAsia="en-AU"/>
        </w:rPr>
      </w:pPr>
      <w:hyperlink w:anchor="_Toc23847446" w:history="1">
        <w:r w:rsidR="00D15428" w:rsidRPr="00642086">
          <w:rPr>
            <w:rStyle w:val="Hyperlink"/>
            <w:noProof/>
          </w:rPr>
          <w:t>Other Issues</w:t>
        </w:r>
        <w:r w:rsidR="00D15428">
          <w:rPr>
            <w:noProof/>
            <w:webHidden/>
          </w:rPr>
          <w:tab/>
        </w:r>
        <w:r w:rsidR="00D15428">
          <w:rPr>
            <w:noProof/>
            <w:webHidden/>
          </w:rPr>
          <w:fldChar w:fldCharType="begin"/>
        </w:r>
        <w:r w:rsidR="00D15428">
          <w:rPr>
            <w:noProof/>
            <w:webHidden/>
          </w:rPr>
          <w:instrText xml:space="preserve"> PAGEREF _Toc23847446 \h </w:instrText>
        </w:r>
        <w:r w:rsidR="00D15428">
          <w:rPr>
            <w:noProof/>
            <w:webHidden/>
          </w:rPr>
        </w:r>
        <w:r w:rsidR="00D15428">
          <w:rPr>
            <w:noProof/>
            <w:webHidden/>
          </w:rPr>
          <w:fldChar w:fldCharType="separate"/>
        </w:r>
        <w:r w:rsidR="00DE7AA1">
          <w:rPr>
            <w:noProof/>
            <w:webHidden/>
          </w:rPr>
          <w:t>5</w:t>
        </w:r>
        <w:r w:rsidR="00D15428">
          <w:rPr>
            <w:noProof/>
            <w:webHidden/>
          </w:rPr>
          <w:fldChar w:fldCharType="end"/>
        </w:r>
      </w:hyperlink>
    </w:p>
    <w:p w14:paraId="01F20BB3" w14:textId="4829A5DE" w:rsidR="00D15428" w:rsidRDefault="00150A14">
      <w:pPr>
        <w:pStyle w:val="TOC4"/>
        <w:rPr>
          <w:rFonts w:eastAsiaTheme="minorEastAsia"/>
          <w:noProof/>
          <w:sz w:val="22"/>
          <w:lang w:eastAsia="en-AU"/>
        </w:rPr>
      </w:pPr>
      <w:hyperlink w:anchor="_Toc23847447" w:history="1">
        <w:r w:rsidR="00D15428" w:rsidRPr="00642086">
          <w:rPr>
            <w:rStyle w:val="Hyperlink"/>
            <w:noProof/>
          </w:rPr>
          <w:t>Service delivery arrangements</w:t>
        </w:r>
        <w:r w:rsidR="00D15428">
          <w:rPr>
            <w:noProof/>
            <w:webHidden/>
          </w:rPr>
          <w:tab/>
        </w:r>
        <w:r w:rsidR="00D15428">
          <w:rPr>
            <w:noProof/>
            <w:webHidden/>
          </w:rPr>
          <w:fldChar w:fldCharType="begin"/>
        </w:r>
        <w:r w:rsidR="00D15428">
          <w:rPr>
            <w:noProof/>
            <w:webHidden/>
          </w:rPr>
          <w:instrText xml:space="preserve"> PAGEREF _Toc23847447 \h </w:instrText>
        </w:r>
        <w:r w:rsidR="00D15428">
          <w:rPr>
            <w:noProof/>
            <w:webHidden/>
          </w:rPr>
        </w:r>
        <w:r w:rsidR="00D15428">
          <w:rPr>
            <w:noProof/>
            <w:webHidden/>
          </w:rPr>
          <w:fldChar w:fldCharType="separate"/>
        </w:r>
        <w:r w:rsidR="00DE7AA1">
          <w:rPr>
            <w:noProof/>
            <w:webHidden/>
          </w:rPr>
          <w:t>5</w:t>
        </w:r>
        <w:r w:rsidR="00D15428">
          <w:rPr>
            <w:noProof/>
            <w:webHidden/>
          </w:rPr>
          <w:fldChar w:fldCharType="end"/>
        </w:r>
      </w:hyperlink>
    </w:p>
    <w:p w14:paraId="3DB79025" w14:textId="57AF6ADF" w:rsidR="00D15428" w:rsidRDefault="00150A14">
      <w:pPr>
        <w:pStyle w:val="TOC4"/>
        <w:rPr>
          <w:rFonts w:eastAsiaTheme="minorEastAsia"/>
          <w:noProof/>
          <w:sz w:val="22"/>
          <w:lang w:eastAsia="en-AU"/>
        </w:rPr>
      </w:pPr>
      <w:hyperlink w:anchor="_Toc23847448" w:history="1">
        <w:r w:rsidR="00D15428" w:rsidRPr="00642086">
          <w:rPr>
            <w:rStyle w:val="Hyperlink"/>
            <w:noProof/>
          </w:rPr>
          <w:t>Functional classification of expenses</w:t>
        </w:r>
        <w:r w:rsidR="00D15428">
          <w:rPr>
            <w:noProof/>
            <w:webHidden/>
          </w:rPr>
          <w:tab/>
        </w:r>
        <w:r w:rsidR="00D15428">
          <w:rPr>
            <w:noProof/>
            <w:webHidden/>
          </w:rPr>
          <w:fldChar w:fldCharType="begin"/>
        </w:r>
        <w:r w:rsidR="00D15428">
          <w:rPr>
            <w:noProof/>
            <w:webHidden/>
          </w:rPr>
          <w:instrText xml:space="preserve"> PAGEREF _Toc23847448 \h </w:instrText>
        </w:r>
        <w:r w:rsidR="00D15428">
          <w:rPr>
            <w:noProof/>
            <w:webHidden/>
          </w:rPr>
        </w:r>
        <w:r w:rsidR="00D15428">
          <w:rPr>
            <w:noProof/>
            <w:webHidden/>
          </w:rPr>
          <w:fldChar w:fldCharType="separate"/>
        </w:r>
        <w:r w:rsidR="00DE7AA1">
          <w:rPr>
            <w:noProof/>
            <w:webHidden/>
          </w:rPr>
          <w:t>6</w:t>
        </w:r>
        <w:r w:rsidR="00D15428">
          <w:rPr>
            <w:noProof/>
            <w:webHidden/>
          </w:rPr>
          <w:fldChar w:fldCharType="end"/>
        </w:r>
      </w:hyperlink>
    </w:p>
    <w:p w14:paraId="4621A52C" w14:textId="4B329DC2" w:rsidR="00D15428" w:rsidRDefault="00150A14">
      <w:pPr>
        <w:pStyle w:val="TOC4"/>
        <w:rPr>
          <w:rFonts w:eastAsiaTheme="minorEastAsia"/>
          <w:noProof/>
          <w:sz w:val="22"/>
          <w:lang w:eastAsia="en-AU"/>
        </w:rPr>
      </w:pPr>
      <w:hyperlink w:anchor="_Toc23847449" w:history="1">
        <w:r w:rsidR="00D15428" w:rsidRPr="00642086">
          <w:rPr>
            <w:rStyle w:val="Hyperlink"/>
            <w:noProof/>
          </w:rPr>
          <w:t>Government business enterprises</w:t>
        </w:r>
        <w:r w:rsidR="00D15428">
          <w:rPr>
            <w:noProof/>
            <w:webHidden/>
          </w:rPr>
          <w:tab/>
        </w:r>
        <w:r w:rsidR="00D15428">
          <w:rPr>
            <w:noProof/>
            <w:webHidden/>
          </w:rPr>
          <w:fldChar w:fldCharType="begin"/>
        </w:r>
        <w:r w:rsidR="00D15428">
          <w:rPr>
            <w:noProof/>
            <w:webHidden/>
          </w:rPr>
          <w:instrText xml:space="preserve"> PAGEREF _Toc23847449 \h </w:instrText>
        </w:r>
        <w:r w:rsidR="00D15428">
          <w:rPr>
            <w:noProof/>
            <w:webHidden/>
          </w:rPr>
        </w:r>
        <w:r w:rsidR="00D15428">
          <w:rPr>
            <w:noProof/>
            <w:webHidden/>
          </w:rPr>
          <w:fldChar w:fldCharType="separate"/>
        </w:r>
        <w:r w:rsidR="00DE7AA1">
          <w:rPr>
            <w:noProof/>
            <w:webHidden/>
          </w:rPr>
          <w:t>6</w:t>
        </w:r>
        <w:r w:rsidR="00D15428">
          <w:rPr>
            <w:noProof/>
            <w:webHidden/>
          </w:rPr>
          <w:fldChar w:fldCharType="end"/>
        </w:r>
      </w:hyperlink>
    </w:p>
    <w:p w14:paraId="13CA6FA4" w14:textId="40241D87" w:rsidR="00D15428" w:rsidRDefault="00150A14">
      <w:pPr>
        <w:pStyle w:val="TOC4"/>
        <w:rPr>
          <w:rFonts w:eastAsiaTheme="minorEastAsia"/>
          <w:noProof/>
          <w:sz w:val="22"/>
          <w:lang w:eastAsia="en-AU"/>
        </w:rPr>
      </w:pPr>
      <w:hyperlink w:anchor="_Toc23847450" w:history="1">
        <w:r w:rsidR="00D15428" w:rsidRPr="00642086">
          <w:rPr>
            <w:rStyle w:val="Hyperlink"/>
            <w:noProof/>
          </w:rPr>
          <w:t>Infrastructure costs</w:t>
        </w:r>
        <w:r w:rsidR="00D15428">
          <w:rPr>
            <w:noProof/>
            <w:webHidden/>
          </w:rPr>
          <w:tab/>
        </w:r>
        <w:r w:rsidR="00D15428">
          <w:rPr>
            <w:noProof/>
            <w:webHidden/>
          </w:rPr>
          <w:fldChar w:fldCharType="begin"/>
        </w:r>
        <w:r w:rsidR="00D15428">
          <w:rPr>
            <w:noProof/>
            <w:webHidden/>
          </w:rPr>
          <w:instrText xml:space="preserve"> PAGEREF _Toc23847450 \h </w:instrText>
        </w:r>
        <w:r w:rsidR="00D15428">
          <w:rPr>
            <w:noProof/>
            <w:webHidden/>
          </w:rPr>
        </w:r>
        <w:r w:rsidR="00D15428">
          <w:rPr>
            <w:noProof/>
            <w:webHidden/>
          </w:rPr>
          <w:fldChar w:fldCharType="separate"/>
        </w:r>
        <w:r w:rsidR="00DE7AA1">
          <w:rPr>
            <w:noProof/>
            <w:webHidden/>
          </w:rPr>
          <w:t>7</w:t>
        </w:r>
        <w:r w:rsidR="00D15428">
          <w:rPr>
            <w:noProof/>
            <w:webHidden/>
          </w:rPr>
          <w:fldChar w:fldCharType="end"/>
        </w:r>
      </w:hyperlink>
    </w:p>
    <w:p w14:paraId="58299435" w14:textId="0581D4B6" w:rsidR="00D15428" w:rsidRDefault="00150A14">
      <w:pPr>
        <w:pStyle w:val="TOC1"/>
        <w:tabs>
          <w:tab w:val="left" w:pos="851"/>
        </w:tabs>
        <w:rPr>
          <w:rFonts w:eastAsiaTheme="minorEastAsia"/>
          <w:b w:val="0"/>
          <w:bCs w:val="0"/>
          <w:caps w:val="0"/>
          <w:noProof/>
          <w:sz w:val="22"/>
          <w:szCs w:val="22"/>
          <w:lang w:eastAsia="en-AU"/>
        </w:rPr>
      </w:pPr>
      <w:hyperlink w:anchor="_Toc23847451" w:history="1">
        <w:r w:rsidR="00D15428" w:rsidRPr="00642086">
          <w:rPr>
            <w:rStyle w:val="Hyperlink"/>
            <w:noProof/>
          </w:rPr>
          <w:t>2</w:t>
        </w:r>
        <w:r w:rsidR="00D15428">
          <w:rPr>
            <w:rFonts w:eastAsiaTheme="minorEastAsia"/>
            <w:b w:val="0"/>
            <w:bCs w:val="0"/>
            <w:caps w:val="0"/>
            <w:noProof/>
            <w:sz w:val="22"/>
            <w:szCs w:val="22"/>
            <w:lang w:eastAsia="en-AU"/>
          </w:rPr>
          <w:tab/>
        </w:r>
        <w:r w:rsidR="00D15428" w:rsidRPr="00642086">
          <w:rPr>
            <w:rStyle w:val="Hyperlink"/>
            <w:noProof/>
          </w:rPr>
          <w:t>Unique circumstances of Norfolk Island</w:t>
        </w:r>
        <w:r w:rsidR="00D15428">
          <w:rPr>
            <w:noProof/>
            <w:webHidden/>
          </w:rPr>
          <w:tab/>
        </w:r>
        <w:r w:rsidR="00D15428">
          <w:rPr>
            <w:noProof/>
            <w:webHidden/>
          </w:rPr>
          <w:fldChar w:fldCharType="begin"/>
        </w:r>
        <w:r w:rsidR="00D15428">
          <w:rPr>
            <w:noProof/>
            <w:webHidden/>
          </w:rPr>
          <w:instrText xml:space="preserve"> PAGEREF _Toc23847451 \h </w:instrText>
        </w:r>
        <w:r w:rsidR="00D15428">
          <w:rPr>
            <w:noProof/>
            <w:webHidden/>
          </w:rPr>
        </w:r>
        <w:r w:rsidR="00D15428">
          <w:rPr>
            <w:noProof/>
            <w:webHidden/>
          </w:rPr>
          <w:fldChar w:fldCharType="separate"/>
        </w:r>
        <w:r w:rsidR="00DE7AA1">
          <w:rPr>
            <w:noProof/>
            <w:webHidden/>
          </w:rPr>
          <w:t>8</w:t>
        </w:r>
        <w:r w:rsidR="00D15428">
          <w:rPr>
            <w:noProof/>
            <w:webHidden/>
          </w:rPr>
          <w:fldChar w:fldCharType="end"/>
        </w:r>
      </w:hyperlink>
    </w:p>
    <w:p w14:paraId="4E27A6D8" w14:textId="412C3538" w:rsidR="00D15428" w:rsidRDefault="00150A14">
      <w:pPr>
        <w:pStyle w:val="TOC3"/>
        <w:rPr>
          <w:rFonts w:eastAsiaTheme="minorEastAsia"/>
          <w:iCs w:val="0"/>
          <w:caps w:val="0"/>
          <w:noProof/>
          <w:sz w:val="22"/>
          <w:lang w:eastAsia="en-AU"/>
        </w:rPr>
      </w:pPr>
      <w:hyperlink w:anchor="_Toc23847452" w:history="1">
        <w:r w:rsidR="00D15428" w:rsidRPr="00642086">
          <w:rPr>
            <w:rStyle w:val="Hyperlink"/>
            <w:noProof/>
          </w:rPr>
          <w:t>Introduction</w:t>
        </w:r>
        <w:r w:rsidR="00D15428">
          <w:rPr>
            <w:noProof/>
            <w:webHidden/>
          </w:rPr>
          <w:tab/>
        </w:r>
        <w:r w:rsidR="00D15428">
          <w:rPr>
            <w:noProof/>
            <w:webHidden/>
          </w:rPr>
          <w:fldChar w:fldCharType="begin"/>
        </w:r>
        <w:r w:rsidR="00D15428">
          <w:rPr>
            <w:noProof/>
            <w:webHidden/>
          </w:rPr>
          <w:instrText xml:space="preserve"> PAGEREF _Toc23847452 \h </w:instrText>
        </w:r>
        <w:r w:rsidR="00D15428">
          <w:rPr>
            <w:noProof/>
            <w:webHidden/>
          </w:rPr>
        </w:r>
        <w:r w:rsidR="00D15428">
          <w:rPr>
            <w:noProof/>
            <w:webHidden/>
          </w:rPr>
          <w:fldChar w:fldCharType="separate"/>
        </w:r>
        <w:r w:rsidR="00DE7AA1">
          <w:rPr>
            <w:noProof/>
            <w:webHidden/>
          </w:rPr>
          <w:t>8</w:t>
        </w:r>
        <w:r w:rsidR="00D15428">
          <w:rPr>
            <w:noProof/>
            <w:webHidden/>
          </w:rPr>
          <w:fldChar w:fldCharType="end"/>
        </w:r>
      </w:hyperlink>
    </w:p>
    <w:p w14:paraId="62389464" w14:textId="6FBCA370" w:rsidR="00D15428" w:rsidRDefault="00150A14">
      <w:pPr>
        <w:pStyle w:val="TOC3"/>
        <w:rPr>
          <w:rFonts w:eastAsiaTheme="minorEastAsia"/>
          <w:iCs w:val="0"/>
          <w:caps w:val="0"/>
          <w:noProof/>
          <w:sz w:val="22"/>
          <w:lang w:eastAsia="en-AU"/>
        </w:rPr>
      </w:pPr>
      <w:hyperlink w:anchor="_Toc23847453" w:history="1">
        <w:r w:rsidR="00D15428" w:rsidRPr="00642086">
          <w:rPr>
            <w:rStyle w:val="Hyperlink"/>
            <w:noProof/>
          </w:rPr>
          <w:t>Location</w:t>
        </w:r>
        <w:r w:rsidR="00D15428">
          <w:rPr>
            <w:noProof/>
            <w:webHidden/>
          </w:rPr>
          <w:tab/>
        </w:r>
        <w:r w:rsidR="00D15428">
          <w:rPr>
            <w:noProof/>
            <w:webHidden/>
          </w:rPr>
          <w:fldChar w:fldCharType="begin"/>
        </w:r>
        <w:r w:rsidR="00D15428">
          <w:rPr>
            <w:noProof/>
            <w:webHidden/>
          </w:rPr>
          <w:instrText xml:space="preserve"> PAGEREF _Toc23847453 \h </w:instrText>
        </w:r>
        <w:r w:rsidR="00D15428">
          <w:rPr>
            <w:noProof/>
            <w:webHidden/>
          </w:rPr>
        </w:r>
        <w:r w:rsidR="00D15428">
          <w:rPr>
            <w:noProof/>
            <w:webHidden/>
          </w:rPr>
          <w:fldChar w:fldCharType="separate"/>
        </w:r>
        <w:r w:rsidR="00DE7AA1">
          <w:rPr>
            <w:noProof/>
            <w:webHidden/>
          </w:rPr>
          <w:t>9</w:t>
        </w:r>
        <w:r w:rsidR="00D15428">
          <w:rPr>
            <w:noProof/>
            <w:webHidden/>
          </w:rPr>
          <w:fldChar w:fldCharType="end"/>
        </w:r>
      </w:hyperlink>
    </w:p>
    <w:p w14:paraId="2FA1BE0F" w14:textId="7B0CF7A0" w:rsidR="00D15428" w:rsidRDefault="00150A14">
      <w:pPr>
        <w:pStyle w:val="TOC4"/>
        <w:rPr>
          <w:rFonts w:eastAsiaTheme="minorEastAsia"/>
          <w:noProof/>
          <w:sz w:val="22"/>
          <w:lang w:eastAsia="en-AU"/>
        </w:rPr>
      </w:pPr>
      <w:hyperlink w:anchor="_Toc23847454" w:history="1">
        <w:r w:rsidR="00D15428" w:rsidRPr="00642086">
          <w:rPr>
            <w:rStyle w:val="Hyperlink"/>
            <w:noProof/>
          </w:rPr>
          <w:t>Remoteness and service delivery scale</w:t>
        </w:r>
        <w:r w:rsidR="00D15428">
          <w:rPr>
            <w:noProof/>
            <w:webHidden/>
          </w:rPr>
          <w:tab/>
        </w:r>
        <w:r w:rsidR="00D15428">
          <w:rPr>
            <w:noProof/>
            <w:webHidden/>
          </w:rPr>
          <w:fldChar w:fldCharType="begin"/>
        </w:r>
        <w:r w:rsidR="00D15428">
          <w:rPr>
            <w:noProof/>
            <w:webHidden/>
          </w:rPr>
          <w:instrText xml:space="preserve"> PAGEREF _Toc23847454 \h </w:instrText>
        </w:r>
        <w:r w:rsidR="00D15428">
          <w:rPr>
            <w:noProof/>
            <w:webHidden/>
          </w:rPr>
        </w:r>
        <w:r w:rsidR="00D15428">
          <w:rPr>
            <w:noProof/>
            <w:webHidden/>
          </w:rPr>
          <w:fldChar w:fldCharType="separate"/>
        </w:r>
        <w:r w:rsidR="00DE7AA1">
          <w:rPr>
            <w:noProof/>
            <w:webHidden/>
          </w:rPr>
          <w:t>9</w:t>
        </w:r>
        <w:r w:rsidR="00D15428">
          <w:rPr>
            <w:noProof/>
            <w:webHidden/>
          </w:rPr>
          <w:fldChar w:fldCharType="end"/>
        </w:r>
      </w:hyperlink>
    </w:p>
    <w:p w14:paraId="6B051758" w14:textId="6E0A7F3A" w:rsidR="00D15428" w:rsidRDefault="00150A14">
      <w:pPr>
        <w:pStyle w:val="TOC4"/>
        <w:rPr>
          <w:rFonts w:eastAsiaTheme="minorEastAsia"/>
          <w:noProof/>
          <w:sz w:val="22"/>
          <w:lang w:eastAsia="en-AU"/>
        </w:rPr>
      </w:pPr>
      <w:hyperlink w:anchor="_Toc23847455" w:history="1">
        <w:r w:rsidR="00D15428" w:rsidRPr="00642086">
          <w:rPr>
            <w:rStyle w:val="Hyperlink"/>
            <w:noProof/>
          </w:rPr>
          <w:t>Isolation</w:t>
        </w:r>
        <w:r w:rsidR="00D15428">
          <w:rPr>
            <w:noProof/>
            <w:webHidden/>
          </w:rPr>
          <w:tab/>
        </w:r>
        <w:r w:rsidR="00D15428">
          <w:rPr>
            <w:noProof/>
            <w:webHidden/>
          </w:rPr>
          <w:fldChar w:fldCharType="begin"/>
        </w:r>
        <w:r w:rsidR="00D15428">
          <w:rPr>
            <w:noProof/>
            <w:webHidden/>
          </w:rPr>
          <w:instrText xml:space="preserve"> PAGEREF _Toc23847455 \h </w:instrText>
        </w:r>
        <w:r w:rsidR="00D15428">
          <w:rPr>
            <w:noProof/>
            <w:webHidden/>
          </w:rPr>
        </w:r>
        <w:r w:rsidR="00D15428">
          <w:rPr>
            <w:noProof/>
            <w:webHidden/>
          </w:rPr>
          <w:fldChar w:fldCharType="separate"/>
        </w:r>
        <w:r w:rsidR="00DE7AA1">
          <w:rPr>
            <w:noProof/>
            <w:webHidden/>
          </w:rPr>
          <w:t>10</w:t>
        </w:r>
        <w:r w:rsidR="00D15428">
          <w:rPr>
            <w:noProof/>
            <w:webHidden/>
          </w:rPr>
          <w:fldChar w:fldCharType="end"/>
        </w:r>
      </w:hyperlink>
    </w:p>
    <w:p w14:paraId="3D5D7944" w14:textId="0F9E8602" w:rsidR="00D15428" w:rsidRDefault="00150A14">
      <w:pPr>
        <w:pStyle w:val="TOC4"/>
        <w:rPr>
          <w:rFonts w:eastAsiaTheme="minorEastAsia"/>
          <w:noProof/>
          <w:sz w:val="22"/>
          <w:lang w:eastAsia="en-AU"/>
        </w:rPr>
      </w:pPr>
      <w:hyperlink w:anchor="_Toc23847456" w:history="1">
        <w:r w:rsidR="00D15428" w:rsidRPr="00642086">
          <w:rPr>
            <w:rStyle w:val="Hyperlink"/>
            <w:noProof/>
          </w:rPr>
          <w:t>Other effects of remoteness and isolation</w:t>
        </w:r>
        <w:r w:rsidR="00D15428">
          <w:rPr>
            <w:noProof/>
            <w:webHidden/>
          </w:rPr>
          <w:tab/>
        </w:r>
        <w:r w:rsidR="00D15428">
          <w:rPr>
            <w:noProof/>
            <w:webHidden/>
          </w:rPr>
          <w:fldChar w:fldCharType="begin"/>
        </w:r>
        <w:r w:rsidR="00D15428">
          <w:rPr>
            <w:noProof/>
            <w:webHidden/>
          </w:rPr>
          <w:instrText xml:space="preserve"> PAGEREF _Toc23847456 \h </w:instrText>
        </w:r>
        <w:r w:rsidR="00D15428">
          <w:rPr>
            <w:noProof/>
            <w:webHidden/>
          </w:rPr>
        </w:r>
        <w:r w:rsidR="00D15428">
          <w:rPr>
            <w:noProof/>
            <w:webHidden/>
          </w:rPr>
          <w:fldChar w:fldCharType="separate"/>
        </w:r>
        <w:r w:rsidR="00DE7AA1">
          <w:rPr>
            <w:noProof/>
            <w:webHidden/>
          </w:rPr>
          <w:t>12</w:t>
        </w:r>
        <w:r w:rsidR="00D15428">
          <w:rPr>
            <w:noProof/>
            <w:webHidden/>
          </w:rPr>
          <w:fldChar w:fldCharType="end"/>
        </w:r>
      </w:hyperlink>
    </w:p>
    <w:p w14:paraId="4601E791" w14:textId="22C8775A" w:rsidR="00D15428" w:rsidRDefault="00150A14">
      <w:pPr>
        <w:pStyle w:val="TOC3"/>
        <w:rPr>
          <w:rFonts w:eastAsiaTheme="minorEastAsia"/>
          <w:iCs w:val="0"/>
          <w:caps w:val="0"/>
          <w:noProof/>
          <w:sz w:val="22"/>
          <w:lang w:eastAsia="en-AU"/>
        </w:rPr>
      </w:pPr>
      <w:hyperlink w:anchor="_Toc23847457" w:history="1">
        <w:r w:rsidR="00D15428" w:rsidRPr="00642086">
          <w:rPr>
            <w:rStyle w:val="Hyperlink"/>
            <w:noProof/>
          </w:rPr>
          <w:t>Economy</w:t>
        </w:r>
        <w:r w:rsidR="00D15428">
          <w:rPr>
            <w:noProof/>
            <w:webHidden/>
          </w:rPr>
          <w:tab/>
        </w:r>
        <w:r w:rsidR="00D15428">
          <w:rPr>
            <w:noProof/>
            <w:webHidden/>
          </w:rPr>
          <w:fldChar w:fldCharType="begin"/>
        </w:r>
        <w:r w:rsidR="00D15428">
          <w:rPr>
            <w:noProof/>
            <w:webHidden/>
          </w:rPr>
          <w:instrText xml:space="preserve"> PAGEREF _Toc23847457 \h </w:instrText>
        </w:r>
        <w:r w:rsidR="00D15428">
          <w:rPr>
            <w:noProof/>
            <w:webHidden/>
          </w:rPr>
        </w:r>
        <w:r w:rsidR="00D15428">
          <w:rPr>
            <w:noProof/>
            <w:webHidden/>
          </w:rPr>
          <w:fldChar w:fldCharType="separate"/>
        </w:r>
        <w:r w:rsidR="00DE7AA1">
          <w:rPr>
            <w:noProof/>
            <w:webHidden/>
          </w:rPr>
          <w:t>12</w:t>
        </w:r>
        <w:r w:rsidR="00D15428">
          <w:rPr>
            <w:noProof/>
            <w:webHidden/>
          </w:rPr>
          <w:fldChar w:fldCharType="end"/>
        </w:r>
      </w:hyperlink>
    </w:p>
    <w:p w14:paraId="521D728D" w14:textId="6EC0AB1C" w:rsidR="00D15428" w:rsidRDefault="00150A14">
      <w:pPr>
        <w:pStyle w:val="TOC4"/>
        <w:rPr>
          <w:rFonts w:eastAsiaTheme="minorEastAsia"/>
          <w:noProof/>
          <w:sz w:val="22"/>
          <w:lang w:eastAsia="en-AU"/>
        </w:rPr>
      </w:pPr>
      <w:hyperlink w:anchor="_Toc23847458" w:history="1">
        <w:r w:rsidR="00D15428" w:rsidRPr="00642086">
          <w:rPr>
            <w:rStyle w:val="Hyperlink"/>
            <w:noProof/>
          </w:rPr>
          <w:t>Tax bases</w:t>
        </w:r>
        <w:r w:rsidR="00D15428">
          <w:rPr>
            <w:noProof/>
            <w:webHidden/>
          </w:rPr>
          <w:tab/>
        </w:r>
        <w:r w:rsidR="00D15428">
          <w:rPr>
            <w:noProof/>
            <w:webHidden/>
          </w:rPr>
          <w:fldChar w:fldCharType="begin"/>
        </w:r>
        <w:r w:rsidR="00D15428">
          <w:rPr>
            <w:noProof/>
            <w:webHidden/>
          </w:rPr>
          <w:instrText xml:space="preserve"> PAGEREF _Toc23847458 \h </w:instrText>
        </w:r>
        <w:r w:rsidR="00D15428">
          <w:rPr>
            <w:noProof/>
            <w:webHidden/>
          </w:rPr>
        </w:r>
        <w:r w:rsidR="00D15428">
          <w:rPr>
            <w:noProof/>
            <w:webHidden/>
          </w:rPr>
          <w:fldChar w:fldCharType="separate"/>
        </w:r>
        <w:r w:rsidR="00DE7AA1">
          <w:rPr>
            <w:noProof/>
            <w:webHidden/>
          </w:rPr>
          <w:t>13</w:t>
        </w:r>
        <w:r w:rsidR="00D15428">
          <w:rPr>
            <w:noProof/>
            <w:webHidden/>
          </w:rPr>
          <w:fldChar w:fldCharType="end"/>
        </w:r>
      </w:hyperlink>
    </w:p>
    <w:p w14:paraId="4EC072FF" w14:textId="46799F8D" w:rsidR="00D15428" w:rsidRDefault="00150A14">
      <w:pPr>
        <w:pStyle w:val="TOC4"/>
        <w:rPr>
          <w:rFonts w:eastAsiaTheme="minorEastAsia"/>
          <w:noProof/>
          <w:sz w:val="22"/>
          <w:lang w:eastAsia="en-AU"/>
        </w:rPr>
      </w:pPr>
      <w:hyperlink w:anchor="_Toc23847459" w:history="1">
        <w:r w:rsidR="00D15428" w:rsidRPr="00642086">
          <w:rPr>
            <w:rStyle w:val="Hyperlink"/>
            <w:noProof/>
          </w:rPr>
          <w:t>Service delivery</w:t>
        </w:r>
        <w:r w:rsidR="00D15428">
          <w:rPr>
            <w:noProof/>
            <w:webHidden/>
          </w:rPr>
          <w:tab/>
        </w:r>
        <w:r w:rsidR="00D15428">
          <w:rPr>
            <w:noProof/>
            <w:webHidden/>
          </w:rPr>
          <w:fldChar w:fldCharType="begin"/>
        </w:r>
        <w:r w:rsidR="00D15428">
          <w:rPr>
            <w:noProof/>
            <w:webHidden/>
          </w:rPr>
          <w:instrText xml:space="preserve"> PAGEREF _Toc23847459 \h </w:instrText>
        </w:r>
        <w:r w:rsidR="00D15428">
          <w:rPr>
            <w:noProof/>
            <w:webHidden/>
          </w:rPr>
        </w:r>
        <w:r w:rsidR="00D15428">
          <w:rPr>
            <w:noProof/>
            <w:webHidden/>
          </w:rPr>
          <w:fldChar w:fldCharType="separate"/>
        </w:r>
        <w:r w:rsidR="00DE7AA1">
          <w:rPr>
            <w:noProof/>
            <w:webHidden/>
          </w:rPr>
          <w:t>13</w:t>
        </w:r>
        <w:r w:rsidR="00D15428">
          <w:rPr>
            <w:noProof/>
            <w:webHidden/>
          </w:rPr>
          <w:fldChar w:fldCharType="end"/>
        </w:r>
      </w:hyperlink>
    </w:p>
    <w:p w14:paraId="4808906E" w14:textId="45251F7B" w:rsidR="00D15428" w:rsidRDefault="00150A14">
      <w:pPr>
        <w:pStyle w:val="TOC3"/>
        <w:rPr>
          <w:rFonts w:eastAsiaTheme="minorEastAsia"/>
          <w:iCs w:val="0"/>
          <w:caps w:val="0"/>
          <w:noProof/>
          <w:sz w:val="22"/>
          <w:lang w:eastAsia="en-AU"/>
        </w:rPr>
      </w:pPr>
      <w:hyperlink w:anchor="_Toc23847460" w:history="1">
        <w:r w:rsidR="00D15428" w:rsidRPr="00642086">
          <w:rPr>
            <w:rStyle w:val="Hyperlink"/>
            <w:noProof/>
          </w:rPr>
          <w:t>Population issues</w:t>
        </w:r>
        <w:r w:rsidR="00D15428">
          <w:rPr>
            <w:noProof/>
            <w:webHidden/>
          </w:rPr>
          <w:tab/>
        </w:r>
        <w:r w:rsidR="00D15428">
          <w:rPr>
            <w:noProof/>
            <w:webHidden/>
          </w:rPr>
          <w:fldChar w:fldCharType="begin"/>
        </w:r>
        <w:r w:rsidR="00D15428">
          <w:rPr>
            <w:noProof/>
            <w:webHidden/>
          </w:rPr>
          <w:instrText xml:space="preserve"> PAGEREF _Toc23847460 \h </w:instrText>
        </w:r>
        <w:r w:rsidR="00D15428">
          <w:rPr>
            <w:noProof/>
            <w:webHidden/>
          </w:rPr>
        </w:r>
        <w:r w:rsidR="00D15428">
          <w:rPr>
            <w:noProof/>
            <w:webHidden/>
          </w:rPr>
          <w:fldChar w:fldCharType="separate"/>
        </w:r>
        <w:r w:rsidR="00DE7AA1">
          <w:rPr>
            <w:noProof/>
            <w:webHidden/>
          </w:rPr>
          <w:t>16</w:t>
        </w:r>
        <w:r w:rsidR="00D15428">
          <w:rPr>
            <w:noProof/>
            <w:webHidden/>
          </w:rPr>
          <w:fldChar w:fldCharType="end"/>
        </w:r>
      </w:hyperlink>
    </w:p>
    <w:p w14:paraId="0B99A61A" w14:textId="6D9820F4" w:rsidR="00D15428" w:rsidRDefault="00150A14">
      <w:pPr>
        <w:pStyle w:val="TOC4"/>
        <w:rPr>
          <w:rFonts w:eastAsiaTheme="minorEastAsia"/>
          <w:noProof/>
          <w:sz w:val="22"/>
          <w:lang w:eastAsia="en-AU"/>
        </w:rPr>
      </w:pPr>
      <w:hyperlink w:anchor="_Toc23847461" w:history="1">
        <w:r w:rsidR="00D15428" w:rsidRPr="00642086">
          <w:rPr>
            <w:rStyle w:val="Hyperlink"/>
            <w:noProof/>
          </w:rPr>
          <w:t>Population size</w:t>
        </w:r>
        <w:r w:rsidR="00D15428">
          <w:rPr>
            <w:noProof/>
            <w:webHidden/>
          </w:rPr>
          <w:tab/>
        </w:r>
        <w:r w:rsidR="00D15428">
          <w:rPr>
            <w:noProof/>
            <w:webHidden/>
          </w:rPr>
          <w:fldChar w:fldCharType="begin"/>
        </w:r>
        <w:r w:rsidR="00D15428">
          <w:rPr>
            <w:noProof/>
            <w:webHidden/>
          </w:rPr>
          <w:instrText xml:space="preserve"> PAGEREF _Toc23847461 \h </w:instrText>
        </w:r>
        <w:r w:rsidR="00D15428">
          <w:rPr>
            <w:noProof/>
            <w:webHidden/>
          </w:rPr>
        </w:r>
        <w:r w:rsidR="00D15428">
          <w:rPr>
            <w:noProof/>
            <w:webHidden/>
          </w:rPr>
          <w:fldChar w:fldCharType="separate"/>
        </w:r>
        <w:r w:rsidR="00DE7AA1">
          <w:rPr>
            <w:noProof/>
            <w:webHidden/>
          </w:rPr>
          <w:t>16</w:t>
        </w:r>
        <w:r w:rsidR="00D15428">
          <w:rPr>
            <w:noProof/>
            <w:webHidden/>
          </w:rPr>
          <w:fldChar w:fldCharType="end"/>
        </w:r>
      </w:hyperlink>
    </w:p>
    <w:p w14:paraId="2085FAA1" w14:textId="0FCE4C31" w:rsidR="00D15428" w:rsidRDefault="00150A14">
      <w:pPr>
        <w:pStyle w:val="TOC4"/>
        <w:rPr>
          <w:rFonts w:eastAsiaTheme="minorEastAsia"/>
          <w:noProof/>
          <w:sz w:val="22"/>
          <w:lang w:eastAsia="en-AU"/>
        </w:rPr>
      </w:pPr>
      <w:hyperlink w:anchor="_Toc23847462" w:history="1">
        <w:r w:rsidR="00D15428" w:rsidRPr="00642086">
          <w:rPr>
            <w:rStyle w:val="Hyperlink"/>
            <w:noProof/>
          </w:rPr>
          <w:t>Age distribution</w:t>
        </w:r>
        <w:r w:rsidR="00D15428">
          <w:rPr>
            <w:noProof/>
            <w:webHidden/>
          </w:rPr>
          <w:tab/>
        </w:r>
        <w:r w:rsidR="00D15428">
          <w:rPr>
            <w:noProof/>
            <w:webHidden/>
          </w:rPr>
          <w:fldChar w:fldCharType="begin"/>
        </w:r>
        <w:r w:rsidR="00D15428">
          <w:rPr>
            <w:noProof/>
            <w:webHidden/>
          </w:rPr>
          <w:instrText xml:space="preserve"> PAGEREF _Toc23847462 \h </w:instrText>
        </w:r>
        <w:r w:rsidR="00D15428">
          <w:rPr>
            <w:noProof/>
            <w:webHidden/>
          </w:rPr>
        </w:r>
        <w:r w:rsidR="00D15428">
          <w:rPr>
            <w:noProof/>
            <w:webHidden/>
          </w:rPr>
          <w:fldChar w:fldCharType="separate"/>
        </w:r>
        <w:r w:rsidR="00DE7AA1">
          <w:rPr>
            <w:noProof/>
            <w:webHidden/>
          </w:rPr>
          <w:t>16</w:t>
        </w:r>
        <w:r w:rsidR="00D15428">
          <w:rPr>
            <w:noProof/>
            <w:webHidden/>
          </w:rPr>
          <w:fldChar w:fldCharType="end"/>
        </w:r>
      </w:hyperlink>
    </w:p>
    <w:p w14:paraId="4EECBB65" w14:textId="5453E323" w:rsidR="00D15428" w:rsidRDefault="00150A14">
      <w:pPr>
        <w:pStyle w:val="TOC4"/>
        <w:rPr>
          <w:rFonts w:eastAsiaTheme="minorEastAsia"/>
          <w:noProof/>
          <w:sz w:val="22"/>
          <w:lang w:eastAsia="en-AU"/>
        </w:rPr>
      </w:pPr>
      <w:hyperlink w:anchor="_Toc23847463" w:history="1">
        <w:r w:rsidR="00D15428" w:rsidRPr="00642086">
          <w:rPr>
            <w:rStyle w:val="Hyperlink"/>
            <w:noProof/>
          </w:rPr>
          <w:t>Socio-economic status</w:t>
        </w:r>
        <w:r w:rsidR="00D15428">
          <w:rPr>
            <w:noProof/>
            <w:webHidden/>
          </w:rPr>
          <w:tab/>
        </w:r>
        <w:r w:rsidR="00D15428">
          <w:rPr>
            <w:noProof/>
            <w:webHidden/>
          </w:rPr>
          <w:fldChar w:fldCharType="begin"/>
        </w:r>
        <w:r w:rsidR="00D15428">
          <w:rPr>
            <w:noProof/>
            <w:webHidden/>
          </w:rPr>
          <w:instrText xml:space="preserve"> PAGEREF _Toc23847463 \h </w:instrText>
        </w:r>
        <w:r w:rsidR="00D15428">
          <w:rPr>
            <w:noProof/>
            <w:webHidden/>
          </w:rPr>
        </w:r>
        <w:r w:rsidR="00D15428">
          <w:rPr>
            <w:noProof/>
            <w:webHidden/>
          </w:rPr>
          <w:fldChar w:fldCharType="separate"/>
        </w:r>
        <w:r w:rsidR="00DE7AA1">
          <w:rPr>
            <w:noProof/>
            <w:webHidden/>
          </w:rPr>
          <w:t>17</w:t>
        </w:r>
        <w:r w:rsidR="00D15428">
          <w:rPr>
            <w:noProof/>
            <w:webHidden/>
          </w:rPr>
          <w:fldChar w:fldCharType="end"/>
        </w:r>
      </w:hyperlink>
    </w:p>
    <w:p w14:paraId="6ADDE16A" w14:textId="215750A8" w:rsidR="00D15428" w:rsidRDefault="00150A14">
      <w:pPr>
        <w:pStyle w:val="TOC4"/>
        <w:rPr>
          <w:rFonts w:eastAsiaTheme="minorEastAsia"/>
          <w:noProof/>
          <w:sz w:val="22"/>
          <w:lang w:eastAsia="en-AU"/>
        </w:rPr>
      </w:pPr>
      <w:hyperlink w:anchor="_Toc23847464" w:history="1">
        <w:r w:rsidR="00D15428" w:rsidRPr="00642086">
          <w:rPr>
            <w:rStyle w:val="Hyperlink"/>
            <w:noProof/>
          </w:rPr>
          <w:t>Community and culture</w:t>
        </w:r>
        <w:r w:rsidR="00D15428">
          <w:rPr>
            <w:noProof/>
            <w:webHidden/>
          </w:rPr>
          <w:tab/>
        </w:r>
        <w:r w:rsidR="00D15428">
          <w:rPr>
            <w:noProof/>
            <w:webHidden/>
          </w:rPr>
          <w:fldChar w:fldCharType="begin"/>
        </w:r>
        <w:r w:rsidR="00D15428">
          <w:rPr>
            <w:noProof/>
            <w:webHidden/>
          </w:rPr>
          <w:instrText xml:space="preserve"> PAGEREF _Toc23847464 \h </w:instrText>
        </w:r>
        <w:r w:rsidR="00D15428">
          <w:rPr>
            <w:noProof/>
            <w:webHidden/>
          </w:rPr>
        </w:r>
        <w:r w:rsidR="00D15428">
          <w:rPr>
            <w:noProof/>
            <w:webHidden/>
          </w:rPr>
          <w:fldChar w:fldCharType="separate"/>
        </w:r>
        <w:r w:rsidR="00DE7AA1">
          <w:rPr>
            <w:noProof/>
            <w:webHidden/>
          </w:rPr>
          <w:t>18</w:t>
        </w:r>
        <w:r w:rsidR="00D15428">
          <w:rPr>
            <w:noProof/>
            <w:webHidden/>
          </w:rPr>
          <w:fldChar w:fldCharType="end"/>
        </w:r>
      </w:hyperlink>
    </w:p>
    <w:p w14:paraId="5D1D8389" w14:textId="6E6F527A" w:rsidR="00D15428" w:rsidRDefault="00150A14">
      <w:pPr>
        <w:pStyle w:val="TOC3"/>
        <w:rPr>
          <w:rFonts w:eastAsiaTheme="minorEastAsia"/>
          <w:iCs w:val="0"/>
          <w:caps w:val="0"/>
          <w:noProof/>
          <w:sz w:val="22"/>
          <w:lang w:eastAsia="en-AU"/>
        </w:rPr>
      </w:pPr>
      <w:hyperlink w:anchor="_Toc23847465" w:history="1">
        <w:r w:rsidR="00D15428" w:rsidRPr="00642086">
          <w:rPr>
            <w:rStyle w:val="Hyperlink"/>
            <w:noProof/>
          </w:rPr>
          <w:t>Governance and service delivery arrangements</w:t>
        </w:r>
        <w:r w:rsidR="00D15428">
          <w:rPr>
            <w:noProof/>
            <w:webHidden/>
          </w:rPr>
          <w:tab/>
        </w:r>
        <w:r w:rsidR="00D15428">
          <w:rPr>
            <w:noProof/>
            <w:webHidden/>
          </w:rPr>
          <w:fldChar w:fldCharType="begin"/>
        </w:r>
        <w:r w:rsidR="00D15428">
          <w:rPr>
            <w:noProof/>
            <w:webHidden/>
          </w:rPr>
          <w:instrText xml:space="preserve"> PAGEREF _Toc23847465 \h </w:instrText>
        </w:r>
        <w:r w:rsidR="00D15428">
          <w:rPr>
            <w:noProof/>
            <w:webHidden/>
          </w:rPr>
        </w:r>
        <w:r w:rsidR="00D15428">
          <w:rPr>
            <w:noProof/>
            <w:webHidden/>
          </w:rPr>
          <w:fldChar w:fldCharType="separate"/>
        </w:r>
        <w:r w:rsidR="00DE7AA1">
          <w:rPr>
            <w:noProof/>
            <w:webHidden/>
          </w:rPr>
          <w:t>18</w:t>
        </w:r>
        <w:r w:rsidR="00D15428">
          <w:rPr>
            <w:noProof/>
            <w:webHidden/>
          </w:rPr>
          <w:fldChar w:fldCharType="end"/>
        </w:r>
      </w:hyperlink>
    </w:p>
    <w:p w14:paraId="504C0B7D" w14:textId="2BB540B9" w:rsidR="00D15428" w:rsidRDefault="00150A14">
      <w:pPr>
        <w:pStyle w:val="TOC4"/>
        <w:rPr>
          <w:rFonts w:eastAsiaTheme="minorEastAsia"/>
          <w:noProof/>
          <w:sz w:val="22"/>
          <w:lang w:eastAsia="en-AU"/>
        </w:rPr>
      </w:pPr>
      <w:hyperlink w:anchor="_Toc23847466" w:history="1">
        <w:r w:rsidR="00D15428" w:rsidRPr="00642086">
          <w:rPr>
            <w:rStyle w:val="Hyperlink"/>
            <w:noProof/>
          </w:rPr>
          <w:t>Service delivery arrangements</w:t>
        </w:r>
        <w:r w:rsidR="00D15428">
          <w:rPr>
            <w:noProof/>
            <w:webHidden/>
          </w:rPr>
          <w:tab/>
        </w:r>
        <w:r w:rsidR="00D15428">
          <w:rPr>
            <w:noProof/>
            <w:webHidden/>
          </w:rPr>
          <w:fldChar w:fldCharType="begin"/>
        </w:r>
        <w:r w:rsidR="00D15428">
          <w:rPr>
            <w:noProof/>
            <w:webHidden/>
          </w:rPr>
          <w:instrText xml:space="preserve"> PAGEREF _Toc23847466 \h </w:instrText>
        </w:r>
        <w:r w:rsidR="00D15428">
          <w:rPr>
            <w:noProof/>
            <w:webHidden/>
          </w:rPr>
        </w:r>
        <w:r w:rsidR="00D15428">
          <w:rPr>
            <w:noProof/>
            <w:webHidden/>
          </w:rPr>
          <w:fldChar w:fldCharType="separate"/>
        </w:r>
        <w:r w:rsidR="00DE7AA1">
          <w:rPr>
            <w:noProof/>
            <w:webHidden/>
          </w:rPr>
          <w:t>18</w:t>
        </w:r>
        <w:r w:rsidR="00D15428">
          <w:rPr>
            <w:noProof/>
            <w:webHidden/>
          </w:rPr>
          <w:fldChar w:fldCharType="end"/>
        </w:r>
      </w:hyperlink>
    </w:p>
    <w:p w14:paraId="1061A9C2" w14:textId="5E7B388F" w:rsidR="00D15428" w:rsidRDefault="00150A14">
      <w:pPr>
        <w:pStyle w:val="TOC4"/>
        <w:rPr>
          <w:rFonts w:eastAsiaTheme="minorEastAsia"/>
          <w:noProof/>
          <w:sz w:val="22"/>
          <w:lang w:eastAsia="en-AU"/>
        </w:rPr>
      </w:pPr>
      <w:hyperlink w:anchor="_Toc23847467" w:history="1">
        <w:r w:rsidR="00D15428" w:rsidRPr="00642086">
          <w:rPr>
            <w:rStyle w:val="Hyperlink"/>
            <w:noProof/>
          </w:rPr>
          <w:t>Grants to local governments</w:t>
        </w:r>
        <w:r w:rsidR="00D15428">
          <w:rPr>
            <w:noProof/>
            <w:webHidden/>
          </w:rPr>
          <w:tab/>
        </w:r>
        <w:r w:rsidR="00D15428">
          <w:rPr>
            <w:noProof/>
            <w:webHidden/>
          </w:rPr>
          <w:fldChar w:fldCharType="begin"/>
        </w:r>
        <w:r w:rsidR="00D15428">
          <w:rPr>
            <w:noProof/>
            <w:webHidden/>
          </w:rPr>
          <w:instrText xml:space="preserve"> PAGEREF _Toc23847467 \h </w:instrText>
        </w:r>
        <w:r w:rsidR="00D15428">
          <w:rPr>
            <w:noProof/>
            <w:webHidden/>
          </w:rPr>
        </w:r>
        <w:r w:rsidR="00D15428">
          <w:rPr>
            <w:noProof/>
            <w:webHidden/>
          </w:rPr>
          <w:fldChar w:fldCharType="separate"/>
        </w:r>
        <w:r w:rsidR="00DE7AA1">
          <w:rPr>
            <w:noProof/>
            <w:webHidden/>
          </w:rPr>
          <w:t>19</w:t>
        </w:r>
        <w:r w:rsidR="00D15428">
          <w:rPr>
            <w:noProof/>
            <w:webHidden/>
          </w:rPr>
          <w:fldChar w:fldCharType="end"/>
        </w:r>
      </w:hyperlink>
    </w:p>
    <w:p w14:paraId="0DBA27CF" w14:textId="7D736C37" w:rsidR="00D15428" w:rsidRDefault="00150A14">
      <w:pPr>
        <w:pStyle w:val="TOC1"/>
        <w:tabs>
          <w:tab w:val="left" w:pos="851"/>
        </w:tabs>
        <w:rPr>
          <w:rFonts w:eastAsiaTheme="minorEastAsia"/>
          <w:b w:val="0"/>
          <w:bCs w:val="0"/>
          <w:caps w:val="0"/>
          <w:noProof/>
          <w:sz w:val="22"/>
          <w:szCs w:val="22"/>
          <w:lang w:eastAsia="en-AU"/>
        </w:rPr>
      </w:pPr>
      <w:hyperlink w:anchor="_Toc23847468" w:history="1">
        <w:r w:rsidR="00D15428" w:rsidRPr="00642086">
          <w:rPr>
            <w:rStyle w:val="Hyperlink"/>
            <w:noProof/>
          </w:rPr>
          <w:t>3</w:t>
        </w:r>
        <w:r w:rsidR="00D15428">
          <w:rPr>
            <w:rFonts w:eastAsiaTheme="minorEastAsia"/>
            <w:b w:val="0"/>
            <w:bCs w:val="0"/>
            <w:caps w:val="0"/>
            <w:noProof/>
            <w:sz w:val="22"/>
            <w:szCs w:val="22"/>
            <w:lang w:eastAsia="en-AU"/>
          </w:rPr>
          <w:tab/>
        </w:r>
        <w:r w:rsidR="00D15428" w:rsidRPr="00642086">
          <w:rPr>
            <w:rStyle w:val="Hyperlink"/>
            <w:noProof/>
          </w:rPr>
          <w:t>Assessed expenses, revenues and financing requirement</w:t>
        </w:r>
        <w:r w:rsidR="00D15428">
          <w:rPr>
            <w:noProof/>
            <w:webHidden/>
          </w:rPr>
          <w:tab/>
        </w:r>
        <w:r w:rsidR="00D15428">
          <w:rPr>
            <w:noProof/>
            <w:webHidden/>
          </w:rPr>
          <w:fldChar w:fldCharType="begin"/>
        </w:r>
        <w:r w:rsidR="00D15428">
          <w:rPr>
            <w:noProof/>
            <w:webHidden/>
          </w:rPr>
          <w:instrText xml:space="preserve"> PAGEREF _Toc23847468 \h </w:instrText>
        </w:r>
        <w:r w:rsidR="00D15428">
          <w:rPr>
            <w:noProof/>
            <w:webHidden/>
          </w:rPr>
        </w:r>
        <w:r w:rsidR="00D15428">
          <w:rPr>
            <w:noProof/>
            <w:webHidden/>
          </w:rPr>
          <w:fldChar w:fldCharType="separate"/>
        </w:r>
        <w:r w:rsidR="00DE7AA1">
          <w:rPr>
            <w:noProof/>
            <w:webHidden/>
          </w:rPr>
          <w:t>21</w:t>
        </w:r>
        <w:r w:rsidR="00D15428">
          <w:rPr>
            <w:noProof/>
            <w:webHidden/>
          </w:rPr>
          <w:fldChar w:fldCharType="end"/>
        </w:r>
      </w:hyperlink>
    </w:p>
    <w:p w14:paraId="3995E9BF" w14:textId="6072B03D" w:rsidR="00D15428" w:rsidRDefault="00150A14">
      <w:pPr>
        <w:pStyle w:val="TOC3"/>
        <w:rPr>
          <w:rFonts w:eastAsiaTheme="minorEastAsia"/>
          <w:iCs w:val="0"/>
          <w:caps w:val="0"/>
          <w:noProof/>
          <w:sz w:val="22"/>
          <w:lang w:eastAsia="en-AU"/>
        </w:rPr>
      </w:pPr>
      <w:hyperlink w:anchor="_Toc23847469" w:history="1">
        <w:r w:rsidR="00D15428" w:rsidRPr="00642086">
          <w:rPr>
            <w:rStyle w:val="Hyperlink"/>
            <w:noProof/>
          </w:rPr>
          <w:t>Assessed State-type revenue</w:t>
        </w:r>
        <w:r w:rsidR="00D15428">
          <w:rPr>
            <w:noProof/>
            <w:webHidden/>
          </w:rPr>
          <w:tab/>
        </w:r>
        <w:r w:rsidR="00D15428">
          <w:rPr>
            <w:noProof/>
            <w:webHidden/>
          </w:rPr>
          <w:fldChar w:fldCharType="begin"/>
        </w:r>
        <w:r w:rsidR="00D15428">
          <w:rPr>
            <w:noProof/>
            <w:webHidden/>
          </w:rPr>
          <w:instrText xml:space="preserve"> PAGEREF _Toc23847469 \h </w:instrText>
        </w:r>
        <w:r w:rsidR="00D15428">
          <w:rPr>
            <w:noProof/>
            <w:webHidden/>
          </w:rPr>
        </w:r>
        <w:r w:rsidR="00D15428">
          <w:rPr>
            <w:noProof/>
            <w:webHidden/>
          </w:rPr>
          <w:fldChar w:fldCharType="separate"/>
        </w:r>
        <w:r w:rsidR="00DE7AA1">
          <w:rPr>
            <w:noProof/>
            <w:webHidden/>
          </w:rPr>
          <w:t>21</w:t>
        </w:r>
        <w:r w:rsidR="00D15428">
          <w:rPr>
            <w:noProof/>
            <w:webHidden/>
          </w:rPr>
          <w:fldChar w:fldCharType="end"/>
        </w:r>
      </w:hyperlink>
    </w:p>
    <w:p w14:paraId="47350B0B" w14:textId="70633200" w:rsidR="00D15428" w:rsidRDefault="00150A14">
      <w:pPr>
        <w:pStyle w:val="TOC3"/>
        <w:rPr>
          <w:rFonts w:eastAsiaTheme="minorEastAsia"/>
          <w:iCs w:val="0"/>
          <w:caps w:val="0"/>
          <w:noProof/>
          <w:sz w:val="22"/>
          <w:lang w:eastAsia="en-AU"/>
        </w:rPr>
      </w:pPr>
      <w:hyperlink w:anchor="_Toc23847470" w:history="1">
        <w:r w:rsidR="00D15428" w:rsidRPr="00642086">
          <w:rPr>
            <w:rStyle w:val="Hyperlink"/>
            <w:noProof/>
          </w:rPr>
          <w:t>Local government revenue</w:t>
        </w:r>
        <w:r w:rsidR="00D15428">
          <w:rPr>
            <w:noProof/>
            <w:webHidden/>
          </w:rPr>
          <w:tab/>
        </w:r>
        <w:r w:rsidR="00D15428">
          <w:rPr>
            <w:noProof/>
            <w:webHidden/>
          </w:rPr>
          <w:fldChar w:fldCharType="begin"/>
        </w:r>
        <w:r w:rsidR="00D15428">
          <w:rPr>
            <w:noProof/>
            <w:webHidden/>
          </w:rPr>
          <w:instrText xml:space="preserve"> PAGEREF _Toc23847470 \h </w:instrText>
        </w:r>
        <w:r w:rsidR="00D15428">
          <w:rPr>
            <w:noProof/>
            <w:webHidden/>
          </w:rPr>
        </w:r>
        <w:r w:rsidR="00D15428">
          <w:rPr>
            <w:noProof/>
            <w:webHidden/>
          </w:rPr>
          <w:fldChar w:fldCharType="separate"/>
        </w:r>
        <w:r w:rsidR="00DE7AA1">
          <w:rPr>
            <w:noProof/>
            <w:webHidden/>
          </w:rPr>
          <w:t>23</w:t>
        </w:r>
        <w:r w:rsidR="00D15428">
          <w:rPr>
            <w:noProof/>
            <w:webHidden/>
          </w:rPr>
          <w:fldChar w:fldCharType="end"/>
        </w:r>
      </w:hyperlink>
    </w:p>
    <w:p w14:paraId="58F589D9" w14:textId="2132E5C0" w:rsidR="00D15428" w:rsidRDefault="00150A14">
      <w:pPr>
        <w:pStyle w:val="TOC3"/>
        <w:rPr>
          <w:rFonts w:eastAsiaTheme="minorEastAsia"/>
          <w:iCs w:val="0"/>
          <w:caps w:val="0"/>
          <w:noProof/>
          <w:sz w:val="22"/>
          <w:lang w:eastAsia="en-AU"/>
        </w:rPr>
      </w:pPr>
      <w:hyperlink w:anchor="_Toc23847471" w:history="1">
        <w:r w:rsidR="00D15428" w:rsidRPr="00642086">
          <w:rPr>
            <w:rStyle w:val="Hyperlink"/>
            <w:noProof/>
          </w:rPr>
          <w:t>Assessed State expenses</w:t>
        </w:r>
        <w:r w:rsidR="00D15428">
          <w:rPr>
            <w:noProof/>
            <w:webHidden/>
          </w:rPr>
          <w:tab/>
        </w:r>
        <w:r w:rsidR="00D15428">
          <w:rPr>
            <w:noProof/>
            <w:webHidden/>
          </w:rPr>
          <w:fldChar w:fldCharType="begin"/>
        </w:r>
        <w:r w:rsidR="00D15428">
          <w:rPr>
            <w:noProof/>
            <w:webHidden/>
          </w:rPr>
          <w:instrText xml:space="preserve"> PAGEREF _Toc23847471 \h </w:instrText>
        </w:r>
        <w:r w:rsidR="00D15428">
          <w:rPr>
            <w:noProof/>
            <w:webHidden/>
          </w:rPr>
        </w:r>
        <w:r w:rsidR="00D15428">
          <w:rPr>
            <w:noProof/>
            <w:webHidden/>
          </w:rPr>
          <w:fldChar w:fldCharType="separate"/>
        </w:r>
        <w:r w:rsidR="00DE7AA1">
          <w:rPr>
            <w:noProof/>
            <w:webHidden/>
          </w:rPr>
          <w:t>24</w:t>
        </w:r>
        <w:r w:rsidR="00D15428">
          <w:rPr>
            <w:noProof/>
            <w:webHidden/>
          </w:rPr>
          <w:fldChar w:fldCharType="end"/>
        </w:r>
      </w:hyperlink>
    </w:p>
    <w:p w14:paraId="5EB63667" w14:textId="2339C12E" w:rsidR="00D15428" w:rsidRDefault="00150A14">
      <w:pPr>
        <w:pStyle w:val="TOC3"/>
        <w:rPr>
          <w:rFonts w:eastAsiaTheme="minorEastAsia"/>
          <w:iCs w:val="0"/>
          <w:caps w:val="0"/>
          <w:noProof/>
          <w:sz w:val="22"/>
          <w:lang w:eastAsia="en-AU"/>
        </w:rPr>
      </w:pPr>
      <w:hyperlink w:anchor="_Toc23847472" w:history="1">
        <w:r w:rsidR="00D15428" w:rsidRPr="00642086">
          <w:rPr>
            <w:rStyle w:val="Hyperlink"/>
            <w:noProof/>
          </w:rPr>
          <w:t>Local government expenses</w:t>
        </w:r>
        <w:r w:rsidR="00D15428">
          <w:rPr>
            <w:noProof/>
            <w:webHidden/>
          </w:rPr>
          <w:tab/>
        </w:r>
        <w:r w:rsidR="00D15428">
          <w:rPr>
            <w:noProof/>
            <w:webHidden/>
          </w:rPr>
          <w:fldChar w:fldCharType="begin"/>
        </w:r>
        <w:r w:rsidR="00D15428">
          <w:rPr>
            <w:noProof/>
            <w:webHidden/>
          </w:rPr>
          <w:instrText xml:space="preserve"> PAGEREF _Toc23847472 \h </w:instrText>
        </w:r>
        <w:r w:rsidR="00D15428">
          <w:rPr>
            <w:noProof/>
            <w:webHidden/>
          </w:rPr>
        </w:r>
        <w:r w:rsidR="00D15428">
          <w:rPr>
            <w:noProof/>
            <w:webHidden/>
          </w:rPr>
          <w:fldChar w:fldCharType="separate"/>
        </w:r>
        <w:r w:rsidR="00DE7AA1">
          <w:rPr>
            <w:noProof/>
            <w:webHidden/>
          </w:rPr>
          <w:t>27</w:t>
        </w:r>
        <w:r w:rsidR="00D15428">
          <w:rPr>
            <w:noProof/>
            <w:webHidden/>
          </w:rPr>
          <w:fldChar w:fldCharType="end"/>
        </w:r>
      </w:hyperlink>
    </w:p>
    <w:p w14:paraId="0F51EED4" w14:textId="272A067F" w:rsidR="00D15428" w:rsidRDefault="00150A14">
      <w:pPr>
        <w:pStyle w:val="TOC3"/>
        <w:rPr>
          <w:rFonts w:eastAsiaTheme="minorEastAsia"/>
          <w:iCs w:val="0"/>
          <w:caps w:val="0"/>
          <w:noProof/>
          <w:sz w:val="22"/>
          <w:lang w:eastAsia="en-AU"/>
        </w:rPr>
      </w:pPr>
      <w:hyperlink w:anchor="_Toc23847473" w:history="1">
        <w:r w:rsidR="00D15428" w:rsidRPr="00642086">
          <w:rPr>
            <w:rStyle w:val="Hyperlink"/>
            <w:noProof/>
          </w:rPr>
          <w:t>Overall results</w:t>
        </w:r>
        <w:r w:rsidR="00D15428">
          <w:rPr>
            <w:noProof/>
            <w:webHidden/>
          </w:rPr>
          <w:tab/>
        </w:r>
        <w:r w:rsidR="00D15428">
          <w:rPr>
            <w:noProof/>
            <w:webHidden/>
          </w:rPr>
          <w:fldChar w:fldCharType="begin"/>
        </w:r>
        <w:r w:rsidR="00D15428">
          <w:rPr>
            <w:noProof/>
            <w:webHidden/>
          </w:rPr>
          <w:instrText xml:space="preserve"> PAGEREF _Toc23847473 \h </w:instrText>
        </w:r>
        <w:r w:rsidR="00D15428">
          <w:rPr>
            <w:noProof/>
            <w:webHidden/>
          </w:rPr>
        </w:r>
        <w:r w:rsidR="00D15428">
          <w:rPr>
            <w:noProof/>
            <w:webHidden/>
          </w:rPr>
          <w:fldChar w:fldCharType="separate"/>
        </w:r>
        <w:r w:rsidR="00DE7AA1">
          <w:rPr>
            <w:noProof/>
            <w:webHidden/>
          </w:rPr>
          <w:t>29</w:t>
        </w:r>
        <w:r w:rsidR="00D15428">
          <w:rPr>
            <w:noProof/>
            <w:webHidden/>
          </w:rPr>
          <w:fldChar w:fldCharType="end"/>
        </w:r>
      </w:hyperlink>
    </w:p>
    <w:p w14:paraId="5543F396" w14:textId="6E18E3D7" w:rsidR="00D15428" w:rsidRDefault="00150A14">
      <w:pPr>
        <w:pStyle w:val="TOC3"/>
        <w:rPr>
          <w:rFonts w:eastAsiaTheme="minorEastAsia"/>
          <w:iCs w:val="0"/>
          <w:caps w:val="0"/>
          <w:noProof/>
          <w:sz w:val="22"/>
          <w:lang w:eastAsia="en-AU"/>
        </w:rPr>
      </w:pPr>
      <w:hyperlink w:anchor="_Toc23847474" w:history="1">
        <w:r w:rsidR="00D15428" w:rsidRPr="00642086">
          <w:rPr>
            <w:rStyle w:val="Hyperlink"/>
            <w:noProof/>
          </w:rPr>
          <w:t>Infrastructure</w:t>
        </w:r>
        <w:r w:rsidR="00D15428">
          <w:rPr>
            <w:noProof/>
            <w:webHidden/>
          </w:rPr>
          <w:tab/>
        </w:r>
        <w:r w:rsidR="00D15428">
          <w:rPr>
            <w:noProof/>
            <w:webHidden/>
          </w:rPr>
          <w:fldChar w:fldCharType="begin"/>
        </w:r>
        <w:r w:rsidR="00D15428">
          <w:rPr>
            <w:noProof/>
            <w:webHidden/>
          </w:rPr>
          <w:instrText xml:space="preserve"> PAGEREF _Toc23847474 \h </w:instrText>
        </w:r>
        <w:r w:rsidR="00D15428">
          <w:rPr>
            <w:noProof/>
            <w:webHidden/>
          </w:rPr>
        </w:r>
        <w:r w:rsidR="00D15428">
          <w:rPr>
            <w:noProof/>
            <w:webHidden/>
          </w:rPr>
          <w:fldChar w:fldCharType="separate"/>
        </w:r>
        <w:r w:rsidR="00DE7AA1">
          <w:rPr>
            <w:noProof/>
            <w:webHidden/>
          </w:rPr>
          <w:t>30</w:t>
        </w:r>
        <w:r w:rsidR="00D15428">
          <w:rPr>
            <w:noProof/>
            <w:webHidden/>
          </w:rPr>
          <w:fldChar w:fldCharType="end"/>
        </w:r>
      </w:hyperlink>
    </w:p>
    <w:p w14:paraId="2AE4A0A7" w14:textId="5C1D1C4B" w:rsidR="00D15428" w:rsidRDefault="00150A14">
      <w:pPr>
        <w:pStyle w:val="TOC4"/>
        <w:rPr>
          <w:rFonts w:eastAsiaTheme="minorEastAsia"/>
          <w:noProof/>
          <w:sz w:val="22"/>
          <w:lang w:eastAsia="en-AU"/>
        </w:rPr>
      </w:pPr>
      <w:hyperlink w:anchor="_Toc23847475" w:history="1">
        <w:r w:rsidR="00D15428" w:rsidRPr="00642086">
          <w:rPr>
            <w:rStyle w:val="Hyperlink"/>
            <w:noProof/>
          </w:rPr>
          <w:t>Ports</w:t>
        </w:r>
        <w:r w:rsidR="00D15428">
          <w:rPr>
            <w:noProof/>
            <w:webHidden/>
          </w:rPr>
          <w:tab/>
        </w:r>
        <w:r w:rsidR="00D15428">
          <w:rPr>
            <w:noProof/>
            <w:webHidden/>
          </w:rPr>
          <w:fldChar w:fldCharType="begin"/>
        </w:r>
        <w:r w:rsidR="00D15428">
          <w:rPr>
            <w:noProof/>
            <w:webHidden/>
          </w:rPr>
          <w:instrText xml:space="preserve"> PAGEREF _Toc23847475 \h </w:instrText>
        </w:r>
        <w:r w:rsidR="00D15428">
          <w:rPr>
            <w:noProof/>
            <w:webHidden/>
          </w:rPr>
        </w:r>
        <w:r w:rsidR="00D15428">
          <w:rPr>
            <w:noProof/>
            <w:webHidden/>
          </w:rPr>
          <w:fldChar w:fldCharType="separate"/>
        </w:r>
        <w:r w:rsidR="00DE7AA1">
          <w:rPr>
            <w:noProof/>
            <w:webHidden/>
          </w:rPr>
          <w:t>31</w:t>
        </w:r>
        <w:r w:rsidR="00D15428">
          <w:rPr>
            <w:noProof/>
            <w:webHidden/>
          </w:rPr>
          <w:fldChar w:fldCharType="end"/>
        </w:r>
      </w:hyperlink>
    </w:p>
    <w:p w14:paraId="1FF3F45F" w14:textId="3D5F3688" w:rsidR="00D15428" w:rsidRDefault="00150A14">
      <w:pPr>
        <w:pStyle w:val="TOC4"/>
        <w:rPr>
          <w:rFonts w:eastAsiaTheme="minorEastAsia"/>
          <w:noProof/>
          <w:sz w:val="22"/>
          <w:lang w:eastAsia="en-AU"/>
        </w:rPr>
      </w:pPr>
      <w:hyperlink w:anchor="_Toc23847476" w:history="1">
        <w:r w:rsidR="00D15428" w:rsidRPr="00642086">
          <w:rPr>
            <w:rStyle w:val="Hyperlink"/>
            <w:noProof/>
          </w:rPr>
          <w:t>Airport</w:t>
        </w:r>
        <w:r w:rsidR="00D15428">
          <w:rPr>
            <w:noProof/>
            <w:webHidden/>
          </w:rPr>
          <w:tab/>
        </w:r>
        <w:r w:rsidR="00D15428">
          <w:rPr>
            <w:noProof/>
            <w:webHidden/>
          </w:rPr>
          <w:fldChar w:fldCharType="begin"/>
        </w:r>
        <w:r w:rsidR="00D15428">
          <w:rPr>
            <w:noProof/>
            <w:webHidden/>
          </w:rPr>
          <w:instrText xml:space="preserve"> PAGEREF _Toc23847476 \h </w:instrText>
        </w:r>
        <w:r w:rsidR="00D15428">
          <w:rPr>
            <w:noProof/>
            <w:webHidden/>
          </w:rPr>
        </w:r>
        <w:r w:rsidR="00D15428">
          <w:rPr>
            <w:noProof/>
            <w:webHidden/>
          </w:rPr>
          <w:fldChar w:fldCharType="separate"/>
        </w:r>
        <w:r w:rsidR="00DE7AA1">
          <w:rPr>
            <w:noProof/>
            <w:webHidden/>
          </w:rPr>
          <w:t>31</w:t>
        </w:r>
        <w:r w:rsidR="00D15428">
          <w:rPr>
            <w:noProof/>
            <w:webHidden/>
          </w:rPr>
          <w:fldChar w:fldCharType="end"/>
        </w:r>
      </w:hyperlink>
    </w:p>
    <w:p w14:paraId="6CF2A1D9" w14:textId="294DBA47" w:rsidR="00D15428" w:rsidRDefault="00150A14">
      <w:pPr>
        <w:pStyle w:val="TOC4"/>
        <w:rPr>
          <w:rFonts w:eastAsiaTheme="minorEastAsia"/>
          <w:noProof/>
          <w:sz w:val="22"/>
          <w:lang w:eastAsia="en-AU"/>
        </w:rPr>
      </w:pPr>
      <w:hyperlink w:anchor="_Toc23847477" w:history="1">
        <w:r w:rsidR="00D15428" w:rsidRPr="00642086">
          <w:rPr>
            <w:rStyle w:val="Hyperlink"/>
            <w:noProof/>
          </w:rPr>
          <w:t>Telecommunications (Norfolk Telecom)</w:t>
        </w:r>
        <w:r w:rsidR="00D15428">
          <w:rPr>
            <w:noProof/>
            <w:webHidden/>
          </w:rPr>
          <w:tab/>
        </w:r>
        <w:r w:rsidR="00D15428">
          <w:rPr>
            <w:noProof/>
            <w:webHidden/>
          </w:rPr>
          <w:fldChar w:fldCharType="begin"/>
        </w:r>
        <w:r w:rsidR="00D15428">
          <w:rPr>
            <w:noProof/>
            <w:webHidden/>
          </w:rPr>
          <w:instrText xml:space="preserve"> PAGEREF _Toc23847477 \h </w:instrText>
        </w:r>
        <w:r w:rsidR="00D15428">
          <w:rPr>
            <w:noProof/>
            <w:webHidden/>
          </w:rPr>
        </w:r>
        <w:r w:rsidR="00D15428">
          <w:rPr>
            <w:noProof/>
            <w:webHidden/>
          </w:rPr>
          <w:fldChar w:fldCharType="separate"/>
        </w:r>
        <w:r w:rsidR="00DE7AA1">
          <w:rPr>
            <w:noProof/>
            <w:webHidden/>
          </w:rPr>
          <w:t>32</w:t>
        </w:r>
        <w:r w:rsidR="00D15428">
          <w:rPr>
            <w:noProof/>
            <w:webHidden/>
          </w:rPr>
          <w:fldChar w:fldCharType="end"/>
        </w:r>
      </w:hyperlink>
    </w:p>
    <w:p w14:paraId="3337EAA8" w14:textId="013C1D94" w:rsidR="00D15428" w:rsidRDefault="00150A14">
      <w:pPr>
        <w:pStyle w:val="TOC1"/>
        <w:rPr>
          <w:rFonts w:eastAsiaTheme="minorEastAsia"/>
          <w:b w:val="0"/>
          <w:bCs w:val="0"/>
          <w:caps w:val="0"/>
          <w:noProof/>
          <w:sz w:val="22"/>
          <w:szCs w:val="22"/>
          <w:lang w:eastAsia="en-AU"/>
        </w:rPr>
      </w:pPr>
      <w:hyperlink w:anchor="_Toc23847478" w:history="1">
        <w:r w:rsidR="00D15428" w:rsidRPr="00642086">
          <w:rPr>
            <w:rStyle w:val="Hyperlink"/>
            <w:noProof/>
          </w:rPr>
          <w:t>Attachment A: Current service delivery arrangements for Norfolk Island</w:t>
        </w:r>
        <w:r w:rsidR="00D15428">
          <w:rPr>
            <w:noProof/>
            <w:webHidden/>
          </w:rPr>
          <w:tab/>
        </w:r>
        <w:r w:rsidR="00D15428">
          <w:rPr>
            <w:noProof/>
            <w:webHidden/>
          </w:rPr>
          <w:fldChar w:fldCharType="begin"/>
        </w:r>
        <w:r w:rsidR="00D15428">
          <w:rPr>
            <w:noProof/>
            <w:webHidden/>
          </w:rPr>
          <w:instrText xml:space="preserve"> PAGEREF _Toc23847478 \h </w:instrText>
        </w:r>
        <w:r w:rsidR="00D15428">
          <w:rPr>
            <w:noProof/>
            <w:webHidden/>
          </w:rPr>
        </w:r>
        <w:r w:rsidR="00D15428">
          <w:rPr>
            <w:noProof/>
            <w:webHidden/>
          </w:rPr>
          <w:fldChar w:fldCharType="separate"/>
        </w:r>
        <w:r w:rsidR="00DE7AA1">
          <w:rPr>
            <w:noProof/>
            <w:webHidden/>
          </w:rPr>
          <w:t>34</w:t>
        </w:r>
        <w:r w:rsidR="00D15428">
          <w:rPr>
            <w:noProof/>
            <w:webHidden/>
          </w:rPr>
          <w:fldChar w:fldCharType="end"/>
        </w:r>
      </w:hyperlink>
    </w:p>
    <w:p w14:paraId="03320D5F" w14:textId="1E3CDB4C" w:rsidR="00D15428" w:rsidRDefault="00150A14">
      <w:pPr>
        <w:pStyle w:val="TOC1"/>
        <w:rPr>
          <w:rFonts w:eastAsiaTheme="minorEastAsia"/>
          <w:b w:val="0"/>
          <w:bCs w:val="0"/>
          <w:caps w:val="0"/>
          <w:noProof/>
          <w:sz w:val="22"/>
          <w:szCs w:val="22"/>
          <w:lang w:eastAsia="en-AU"/>
        </w:rPr>
      </w:pPr>
      <w:hyperlink w:anchor="_Toc23847479" w:history="1">
        <w:r w:rsidR="00D15428" w:rsidRPr="00642086">
          <w:rPr>
            <w:rStyle w:val="Hyperlink"/>
            <w:noProof/>
          </w:rPr>
          <w:t>Attachment B: Norfolk Island Revenue and Expenses</w:t>
        </w:r>
        <w:r w:rsidR="00D15428">
          <w:rPr>
            <w:noProof/>
            <w:webHidden/>
          </w:rPr>
          <w:tab/>
        </w:r>
        <w:r w:rsidR="00D15428">
          <w:rPr>
            <w:noProof/>
            <w:webHidden/>
          </w:rPr>
          <w:fldChar w:fldCharType="begin"/>
        </w:r>
        <w:r w:rsidR="00D15428">
          <w:rPr>
            <w:noProof/>
            <w:webHidden/>
          </w:rPr>
          <w:instrText xml:space="preserve"> PAGEREF _Toc23847479 \h </w:instrText>
        </w:r>
        <w:r w:rsidR="00D15428">
          <w:rPr>
            <w:noProof/>
            <w:webHidden/>
          </w:rPr>
        </w:r>
        <w:r w:rsidR="00D15428">
          <w:rPr>
            <w:noProof/>
            <w:webHidden/>
          </w:rPr>
          <w:fldChar w:fldCharType="separate"/>
        </w:r>
        <w:r w:rsidR="00DE7AA1">
          <w:rPr>
            <w:noProof/>
            <w:webHidden/>
          </w:rPr>
          <w:t>36</w:t>
        </w:r>
        <w:r w:rsidR="00D15428">
          <w:rPr>
            <w:noProof/>
            <w:webHidden/>
          </w:rPr>
          <w:fldChar w:fldCharType="end"/>
        </w:r>
      </w:hyperlink>
    </w:p>
    <w:p w14:paraId="32379CED" w14:textId="1957CD25" w:rsidR="00D15428" w:rsidRDefault="00150A14">
      <w:pPr>
        <w:pStyle w:val="TOC3"/>
        <w:rPr>
          <w:rFonts w:eastAsiaTheme="minorEastAsia"/>
          <w:iCs w:val="0"/>
          <w:caps w:val="0"/>
          <w:noProof/>
          <w:sz w:val="22"/>
          <w:lang w:eastAsia="en-AU"/>
        </w:rPr>
      </w:pPr>
      <w:hyperlink w:anchor="_Toc23847480" w:history="1">
        <w:r w:rsidR="00D15428" w:rsidRPr="00642086">
          <w:rPr>
            <w:rStyle w:val="Hyperlink"/>
            <w:noProof/>
          </w:rPr>
          <w:t>Introduction</w:t>
        </w:r>
        <w:r w:rsidR="00D15428">
          <w:rPr>
            <w:noProof/>
            <w:webHidden/>
          </w:rPr>
          <w:tab/>
        </w:r>
        <w:r w:rsidR="00D15428">
          <w:rPr>
            <w:noProof/>
            <w:webHidden/>
          </w:rPr>
          <w:fldChar w:fldCharType="begin"/>
        </w:r>
        <w:r w:rsidR="00D15428">
          <w:rPr>
            <w:noProof/>
            <w:webHidden/>
          </w:rPr>
          <w:instrText xml:space="preserve"> PAGEREF _Toc23847480 \h </w:instrText>
        </w:r>
        <w:r w:rsidR="00D15428">
          <w:rPr>
            <w:noProof/>
            <w:webHidden/>
          </w:rPr>
        </w:r>
        <w:r w:rsidR="00D15428">
          <w:rPr>
            <w:noProof/>
            <w:webHidden/>
          </w:rPr>
          <w:fldChar w:fldCharType="separate"/>
        </w:r>
        <w:r w:rsidR="00DE7AA1">
          <w:rPr>
            <w:noProof/>
            <w:webHidden/>
          </w:rPr>
          <w:t>36</w:t>
        </w:r>
        <w:r w:rsidR="00D15428">
          <w:rPr>
            <w:noProof/>
            <w:webHidden/>
          </w:rPr>
          <w:fldChar w:fldCharType="end"/>
        </w:r>
      </w:hyperlink>
    </w:p>
    <w:p w14:paraId="1A8BF869" w14:textId="54F699E2" w:rsidR="00D15428" w:rsidRDefault="00150A14">
      <w:pPr>
        <w:pStyle w:val="TOC3"/>
        <w:rPr>
          <w:rFonts w:eastAsiaTheme="minorEastAsia"/>
          <w:iCs w:val="0"/>
          <w:caps w:val="0"/>
          <w:noProof/>
          <w:sz w:val="22"/>
          <w:lang w:eastAsia="en-AU"/>
        </w:rPr>
      </w:pPr>
      <w:hyperlink w:anchor="_Toc23847481" w:history="1">
        <w:r w:rsidR="00D15428" w:rsidRPr="00642086">
          <w:rPr>
            <w:rStyle w:val="Hyperlink"/>
            <w:noProof/>
          </w:rPr>
          <w:t>Data sources</w:t>
        </w:r>
        <w:r w:rsidR="00D15428">
          <w:rPr>
            <w:noProof/>
            <w:webHidden/>
          </w:rPr>
          <w:tab/>
        </w:r>
        <w:r w:rsidR="00D15428">
          <w:rPr>
            <w:noProof/>
            <w:webHidden/>
          </w:rPr>
          <w:fldChar w:fldCharType="begin"/>
        </w:r>
        <w:r w:rsidR="00D15428">
          <w:rPr>
            <w:noProof/>
            <w:webHidden/>
          </w:rPr>
          <w:instrText xml:space="preserve"> PAGEREF _Toc23847481 \h </w:instrText>
        </w:r>
        <w:r w:rsidR="00D15428">
          <w:rPr>
            <w:noProof/>
            <w:webHidden/>
          </w:rPr>
        </w:r>
        <w:r w:rsidR="00D15428">
          <w:rPr>
            <w:noProof/>
            <w:webHidden/>
          </w:rPr>
          <w:fldChar w:fldCharType="separate"/>
        </w:r>
        <w:r w:rsidR="00DE7AA1">
          <w:rPr>
            <w:noProof/>
            <w:webHidden/>
          </w:rPr>
          <w:t>36</w:t>
        </w:r>
        <w:r w:rsidR="00D15428">
          <w:rPr>
            <w:noProof/>
            <w:webHidden/>
          </w:rPr>
          <w:fldChar w:fldCharType="end"/>
        </w:r>
      </w:hyperlink>
    </w:p>
    <w:p w14:paraId="06C58321" w14:textId="55B88D4A" w:rsidR="00D15428" w:rsidRDefault="00150A14">
      <w:pPr>
        <w:pStyle w:val="TOC3"/>
        <w:rPr>
          <w:rFonts w:eastAsiaTheme="minorEastAsia"/>
          <w:iCs w:val="0"/>
          <w:caps w:val="0"/>
          <w:noProof/>
          <w:sz w:val="22"/>
          <w:lang w:eastAsia="en-AU"/>
        </w:rPr>
      </w:pPr>
      <w:hyperlink w:anchor="_Toc23847482" w:history="1">
        <w:r w:rsidR="00D15428" w:rsidRPr="00642086">
          <w:rPr>
            <w:rStyle w:val="Hyperlink"/>
            <w:noProof/>
          </w:rPr>
          <w:t>Methods</w:t>
        </w:r>
        <w:r w:rsidR="00D15428">
          <w:rPr>
            <w:noProof/>
            <w:webHidden/>
          </w:rPr>
          <w:tab/>
        </w:r>
        <w:r w:rsidR="00D15428">
          <w:rPr>
            <w:noProof/>
            <w:webHidden/>
          </w:rPr>
          <w:fldChar w:fldCharType="begin"/>
        </w:r>
        <w:r w:rsidR="00D15428">
          <w:rPr>
            <w:noProof/>
            <w:webHidden/>
          </w:rPr>
          <w:instrText xml:space="preserve"> PAGEREF _Toc23847482 \h </w:instrText>
        </w:r>
        <w:r w:rsidR="00D15428">
          <w:rPr>
            <w:noProof/>
            <w:webHidden/>
          </w:rPr>
        </w:r>
        <w:r w:rsidR="00D15428">
          <w:rPr>
            <w:noProof/>
            <w:webHidden/>
          </w:rPr>
          <w:fldChar w:fldCharType="separate"/>
        </w:r>
        <w:r w:rsidR="00DE7AA1">
          <w:rPr>
            <w:noProof/>
            <w:webHidden/>
          </w:rPr>
          <w:t>37</w:t>
        </w:r>
        <w:r w:rsidR="00D15428">
          <w:rPr>
            <w:noProof/>
            <w:webHidden/>
          </w:rPr>
          <w:fldChar w:fldCharType="end"/>
        </w:r>
      </w:hyperlink>
    </w:p>
    <w:p w14:paraId="62443831" w14:textId="458B0110" w:rsidR="00D15428" w:rsidRDefault="00150A14">
      <w:pPr>
        <w:pStyle w:val="TOC3"/>
        <w:rPr>
          <w:rFonts w:eastAsiaTheme="minorEastAsia"/>
          <w:iCs w:val="0"/>
          <w:caps w:val="0"/>
          <w:noProof/>
          <w:sz w:val="22"/>
          <w:lang w:eastAsia="en-AU"/>
        </w:rPr>
      </w:pPr>
      <w:hyperlink w:anchor="_Toc23847483" w:history="1">
        <w:r w:rsidR="00D15428" w:rsidRPr="00642086">
          <w:rPr>
            <w:rStyle w:val="Hyperlink"/>
            <w:noProof/>
          </w:rPr>
          <w:t>Norfolk island revenues and expenses</w:t>
        </w:r>
        <w:r w:rsidR="00D15428">
          <w:rPr>
            <w:noProof/>
            <w:webHidden/>
          </w:rPr>
          <w:tab/>
        </w:r>
        <w:r w:rsidR="00D15428">
          <w:rPr>
            <w:noProof/>
            <w:webHidden/>
          </w:rPr>
          <w:fldChar w:fldCharType="begin"/>
        </w:r>
        <w:r w:rsidR="00D15428">
          <w:rPr>
            <w:noProof/>
            <w:webHidden/>
          </w:rPr>
          <w:instrText xml:space="preserve"> PAGEREF _Toc23847483 \h </w:instrText>
        </w:r>
        <w:r w:rsidR="00D15428">
          <w:rPr>
            <w:noProof/>
            <w:webHidden/>
          </w:rPr>
        </w:r>
        <w:r w:rsidR="00D15428">
          <w:rPr>
            <w:noProof/>
            <w:webHidden/>
          </w:rPr>
          <w:fldChar w:fldCharType="separate"/>
        </w:r>
        <w:r w:rsidR="00DE7AA1">
          <w:rPr>
            <w:noProof/>
            <w:webHidden/>
          </w:rPr>
          <w:t>38</w:t>
        </w:r>
        <w:r w:rsidR="00D15428">
          <w:rPr>
            <w:noProof/>
            <w:webHidden/>
          </w:rPr>
          <w:fldChar w:fldCharType="end"/>
        </w:r>
      </w:hyperlink>
    </w:p>
    <w:p w14:paraId="6E2C9A45" w14:textId="2C7FFD9E" w:rsidR="00D15428" w:rsidRDefault="00150A14">
      <w:pPr>
        <w:pStyle w:val="TOC1"/>
        <w:rPr>
          <w:rFonts w:eastAsiaTheme="minorEastAsia"/>
          <w:b w:val="0"/>
          <w:bCs w:val="0"/>
          <w:caps w:val="0"/>
          <w:noProof/>
          <w:sz w:val="22"/>
          <w:szCs w:val="22"/>
          <w:lang w:eastAsia="en-AU"/>
        </w:rPr>
      </w:pPr>
      <w:hyperlink w:anchor="_Toc23847484" w:history="1">
        <w:r w:rsidR="00D15428" w:rsidRPr="00642086">
          <w:rPr>
            <w:rStyle w:val="Hyperlink"/>
            <w:noProof/>
          </w:rPr>
          <w:t>Attachment C: State taxes and charges</w:t>
        </w:r>
        <w:r w:rsidR="00D15428">
          <w:rPr>
            <w:noProof/>
            <w:webHidden/>
          </w:rPr>
          <w:tab/>
        </w:r>
        <w:r w:rsidR="00D15428">
          <w:rPr>
            <w:noProof/>
            <w:webHidden/>
          </w:rPr>
          <w:fldChar w:fldCharType="begin"/>
        </w:r>
        <w:r w:rsidR="00D15428">
          <w:rPr>
            <w:noProof/>
            <w:webHidden/>
          </w:rPr>
          <w:instrText xml:space="preserve"> PAGEREF _Toc23847484 \h </w:instrText>
        </w:r>
        <w:r w:rsidR="00D15428">
          <w:rPr>
            <w:noProof/>
            <w:webHidden/>
          </w:rPr>
        </w:r>
        <w:r w:rsidR="00D15428">
          <w:rPr>
            <w:noProof/>
            <w:webHidden/>
          </w:rPr>
          <w:fldChar w:fldCharType="separate"/>
        </w:r>
        <w:r w:rsidR="00DE7AA1">
          <w:rPr>
            <w:noProof/>
            <w:webHidden/>
          </w:rPr>
          <w:t>42</w:t>
        </w:r>
        <w:r w:rsidR="00D15428">
          <w:rPr>
            <w:noProof/>
            <w:webHidden/>
          </w:rPr>
          <w:fldChar w:fldCharType="end"/>
        </w:r>
      </w:hyperlink>
    </w:p>
    <w:p w14:paraId="40274D8A" w14:textId="113C18E9" w:rsidR="00D15428" w:rsidRDefault="00150A14">
      <w:pPr>
        <w:pStyle w:val="TOC3"/>
        <w:rPr>
          <w:rFonts w:eastAsiaTheme="minorEastAsia"/>
          <w:iCs w:val="0"/>
          <w:caps w:val="0"/>
          <w:noProof/>
          <w:sz w:val="22"/>
          <w:lang w:eastAsia="en-AU"/>
        </w:rPr>
      </w:pPr>
      <w:hyperlink w:anchor="_Toc23847485" w:history="1">
        <w:r w:rsidR="00D15428" w:rsidRPr="00642086">
          <w:rPr>
            <w:rStyle w:val="Hyperlink"/>
            <w:noProof/>
          </w:rPr>
          <w:t>Introduction</w:t>
        </w:r>
        <w:r w:rsidR="00D15428">
          <w:rPr>
            <w:noProof/>
            <w:webHidden/>
          </w:rPr>
          <w:tab/>
        </w:r>
        <w:r w:rsidR="00D15428">
          <w:rPr>
            <w:noProof/>
            <w:webHidden/>
          </w:rPr>
          <w:fldChar w:fldCharType="begin"/>
        </w:r>
        <w:r w:rsidR="00D15428">
          <w:rPr>
            <w:noProof/>
            <w:webHidden/>
          </w:rPr>
          <w:instrText xml:space="preserve"> PAGEREF _Toc23847485 \h </w:instrText>
        </w:r>
        <w:r w:rsidR="00D15428">
          <w:rPr>
            <w:noProof/>
            <w:webHidden/>
          </w:rPr>
        </w:r>
        <w:r w:rsidR="00D15428">
          <w:rPr>
            <w:noProof/>
            <w:webHidden/>
          </w:rPr>
          <w:fldChar w:fldCharType="separate"/>
        </w:r>
        <w:r w:rsidR="00DE7AA1">
          <w:rPr>
            <w:noProof/>
            <w:webHidden/>
          </w:rPr>
          <w:t>42</w:t>
        </w:r>
        <w:r w:rsidR="00D15428">
          <w:rPr>
            <w:noProof/>
            <w:webHidden/>
          </w:rPr>
          <w:fldChar w:fldCharType="end"/>
        </w:r>
      </w:hyperlink>
    </w:p>
    <w:p w14:paraId="3ED6865E" w14:textId="5C1A4506" w:rsidR="00D15428" w:rsidRDefault="00150A14">
      <w:pPr>
        <w:pStyle w:val="TOC3"/>
        <w:rPr>
          <w:rFonts w:eastAsiaTheme="minorEastAsia"/>
          <w:iCs w:val="0"/>
          <w:caps w:val="0"/>
          <w:noProof/>
          <w:sz w:val="22"/>
          <w:lang w:eastAsia="en-AU"/>
        </w:rPr>
      </w:pPr>
      <w:hyperlink w:anchor="_Toc23847486" w:history="1">
        <w:r w:rsidR="00D15428" w:rsidRPr="00642086">
          <w:rPr>
            <w:rStyle w:val="Hyperlink"/>
            <w:noProof/>
          </w:rPr>
          <w:t>Method</w:t>
        </w:r>
        <w:r w:rsidR="00D15428">
          <w:rPr>
            <w:noProof/>
            <w:webHidden/>
          </w:rPr>
          <w:tab/>
        </w:r>
        <w:r w:rsidR="00D15428">
          <w:rPr>
            <w:noProof/>
            <w:webHidden/>
          </w:rPr>
          <w:fldChar w:fldCharType="begin"/>
        </w:r>
        <w:r w:rsidR="00D15428">
          <w:rPr>
            <w:noProof/>
            <w:webHidden/>
          </w:rPr>
          <w:instrText xml:space="preserve"> PAGEREF _Toc23847486 \h </w:instrText>
        </w:r>
        <w:r w:rsidR="00D15428">
          <w:rPr>
            <w:noProof/>
            <w:webHidden/>
          </w:rPr>
        </w:r>
        <w:r w:rsidR="00D15428">
          <w:rPr>
            <w:noProof/>
            <w:webHidden/>
          </w:rPr>
          <w:fldChar w:fldCharType="separate"/>
        </w:r>
        <w:r w:rsidR="00DE7AA1">
          <w:rPr>
            <w:noProof/>
            <w:webHidden/>
          </w:rPr>
          <w:t>42</w:t>
        </w:r>
        <w:r w:rsidR="00D15428">
          <w:rPr>
            <w:noProof/>
            <w:webHidden/>
          </w:rPr>
          <w:fldChar w:fldCharType="end"/>
        </w:r>
      </w:hyperlink>
    </w:p>
    <w:p w14:paraId="46ED98D1" w14:textId="2E92AB26" w:rsidR="00D15428" w:rsidRDefault="00150A14">
      <w:pPr>
        <w:pStyle w:val="TOC3"/>
        <w:rPr>
          <w:rFonts w:eastAsiaTheme="minorEastAsia"/>
          <w:iCs w:val="0"/>
          <w:caps w:val="0"/>
          <w:noProof/>
          <w:sz w:val="22"/>
          <w:lang w:eastAsia="en-AU"/>
        </w:rPr>
      </w:pPr>
      <w:hyperlink w:anchor="_Toc23847487" w:history="1">
        <w:r w:rsidR="00D15428" w:rsidRPr="00642086">
          <w:rPr>
            <w:rStyle w:val="Hyperlink"/>
            <w:noProof/>
          </w:rPr>
          <w:t>Payroll tax</w:t>
        </w:r>
        <w:r w:rsidR="00D15428">
          <w:rPr>
            <w:noProof/>
            <w:webHidden/>
          </w:rPr>
          <w:tab/>
        </w:r>
        <w:r w:rsidR="00D15428">
          <w:rPr>
            <w:noProof/>
            <w:webHidden/>
          </w:rPr>
          <w:fldChar w:fldCharType="begin"/>
        </w:r>
        <w:r w:rsidR="00D15428">
          <w:rPr>
            <w:noProof/>
            <w:webHidden/>
          </w:rPr>
          <w:instrText xml:space="preserve"> PAGEREF _Toc23847487 \h </w:instrText>
        </w:r>
        <w:r w:rsidR="00D15428">
          <w:rPr>
            <w:noProof/>
            <w:webHidden/>
          </w:rPr>
        </w:r>
        <w:r w:rsidR="00D15428">
          <w:rPr>
            <w:noProof/>
            <w:webHidden/>
          </w:rPr>
          <w:fldChar w:fldCharType="separate"/>
        </w:r>
        <w:r w:rsidR="00DE7AA1">
          <w:rPr>
            <w:noProof/>
            <w:webHidden/>
          </w:rPr>
          <w:t>43</w:t>
        </w:r>
        <w:r w:rsidR="00D15428">
          <w:rPr>
            <w:noProof/>
            <w:webHidden/>
          </w:rPr>
          <w:fldChar w:fldCharType="end"/>
        </w:r>
      </w:hyperlink>
    </w:p>
    <w:p w14:paraId="240C6D82" w14:textId="1C257912" w:rsidR="00D15428" w:rsidRDefault="00150A14">
      <w:pPr>
        <w:pStyle w:val="TOC4"/>
        <w:rPr>
          <w:rFonts w:eastAsiaTheme="minorEastAsia"/>
          <w:noProof/>
          <w:sz w:val="22"/>
          <w:lang w:eastAsia="en-AU"/>
        </w:rPr>
      </w:pPr>
      <w:hyperlink w:anchor="_Toc23847488" w:history="1">
        <w:r w:rsidR="00D15428" w:rsidRPr="00642086">
          <w:rPr>
            <w:rStyle w:val="Hyperlink"/>
            <w:noProof/>
          </w:rPr>
          <w:t>State and Norfolk Island taxation arrangements</w:t>
        </w:r>
        <w:r w:rsidR="00D15428">
          <w:rPr>
            <w:noProof/>
            <w:webHidden/>
          </w:rPr>
          <w:tab/>
        </w:r>
        <w:r w:rsidR="00D15428">
          <w:rPr>
            <w:noProof/>
            <w:webHidden/>
          </w:rPr>
          <w:fldChar w:fldCharType="begin"/>
        </w:r>
        <w:r w:rsidR="00D15428">
          <w:rPr>
            <w:noProof/>
            <w:webHidden/>
          </w:rPr>
          <w:instrText xml:space="preserve"> PAGEREF _Toc23847488 \h </w:instrText>
        </w:r>
        <w:r w:rsidR="00D15428">
          <w:rPr>
            <w:noProof/>
            <w:webHidden/>
          </w:rPr>
        </w:r>
        <w:r w:rsidR="00D15428">
          <w:rPr>
            <w:noProof/>
            <w:webHidden/>
          </w:rPr>
          <w:fldChar w:fldCharType="separate"/>
        </w:r>
        <w:r w:rsidR="00DE7AA1">
          <w:rPr>
            <w:noProof/>
            <w:webHidden/>
          </w:rPr>
          <w:t>43</w:t>
        </w:r>
        <w:r w:rsidR="00D15428">
          <w:rPr>
            <w:noProof/>
            <w:webHidden/>
          </w:rPr>
          <w:fldChar w:fldCharType="end"/>
        </w:r>
      </w:hyperlink>
    </w:p>
    <w:p w14:paraId="0BD1D711" w14:textId="440334B1" w:rsidR="00D15428" w:rsidRDefault="00150A14">
      <w:pPr>
        <w:pStyle w:val="TOC4"/>
        <w:rPr>
          <w:rFonts w:eastAsiaTheme="minorEastAsia"/>
          <w:noProof/>
          <w:sz w:val="22"/>
          <w:lang w:eastAsia="en-AU"/>
        </w:rPr>
      </w:pPr>
      <w:hyperlink w:anchor="_Toc23847489" w:history="1">
        <w:r w:rsidR="00D15428" w:rsidRPr="00642086">
          <w:rPr>
            <w:rStyle w:val="Hyperlink"/>
            <w:noProof/>
          </w:rPr>
          <w:t>Assessed revenue for Norfolk Island</w:t>
        </w:r>
        <w:r w:rsidR="00D15428">
          <w:rPr>
            <w:noProof/>
            <w:webHidden/>
          </w:rPr>
          <w:tab/>
        </w:r>
        <w:r w:rsidR="00D15428">
          <w:rPr>
            <w:noProof/>
            <w:webHidden/>
          </w:rPr>
          <w:fldChar w:fldCharType="begin"/>
        </w:r>
        <w:r w:rsidR="00D15428">
          <w:rPr>
            <w:noProof/>
            <w:webHidden/>
          </w:rPr>
          <w:instrText xml:space="preserve"> PAGEREF _Toc23847489 \h </w:instrText>
        </w:r>
        <w:r w:rsidR="00D15428">
          <w:rPr>
            <w:noProof/>
            <w:webHidden/>
          </w:rPr>
        </w:r>
        <w:r w:rsidR="00D15428">
          <w:rPr>
            <w:noProof/>
            <w:webHidden/>
          </w:rPr>
          <w:fldChar w:fldCharType="separate"/>
        </w:r>
        <w:r w:rsidR="00DE7AA1">
          <w:rPr>
            <w:noProof/>
            <w:webHidden/>
          </w:rPr>
          <w:t>44</w:t>
        </w:r>
        <w:r w:rsidR="00D15428">
          <w:rPr>
            <w:noProof/>
            <w:webHidden/>
          </w:rPr>
          <w:fldChar w:fldCharType="end"/>
        </w:r>
      </w:hyperlink>
    </w:p>
    <w:p w14:paraId="0C345B8E" w14:textId="63454B31" w:rsidR="00D15428" w:rsidRDefault="00150A14">
      <w:pPr>
        <w:pStyle w:val="TOC3"/>
        <w:rPr>
          <w:rFonts w:eastAsiaTheme="minorEastAsia"/>
          <w:iCs w:val="0"/>
          <w:caps w:val="0"/>
          <w:noProof/>
          <w:sz w:val="22"/>
          <w:lang w:eastAsia="en-AU"/>
        </w:rPr>
      </w:pPr>
      <w:hyperlink w:anchor="_Toc23847490" w:history="1">
        <w:r w:rsidR="00D15428" w:rsidRPr="00642086">
          <w:rPr>
            <w:rStyle w:val="Hyperlink"/>
            <w:noProof/>
          </w:rPr>
          <w:t>Land tax</w:t>
        </w:r>
        <w:r w:rsidR="00D15428">
          <w:rPr>
            <w:noProof/>
            <w:webHidden/>
          </w:rPr>
          <w:tab/>
        </w:r>
        <w:r w:rsidR="00D15428">
          <w:rPr>
            <w:noProof/>
            <w:webHidden/>
          </w:rPr>
          <w:fldChar w:fldCharType="begin"/>
        </w:r>
        <w:r w:rsidR="00D15428">
          <w:rPr>
            <w:noProof/>
            <w:webHidden/>
          </w:rPr>
          <w:instrText xml:space="preserve"> PAGEREF _Toc23847490 \h </w:instrText>
        </w:r>
        <w:r w:rsidR="00D15428">
          <w:rPr>
            <w:noProof/>
            <w:webHidden/>
          </w:rPr>
        </w:r>
        <w:r w:rsidR="00D15428">
          <w:rPr>
            <w:noProof/>
            <w:webHidden/>
          </w:rPr>
          <w:fldChar w:fldCharType="separate"/>
        </w:r>
        <w:r w:rsidR="00DE7AA1">
          <w:rPr>
            <w:noProof/>
            <w:webHidden/>
          </w:rPr>
          <w:t>45</w:t>
        </w:r>
        <w:r w:rsidR="00D15428">
          <w:rPr>
            <w:noProof/>
            <w:webHidden/>
          </w:rPr>
          <w:fldChar w:fldCharType="end"/>
        </w:r>
      </w:hyperlink>
    </w:p>
    <w:p w14:paraId="4FA908CA" w14:textId="040021C8" w:rsidR="00D15428" w:rsidRDefault="00150A14">
      <w:pPr>
        <w:pStyle w:val="TOC4"/>
        <w:rPr>
          <w:rFonts w:eastAsiaTheme="minorEastAsia"/>
          <w:noProof/>
          <w:sz w:val="22"/>
          <w:lang w:eastAsia="en-AU"/>
        </w:rPr>
      </w:pPr>
      <w:hyperlink w:anchor="_Toc23847491" w:history="1">
        <w:r w:rsidR="00D15428" w:rsidRPr="00642086">
          <w:rPr>
            <w:rStyle w:val="Hyperlink"/>
            <w:noProof/>
          </w:rPr>
          <w:t>State and Norfolk Island taxation arrangements</w:t>
        </w:r>
        <w:r w:rsidR="00D15428">
          <w:rPr>
            <w:noProof/>
            <w:webHidden/>
          </w:rPr>
          <w:tab/>
        </w:r>
        <w:r w:rsidR="00D15428">
          <w:rPr>
            <w:noProof/>
            <w:webHidden/>
          </w:rPr>
          <w:fldChar w:fldCharType="begin"/>
        </w:r>
        <w:r w:rsidR="00D15428">
          <w:rPr>
            <w:noProof/>
            <w:webHidden/>
          </w:rPr>
          <w:instrText xml:space="preserve"> PAGEREF _Toc23847491 \h </w:instrText>
        </w:r>
        <w:r w:rsidR="00D15428">
          <w:rPr>
            <w:noProof/>
            <w:webHidden/>
          </w:rPr>
        </w:r>
        <w:r w:rsidR="00D15428">
          <w:rPr>
            <w:noProof/>
            <w:webHidden/>
          </w:rPr>
          <w:fldChar w:fldCharType="separate"/>
        </w:r>
        <w:r w:rsidR="00DE7AA1">
          <w:rPr>
            <w:noProof/>
            <w:webHidden/>
          </w:rPr>
          <w:t>45</w:t>
        </w:r>
        <w:r w:rsidR="00D15428">
          <w:rPr>
            <w:noProof/>
            <w:webHidden/>
          </w:rPr>
          <w:fldChar w:fldCharType="end"/>
        </w:r>
      </w:hyperlink>
    </w:p>
    <w:p w14:paraId="22C2FBAF" w14:textId="2BEA3F81" w:rsidR="00D15428" w:rsidRDefault="00150A14">
      <w:pPr>
        <w:pStyle w:val="TOC4"/>
        <w:rPr>
          <w:rFonts w:eastAsiaTheme="minorEastAsia"/>
          <w:noProof/>
          <w:sz w:val="22"/>
          <w:lang w:eastAsia="en-AU"/>
        </w:rPr>
      </w:pPr>
      <w:hyperlink w:anchor="_Toc23847492" w:history="1">
        <w:r w:rsidR="00D15428" w:rsidRPr="00642086">
          <w:rPr>
            <w:rStyle w:val="Hyperlink"/>
            <w:noProof/>
          </w:rPr>
          <w:t>Assessed revenue for Norfolk Island</w:t>
        </w:r>
        <w:r w:rsidR="00D15428">
          <w:rPr>
            <w:noProof/>
            <w:webHidden/>
          </w:rPr>
          <w:tab/>
        </w:r>
        <w:r w:rsidR="00D15428">
          <w:rPr>
            <w:noProof/>
            <w:webHidden/>
          </w:rPr>
          <w:fldChar w:fldCharType="begin"/>
        </w:r>
        <w:r w:rsidR="00D15428">
          <w:rPr>
            <w:noProof/>
            <w:webHidden/>
          </w:rPr>
          <w:instrText xml:space="preserve"> PAGEREF _Toc23847492 \h </w:instrText>
        </w:r>
        <w:r w:rsidR="00D15428">
          <w:rPr>
            <w:noProof/>
            <w:webHidden/>
          </w:rPr>
        </w:r>
        <w:r w:rsidR="00D15428">
          <w:rPr>
            <w:noProof/>
            <w:webHidden/>
          </w:rPr>
          <w:fldChar w:fldCharType="separate"/>
        </w:r>
        <w:r w:rsidR="00DE7AA1">
          <w:rPr>
            <w:noProof/>
            <w:webHidden/>
          </w:rPr>
          <w:t>45</w:t>
        </w:r>
        <w:r w:rsidR="00D15428">
          <w:rPr>
            <w:noProof/>
            <w:webHidden/>
          </w:rPr>
          <w:fldChar w:fldCharType="end"/>
        </w:r>
      </w:hyperlink>
    </w:p>
    <w:p w14:paraId="2D3E3B4C" w14:textId="29AAB199" w:rsidR="00D15428" w:rsidRDefault="00150A14">
      <w:pPr>
        <w:pStyle w:val="TOC3"/>
        <w:rPr>
          <w:rFonts w:eastAsiaTheme="minorEastAsia"/>
          <w:iCs w:val="0"/>
          <w:caps w:val="0"/>
          <w:noProof/>
          <w:sz w:val="22"/>
          <w:lang w:eastAsia="en-AU"/>
        </w:rPr>
      </w:pPr>
      <w:hyperlink w:anchor="_Toc23847493" w:history="1">
        <w:r w:rsidR="00D15428" w:rsidRPr="00642086">
          <w:rPr>
            <w:rStyle w:val="Hyperlink"/>
            <w:noProof/>
          </w:rPr>
          <w:t>Stamp duty on conveyances</w:t>
        </w:r>
        <w:r w:rsidR="00D15428">
          <w:rPr>
            <w:noProof/>
            <w:webHidden/>
          </w:rPr>
          <w:tab/>
        </w:r>
        <w:r w:rsidR="00D15428">
          <w:rPr>
            <w:noProof/>
            <w:webHidden/>
          </w:rPr>
          <w:fldChar w:fldCharType="begin"/>
        </w:r>
        <w:r w:rsidR="00D15428">
          <w:rPr>
            <w:noProof/>
            <w:webHidden/>
          </w:rPr>
          <w:instrText xml:space="preserve"> PAGEREF _Toc23847493 \h </w:instrText>
        </w:r>
        <w:r w:rsidR="00D15428">
          <w:rPr>
            <w:noProof/>
            <w:webHidden/>
          </w:rPr>
        </w:r>
        <w:r w:rsidR="00D15428">
          <w:rPr>
            <w:noProof/>
            <w:webHidden/>
          </w:rPr>
          <w:fldChar w:fldCharType="separate"/>
        </w:r>
        <w:r w:rsidR="00DE7AA1">
          <w:rPr>
            <w:noProof/>
            <w:webHidden/>
          </w:rPr>
          <w:t>46</w:t>
        </w:r>
        <w:r w:rsidR="00D15428">
          <w:rPr>
            <w:noProof/>
            <w:webHidden/>
          </w:rPr>
          <w:fldChar w:fldCharType="end"/>
        </w:r>
      </w:hyperlink>
    </w:p>
    <w:p w14:paraId="47759A77" w14:textId="0F24DE42" w:rsidR="00D15428" w:rsidRDefault="00150A14">
      <w:pPr>
        <w:pStyle w:val="TOC4"/>
        <w:rPr>
          <w:rFonts w:eastAsiaTheme="minorEastAsia"/>
          <w:noProof/>
          <w:sz w:val="22"/>
          <w:lang w:eastAsia="en-AU"/>
        </w:rPr>
      </w:pPr>
      <w:hyperlink w:anchor="_Toc23847494" w:history="1">
        <w:r w:rsidR="00D15428" w:rsidRPr="00642086">
          <w:rPr>
            <w:rStyle w:val="Hyperlink"/>
            <w:noProof/>
          </w:rPr>
          <w:t>State and Norfolk Island taxation arrangements</w:t>
        </w:r>
        <w:r w:rsidR="00D15428">
          <w:rPr>
            <w:noProof/>
            <w:webHidden/>
          </w:rPr>
          <w:tab/>
        </w:r>
        <w:r w:rsidR="00D15428">
          <w:rPr>
            <w:noProof/>
            <w:webHidden/>
          </w:rPr>
          <w:fldChar w:fldCharType="begin"/>
        </w:r>
        <w:r w:rsidR="00D15428">
          <w:rPr>
            <w:noProof/>
            <w:webHidden/>
          </w:rPr>
          <w:instrText xml:space="preserve"> PAGEREF _Toc23847494 \h </w:instrText>
        </w:r>
        <w:r w:rsidR="00D15428">
          <w:rPr>
            <w:noProof/>
            <w:webHidden/>
          </w:rPr>
        </w:r>
        <w:r w:rsidR="00D15428">
          <w:rPr>
            <w:noProof/>
            <w:webHidden/>
          </w:rPr>
          <w:fldChar w:fldCharType="separate"/>
        </w:r>
        <w:r w:rsidR="00DE7AA1">
          <w:rPr>
            <w:noProof/>
            <w:webHidden/>
          </w:rPr>
          <w:t>46</w:t>
        </w:r>
        <w:r w:rsidR="00D15428">
          <w:rPr>
            <w:noProof/>
            <w:webHidden/>
          </w:rPr>
          <w:fldChar w:fldCharType="end"/>
        </w:r>
      </w:hyperlink>
    </w:p>
    <w:p w14:paraId="05B3A87E" w14:textId="0AD499F9" w:rsidR="00D15428" w:rsidRDefault="00150A14">
      <w:pPr>
        <w:pStyle w:val="TOC4"/>
        <w:rPr>
          <w:rFonts w:eastAsiaTheme="minorEastAsia"/>
          <w:noProof/>
          <w:sz w:val="22"/>
          <w:lang w:eastAsia="en-AU"/>
        </w:rPr>
      </w:pPr>
      <w:hyperlink w:anchor="_Toc23847495" w:history="1">
        <w:r w:rsidR="00D15428" w:rsidRPr="00642086">
          <w:rPr>
            <w:rStyle w:val="Hyperlink"/>
            <w:noProof/>
          </w:rPr>
          <w:t>Assessed revenue for Norfolk Island</w:t>
        </w:r>
        <w:r w:rsidR="00D15428">
          <w:rPr>
            <w:noProof/>
            <w:webHidden/>
          </w:rPr>
          <w:tab/>
        </w:r>
        <w:r w:rsidR="00D15428">
          <w:rPr>
            <w:noProof/>
            <w:webHidden/>
          </w:rPr>
          <w:fldChar w:fldCharType="begin"/>
        </w:r>
        <w:r w:rsidR="00D15428">
          <w:rPr>
            <w:noProof/>
            <w:webHidden/>
          </w:rPr>
          <w:instrText xml:space="preserve"> PAGEREF _Toc23847495 \h </w:instrText>
        </w:r>
        <w:r w:rsidR="00D15428">
          <w:rPr>
            <w:noProof/>
            <w:webHidden/>
          </w:rPr>
        </w:r>
        <w:r w:rsidR="00D15428">
          <w:rPr>
            <w:noProof/>
            <w:webHidden/>
          </w:rPr>
          <w:fldChar w:fldCharType="separate"/>
        </w:r>
        <w:r w:rsidR="00DE7AA1">
          <w:rPr>
            <w:noProof/>
            <w:webHidden/>
          </w:rPr>
          <w:t>47</w:t>
        </w:r>
        <w:r w:rsidR="00D15428">
          <w:rPr>
            <w:noProof/>
            <w:webHidden/>
          </w:rPr>
          <w:fldChar w:fldCharType="end"/>
        </w:r>
      </w:hyperlink>
    </w:p>
    <w:p w14:paraId="58539468" w14:textId="0386F355" w:rsidR="00D15428" w:rsidRDefault="00150A14">
      <w:pPr>
        <w:pStyle w:val="TOC3"/>
        <w:rPr>
          <w:rFonts w:eastAsiaTheme="minorEastAsia"/>
          <w:iCs w:val="0"/>
          <w:caps w:val="0"/>
          <w:noProof/>
          <w:sz w:val="22"/>
          <w:lang w:eastAsia="en-AU"/>
        </w:rPr>
      </w:pPr>
      <w:hyperlink w:anchor="_Toc23847496" w:history="1">
        <w:r w:rsidR="00D15428" w:rsidRPr="00642086">
          <w:rPr>
            <w:rStyle w:val="Hyperlink"/>
            <w:noProof/>
          </w:rPr>
          <w:t>Insurance tax</w:t>
        </w:r>
        <w:r w:rsidR="00D15428">
          <w:rPr>
            <w:noProof/>
            <w:webHidden/>
          </w:rPr>
          <w:tab/>
        </w:r>
        <w:r w:rsidR="00D15428">
          <w:rPr>
            <w:noProof/>
            <w:webHidden/>
          </w:rPr>
          <w:fldChar w:fldCharType="begin"/>
        </w:r>
        <w:r w:rsidR="00D15428">
          <w:rPr>
            <w:noProof/>
            <w:webHidden/>
          </w:rPr>
          <w:instrText xml:space="preserve"> PAGEREF _Toc23847496 \h </w:instrText>
        </w:r>
        <w:r w:rsidR="00D15428">
          <w:rPr>
            <w:noProof/>
            <w:webHidden/>
          </w:rPr>
        </w:r>
        <w:r w:rsidR="00D15428">
          <w:rPr>
            <w:noProof/>
            <w:webHidden/>
          </w:rPr>
          <w:fldChar w:fldCharType="separate"/>
        </w:r>
        <w:r w:rsidR="00DE7AA1">
          <w:rPr>
            <w:noProof/>
            <w:webHidden/>
          </w:rPr>
          <w:t>48</w:t>
        </w:r>
        <w:r w:rsidR="00D15428">
          <w:rPr>
            <w:noProof/>
            <w:webHidden/>
          </w:rPr>
          <w:fldChar w:fldCharType="end"/>
        </w:r>
      </w:hyperlink>
    </w:p>
    <w:p w14:paraId="1971412F" w14:textId="6B1AC956" w:rsidR="00D15428" w:rsidRDefault="00150A14">
      <w:pPr>
        <w:pStyle w:val="TOC4"/>
        <w:rPr>
          <w:rFonts w:eastAsiaTheme="minorEastAsia"/>
          <w:noProof/>
          <w:sz w:val="22"/>
          <w:lang w:eastAsia="en-AU"/>
        </w:rPr>
      </w:pPr>
      <w:hyperlink w:anchor="_Toc23847497" w:history="1">
        <w:r w:rsidR="00D15428" w:rsidRPr="00642086">
          <w:rPr>
            <w:rStyle w:val="Hyperlink"/>
            <w:noProof/>
          </w:rPr>
          <w:t>State and Norfolk Island taxation arrangements</w:t>
        </w:r>
        <w:r w:rsidR="00D15428">
          <w:rPr>
            <w:noProof/>
            <w:webHidden/>
          </w:rPr>
          <w:tab/>
        </w:r>
        <w:r w:rsidR="00D15428">
          <w:rPr>
            <w:noProof/>
            <w:webHidden/>
          </w:rPr>
          <w:fldChar w:fldCharType="begin"/>
        </w:r>
        <w:r w:rsidR="00D15428">
          <w:rPr>
            <w:noProof/>
            <w:webHidden/>
          </w:rPr>
          <w:instrText xml:space="preserve"> PAGEREF _Toc23847497 \h </w:instrText>
        </w:r>
        <w:r w:rsidR="00D15428">
          <w:rPr>
            <w:noProof/>
            <w:webHidden/>
          </w:rPr>
        </w:r>
        <w:r w:rsidR="00D15428">
          <w:rPr>
            <w:noProof/>
            <w:webHidden/>
          </w:rPr>
          <w:fldChar w:fldCharType="separate"/>
        </w:r>
        <w:r w:rsidR="00DE7AA1">
          <w:rPr>
            <w:noProof/>
            <w:webHidden/>
          </w:rPr>
          <w:t>48</w:t>
        </w:r>
        <w:r w:rsidR="00D15428">
          <w:rPr>
            <w:noProof/>
            <w:webHidden/>
          </w:rPr>
          <w:fldChar w:fldCharType="end"/>
        </w:r>
      </w:hyperlink>
    </w:p>
    <w:p w14:paraId="28DE7507" w14:textId="1C5FE04F" w:rsidR="00D15428" w:rsidRDefault="00150A14">
      <w:pPr>
        <w:pStyle w:val="TOC4"/>
        <w:rPr>
          <w:rFonts w:eastAsiaTheme="minorEastAsia"/>
          <w:noProof/>
          <w:sz w:val="22"/>
          <w:lang w:eastAsia="en-AU"/>
        </w:rPr>
      </w:pPr>
      <w:hyperlink w:anchor="_Toc23847498" w:history="1">
        <w:r w:rsidR="00D15428" w:rsidRPr="00642086">
          <w:rPr>
            <w:rStyle w:val="Hyperlink"/>
            <w:noProof/>
          </w:rPr>
          <w:t>Assessed revenue for Norfolk Island</w:t>
        </w:r>
        <w:r w:rsidR="00D15428">
          <w:rPr>
            <w:noProof/>
            <w:webHidden/>
          </w:rPr>
          <w:tab/>
        </w:r>
        <w:r w:rsidR="00D15428">
          <w:rPr>
            <w:noProof/>
            <w:webHidden/>
          </w:rPr>
          <w:fldChar w:fldCharType="begin"/>
        </w:r>
        <w:r w:rsidR="00D15428">
          <w:rPr>
            <w:noProof/>
            <w:webHidden/>
          </w:rPr>
          <w:instrText xml:space="preserve"> PAGEREF _Toc23847498 \h </w:instrText>
        </w:r>
        <w:r w:rsidR="00D15428">
          <w:rPr>
            <w:noProof/>
            <w:webHidden/>
          </w:rPr>
        </w:r>
        <w:r w:rsidR="00D15428">
          <w:rPr>
            <w:noProof/>
            <w:webHidden/>
          </w:rPr>
          <w:fldChar w:fldCharType="separate"/>
        </w:r>
        <w:r w:rsidR="00DE7AA1">
          <w:rPr>
            <w:noProof/>
            <w:webHidden/>
          </w:rPr>
          <w:t>49</w:t>
        </w:r>
        <w:r w:rsidR="00D15428">
          <w:rPr>
            <w:noProof/>
            <w:webHidden/>
          </w:rPr>
          <w:fldChar w:fldCharType="end"/>
        </w:r>
      </w:hyperlink>
    </w:p>
    <w:p w14:paraId="793C55EC" w14:textId="47151289" w:rsidR="00D15428" w:rsidRDefault="00150A14">
      <w:pPr>
        <w:pStyle w:val="TOC3"/>
        <w:rPr>
          <w:rFonts w:eastAsiaTheme="minorEastAsia"/>
          <w:iCs w:val="0"/>
          <w:caps w:val="0"/>
          <w:noProof/>
          <w:sz w:val="22"/>
          <w:lang w:eastAsia="en-AU"/>
        </w:rPr>
      </w:pPr>
      <w:hyperlink w:anchor="_Toc23847499" w:history="1">
        <w:r w:rsidR="00D15428" w:rsidRPr="00642086">
          <w:rPr>
            <w:rStyle w:val="Hyperlink"/>
            <w:noProof/>
          </w:rPr>
          <w:t>Motor Tax</w:t>
        </w:r>
        <w:r w:rsidR="00D15428">
          <w:rPr>
            <w:noProof/>
            <w:webHidden/>
          </w:rPr>
          <w:tab/>
        </w:r>
        <w:r w:rsidR="00D15428">
          <w:rPr>
            <w:noProof/>
            <w:webHidden/>
          </w:rPr>
          <w:fldChar w:fldCharType="begin"/>
        </w:r>
        <w:r w:rsidR="00D15428">
          <w:rPr>
            <w:noProof/>
            <w:webHidden/>
          </w:rPr>
          <w:instrText xml:space="preserve"> PAGEREF _Toc23847499 \h </w:instrText>
        </w:r>
        <w:r w:rsidR="00D15428">
          <w:rPr>
            <w:noProof/>
            <w:webHidden/>
          </w:rPr>
        </w:r>
        <w:r w:rsidR="00D15428">
          <w:rPr>
            <w:noProof/>
            <w:webHidden/>
          </w:rPr>
          <w:fldChar w:fldCharType="separate"/>
        </w:r>
        <w:r w:rsidR="00DE7AA1">
          <w:rPr>
            <w:noProof/>
            <w:webHidden/>
          </w:rPr>
          <w:t>49</w:t>
        </w:r>
        <w:r w:rsidR="00D15428">
          <w:rPr>
            <w:noProof/>
            <w:webHidden/>
          </w:rPr>
          <w:fldChar w:fldCharType="end"/>
        </w:r>
      </w:hyperlink>
    </w:p>
    <w:p w14:paraId="1AB92A69" w14:textId="38E6B5AB" w:rsidR="00D15428" w:rsidRDefault="00150A14">
      <w:pPr>
        <w:pStyle w:val="TOC4"/>
        <w:rPr>
          <w:rFonts w:eastAsiaTheme="minorEastAsia"/>
          <w:noProof/>
          <w:sz w:val="22"/>
          <w:lang w:eastAsia="en-AU"/>
        </w:rPr>
      </w:pPr>
      <w:hyperlink w:anchor="_Toc23847500" w:history="1">
        <w:r w:rsidR="00D15428" w:rsidRPr="00642086">
          <w:rPr>
            <w:rStyle w:val="Hyperlink"/>
            <w:noProof/>
          </w:rPr>
          <w:t>State and Norfolk Island taxation arrangements</w:t>
        </w:r>
        <w:r w:rsidR="00D15428">
          <w:rPr>
            <w:noProof/>
            <w:webHidden/>
          </w:rPr>
          <w:tab/>
        </w:r>
        <w:r w:rsidR="00D15428">
          <w:rPr>
            <w:noProof/>
            <w:webHidden/>
          </w:rPr>
          <w:fldChar w:fldCharType="begin"/>
        </w:r>
        <w:r w:rsidR="00D15428">
          <w:rPr>
            <w:noProof/>
            <w:webHidden/>
          </w:rPr>
          <w:instrText xml:space="preserve"> PAGEREF _Toc23847500 \h </w:instrText>
        </w:r>
        <w:r w:rsidR="00D15428">
          <w:rPr>
            <w:noProof/>
            <w:webHidden/>
          </w:rPr>
        </w:r>
        <w:r w:rsidR="00D15428">
          <w:rPr>
            <w:noProof/>
            <w:webHidden/>
          </w:rPr>
          <w:fldChar w:fldCharType="separate"/>
        </w:r>
        <w:r w:rsidR="00DE7AA1">
          <w:rPr>
            <w:noProof/>
            <w:webHidden/>
          </w:rPr>
          <w:t>49</w:t>
        </w:r>
        <w:r w:rsidR="00D15428">
          <w:rPr>
            <w:noProof/>
            <w:webHidden/>
          </w:rPr>
          <w:fldChar w:fldCharType="end"/>
        </w:r>
      </w:hyperlink>
    </w:p>
    <w:p w14:paraId="4C9CB25E" w14:textId="39E6C10A" w:rsidR="00D15428" w:rsidRDefault="00150A14">
      <w:pPr>
        <w:pStyle w:val="TOC4"/>
        <w:rPr>
          <w:rFonts w:eastAsiaTheme="minorEastAsia"/>
          <w:noProof/>
          <w:sz w:val="22"/>
          <w:lang w:eastAsia="en-AU"/>
        </w:rPr>
      </w:pPr>
      <w:hyperlink w:anchor="_Toc23847501" w:history="1">
        <w:r w:rsidR="00D15428" w:rsidRPr="00642086">
          <w:rPr>
            <w:rStyle w:val="Hyperlink"/>
            <w:noProof/>
          </w:rPr>
          <w:t>Assessed revenue for Norfolk Island</w:t>
        </w:r>
        <w:r w:rsidR="00D15428">
          <w:rPr>
            <w:noProof/>
            <w:webHidden/>
          </w:rPr>
          <w:tab/>
        </w:r>
        <w:r w:rsidR="00D15428">
          <w:rPr>
            <w:noProof/>
            <w:webHidden/>
          </w:rPr>
          <w:fldChar w:fldCharType="begin"/>
        </w:r>
        <w:r w:rsidR="00D15428">
          <w:rPr>
            <w:noProof/>
            <w:webHidden/>
          </w:rPr>
          <w:instrText xml:space="preserve"> PAGEREF _Toc23847501 \h </w:instrText>
        </w:r>
        <w:r w:rsidR="00D15428">
          <w:rPr>
            <w:noProof/>
            <w:webHidden/>
          </w:rPr>
        </w:r>
        <w:r w:rsidR="00D15428">
          <w:rPr>
            <w:noProof/>
            <w:webHidden/>
          </w:rPr>
          <w:fldChar w:fldCharType="separate"/>
        </w:r>
        <w:r w:rsidR="00DE7AA1">
          <w:rPr>
            <w:noProof/>
            <w:webHidden/>
          </w:rPr>
          <w:t>50</w:t>
        </w:r>
        <w:r w:rsidR="00D15428">
          <w:rPr>
            <w:noProof/>
            <w:webHidden/>
          </w:rPr>
          <w:fldChar w:fldCharType="end"/>
        </w:r>
      </w:hyperlink>
    </w:p>
    <w:p w14:paraId="3273B124" w14:textId="62249267" w:rsidR="00D15428" w:rsidRDefault="00150A14">
      <w:pPr>
        <w:pStyle w:val="TOC3"/>
        <w:rPr>
          <w:rFonts w:eastAsiaTheme="minorEastAsia"/>
          <w:iCs w:val="0"/>
          <w:caps w:val="0"/>
          <w:noProof/>
          <w:sz w:val="22"/>
          <w:lang w:eastAsia="en-AU"/>
        </w:rPr>
      </w:pPr>
      <w:hyperlink w:anchor="_Toc23847502" w:history="1">
        <w:r w:rsidR="00D15428" w:rsidRPr="00642086">
          <w:rPr>
            <w:rStyle w:val="Hyperlink"/>
            <w:noProof/>
          </w:rPr>
          <w:t>Mining revenue</w:t>
        </w:r>
        <w:r w:rsidR="00D15428">
          <w:rPr>
            <w:noProof/>
            <w:webHidden/>
          </w:rPr>
          <w:tab/>
        </w:r>
        <w:r w:rsidR="00D15428">
          <w:rPr>
            <w:noProof/>
            <w:webHidden/>
          </w:rPr>
          <w:fldChar w:fldCharType="begin"/>
        </w:r>
        <w:r w:rsidR="00D15428">
          <w:rPr>
            <w:noProof/>
            <w:webHidden/>
          </w:rPr>
          <w:instrText xml:space="preserve"> PAGEREF _Toc23847502 \h </w:instrText>
        </w:r>
        <w:r w:rsidR="00D15428">
          <w:rPr>
            <w:noProof/>
            <w:webHidden/>
          </w:rPr>
        </w:r>
        <w:r w:rsidR="00D15428">
          <w:rPr>
            <w:noProof/>
            <w:webHidden/>
          </w:rPr>
          <w:fldChar w:fldCharType="separate"/>
        </w:r>
        <w:r w:rsidR="00DE7AA1">
          <w:rPr>
            <w:noProof/>
            <w:webHidden/>
          </w:rPr>
          <w:t>51</w:t>
        </w:r>
        <w:r w:rsidR="00D15428">
          <w:rPr>
            <w:noProof/>
            <w:webHidden/>
          </w:rPr>
          <w:fldChar w:fldCharType="end"/>
        </w:r>
      </w:hyperlink>
    </w:p>
    <w:p w14:paraId="1B5F889F" w14:textId="275732C0" w:rsidR="00D15428" w:rsidRDefault="00150A14">
      <w:pPr>
        <w:pStyle w:val="TOC4"/>
        <w:rPr>
          <w:rFonts w:eastAsiaTheme="minorEastAsia"/>
          <w:noProof/>
          <w:sz w:val="22"/>
          <w:lang w:eastAsia="en-AU"/>
        </w:rPr>
      </w:pPr>
      <w:hyperlink w:anchor="_Toc23847503" w:history="1">
        <w:r w:rsidR="00D15428" w:rsidRPr="00642086">
          <w:rPr>
            <w:rStyle w:val="Hyperlink"/>
            <w:noProof/>
          </w:rPr>
          <w:t>State and Norfolk Island taxation arrangements</w:t>
        </w:r>
        <w:r w:rsidR="00D15428">
          <w:rPr>
            <w:noProof/>
            <w:webHidden/>
          </w:rPr>
          <w:tab/>
        </w:r>
        <w:r w:rsidR="00D15428">
          <w:rPr>
            <w:noProof/>
            <w:webHidden/>
          </w:rPr>
          <w:fldChar w:fldCharType="begin"/>
        </w:r>
        <w:r w:rsidR="00D15428">
          <w:rPr>
            <w:noProof/>
            <w:webHidden/>
          </w:rPr>
          <w:instrText xml:space="preserve"> PAGEREF _Toc23847503 \h </w:instrText>
        </w:r>
        <w:r w:rsidR="00D15428">
          <w:rPr>
            <w:noProof/>
            <w:webHidden/>
          </w:rPr>
        </w:r>
        <w:r w:rsidR="00D15428">
          <w:rPr>
            <w:noProof/>
            <w:webHidden/>
          </w:rPr>
          <w:fldChar w:fldCharType="separate"/>
        </w:r>
        <w:r w:rsidR="00DE7AA1">
          <w:rPr>
            <w:noProof/>
            <w:webHidden/>
          </w:rPr>
          <w:t>51</w:t>
        </w:r>
        <w:r w:rsidR="00D15428">
          <w:rPr>
            <w:noProof/>
            <w:webHidden/>
          </w:rPr>
          <w:fldChar w:fldCharType="end"/>
        </w:r>
      </w:hyperlink>
    </w:p>
    <w:p w14:paraId="3B090DBC" w14:textId="338AED96" w:rsidR="00D15428" w:rsidRDefault="00150A14">
      <w:pPr>
        <w:pStyle w:val="TOC4"/>
        <w:rPr>
          <w:rFonts w:eastAsiaTheme="minorEastAsia"/>
          <w:noProof/>
          <w:sz w:val="22"/>
          <w:lang w:eastAsia="en-AU"/>
        </w:rPr>
      </w:pPr>
      <w:hyperlink w:anchor="_Toc23847504" w:history="1">
        <w:r w:rsidR="00D15428" w:rsidRPr="00642086">
          <w:rPr>
            <w:rStyle w:val="Hyperlink"/>
            <w:noProof/>
          </w:rPr>
          <w:t>Assessed revenue for Norfolk Island</w:t>
        </w:r>
        <w:r w:rsidR="00D15428">
          <w:rPr>
            <w:noProof/>
            <w:webHidden/>
          </w:rPr>
          <w:tab/>
        </w:r>
        <w:r w:rsidR="00D15428">
          <w:rPr>
            <w:noProof/>
            <w:webHidden/>
          </w:rPr>
          <w:fldChar w:fldCharType="begin"/>
        </w:r>
        <w:r w:rsidR="00D15428">
          <w:rPr>
            <w:noProof/>
            <w:webHidden/>
          </w:rPr>
          <w:instrText xml:space="preserve"> PAGEREF _Toc23847504 \h </w:instrText>
        </w:r>
        <w:r w:rsidR="00D15428">
          <w:rPr>
            <w:noProof/>
            <w:webHidden/>
          </w:rPr>
        </w:r>
        <w:r w:rsidR="00D15428">
          <w:rPr>
            <w:noProof/>
            <w:webHidden/>
          </w:rPr>
          <w:fldChar w:fldCharType="separate"/>
        </w:r>
        <w:r w:rsidR="00DE7AA1">
          <w:rPr>
            <w:noProof/>
            <w:webHidden/>
          </w:rPr>
          <w:t>52</w:t>
        </w:r>
        <w:r w:rsidR="00D15428">
          <w:rPr>
            <w:noProof/>
            <w:webHidden/>
          </w:rPr>
          <w:fldChar w:fldCharType="end"/>
        </w:r>
      </w:hyperlink>
    </w:p>
    <w:p w14:paraId="6560B432" w14:textId="10D32ECC" w:rsidR="00D15428" w:rsidRDefault="00150A14">
      <w:pPr>
        <w:pStyle w:val="TOC3"/>
        <w:rPr>
          <w:rFonts w:eastAsiaTheme="minorEastAsia"/>
          <w:iCs w:val="0"/>
          <w:caps w:val="0"/>
          <w:noProof/>
          <w:sz w:val="22"/>
          <w:lang w:eastAsia="en-AU"/>
        </w:rPr>
      </w:pPr>
      <w:hyperlink w:anchor="_Toc23847505" w:history="1">
        <w:r w:rsidR="00D15428" w:rsidRPr="00642086">
          <w:rPr>
            <w:rStyle w:val="Hyperlink"/>
            <w:noProof/>
          </w:rPr>
          <w:t>Gambling tax</w:t>
        </w:r>
        <w:r w:rsidR="00D15428">
          <w:rPr>
            <w:noProof/>
            <w:webHidden/>
          </w:rPr>
          <w:tab/>
        </w:r>
        <w:r w:rsidR="00D15428">
          <w:rPr>
            <w:noProof/>
            <w:webHidden/>
          </w:rPr>
          <w:fldChar w:fldCharType="begin"/>
        </w:r>
        <w:r w:rsidR="00D15428">
          <w:rPr>
            <w:noProof/>
            <w:webHidden/>
          </w:rPr>
          <w:instrText xml:space="preserve"> PAGEREF _Toc23847505 \h </w:instrText>
        </w:r>
        <w:r w:rsidR="00D15428">
          <w:rPr>
            <w:noProof/>
            <w:webHidden/>
          </w:rPr>
        </w:r>
        <w:r w:rsidR="00D15428">
          <w:rPr>
            <w:noProof/>
            <w:webHidden/>
          </w:rPr>
          <w:fldChar w:fldCharType="separate"/>
        </w:r>
        <w:r w:rsidR="00DE7AA1">
          <w:rPr>
            <w:noProof/>
            <w:webHidden/>
          </w:rPr>
          <w:t>53</w:t>
        </w:r>
        <w:r w:rsidR="00D15428">
          <w:rPr>
            <w:noProof/>
            <w:webHidden/>
          </w:rPr>
          <w:fldChar w:fldCharType="end"/>
        </w:r>
      </w:hyperlink>
    </w:p>
    <w:p w14:paraId="49EDC645" w14:textId="56E9FAA5" w:rsidR="00D15428" w:rsidRDefault="00150A14">
      <w:pPr>
        <w:pStyle w:val="TOC4"/>
        <w:rPr>
          <w:rFonts w:eastAsiaTheme="minorEastAsia"/>
          <w:noProof/>
          <w:sz w:val="22"/>
          <w:lang w:eastAsia="en-AU"/>
        </w:rPr>
      </w:pPr>
      <w:hyperlink w:anchor="_Toc23847506" w:history="1">
        <w:r w:rsidR="00D15428" w:rsidRPr="00642086">
          <w:rPr>
            <w:rStyle w:val="Hyperlink"/>
            <w:noProof/>
          </w:rPr>
          <w:t>State and Norfolk Island taxation arrangements</w:t>
        </w:r>
        <w:r w:rsidR="00D15428">
          <w:rPr>
            <w:noProof/>
            <w:webHidden/>
          </w:rPr>
          <w:tab/>
        </w:r>
        <w:r w:rsidR="00D15428">
          <w:rPr>
            <w:noProof/>
            <w:webHidden/>
          </w:rPr>
          <w:fldChar w:fldCharType="begin"/>
        </w:r>
        <w:r w:rsidR="00D15428">
          <w:rPr>
            <w:noProof/>
            <w:webHidden/>
          </w:rPr>
          <w:instrText xml:space="preserve"> PAGEREF _Toc23847506 \h </w:instrText>
        </w:r>
        <w:r w:rsidR="00D15428">
          <w:rPr>
            <w:noProof/>
            <w:webHidden/>
          </w:rPr>
        </w:r>
        <w:r w:rsidR="00D15428">
          <w:rPr>
            <w:noProof/>
            <w:webHidden/>
          </w:rPr>
          <w:fldChar w:fldCharType="separate"/>
        </w:r>
        <w:r w:rsidR="00DE7AA1">
          <w:rPr>
            <w:noProof/>
            <w:webHidden/>
          </w:rPr>
          <w:t>53</w:t>
        </w:r>
        <w:r w:rsidR="00D15428">
          <w:rPr>
            <w:noProof/>
            <w:webHidden/>
          </w:rPr>
          <w:fldChar w:fldCharType="end"/>
        </w:r>
      </w:hyperlink>
    </w:p>
    <w:p w14:paraId="41DC1251" w14:textId="10209658" w:rsidR="00D15428" w:rsidRDefault="00150A14">
      <w:pPr>
        <w:pStyle w:val="TOC4"/>
        <w:rPr>
          <w:rFonts w:eastAsiaTheme="minorEastAsia"/>
          <w:noProof/>
          <w:sz w:val="22"/>
          <w:lang w:eastAsia="en-AU"/>
        </w:rPr>
      </w:pPr>
      <w:hyperlink w:anchor="_Toc23847507" w:history="1">
        <w:r w:rsidR="00D15428" w:rsidRPr="00642086">
          <w:rPr>
            <w:rStyle w:val="Hyperlink"/>
            <w:noProof/>
          </w:rPr>
          <w:t>Assessed revenue for Norfolk Island</w:t>
        </w:r>
        <w:r w:rsidR="00D15428">
          <w:rPr>
            <w:noProof/>
            <w:webHidden/>
          </w:rPr>
          <w:tab/>
        </w:r>
        <w:r w:rsidR="00D15428">
          <w:rPr>
            <w:noProof/>
            <w:webHidden/>
          </w:rPr>
          <w:fldChar w:fldCharType="begin"/>
        </w:r>
        <w:r w:rsidR="00D15428">
          <w:rPr>
            <w:noProof/>
            <w:webHidden/>
          </w:rPr>
          <w:instrText xml:space="preserve"> PAGEREF _Toc23847507 \h </w:instrText>
        </w:r>
        <w:r w:rsidR="00D15428">
          <w:rPr>
            <w:noProof/>
            <w:webHidden/>
          </w:rPr>
        </w:r>
        <w:r w:rsidR="00D15428">
          <w:rPr>
            <w:noProof/>
            <w:webHidden/>
          </w:rPr>
          <w:fldChar w:fldCharType="separate"/>
        </w:r>
        <w:r w:rsidR="00DE7AA1">
          <w:rPr>
            <w:noProof/>
            <w:webHidden/>
          </w:rPr>
          <w:t>53</w:t>
        </w:r>
        <w:r w:rsidR="00D15428">
          <w:rPr>
            <w:noProof/>
            <w:webHidden/>
          </w:rPr>
          <w:fldChar w:fldCharType="end"/>
        </w:r>
      </w:hyperlink>
    </w:p>
    <w:p w14:paraId="32B791AE" w14:textId="6F12127F" w:rsidR="00D15428" w:rsidRDefault="00150A14">
      <w:pPr>
        <w:pStyle w:val="TOC3"/>
        <w:rPr>
          <w:rFonts w:eastAsiaTheme="minorEastAsia"/>
          <w:iCs w:val="0"/>
          <w:caps w:val="0"/>
          <w:noProof/>
          <w:sz w:val="22"/>
          <w:lang w:eastAsia="en-AU"/>
        </w:rPr>
      </w:pPr>
      <w:hyperlink w:anchor="_Toc23847508" w:history="1">
        <w:r w:rsidR="00D15428" w:rsidRPr="00642086">
          <w:rPr>
            <w:rStyle w:val="Hyperlink"/>
            <w:noProof/>
          </w:rPr>
          <w:t>Other revenue</w:t>
        </w:r>
        <w:r w:rsidR="00D15428">
          <w:rPr>
            <w:noProof/>
            <w:webHidden/>
          </w:rPr>
          <w:tab/>
        </w:r>
        <w:r w:rsidR="00D15428">
          <w:rPr>
            <w:noProof/>
            <w:webHidden/>
          </w:rPr>
          <w:fldChar w:fldCharType="begin"/>
        </w:r>
        <w:r w:rsidR="00D15428">
          <w:rPr>
            <w:noProof/>
            <w:webHidden/>
          </w:rPr>
          <w:instrText xml:space="preserve"> PAGEREF _Toc23847508 \h </w:instrText>
        </w:r>
        <w:r w:rsidR="00D15428">
          <w:rPr>
            <w:noProof/>
            <w:webHidden/>
          </w:rPr>
        </w:r>
        <w:r w:rsidR="00D15428">
          <w:rPr>
            <w:noProof/>
            <w:webHidden/>
          </w:rPr>
          <w:fldChar w:fldCharType="separate"/>
        </w:r>
        <w:r w:rsidR="00DE7AA1">
          <w:rPr>
            <w:noProof/>
            <w:webHidden/>
          </w:rPr>
          <w:t>53</w:t>
        </w:r>
        <w:r w:rsidR="00D15428">
          <w:rPr>
            <w:noProof/>
            <w:webHidden/>
          </w:rPr>
          <w:fldChar w:fldCharType="end"/>
        </w:r>
      </w:hyperlink>
    </w:p>
    <w:p w14:paraId="475C9B66" w14:textId="2DD4CE7B" w:rsidR="00D15428" w:rsidRDefault="00150A14">
      <w:pPr>
        <w:pStyle w:val="TOC1"/>
        <w:rPr>
          <w:rFonts w:eastAsiaTheme="minorEastAsia"/>
          <w:b w:val="0"/>
          <w:bCs w:val="0"/>
          <w:caps w:val="0"/>
          <w:noProof/>
          <w:sz w:val="22"/>
          <w:szCs w:val="22"/>
          <w:lang w:eastAsia="en-AU"/>
        </w:rPr>
      </w:pPr>
      <w:hyperlink w:anchor="_Toc23847509" w:history="1">
        <w:r w:rsidR="00D15428" w:rsidRPr="00642086">
          <w:rPr>
            <w:rStyle w:val="Hyperlink"/>
            <w:noProof/>
          </w:rPr>
          <w:t>Attachment D: Local government taxes and charges</w:t>
        </w:r>
        <w:r w:rsidR="00D15428">
          <w:rPr>
            <w:noProof/>
            <w:webHidden/>
          </w:rPr>
          <w:tab/>
        </w:r>
        <w:r w:rsidR="00D15428">
          <w:rPr>
            <w:noProof/>
            <w:webHidden/>
          </w:rPr>
          <w:fldChar w:fldCharType="begin"/>
        </w:r>
        <w:r w:rsidR="00D15428">
          <w:rPr>
            <w:noProof/>
            <w:webHidden/>
          </w:rPr>
          <w:instrText xml:space="preserve"> PAGEREF _Toc23847509 \h </w:instrText>
        </w:r>
        <w:r w:rsidR="00D15428">
          <w:rPr>
            <w:noProof/>
            <w:webHidden/>
          </w:rPr>
        </w:r>
        <w:r w:rsidR="00D15428">
          <w:rPr>
            <w:noProof/>
            <w:webHidden/>
          </w:rPr>
          <w:fldChar w:fldCharType="separate"/>
        </w:r>
        <w:r w:rsidR="00DE7AA1">
          <w:rPr>
            <w:noProof/>
            <w:webHidden/>
          </w:rPr>
          <w:t>55</w:t>
        </w:r>
        <w:r w:rsidR="00D15428">
          <w:rPr>
            <w:noProof/>
            <w:webHidden/>
          </w:rPr>
          <w:fldChar w:fldCharType="end"/>
        </w:r>
      </w:hyperlink>
    </w:p>
    <w:p w14:paraId="46C27411" w14:textId="607FD8B5" w:rsidR="00D15428" w:rsidRDefault="00150A14">
      <w:pPr>
        <w:pStyle w:val="TOC3"/>
        <w:rPr>
          <w:rFonts w:eastAsiaTheme="minorEastAsia"/>
          <w:iCs w:val="0"/>
          <w:caps w:val="0"/>
          <w:noProof/>
          <w:sz w:val="22"/>
          <w:lang w:eastAsia="en-AU"/>
        </w:rPr>
      </w:pPr>
      <w:hyperlink w:anchor="_Toc23847510" w:history="1">
        <w:r w:rsidR="00D15428" w:rsidRPr="00642086">
          <w:rPr>
            <w:rStyle w:val="Hyperlink"/>
            <w:noProof/>
          </w:rPr>
          <w:t>Introduction</w:t>
        </w:r>
        <w:r w:rsidR="00D15428">
          <w:rPr>
            <w:noProof/>
            <w:webHidden/>
          </w:rPr>
          <w:tab/>
        </w:r>
        <w:r w:rsidR="00D15428">
          <w:rPr>
            <w:noProof/>
            <w:webHidden/>
          </w:rPr>
          <w:fldChar w:fldCharType="begin"/>
        </w:r>
        <w:r w:rsidR="00D15428">
          <w:rPr>
            <w:noProof/>
            <w:webHidden/>
          </w:rPr>
          <w:instrText xml:space="preserve"> PAGEREF _Toc23847510 \h </w:instrText>
        </w:r>
        <w:r w:rsidR="00D15428">
          <w:rPr>
            <w:noProof/>
            <w:webHidden/>
          </w:rPr>
        </w:r>
        <w:r w:rsidR="00D15428">
          <w:rPr>
            <w:noProof/>
            <w:webHidden/>
          </w:rPr>
          <w:fldChar w:fldCharType="separate"/>
        </w:r>
        <w:r w:rsidR="00DE7AA1">
          <w:rPr>
            <w:noProof/>
            <w:webHidden/>
          </w:rPr>
          <w:t>55</w:t>
        </w:r>
        <w:r w:rsidR="00D15428">
          <w:rPr>
            <w:noProof/>
            <w:webHidden/>
          </w:rPr>
          <w:fldChar w:fldCharType="end"/>
        </w:r>
      </w:hyperlink>
    </w:p>
    <w:p w14:paraId="2CEB8C1D" w14:textId="3B430EAB" w:rsidR="00D15428" w:rsidRDefault="00150A14">
      <w:pPr>
        <w:pStyle w:val="TOC3"/>
        <w:rPr>
          <w:rFonts w:eastAsiaTheme="minorEastAsia"/>
          <w:iCs w:val="0"/>
          <w:caps w:val="0"/>
          <w:noProof/>
          <w:sz w:val="22"/>
          <w:lang w:eastAsia="en-AU"/>
        </w:rPr>
      </w:pPr>
      <w:hyperlink w:anchor="_Toc23847511" w:history="1">
        <w:r w:rsidR="00D15428" w:rsidRPr="00642086">
          <w:rPr>
            <w:rStyle w:val="Hyperlink"/>
            <w:noProof/>
          </w:rPr>
          <w:t>Methods</w:t>
        </w:r>
        <w:r w:rsidR="00D15428">
          <w:rPr>
            <w:noProof/>
            <w:webHidden/>
          </w:rPr>
          <w:tab/>
        </w:r>
        <w:r w:rsidR="00D15428">
          <w:rPr>
            <w:noProof/>
            <w:webHidden/>
          </w:rPr>
          <w:fldChar w:fldCharType="begin"/>
        </w:r>
        <w:r w:rsidR="00D15428">
          <w:rPr>
            <w:noProof/>
            <w:webHidden/>
          </w:rPr>
          <w:instrText xml:space="preserve"> PAGEREF _Toc23847511 \h </w:instrText>
        </w:r>
        <w:r w:rsidR="00D15428">
          <w:rPr>
            <w:noProof/>
            <w:webHidden/>
          </w:rPr>
        </w:r>
        <w:r w:rsidR="00D15428">
          <w:rPr>
            <w:noProof/>
            <w:webHidden/>
          </w:rPr>
          <w:fldChar w:fldCharType="separate"/>
        </w:r>
        <w:r w:rsidR="00DE7AA1">
          <w:rPr>
            <w:noProof/>
            <w:webHidden/>
          </w:rPr>
          <w:t>55</w:t>
        </w:r>
        <w:r w:rsidR="00D15428">
          <w:rPr>
            <w:noProof/>
            <w:webHidden/>
          </w:rPr>
          <w:fldChar w:fldCharType="end"/>
        </w:r>
      </w:hyperlink>
    </w:p>
    <w:p w14:paraId="636B0981" w14:textId="29CCFA27" w:rsidR="00D15428" w:rsidRDefault="00150A14">
      <w:pPr>
        <w:pStyle w:val="TOC3"/>
        <w:rPr>
          <w:rFonts w:eastAsiaTheme="minorEastAsia"/>
          <w:iCs w:val="0"/>
          <w:caps w:val="0"/>
          <w:noProof/>
          <w:sz w:val="22"/>
          <w:lang w:eastAsia="en-AU"/>
        </w:rPr>
      </w:pPr>
      <w:hyperlink w:anchor="_Toc23847512" w:history="1">
        <w:r w:rsidR="00D15428" w:rsidRPr="00642086">
          <w:rPr>
            <w:rStyle w:val="Hyperlink"/>
            <w:noProof/>
          </w:rPr>
          <w:t>Municipal rates</w:t>
        </w:r>
        <w:r w:rsidR="00D15428">
          <w:rPr>
            <w:noProof/>
            <w:webHidden/>
          </w:rPr>
          <w:tab/>
        </w:r>
        <w:r w:rsidR="00D15428">
          <w:rPr>
            <w:noProof/>
            <w:webHidden/>
          </w:rPr>
          <w:fldChar w:fldCharType="begin"/>
        </w:r>
        <w:r w:rsidR="00D15428">
          <w:rPr>
            <w:noProof/>
            <w:webHidden/>
          </w:rPr>
          <w:instrText xml:space="preserve"> PAGEREF _Toc23847512 \h </w:instrText>
        </w:r>
        <w:r w:rsidR="00D15428">
          <w:rPr>
            <w:noProof/>
            <w:webHidden/>
          </w:rPr>
        </w:r>
        <w:r w:rsidR="00D15428">
          <w:rPr>
            <w:noProof/>
            <w:webHidden/>
          </w:rPr>
          <w:fldChar w:fldCharType="separate"/>
        </w:r>
        <w:r w:rsidR="00DE7AA1">
          <w:rPr>
            <w:noProof/>
            <w:webHidden/>
          </w:rPr>
          <w:t>56</w:t>
        </w:r>
        <w:r w:rsidR="00D15428">
          <w:rPr>
            <w:noProof/>
            <w:webHidden/>
          </w:rPr>
          <w:fldChar w:fldCharType="end"/>
        </w:r>
      </w:hyperlink>
    </w:p>
    <w:p w14:paraId="1C5872F5" w14:textId="608757C6" w:rsidR="00D15428" w:rsidRDefault="00150A14">
      <w:pPr>
        <w:pStyle w:val="TOC4"/>
        <w:rPr>
          <w:rFonts w:eastAsiaTheme="minorEastAsia"/>
          <w:noProof/>
          <w:sz w:val="22"/>
          <w:lang w:eastAsia="en-AU"/>
        </w:rPr>
      </w:pPr>
      <w:hyperlink w:anchor="_Toc23847513" w:history="1">
        <w:r w:rsidR="00D15428" w:rsidRPr="00642086">
          <w:rPr>
            <w:rStyle w:val="Hyperlink"/>
            <w:noProof/>
          </w:rPr>
          <w:t>Rating arrangements</w:t>
        </w:r>
        <w:r w:rsidR="00D15428">
          <w:rPr>
            <w:noProof/>
            <w:webHidden/>
          </w:rPr>
          <w:tab/>
        </w:r>
        <w:r w:rsidR="00D15428">
          <w:rPr>
            <w:noProof/>
            <w:webHidden/>
          </w:rPr>
          <w:fldChar w:fldCharType="begin"/>
        </w:r>
        <w:r w:rsidR="00D15428">
          <w:rPr>
            <w:noProof/>
            <w:webHidden/>
          </w:rPr>
          <w:instrText xml:space="preserve"> PAGEREF _Toc23847513 \h </w:instrText>
        </w:r>
        <w:r w:rsidR="00D15428">
          <w:rPr>
            <w:noProof/>
            <w:webHidden/>
          </w:rPr>
        </w:r>
        <w:r w:rsidR="00D15428">
          <w:rPr>
            <w:noProof/>
            <w:webHidden/>
          </w:rPr>
          <w:fldChar w:fldCharType="separate"/>
        </w:r>
        <w:r w:rsidR="00DE7AA1">
          <w:rPr>
            <w:noProof/>
            <w:webHidden/>
          </w:rPr>
          <w:t>56</w:t>
        </w:r>
        <w:r w:rsidR="00D15428">
          <w:rPr>
            <w:noProof/>
            <w:webHidden/>
          </w:rPr>
          <w:fldChar w:fldCharType="end"/>
        </w:r>
      </w:hyperlink>
    </w:p>
    <w:p w14:paraId="083ED35C" w14:textId="6809D50A" w:rsidR="00D15428" w:rsidRDefault="00150A14">
      <w:pPr>
        <w:pStyle w:val="TOC4"/>
        <w:rPr>
          <w:rFonts w:eastAsiaTheme="minorEastAsia"/>
          <w:noProof/>
          <w:sz w:val="22"/>
          <w:lang w:eastAsia="en-AU"/>
        </w:rPr>
      </w:pPr>
      <w:hyperlink w:anchor="_Toc23847514" w:history="1">
        <w:r w:rsidR="00D15428" w:rsidRPr="00642086">
          <w:rPr>
            <w:rStyle w:val="Hyperlink"/>
            <w:noProof/>
          </w:rPr>
          <w:t>Assessed revenue for Norfolk Island</w:t>
        </w:r>
        <w:r w:rsidR="00D15428">
          <w:rPr>
            <w:noProof/>
            <w:webHidden/>
          </w:rPr>
          <w:tab/>
        </w:r>
        <w:r w:rsidR="00D15428">
          <w:rPr>
            <w:noProof/>
            <w:webHidden/>
          </w:rPr>
          <w:fldChar w:fldCharType="begin"/>
        </w:r>
        <w:r w:rsidR="00D15428">
          <w:rPr>
            <w:noProof/>
            <w:webHidden/>
          </w:rPr>
          <w:instrText xml:space="preserve"> PAGEREF _Toc23847514 \h </w:instrText>
        </w:r>
        <w:r w:rsidR="00D15428">
          <w:rPr>
            <w:noProof/>
            <w:webHidden/>
          </w:rPr>
        </w:r>
        <w:r w:rsidR="00D15428">
          <w:rPr>
            <w:noProof/>
            <w:webHidden/>
          </w:rPr>
          <w:fldChar w:fldCharType="separate"/>
        </w:r>
        <w:r w:rsidR="00DE7AA1">
          <w:rPr>
            <w:noProof/>
            <w:webHidden/>
          </w:rPr>
          <w:t>57</w:t>
        </w:r>
        <w:r w:rsidR="00D15428">
          <w:rPr>
            <w:noProof/>
            <w:webHidden/>
          </w:rPr>
          <w:fldChar w:fldCharType="end"/>
        </w:r>
      </w:hyperlink>
    </w:p>
    <w:p w14:paraId="6D3F264B" w14:textId="6E731AE4" w:rsidR="00D15428" w:rsidRDefault="00150A14">
      <w:pPr>
        <w:pStyle w:val="TOC3"/>
        <w:rPr>
          <w:rFonts w:eastAsiaTheme="minorEastAsia"/>
          <w:iCs w:val="0"/>
          <w:caps w:val="0"/>
          <w:noProof/>
          <w:sz w:val="22"/>
          <w:lang w:eastAsia="en-AU"/>
        </w:rPr>
      </w:pPr>
      <w:hyperlink w:anchor="_Toc23847515" w:history="1">
        <w:r w:rsidR="00D15428" w:rsidRPr="00642086">
          <w:rPr>
            <w:rStyle w:val="Hyperlink"/>
            <w:noProof/>
          </w:rPr>
          <w:t>other revenue</w:t>
        </w:r>
        <w:r w:rsidR="00D15428">
          <w:rPr>
            <w:noProof/>
            <w:webHidden/>
          </w:rPr>
          <w:tab/>
        </w:r>
        <w:r w:rsidR="00D15428">
          <w:rPr>
            <w:noProof/>
            <w:webHidden/>
          </w:rPr>
          <w:fldChar w:fldCharType="begin"/>
        </w:r>
        <w:r w:rsidR="00D15428">
          <w:rPr>
            <w:noProof/>
            <w:webHidden/>
          </w:rPr>
          <w:instrText xml:space="preserve"> PAGEREF _Toc23847515 \h </w:instrText>
        </w:r>
        <w:r w:rsidR="00D15428">
          <w:rPr>
            <w:noProof/>
            <w:webHidden/>
          </w:rPr>
        </w:r>
        <w:r w:rsidR="00D15428">
          <w:rPr>
            <w:noProof/>
            <w:webHidden/>
          </w:rPr>
          <w:fldChar w:fldCharType="separate"/>
        </w:r>
        <w:r w:rsidR="00DE7AA1">
          <w:rPr>
            <w:noProof/>
            <w:webHidden/>
          </w:rPr>
          <w:t>58</w:t>
        </w:r>
        <w:r w:rsidR="00D15428">
          <w:rPr>
            <w:noProof/>
            <w:webHidden/>
          </w:rPr>
          <w:fldChar w:fldCharType="end"/>
        </w:r>
      </w:hyperlink>
    </w:p>
    <w:p w14:paraId="2AACFC17" w14:textId="148E68CC" w:rsidR="00D15428" w:rsidRDefault="00150A14">
      <w:pPr>
        <w:pStyle w:val="TOC4"/>
        <w:rPr>
          <w:rFonts w:eastAsiaTheme="minorEastAsia"/>
          <w:noProof/>
          <w:sz w:val="22"/>
          <w:lang w:eastAsia="en-AU"/>
        </w:rPr>
      </w:pPr>
      <w:hyperlink w:anchor="_Toc23847516" w:history="1">
        <w:r w:rsidR="00D15428" w:rsidRPr="00642086">
          <w:rPr>
            <w:rStyle w:val="Hyperlink"/>
            <w:noProof/>
          </w:rPr>
          <w:t>Airport</w:t>
        </w:r>
        <w:r w:rsidR="00D15428">
          <w:rPr>
            <w:noProof/>
            <w:webHidden/>
          </w:rPr>
          <w:tab/>
        </w:r>
        <w:r w:rsidR="00D15428">
          <w:rPr>
            <w:noProof/>
            <w:webHidden/>
          </w:rPr>
          <w:fldChar w:fldCharType="begin"/>
        </w:r>
        <w:r w:rsidR="00D15428">
          <w:rPr>
            <w:noProof/>
            <w:webHidden/>
          </w:rPr>
          <w:instrText xml:space="preserve"> PAGEREF _Toc23847516 \h </w:instrText>
        </w:r>
        <w:r w:rsidR="00D15428">
          <w:rPr>
            <w:noProof/>
            <w:webHidden/>
          </w:rPr>
        </w:r>
        <w:r w:rsidR="00D15428">
          <w:rPr>
            <w:noProof/>
            <w:webHidden/>
          </w:rPr>
          <w:fldChar w:fldCharType="separate"/>
        </w:r>
        <w:r w:rsidR="00DE7AA1">
          <w:rPr>
            <w:noProof/>
            <w:webHidden/>
          </w:rPr>
          <w:t>58</w:t>
        </w:r>
        <w:r w:rsidR="00D15428">
          <w:rPr>
            <w:noProof/>
            <w:webHidden/>
          </w:rPr>
          <w:fldChar w:fldCharType="end"/>
        </w:r>
      </w:hyperlink>
    </w:p>
    <w:p w14:paraId="494FC71C" w14:textId="44C52442" w:rsidR="00D15428" w:rsidRDefault="00150A14">
      <w:pPr>
        <w:pStyle w:val="TOC3"/>
        <w:rPr>
          <w:rFonts w:eastAsiaTheme="minorEastAsia"/>
          <w:iCs w:val="0"/>
          <w:caps w:val="0"/>
          <w:noProof/>
          <w:sz w:val="22"/>
          <w:lang w:eastAsia="en-AU"/>
        </w:rPr>
      </w:pPr>
      <w:hyperlink w:anchor="_Toc23847517" w:history="1">
        <w:r w:rsidR="00D15428" w:rsidRPr="00642086">
          <w:rPr>
            <w:rStyle w:val="Hyperlink"/>
            <w:noProof/>
          </w:rPr>
          <w:t>Financial assistance and local roads grants</w:t>
        </w:r>
        <w:r w:rsidR="00D15428">
          <w:rPr>
            <w:noProof/>
            <w:webHidden/>
          </w:rPr>
          <w:tab/>
        </w:r>
        <w:r w:rsidR="00D15428">
          <w:rPr>
            <w:noProof/>
            <w:webHidden/>
          </w:rPr>
          <w:fldChar w:fldCharType="begin"/>
        </w:r>
        <w:r w:rsidR="00D15428">
          <w:rPr>
            <w:noProof/>
            <w:webHidden/>
          </w:rPr>
          <w:instrText xml:space="preserve"> PAGEREF _Toc23847517 \h </w:instrText>
        </w:r>
        <w:r w:rsidR="00D15428">
          <w:rPr>
            <w:noProof/>
            <w:webHidden/>
          </w:rPr>
        </w:r>
        <w:r w:rsidR="00D15428">
          <w:rPr>
            <w:noProof/>
            <w:webHidden/>
          </w:rPr>
          <w:fldChar w:fldCharType="separate"/>
        </w:r>
        <w:r w:rsidR="00DE7AA1">
          <w:rPr>
            <w:noProof/>
            <w:webHidden/>
          </w:rPr>
          <w:t>59</w:t>
        </w:r>
        <w:r w:rsidR="00D15428">
          <w:rPr>
            <w:noProof/>
            <w:webHidden/>
          </w:rPr>
          <w:fldChar w:fldCharType="end"/>
        </w:r>
      </w:hyperlink>
    </w:p>
    <w:p w14:paraId="14966553" w14:textId="3A35E0F3" w:rsidR="00D15428" w:rsidRDefault="00150A14">
      <w:pPr>
        <w:pStyle w:val="TOC3"/>
        <w:rPr>
          <w:rFonts w:eastAsiaTheme="minorEastAsia"/>
          <w:iCs w:val="0"/>
          <w:caps w:val="0"/>
          <w:noProof/>
          <w:sz w:val="22"/>
          <w:lang w:eastAsia="en-AU"/>
        </w:rPr>
      </w:pPr>
      <w:hyperlink w:anchor="_Toc23847518" w:history="1">
        <w:r w:rsidR="00D15428" w:rsidRPr="00642086">
          <w:rPr>
            <w:rStyle w:val="Hyperlink"/>
            <w:noProof/>
          </w:rPr>
          <w:t>Grants from State governmentS</w:t>
        </w:r>
        <w:r w:rsidR="00D15428">
          <w:rPr>
            <w:noProof/>
            <w:webHidden/>
          </w:rPr>
          <w:tab/>
        </w:r>
        <w:r w:rsidR="00D15428">
          <w:rPr>
            <w:noProof/>
            <w:webHidden/>
          </w:rPr>
          <w:fldChar w:fldCharType="begin"/>
        </w:r>
        <w:r w:rsidR="00D15428">
          <w:rPr>
            <w:noProof/>
            <w:webHidden/>
          </w:rPr>
          <w:instrText xml:space="preserve"> PAGEREF _Toc23847518 \h </w:instrText>
        </w:r>
        <w:r w:rsidR="00D15428">
          <w:rPr>
            <w:noProof/>
            <w:webHidden/>
          </w:rPr>
        </w:r>
        <w:r w:rsidR="00D15428">
          <w:rPr>
            <w:noProof/>
            <w:webHidden/>
          </w:rPr>
          <w:fldChar w:fldCharType="separate"/>
        </w:r>
        <w:r w:rsidR="00DE7AA1">
          <w:rPr>
            <w:noProof/>
            <w:webHidden/>
          </w:rPr>
          <w:t>59</w:t>
        </w:r>
        <w:r w:rsidR="00D15428">
          <w:rPr>
            <w:noProof/>
            <w:webHidden/>
          </w:rPr>
          <w:fldChar w:fldCharType="end"/>
        </w:r>
      </w:hyperlink>
    </w:p>
    <w:p w14:paraId="68B9E70F" w14:textId="66AD8537" w:rsidR="00D15428" w:rsidRDefault="00150A14">
      <w:pPr>
        <w:pStyle w:val="TOC1"/>
        <w:rPr>
          <w:rFonts w:eastAsiaTheme="minorEastAsia"/>
          <w:b w:val="0"/>
          <w:bCs w:val="0"/>
          <w:caps w:val="0"/>
          <w:noProof/>
          <w:sz w:val="22"/>
          <w:szCs w:val="22"/>
          <w:lang w:eastAsia="en-AU"/>
        </w:rPr>
      </w:pPr>
      <w:hyperlink w:anchor="_Toc23847519" w:history="1">
        <w:r w:rsidR="00D15428" w:rsidRPr="00642086">
          <w:rPr>
            <w:rStyle w:val="Hyperlink"/>
            <w:noProof/>
          </w:rPr>
          <w:t>Attachment E: state government services</w:t>
        </w:r>
        <w:r w:rsidR="00D15428">
          <w:rPr>
            <w:noProof/>
            <w:webHidden/>
          </w:rPr>
          <w:tab/>
        </w:r>
        <w:r w:rsidR="00D15428">
          <w:rPr>
            <w:noProof/>
            <w:webHidden/>
          </w:rPr>
          <w:fldChar w:fldCharType="begin"/>
        </w:r>
        <w:r w:rsidR="00D15428">
          <w:rPr>
            <w:noProof/>
            <w:webHidden/>
          </w:rPr>
          <w:instrText xml:space="preserve"> PAGEREF _Toc23847519 \h </w:instrText>
        </w:r>
        <w:r w:rsidR="00D15428">
          <w:rPr>
            <w:noProof/>
            <w:webHidden/>
          </w:rPr>
        </w:r>
        <w:r w:rsidR="00D15428">
          <w:rPr>
            <w:noProof/>
            <w:webHidden/>
          </w:rPr>
          <w:fldChar w:fldCharType="separate"/>
        </w:r>
        <w:r w:rsidR="00DE7AA1">
          <w:rPr>
            <w:noProof/>
            <w:webHidden/>
          </w:rPr>
          <w:t>61</w:t>
        </w:r>
        <w:r w:rsidR="00D15428">
          <w:rPr>
            <w:noProof/>
            <w:webHidden/>
          </w:rPr>
          <w:fldChar w:fldCharType="end"/>
        </w:r>
      </w:hyperlink>
    </w:p>
    <w:p w14:paraId="3EE21659" w14:textId="0AB34F2D" w:rsidR="00D15428" w:rsidRDefault="00150A14">
      <w:pPr>
        <w:pStyle w:val="TOC3"/>
        <w:rPr>
          <w:rFonts w:eastAsiaTheme="minorEastAsia"/>
          <w:iCs w:val="0"/>
          <w:caps w:val="0"/>
          <w:noProof/>
          <w:sz w:val="22"/>
          <w:lang w:eastAsia="en-AU"/>
        </w:rPr>
      </w:pPr>
      <w:hyperlink w:anchor="_Toc23847520" w:history="1">
        <w:r w:rsidR="00D15428" w:rsidRPr="00642086">
          <w:rPr>
            <w:rStyle w:val="Hyperlink"/>
            <w:noProof/>
          </w:rPr>
          <w:t>Introduction</w:t>
        </w:r>
        <w:r w:rsidR="00D15428">
          <w:rPr>
            <w:noProof/>
            <w:webHidden/>
          </w:rPr>
          <w:tab/>
        </w:r>
        <w:r w:rsidR="00D15428">
          <w:rPr>
            <w:noProof/>
            <w:webHidden/>
          </w:rPr>
          <w:fldChar w:fldCharType="begin"/>
        </w:r>
        <w:r w:rsidR="00D15428">
          <w:rPr>
            <w:noProof/>
            <w:webHidden/>
          </w:rPr>
          <w:instrText xml:space="preserve"> PAGEREF _Toc23847520 \h </w:instrText>
        </w:r>
        <w:r w:rsidR="00D15428">
          <w:rPr>
            <w:noProof/>
            <w:webHidden/>
          </w:rPr>
        </w:r>
        <w:r w:rsidR="00D15428">
          <w:rPr>
            <w:noProof/>
            <w:webHidden/>
          </w:rPr>
          <w:fldChar w:fldCharType="separate"/>
        </w:r>
        <w:r w:rsidR="00DE7AA1">
          <w:rPr>
            <w:noProof/>
            <w:webHidden/>
          </w:rPr>
          <w:t>61</w:t>
        </w:r>
        <w:r w:rsidR="00D15428">
          <w:rPr>
            <w:noProof/>
            <w:webHidden/>
          </w:rPr>
          <w:fldChar w:fldCharType="end"/>
        </w:r>
      </w:hyperlink>
    </w:p>
    <w:p w14:paraId="02801D64" w14:textId="0DA59E40" w:rsidR="00D15428" w:rsidRDefault="00150A14">
      <w:pPr>
        <w:pStyle w:val="TOC3"/>
        <w:rPr>
          <w:rFonts w:eastAsiaTheme="minorEastAsia"/>
          <w:iCs w:val="0"/>
          <w:caps w:val="0"/>
          <w:noProof/>
          <w:sz w:val="22"/>
          <w:lang w:eastAsia="en-AU"/>
        </w:rPr>
      </w:pPr>
      <w:hyperlink w:anchor="_Toc23847521" w:history="1">
        <w:r w:rsidR="00D15428" w:rsidRPr="00642086">
          <w:rPr>
            <w:rStyle w:val="Hyperlink"/>
            <w:noProof/>
          </w:rPr>
          <w:t>Scope of State Services</w:t>
        </w:r>
        <w:r w:rsidR="00D15428">
          <w:rPr>
            <w:noProof/>
            <w:webHidden/>
          </w:rPr>
          <w:tab/>
        </w:r>
        <w:r w:rsidR="00D15428">
          <w:rPr>
            <w:noProof/>
            <w:webHidden/>
          </w:rPr>
          <w:fldChar w:fldCharType="begin"/>
        </w:r>
        <w:r w:rsidR="00D15428">
          <w:rPr>
            <w:noProof/>
            <w:webHidden/>
          </w:rPr>
          <w:instrText xml:space="preserve"> PAGEREF _Toc23847521 \h </w:instrText>
        </w:r>
        <w:r w:rsidR="00D15428">
          <w:rPr>
            <w:noProof/>
            <w:webHidden/>
          </w:rPr>
        </w:r>
        <w:r w:rsidR="00D15428">
          <w:rPr>
            <w:noProof/>
            <w:webHidden/>
          </w:rPr>
          <w:fldChar w:fldCharType="separate"/>
        </w:r>
        <w:r w:rsidR="00DE7AA1">
          <w:rPr>
            <w:noProof/>
            <w:webHidden/>
          </w:rPr>
          <w:t>61</w:t>
        </w:r>
        <w:r w:rsidR="00D15428">
          <w:rPr>
            <w:noProof/>
            <w:webHidden/>
          </w:rPr>
          <w:fldChar w:fldCharType="end"/>
        </w:r>
      </w:hyperlink>
    </w:p>
    <w:p w14:paraId="07F43CA1" w14:textId="1F938541" w:rsidR="00D15428" w:rsidRDefault="00150A14">
      <w:pPr>
        <w:pStyle w:val="TOC3"/>
        <w:rPr>
          <w:rFonts w:eastAsiaTheme="minorEastAsia"/>
          <w:iCs w:val="0"/>
          <w:caps w:val="0"/>
          <w:noProof/>
          <w:sz w:val="22"/>
          <w:lang w:eastAsia="en-AU"/>
        </w:rPr>
      </w:pPr>
      <w:hyperlink w:anchor="_Toc23847522" w:history="1">
        <w:r w:rsidR="00D15428" w:rsidRPr="00642086">
          <w:rPr>
            <w:rStyle w:val="Hyperlink"/>
            <w:noProof/>
          </w:rPr>
          <w:t>Methods</w:t>
        </w:r>
        <w:r w:rsidR="00D15428">
          <w:rPr>
            <w:noProof/>
            <w:webHidden/>
          </w:rPr>
          <w:tab/>
        </w:r>
        <w:r w:rsidR="00D15428">
          <w:rPr>
            <w:noProof/>
            <w:webHidden/>
          </w:rPr>
          <w:fldChar w:fldCharType="begin"/>
        </w:r>
        <w:r w:rsidR="00D15428">
          <w:rPr>
            <w:noProof/>
            <w:webHidden/>
          </w:rPr>
          <w:instrText xml:space="preserve"> PAGEREF _Toc23847522 \h </w:instrText>
        </w:r>
        <w:r w:rsidR="00D15428">
          <w:rPr>
            <w:noProof/>
            <w:webHidden/>
          </w:rPr>
        </w:r>
        <w:r w:rsidR="00D15428">
          <w:rPr>
            <w:noProof/>
            <w:webHidden/>
          </w:rPr>
          <w:fldChar w:fldCharType="separate"/>
        </w:r>
        <w:r w:rsidR="00DE7AA1">
          <w:rPr>
            <w:noProof/>
            <w:webHidden/>
          </w:rPr>
          <w:t>63</w:t>
        </w:r>
        <w:r w:rsidR="00D15428">
          <w:rPr>
            <w:noProof/>
            <w:webHidden/>
          </w:rPr>
          <w:fldChar w:fldCharType="end"/>
        </w:r>
      </w:hyperlink>
    </w:p>
    <w:p w14:paraId="3FC6A1EA" w14:textId="37D648F3" w:rsidR="00D15428" w:rsidRDefault="00150A14">
      <w:pPr>
        <w:pStyle w:val="TOC3"/>
        <w:rPr>
          <w:rFonts w:eastAsiaTheme="minorEastAsia"/>
          <w:iCs w:val="0"/>
          <w:caps w:val="0"/>
          <w:noProof/>
          <w:sz w:val="22"/>
          <w:lang w:eastAsia="en-AU"/>
        </w:rPr>
      </w:pPr>
      <w:hyperlink w:anchor="_Toc23847523" w:history="1">
        <w:r w:rsidR="00D15428" w:rsidRPr="00642086">
          <w:rPr>
            <w:rStyle w:val="Hyperlink"/>
            <w:noProof/>
          </w:rPr>
          <w:t>Schools</w:t>
        </w:r>
        <w:r w:rsidR="00D15428">
          <w:rPr>
            <w:noProof/>
            <w:webHidden/>
          </w:rPr>
          <w:tab/>
        </w:r>
        <w:r w:rsidR="00D15428">
          <w:rPr>
            <w:noProof/>
            <w:webHidden/>
          </w:rPr>
          <w:fldChar w:fldCharType="begin"/>
        </w:r>
        <w:r w:rsidR="00D15428">
          <w:rPr>
            <w:noProof/>
            <w:webHidden/>
          </w:rPr>
          <w:instrText xml:space="preserve"> PAGEREF _Toc23847523 \h </w:instrText>
        </w:r>
        <w:r w:rsidR="00D15428">
          <w:rPr>
            <w:noProof/>
            <w:webHidden/>
          </w:rPr>
        </w:r>
        <w:r w:rsidR="00D15428">
          <w:rPr>
            <w:noProof/>
            <w:webHidden/>
          </w:rPr>
          <w:fldChar w:fldCharType="separate"/>
        </w:r>
        <w:r w:rsidR="00DE7AA1">
          <w:rPr>
            <w:noProof/>
            <w:webHidden/>
          </w:rPr>
          <w:t>63</w:t>
        </w:r>
        <w:r w:rsidR="00D15428">
          <w:rPr>
            <w:noProof/>
            <w:webHidden/>
          </w:rPr>
          <w:fldChar w:fldCharType="end"/>
        </w:r>
      </w:hyperlink>
    </w:p>
    <w:p w14:paraId="423E6C09" w14:textId="0B78EEF9" w:rsidR="00D15428" w:rsidRDefault="00150A14">
      <w:pPr>
        <w:pStyle w:val="TOC4"/>
        <w:rPr>
          <w:rFonts w:eastAsiaTheme="minorEastAsia"/>
          <w:noProof/>
          <w:sz w:val="22"/>
          <w:lang w:eastAsia="en-AU"/>
        </w:rPr>
      </w:pPr>
      <w:hyperlink w:anchor="_Toc23847524" w:history="1">
        <w:r w:rsidR="00D15428" w:rsidRPr="00642086">
          <w:rPr>
            <w:rStyle w:val="Hyperlink"/>
            <w:noProof/>
          </w:rPr>
          <w:t>State service and funding arrangements</w:t>
        </w:r>
        <w:r w:rsidR="00D15428">
          <w:rPr>
            <w:noProof/>
            <w:webHidden/>
          </w:rPr>
          <w:tab/>
        </w:r>
        <w:r w:rsidR="00D15428">
          <w:rPr>
            <w:noProof/>
            <w:webHidden/>
          </w:rPr>
          <w:fldChar w:fldCharType="begin"/>
        </w:r>
        <w:r w:rsidR="00D15428">
          <w:rPr>
            <w:noProof/>
            <w:webHidden/>
          </w:rPr>
          <w:instrText xml:space="preserve"> PAGEREF _Toc23847524 \h </w:instrText>
        </w:r>
        <w:r w:rsidR="00D15428">
          <w:rPr>
            <w:noProof/>
            <w:webHidden/>
          </w:rPr>
        </w:r>
        <w:r w:rsidR="00D15428">
          <w:rPr>
            <w:noProof/>
            <w:webHidden/>
          </w:rPr>
          <w:fldChar w:fldCharType="separate"/>
        </w:r>
        <w:r w:rsidR="00DE7AA1">
          <w:rPr>
            <w:noProof/>
            <w:webHidden/>
          </w:rPr>
          <w:t>63</w:t>
        </w:r>
        <w:r w:rsidR="00D15428">
          <w:rPr>
            <w:noProof/>
            <w:webHidden/>
          </w:rPr>
          <w:fldChar w:fldCharType="end"/>
        </w:r>
      </w:hyperlink>
    </w:p>
    <w:p w14:paraId="6FC35E3F" w14:textId="47B27240" w:rsidR="00D15428" w:rsidRDefault="00150A14">
      <w:pPr>
        <w:pStyle w:val="TOC4"/>
        <w:rPr>
          <w:rFonts w:eastAsiaTheme="minorEastAsia"/>
          <w:noProof/>
          <w:sz w:val="22"/>
          <w:lang w:eastAsia="en-AU"/>
        </w:rPr>
      </w:pPr>
      <w:hyperlink w:anchor="_Toc23847525" w:history="1">
        <w:r w:rsidR="00D15428" w:rsidRPr="00642086">
          <w:rPr>
            <w:rStyle w:val="Hyperlink"/>
            <w:noProof/>
          </w:rPr>
          <w:t>Norfolk Island service and funding arrangements</w:t>
        </w:r>
        <w:r w:rsidR="00D15428">
          <w:rPr>
            <w:noProof/>
            <w:webHidden/>
          </w:rPr>
          <w:tab/>
        </w:r>
        <w:r w:rsidR="00D15428">
          <w:rPr>
            <w:noProof/>
            <w:webHidden/>
          </w:rPr>
          <w:fldChar w:fldCharType="begin"/>
        </w:r>
        <w:r w:rsidR="00D15428">
          <w:rPr>
            <w:noProof/>
            <w:webHidden/>
          </w:rPr>
          <w:instrText xml:space="preserve"> PAGEREF _Toc23847525 \h </w:instrText>
        </w:r>
        <w:r w:rsidR="00D15428">
          <w:rPr>
            <w:noProof/>
            <w:webHidden/>
          </w:rPr>
        </w:r>
        <w:r w:rsidR="00D15428">
          <w:rPr>
            <w:noProof/>
            <w:webHidden/>
          </w:rPr>
          <w:fldChar w:fldCharType="separate"/>
        </w:r>
        <w:r w:rsidR="00DE7AA1">
          <w:rPr>
            <w:noProof/>
            <w:webHidden/>
          </w:rPr>
          <w:t>64</w:t>
        </w:r>
        <w:r w:rsidR="00D15428">
          <w:rPr>
            <w:noProof/>
            <w:webHidden/>
          </w:rPr>
          <w:fldChar w:fldCharType="end"/>
        </w:r>
      </w:hyperlink>
    </w:p>
    <w:p w14:paraId="350393F1" w14:textId="5E8D8FAA" w:rsidR="00D15428" w:rsidRDefault="00150A14">
      <w:pPr>
        <w:pStyle w:val="TOC4"/>
        <w:rPr>
          <w:rFonts w:eastAsiaTheme="minorEastAsia"/>
          <w:noProof/>
          <w:sz w:val="22"/>
          <w:lang w:eastAsia="en-AU"/>
        </w:rPr>
      </w:pPr>
      <w:hyperlink w:anchor="_Toc23847526" w:history="1">
        <w:r w:rsidR="00D15428" w:rsidRPr="00642086">
          <w:rPr>
            <w:rStyle w:val="Hyperlink"/>
            <w:noProof/>
          </w:rPr>
          <w:t>Assessed expenses for Norfolk Island services</w:t>
        </w:r>
        <w:r w:rsidR="00D15428">
          <w:rPr>
            <w:noProof/>
            <w:webHidden/>
          </w:rPr>
          <w:tab/>
        </w:r>
        <w:r w:rsidR="00D15428">
          <w:rPr>
            <w:noProof/>
            <w:webHidden/>
          </w:rPr>
          <w:fldChar w:fldCharType="begin"/>
        </w:r>
        <w:r w:rsidR="00D15428">
          <w:rPr>
            <w:noProof/>
            <w:webHidden/>
          </w:rPr>
          <w:instrText xml:space="preserve"> PAGEREF _Toc23847526 \h </w:instrText>
        </w:r>
        <w:r w:rsidR="00D15428">
          <w:rPr>
            <w:noProof/>
            <w:webHidden/>
          </w:rPr>
        </w:r>
        <w:r w:rsidR="00D15428">
          <w:rPr>
            <w:noProof/>
            <w:webHidden/>
          </w:rPr>
          <w:fldChar w:fldCharType="separate"/>
        </w:r>
        <w:r w:rsidR="00DE7AA1">
          <w:rPr>
            <w:noProof/>
            <w:webHidden/>
          </w:rPr>
          <w:t>65</w:t>
        </w:r>
        <w:r w:rsidR="00D15428">
          <w:rPr>
            <w:noProof/>
            <w:webHidden/>
          </w:rPr>
          <w:fldChar w:fldCharType="end"/>
        </w:r>
      </w:hyperlink>
    </w:p>
    <w:p w14:paraId="654F6488" w14:textId="1A39A053" w:rsidR="00D15428" w:rsidRDefault="00150A14">
      <w:pPr>
        <w:pStyle w:val="TOC3"/>
        <w:rPr>
          <w:rFonts w:eastAsiaTheme="minorEastAsia"/>
          <w:iCs w:val="0"/>
          <w:caps w:val="0"/>
          <w:noProof/>
          <w:sz w:val="22"/>
          <w:lang w:eastAsia="en-AU"/>
        </w:rPr>
      </w:pPr>
      <w:hyperlink w:anchor="_Toc23847527" w:history="1">
        <w:r w:rsidR="00D15428" w:rsidRPr="00642086">
          <w:rPr>
            <w:rStyle w:val="Hyperlink"/>
            <w:noProof/>
          </w:rPr>
          <w:t>Post secondary education</w:t>
        </w:r>
        <w:r w:rsidR="00D15428">
          <w:rPr>
            <w:noProof/>
            <w:webHidden/>
          </w:rPr>
          <w:tab/>
        </w:r>
        <w:r w:rsidR="00D15428">
          <w:rPr>
            <w:noProof/>
            <w:webHidden/>
          </w:rPr>
          <w:fldChar w:fldCharType="begin"/>
        </w:r>
        <w:r w:rsidR="00D15428">
          <w:rPr>
            <w:noProof/>
            <w:webHidden/>
          </w:rPr>
          <w:instrText xml:space="preserve"> PAGEREF _Toc23847527 \h </w:instrText>
        </w:r>
        <w:r w:rsidR="00D15428">
          <w:rPr>
            <w:noProof/>
            <w:webHidden/>
          </w:rPr>
        </w:r>
        <w:r w:rsidR="00D15428">
          <w:rPr>
            <w:noProof/>
            <w:webHidden/>
          </w:rPr>
          <w:fldChar w:fldCharType="separate"/>
        </w:r>
        <w:r w:rsidR="00DE7AA1">
          <w:rPr>
            <w:noProof/>
            <w:webHidden/>
          </w:rPr>
          <w:t>66</w:t>
        </w:r>
        <w:r w:rsidR="00D15428">
          <w:rPr>
            <w:noProof/>
            <w:webHidden/>
          </w:rPr>
          <w:fldChar w:fldCharType="end"/>
        </w:r>
      </w:hyperlink>
    </w:p>
    <w:p w14:paraId="31D0A965" w14:textId="3247389C" w:rsidR="00D15428" w:rsidRDefault="00150A14">
      <w:pPr>
        <w:pStyle w:val="TOC4"/>
        <w:rPr>
          <w:rFonts w:eastAsiaTheme="minorEastAsia"/>
          <w:noProof/>
          <w:sz w:val="22"/>
          <w:lang w:eastAsia="en-AU"/>
        </w:rPr>
      </w:pPr>
      <w:hyperlink w:anchor="_Toc23847528" w:history="1">
        <w:r w:rsidR="00D15428" w:rsidRPr="00642086">
          <w:rPr>
            <w:rStyle w:val="Hyperlink"/>
            <w:noProof/>
          </w:rPr>
          <w:t>State service and funding arrangements</w:t>
        </w:r>
        <w:r w:rsidR="00D15428">
          <w:rPr>
            <w:noProof/>
            <w:webHidden/>
          </w:rPr>
          <w:tab/>
        </w:r>
        <w:r w:rsidR="00D15428">
          <w:rPr>
            <w:noProof/>
            <w:webHidden/>
          </w:rPr>
          <w:fldChar w:fldCharType="begin"/>
        </w:r>
        <w:r w:rsidR="00D15428">
          <w:rPr>
            <w:noProof/>
            <w:webHidden/>
          </w:rPr>
          <w:instrText xml:space="preserve"> PAGEREF _Toc23847528 \h </w:instrText>
        </w:r>
        <w:r w:rsidR="00D15428">
          <w:rPr>
            <w:noProof/>
            <w:webHidden/>
          </w:rPr>
        </w:r>
        <w:r w:rsidR="00D15428">
          <w:rPr>
            <w:noProof/>
            <w:webHidden/>
          </w:rPr>
          <w:fldChar w:fldCharType="separate"/>
        </w:r>
        <w:r w:rsidR="00DE7AA1">
          <w:rPr>
            <w:noProof/>
            <w:webHidden/>
          </w:rPr>
          <w:t>66</w:t>
        </w:r>
        <w:r w:rsidR="00D15428">
          <w:rPr>
            <w:noProof/>
            <w:webHidden/>
          </w:rPr>
          <w:fldChar w:fldCharType="end"/>
        </w:r>
      </w:hyperlink>
    </w:p>
    <w:p w14:paraId="2CFF686D" w14:textId="29C76FB3" w:rsidR="00D15428" w:rsidRDefault="00150A14">
      <w:pPr>
        <w:pStyle w:val="TOC4"/>
        <w:rPr>
          <w:rFonts w:eastAsiaTheme="minorEastAsia"/>
          <w:noProof/>
          <w:sz w:val="22"/>
          <w:lang w:eastAsia="en-AU"/>
        </w:rPr>
      </w:pPr>
      <w:hyperlink w:anchor="_Toc23847529" w:history="1">
        <w:r w:rsidR="00D15428" w:rsidRPr="00642086">
          <w:rPr>
            <w:rStyle w:val="Hyperlink"/>
            <w:noProof/>
          </w:rPr>
          <w:t>Norfolk Island service delivery and funding arrangements</w:t>
        </w:r>
        <w:r w:rsidR="00D15428">
          <w:rPr>
            <w:noProof/>
            <w:webHidden/>
          </w:rPr>
          <w:tab/>
        </w:r>
        <w:r w:rsidR="00D15428">
          <w:rPr>
            <w:noProof/>
            <w:webHidden/>
          </w:rPr>
          <w:fldChar w:fldCharType="begin"/>
        </w:r>
        <w:r w:rsidR="00D15428">
          <w:rPr>
            <w:noProof/>
            <w:webHidden/>
          </w:rPr>
          <w:instrText xml:space="preserve"> PAGEREF _Toc23847529 \h </w:instrText>
        </w:r>
        <w:r w:rsidR="00D15428">
          <w:rPr>
            <w:noProof/>
            <w:webHidden/>
          </w:rPr>
        </w:r>
        <w:r w:rsidR="00D15428">
          <w:rPr>
            <w:noProof/>
            <w:webHidden/>
          </w:rPr>
          <w:fldChar w:fldCharType="separate"/>
        </w:r>
        <w:r w:rsidR="00DE7AA1">
          <w:rPr>
            <w:noProof/>
            <w:webHidden/>
          </w:rPr>
          <w:t>67</w:t>
        </w:r>
        <w:r w:rsidR="00D15428">
          <w:rPr>
            <w:noProof/>
            <w:webHidden/>
          </w:rPr>
          <w:fldChar w:fldCharType="end"/>
        </w:r>
      </w:hyperlink>
    </w:p>
    <w:p w14:paraId="5D55E42E" w14:textId="36FC4115" w:rsidR="00D15428" w:rsidRDefault="00150A14">
      <w:pPr>
        <w:pStyle w:val="TOC4"/>
        <w:rPr>
          <w:rFonts w:eastAsiaTheme="minorEastAsia"/>
          <w:noProof/>
          <w:sz w:val="22"/>
          <w:lang w:eastAsia="en-AU"/>
        </w:rPr>
      </w:pPr>
      <w:hyperlink w:anchor="_Toc23847530" w:history="1">
        <w:r w:rsidR="00D15428" w:rsidRPr="00642086">
          <w:rPr>
            <w:rStyle w:val="Hyperlink"/>
            <w:noProof/>
          </w:rPr>
          <w:t>Assessed expenses for Norfolk Island services</w:t>
        </w:r>
        <w:r w:rsidR="00D15428">
          <w:rPr>
            <w:noProof/>
            <w:webHidden/>
          </w:rPr>
          <w:tab/>
        </w:r>
        <w:r w:rsidR="00D15428">
          <w:rPr>
            <w:noProof/>
            <w:webHidden/>
          </w:rPr>
          <w:fldChar w:fldCharType="begin"/>
        </w:r>
        <w:r w:rsidR="00D15428">
          <w:rPr>
            <w:noProof/>
            <w:webHidden/>
          </w:rPr>
          <w:instrText xml:space="preserve"> PAGEREF _Toc23847530 \h </w:instrText>
        </w:r>
        <w:r w:rsidR="00D15428">
          <w:rPr>
            <w:noProof/>
            <w:webHidden/>
          </w:rPr>
        </w:r>
        <w:r w:rsidR="00D15428">
          <w:rPr>
            <w:noProof/>
            <w:webHidden/>
          </w:rPr>
          <w:fldChar w:fldCharType="separate"/>
        </w:r>
        <w:r w:rsidR="00DE7AA1">
          <w:rPr>
            <w:noProof/>
            <w:webHidden/>
          </w:rPr>
          <w:t>67</w:t>
        </w:r>
        <w:r w:rsidR="00D15428">
          <w:rPr>
            <w:noProof/>
            <w:webHidden/>
          </w:rPr>
          <w:fldChar w:fldCharType="end"/>
        </w:r>
      </w:hyperlink>
    </w:p>
    <w:p w14:paraId="431F9699" w14:textId="3392DEC5" w:rsidR="00D15428" w:rsidRDefault="00150A14">
      <w:pPr>
        <w:pStyle w:val="TOC3"/>
        <w:rPr>
          <w:rFonts w:eastAsiaTheme="minorEastAsia"/>
          <w:iCs w:val="0"/>
          <w:caps w:val="0"/>
          <w:noProof/>
          <w:sz w:val="22"/>
          <w:lang w:eastAsia="en-AU"/>
        </w:rPr>
      </w:pPr>
      <w:hyperlink w:anchor="_Toc23847531" w:history="1">
        <w:r w:rsidR="00D15428" w:rsidRPr="00642086">
          <w:rPr>
            <w:rStyle w:val="Hyperlink"/>
            <w:noProof/>
          </w:rPr>
          <w:t>Health</w:t>
        </w:r>
        <w:r w:rsidR="00D15428">
          <w:rPr>
            <w:noProof/>
            <w:webHidden/>
          </w:rPr>
          <w:tab/>
        </w:r>
        <w:r w:rsidR="00D15428">
          <w:rPr>
            <w:noProof/>
            <w:webHidden/>
          </w:rPr>
          <w:fldChar w:fldCharType="begin"/>
        </w:r>
        <w:r w:rsidR="00D15428">
          <w:rPr>
            <w:noProof/>
            <w:webHidden/>
          </w:rPr>
          <w:instrText xml:space="preserve"> PAGEREF _Toc23847531 \h </w:instrText>
        </w:r>
        <w:r w:rsidR="00D15428">
          <w:rPr>
            <w:noProof/>
            <w:webHidden/>
          </w:rPr>
        </w:r>
        <w:r w:rsidR="00D15428">
          <w:rPr>
            <w:noProof/>
            <w:webHidden/>
          </w:rPr>
          <w:fldChar w:fldCharType="separate"/>
        </w:r>
        <w:r w:rsidR="00DE7AA1">
          <w:rPr>
            <w:noProof/>
            <w:webHidden/>
          </w:rPr>
          <w:t>68</w:t>
        </w:r>
        <w:r w:rsidR="00D15428">
          <w:rPr>
            <w:noProof/>
            <w:webHidden/>
          </w:rPr>
          <w:fldChar w:fldCharType="end"/>
        </w:r>
      </w:hyperlink>
    </w:p>
    <w:p w14:paraId="2DE135EA" w14:textId="52A02F24" w:rsidR="00D15428" w:rsidRDefault="00150A14">
      <w:pPr>
        <w:pStyle w:val="TOC4"/>
        <w:rPr>
          <w:rFonts w:eastAsiaTheme="minorEastAsia"/>
          <w:noProof/>
          <w:sz w:val="22"/>
          <w:lang w:eastAsia="en-AU"/>
        </w:rPr>
      </w:pPr>
      <w:hyperlink w:anchor="_Toc23847532" w:history="1">
        <w:r w:rsidR="00D15428" w:rsidRPr="00642086">
          <w:rPr>
            <w:rStyle w:val="Hyperlink"/>
            <w:noProof/>
          </w:rPr>
          <w:t>State service delivery and funding arrangements</w:t>
        </w:r>
        <w:r w:rsidR="00D15428">
          <w:rPr>
            <w:noProof/>
            <w:webHidden/>
          </w:rPr>
          <w:tab/>
        </w:r>
        <w:r w:rsidR="00D15428">
          <w:rPr>
            <w:noProof/>
            <w:webHidden/>
          </w:rPr>
          <w:fldChar w:fldCharType="begin"/>
        </w:r>
        <w:r w:rsidR="00D15428">
          <w:rPr>
            <w:noProof/>
            <w:webHidden/>
          </w:rPr>
          <w:instrText xml:space="preserve"> PAGEREF _Toc23847532 \h </w:instrText>
        </w:r>
        <w:r w:rsidR="00D15428">
          <w:rPr>
            <w:noProof/>
            <w:webHidden/>
          </w:rPr>
        </w:r>
        <w:r w:rsidR="00D15428">
          <w:rPr>
            <w:noProof/>
            <w:webHidden/>
          </w:rPr>
          <w:fldChar w:fldCharType="separate"/>
        </w:r>
        <w:r w:rsidR="00DE7AA1">
          <w:rPr>
            <w:noProof/>
            <w:webHidden/>
          </w:rPr>
          <w:t>68</w:t>
        </w:r>
        <w:r w:rsidR="00D15428">
          <w:rPr>
            <w:noProof/>
            <w:webHidden/>
          </w:rPr>
          <w:fldChar w:fldCharType="end"/>
        </w:r>
      </w:hyperlink>
    </w:p>
    <w:p w14:paraId="33DE0CAE" w14:textId="5AF2253B" w:rsidR="00D15428" w:rsidRDefault="00150A14">
      <w:pPr>
        <w:pStyle w:val="TOC4"/>
        <w:rPr>
          <w:rFonts w:eastAsiaTheme="minorEastAsia"/>
          <w:noProof/>
          <w:sz w:val="22"/>
          <w:lang w:eastAsia="en-AU"/>
        </w:rPr>
      </w:pPr>
      <w:hyperlink w:anchor="_Toc23847533" w:history="1">
        <w:r w:rsidR="00D15428" w:rsidRPr="00642086">
          <w:rPr>
            <w:rStyle w:val="Hyperlink"/>
            <w:noProof/>
          </w:rPr>
          <w:t>Norfolk Island service delivery and funding arrangements</w:t>
        </w:r>
        <w:r w:rsidR="00D15428">
          <w:rPr>
            <w:noProof/>
            <w:webHidden/>
          </w:rPr>
          <w:tab/>
        </w:r>
        <w:r w:rsidR="00D15428">
          <w:rPr>
            <w:noProof/>
            <w:webHidden/>
          </w:rPr>
          <w:fldChar w:fldCharType="begin"/>
        </w:r>
        <w:r w:rsidR="00D15428">
          <w:rPr>
            <w:noProof/>
            <w:webHidden/>
          </w:rPr>
          <w:instrText xml:space="preserve"> PAGEREF _Toc23847533 \h </w:instrText>
        </w:r>
        <w:r w:rsidR="00D15428">
          <w:rPr>
            <w:noProof/>
            <w:webHidden/>
          </w:rPr>
        </w:r>
        <w:r w:rsidR="00D15428">
          <w:rPr>
            <w:noProof/>
            <w:webHidden/>
          </w:rPr>
          <w:fldChar w:fldCharType="separate"/>
        </w:r>
        <w:r w:rsidR="00DE7AA1">
          <w:rPr>
            <w:noProof/>
            <w:webHidden/>
          </w:rPr>
          <w:t>68</w:t>
        </w:r>
        <w:r w:rsidR="00D15428">
          <w:rPr>
            <w:noProof/>
            <w:webHidden/>
          </w:rPr>
          <w:fldChar w:fldCharType="end"/>
        </w:r>
      </w:hyperlink>
    </w:p>
    <w:p w14:paraId="68992B4D" w14:textId="72D1278C" w:rsidR="00D15428" w:rsidRDefault="00150A14">
      <w:pPr>
        <w:pStyle w:val="TOC4"/>
        <w:rPr>
          <w:rFonts w:eastAsiaTheme="minorEastAsia"/>
          <w:noProof/>
          <w:sz w:val="22"/>
          <w:lang w:eastAsia="en-AU"/>
        </w:rPr>
      </w:pPr>
      <w:hyperlink w:anchor="_Toc23847534" w:history="1">
        <w:r w:rsidR="00D15428" w:rsidRPr="00642086">
          <w:rPr>
            <w:rStyle w:val="Hyperlink"/>
            <w:noProof/>
          </w:rPr>
          <w:t>Assessed expenses for Norfolk Island services</w:t>
        </w:r>
        <w:r w:rsidR="00D15428">
          <w:rPr>
            <w:noProof/>
            <w:webHidden/>
          </w:rPr>
          <w:tab/>
        </w:r>
        <w:r w:rsidR="00D15428">
          <w:rPr>
            <w:noProof/>
            <w:webHidden/>
          </w:rPr>
          <w:fldChar w:fldCharType="begin"/>
        </w:r>
        <w:r w:rsidR="00D15428">
          <w:rPr>
            <w:noProof/>
            <w:webHidden/>
          </w:rPr>
          <w:instrText xml:space="preserve"> PAGEREF _Toc23847534 \h </w:instrText>
        </w:r>
        <w:r w:rsidR="00D15428">
          <w:rPr>
            <w:noProof/>
            <w:webHidden/>
          </w:rPr>
        </w:r>
        <w:r w:rsidR="00D15428">
          <w:rPr>
            <w:noProof/>
            <w:webHidden/>
          </w:rPr>
          <w:fldChar w:fldCharType="separate"/>
        </w:r>
        <w:r w:rsidR="00DE7AA1">
          <w:rPr>
            <w:noProof/>
            <w:webHidden/>
          </w:rPr>
          <w:t>70</w:t>
        </w:r>
        <w:r w:rsidR="00D15428">
          <w:rPr>
            <w:noProof/>
            <w:webHidden/>
          </w:rPr>
          <w:fldChar w:fldCharType="end"/>
        </w:r>
      </w:hyperlink>
    </w:p>
    <w:p w14:paraId="571F1CBC" w14:textId="28F1597A" w:rsidR="00D15428" w:rsidRDefault="00150A14">
      <w:pPr>
        <w:pStyle w:val="TOC3"/>
        <w:rPr>
          <w:rFonts w:eastAsiaTheme="minorEastAsia"/>
          <w:iCs w:val="0"/>
          <w:caps w:val="0"/>
          <w:noProof/>
          <w:sz w:val="22"/>
          <w:lang w:eastAsia="en-AU"/>
        </w:rPr>
      </w:pPr>
      <w:hyperlink w:anchor="_Toc23847535" w:history="1">
        <w:r w:rsidR="00D15428" w:rsidRPr="00642086">
          <w:rPr>
            <w:rStyle w:val="Hyperlink"/>
            <w:rFonts w:eastAsia="Times New Roman"/>
            <w:noProof/>
          </w:rPr>
          <w:t>Justice</w:t>
        </w:r>
        <w:r w:rsidR="00D15428">
          <w:rPr>
            <w:noProof/>
            <w:webHidden/>
          </w:rPr>
          <w:tab/>
        </w:r>
        <w:r w:rsidR="00D15428">
          <w:rPr>
            <w:noProof/>
            <w:webHidden/>
          </w:rPr>
          <w:fldChar w:fldCharType="begin"/>
        </w:r>
        <w:r w:rsidR="00D15428">
          <w:rPr>
            <w:noProof/>
            <w:webHidden/>
          </w:rPr>
          <w:instrText xml:space="preserve"> PAGEREF _Toc23847535 \h </w:instrText>
        </w:r>
        <w:r w:rsidR="00D15428">
          <w:rPr>
            <w:noProof/>
            <w:webHidden/>
          </w:rPr>
        </w:r>
        <w:r w:rsidR="00D15428">
          <w:rPr>
            <w:noProof/>
            <w:webHidden/>
          </w:rPr>
          <w:fldChar w:fldCharType="separate"/>
        </w:r>
        <w:r w:rsidR="00DE7AA1">
          <w:rPr>
            <w:noProof/>
            <w:webHidden/>
          </w:rPr>
          <w:t>73</w:t>
        </w:r>
        <w:r w:rsidR="00D15428">
          <w:rPr>
            <w:noProof/>
            <w:webHidden/>
          </w:rPr>
          <w:fldChar w:fldCharType="end"/>
        </w:r>
      </w:hyperlink>
    </w:p>
    <w:p w14:paraId="5F9E4A7C" w14:textId="4DFBA494" w:rsidR="00D15428" w:rsidRDefault="00150A14">
      <w:pPr>
        <w:pStyle w:val="TOC4"/>
        <w:rPr>
          <w:rFonts w:eastAsiaTheme="minorEastAsia"/>
          <w:noProof/>
          <w:sz w:val="22"/>
          <w:lang w:eastAsia="en-AU"/>
        </w:rPr>
      </w:pPr>
      <w:hyperlink w:anchor="_Toc23847536" w:history="1">
        <w:r w:rsidR="00D15428" w:rsidRPr="00642086">
          <w:rPr>
            <w:rStyle w:val="Hyperlink"/>
            <w:rFonts w:eastAsia="Times New Roman"/>
            <w:noProof/>
          </w:rPr>
          <w:t>State service delivery and funding arrangements</w:t>
        </w:r>
        <w:r w:rsidR="00D15428">
          <w:rPr>
            <w:noProof/>
            <w:webHidden/>
          </w:rPr>
          <w:tab/>
        </w:r>
        <w:r w:rsidR="00D15428">
          <w:rPr>
            <w:noProof/>
            <w:webHidden/>
          </w:rPr>
          <w:fldChar w:fldCharType="begin"/>
        </w:r>
        <w:r w:rsidR="00D15428">
          <w:rPr>
            <w:noProof/>
            <w:webHidden/>
          </w:rPr>
          <w:instrText xml:space="preserve"> PAGEREF _Toc23847536 \h </w:instrText>
        </w:r>
        <w:r w:rsidR="00D15428">
          <w:rPr>
            <w:noProof/>
            <w:webHidden/>
          </w:rPr>
        </w:r>
        <w:r w:rsidR="00D15428">
          <w:rPr>
            <w:noProof/>
            <w:webHidden/>
          </w:rPr>
          <w:fldChar w:fldCharType="separate"/>
        </w:r>
        <w:r w:rsidR="00DE7AA1">
          <w:rPr>
            <w:noProof/>
            <w:webHidden/>
          </w:rPr>
          <w:t>73</w:t>
        </w:r>
        <w:r w:rsidR="00D15428">
          <w:rPr>
            <w:noProof/>
            <w:webHidden/>
          </w:rPr>
          <w:fldChar w:fldCharType="end"/>
        </w:r>
      </w:hyperlink>
    </w:p>
    <w:p w14:paraId="569C705B" w14:textId="074A8999" w:rsidR="00D15428" w:rsidRDefault="00150A14">
      <w:pPr>
        <w:pStyle w:val="TOC4"/>
        <w:rPr>
          <w:rFonts w:eastAsiaTheme="minorEastAsia"/>
          <w:noProof/>
          <w:sz w:val="22"/>
          <w:lang w:eastAsia="en-AU"/>
        </w:rPr>
      </w:pPr>
      <w:hyperlink w:anchor="_Toc23847537" w:history="1">
        <w:r w:rsidR="00D15428" w:rsidRPr="00642086">
          <w:rPr>
            <w:rStyle w:val="Hyperlink"/>
            <w:rFonts w:eastAsia="Times New Roman"/>
            <w:noProof/>
          </w:rPr>
          <w:t>Norfolk Island service delivery and funding arrangements</w:t>
        </w:r>
        <w:r w:rsidR="00D15428">
          <w:rPr>
            <w:noProof/>
            <w:webHidden/>
          </w:rPr>
          <w:tab/>
        </w:r>
        <w:r w:rsidR="00D15428">
          <w:rPr>
            <w:noProof/>
            <w:webHidden/>
          </w:rPr>
          <w:fldChar w:fldCharType="begin"/>
        </w:r>
        <w:r w:rsidR="00D15428">
          <w:rPr>
            <w:noProof/>
            <w:webHidden/>
          </w:rPr>
          <w:instrText xml:space="preserve"> PAGEREF _Toc23847537 \h </w:instrText>
        </w:r>
        <w:r w:rsidR="00D15428">
          <w:rPr>
            <w:noProof/>
            <w:webHidden/>
          </w:rPr>
        </w:r>
        <w:r w:rsidR="00D15428">
          <w:rPr>
            <w:noProof/>
            <w:webHidden/>
          </w:rPr>
          <w:fldChar w:fldCharType="separate"/>
        </w:r>
        <w:r w:rsidR="00DE7AA1">
          <w:rPr>
            <w:noProof/>
            <w:webHidden/>
          </w:rPr>
          <w:t>73</w:t>
        </w:r>
        <w:r w:rsidR="00D15428">
          <w:rPr>
            <w:noProof/>
            <w:webHidden/>
          </w:rPr>
          <w:fldChar w:fldCharType="end"/>
        </w:r>
      </w:hyperlink>
    </w:p>
    <w:p w14:paraId="4A8F2FD2" w14:textId="394BF6B7" w:rsidR="00D15428" w:rsidRDefault="00150A14">
      <w:pPr>
        <w:pStyle w:val="TOC4"/>
        <w:rPr>
          <w:rFonts w:eastAsiaTheme="minorEastAsia"/>
          <w:noProof/>
          <w:sz w:val="22"/>
          <w:lang w:eastAsia="en-AU"/>
        </w:rPr>
      </w:pPr>
      <w:hyperlink w:anchor="_Toc23847538" w:history="1">
        <w:r w:rsidR="00D15428" w:rsidRPr="00642086">
          <w:rPr>
            <w:rStyle w:val="Hyperlink"/>
            <w:noProof/>
          </w:rPr>
          <w:t>Assessed expenses for Norfolk Island services</w:t>
        </w:r>
        <w:r w:rsidR="00D15428">
          <w:rPr>
            <w:noProof/>
            <w:webHidden/>
          </w:rPr>
          <w:tab/>
        </w:r>
        <w:r w:rsidR="00D15428">
          <w:rPr>
            <w:noProof/>
            <w:webHidden/>
          </w:rPr>
          <w:fldChar w:fldCharType="begin"/>
        </w:r>
        <w:r w:rsidR="00D15428">
          <w:rPr>
            <w:noProof/>
            <w:webHidden/>
          </w:rPr>
          <w:instrText xml:space="preserve"> PAGEREF _Toc23847538 \h </w:instrText>
        </w:r>
        <w:r w:rsidR="00D15428">
          <w:rPr>
            <w:noProof/>
            <w:webHidden/>
          </w:rPr>
        </w:r>
        <w:r w:rsidR="00D15428">
          <w:rPr>
            <w:noProof/>
            <w:webHidden/>
          </w:rPr>
          <w:fldChar w:fldCharType="separate"/>
        </w:r>
        <w:r w:rsidR="00DE7AA1">
          <w:rPr>
            <w:noProof/>
            <w:webHidden/>
          </w:rPr>
          <w:t>75</w:t>
        </w:r>
        <w:r w:rsidR="00D15428">
          <w:rPr>
            <w:noProof/>
            <w:webHidden/>
          </w:rPr>
          <w:fldChar w:fldCharType="end"/>
        </w:r>
      </w:hyperlink>
    </w:p>
    <w:p w14:paraId="722A602E" w14:textId="0E694F14" w:rsidR="00D15428" w:rsidRDefault="00150A14">
      <w:pPr>
        <w:pStyle w:val="TOC3"/>
        <w:rPr>
          <w:rFonts w:eastAsiaTheme="minorEastAsia"/>
          <w:iCs w:val="0"/>
          <w:caps w:val="0"/>
          <w:noProof/>
          <w:sz w:val="22"/>
          <w:lang w:eastAsia="en-AU"/>
        </w:rPr>
      </w:pPr>
      <w:hyperlink w:anchor="_Toc23847539" w:history="1">
        <w:r w:rsidR="00D15428" w:rsidRPr="00642086">
          <w:rPr>
            <w:rStyle w:val="Hyperlink"/>
            <w:rFonts w:eastAsia="Times New Roman"/>
            <w:noProof/>
          </w:rPr>
          <w:t>Welfare</w:t>
        </w:r>
        <w:r w:rsidR="00D15428">
          <w:rPr>
            <w:noProof/>
            <w:webHidden/>
          </w:rPr>
          <w:tab/>
        </w:r>
        <w:r w:rsidR="00D15428">
          <w:rPr>
            <w:noProof/>
            <w:webHidden/>
          </w:rPr>
          <w:fldChar w:fldCharType="begin"/>
        </w:r>
        <w:r w:rsidR="00D15428">
          <w:rPr>
            <w:noProof/>
            <w:webHidden/>
          </w:rPr>
          <w:instrText xml:space="preserve"> PAGEREF _Toc23847539 \h </w:instrText>
        </w:r>
        <w:r w:rsidR="00D15428">
          <w:rPr>
            <w:noProof/>
            <w:webHidden/>
          </w:rPr>
        </w:r>
        <w:r w:rsidR="00D15428">
          <w:rPr>
            <w:noProof/>
            <w:webHidden/>
          </w:rPr>
          <w:fldChar w:fldCharType="separate"/>
        </w:r>
        <w:r w:rsidR="00DE7AA1">
          <w:rPr>
            <w:noProof/>
            <w:webHidden/>
          </w:rPr>
          <w:t>77</w:t>
        </w:r>
        <w:r w:rsidR="00D15428">
          <w:rPr>
            <w:noProof/>
            <w:webHidden/>
          </w:rPr>
          <w:fldChar w:fldCharType="end"/>
        </w:r>
      </w:hyperlink>
    </w:p>
    <w:p w14:paraId="5EB8BD32" w14:textId="435F71CF" w:rsidR="00D15428" w:rsidRDefault="00150A14">
      <w:pPr>
        <w:pStyle w:val="TOC4"/>
        <w:rPr>
          <w:rFonts w:eastAsiaTheme="minorEastAsia"/>
          <w:noProof/>
          <w:sz w:val="22"/>
          <w:lang w:eastAsia="en-AU"/>
        </w:rPr>
      </w:pPr>
      <w:hyperlink w:anchor="_Toc23847540" w:history="1">
        <w:r w:rsidR="00D15428" w:rsidRPr="00642086">
          <w:rPr>
            <w:rStyle w:val="Hyperlink"/>
            <w:rFonts w:eastAsia="Times New Roman"/>
            <w:noProof/>
          </w:rPr>
          <w:t>State service delivery and funding arrangements</w:t>
        </w:r>
        <w:r w:rsidR="00D15428">
          <w:rPr>
            <w:noProof/>
            <w:webHidden/>
          </w:rPr>
          <w:tab/>
        </w:r>
        <w:r w:rsidR="00D15428">
          <w:rPr>
            <w:noProof/>
            <w:webHidden/>
          </w:rPr>
          <w:fldChar w:fldCharType="begin"/>
        </w:r>
        <w:r w:rsidR="00D15428">
          <w:rPr>
            <w:noProof/>
            <w:webHidden/>
          </w:rPr>
          <w:instrText xml:space="preserve"> PAGEREF _Toc23847540 \h </w:instrText>
        </w:r>
        <w:r w:rsidR="00D15428">
          <w:rPr>
            <w:noProof/>
            <w:webHidden/>
          </w:rPr>
        </w:r>
        <w:r w:rsidR="00D15428">
          <w:rPr>
            <w:noProof/>
            <w:webHidden/>
          </w:rPr>
          <w:fldChar w:fldCharType="separate"/>
        </w:r>
        <w:r w:rsidR="00DE7AA1">
          <w:rPr>
            <w:noProof/>
            <w:webHidden/>
          </w:rPr>
          <w:t>77</w:t>
        </w:r>
        <w:r w:rsidR="00D15428">
          <w:rPr>
            <w:noProof/>
            <w:webHidden/>
          </w:rPr>
          <w:fldChar w:fldCharType="end"/>
        </w:r>
      </w:hyperlink>
    </w:p>
    <w:p w14:paraId="703F03FF" w14:textId="2A85F583" w:rsidR="00D15428" w:rsidRDefault="00150A14">
      <w:pPr>
        <w:pStyle w:val="TOC4"/>
        <w:rPr>
          <w:rFonts w:eastAsiaTheme="minorEastAsia"/>
          <w:noProof/>
          <w:sz w:val="22"/>
          <w:lang w:eastAsia="en-AU"/>
        </w:rPr>
      </w:pPr>
      <w:hyperlink w:anchor="_Toc23847541" w:history="1">
        <w:r w:rsidR="00D15428" w:rsidRPr="00642086">
          <w:rPr>
            <w:rStyle w:val="Hyperlink"/>
            <w:rFonts w:eastAsia="Times New Roman"/>
            <w:noProof/>
          </w:rPr>
          <w:t>Norfolk Island service and funding arrangements</w:t>
        </w:r>
        <w:r w:rsidR="00D15428">
          <w:rPr>
            <w:noProof/>
            <w:webHidden/>
          </w:rPr>
          <w:tab/>
        </w:r>
        <w:r w:rsidR="00D15428">
          <w:rPr>
            <w:noProof/>
            <w:webHidden/>
          </w:rPr>
          <w:fldChar w:fldCharType="begin"/>
        </w:r>
        <w:r w:rsidR="00D15428">
          <w:rPr>
            <w:noProof/>
            <w:webHidden/>
          </w:rPr>
          <w:instrText xml:space="preserve"> PAGEREF _Toc23847541 \h </w:instrText>
        </w:r>
        <w:r w:rsidR="00D15428">
          <w:rPr>
            <w:noProof/>
            <w:webHidden/>
          </w:rPr>
        </w:r>
        <w:r w:rsidR="00D15428">
          <w:rPr>
            <w:noProof/>
            <w:webHidden/>
          </w:rPr>
          <w:fldChar w:fldCharType="separate"/>
        </w:r>
        <w:r w:rsidR="00DE7AA1">
          <w:rPr>
            <w:noProof/>
            <w:webHidden/>
          </w:rPr>
          <w:t>77</w:t>
        </w:r>
        <w:r w:rsidR="00D15428">
          <w:rPr>
            <w:noProof/>
            <w:webHidden/>
          </w:rPr>
          <w:fldChar w:fldCharType="end"/>
        </w:r>
      </w:hyperlink>
    </w:p>
    <w:p w14:paraId="3C894FDD" w14:textId="57C24D1A" w:rsidR="00D15428" w:rsidRDefault="00150A14">
      <w:pPr>
        <w:pStyle w:val="TOC4"/>
        <w:rPr>
          <w:rFonts w:eastAsiaTheme="minorEastAsia"/>
          <w:noProof/>
          <w:sz w:val="22"/>
          <w:lang w:eastAsia="en-AU"/>
        </w:rPr>
      </w:pPr>
      <w:hyperlink w:anchor="_Toc23847542" w:history="1">
        <w:r w:rsidR="00D15428" w:rsidRPr="00642086">
          <w:rPr>
            <w:rStyle w:val="Hyperlink"/>
            <w:noProof/>
          </w:rPr>
          <w:t>Assessed expenses for Norfolk Island services</w:t>
        </w:r>
        <w:r w:rsidR="00D15428">
          <w:rPr>
            <w:noProof/>
            <w:webHidden/>
          </w:rPr>
          <w:tab/>
        </w:r>
        <w:r w:rsidR="00D15428">
          <w:rPr>
            <w:noProof/>
            <w:webHidden/>
          </w:rPr>
          <w:fldChar w:fldCharType="begin"/>
        </w:r>
        <w:r w:rsidR="00D15428">
          <w:rPr>
            <w:noProof/>
            <w:webHidden/>
          </w:rPr>
          <w:instrText xml:space="preserve"> PAGEREF _Toc23847542 \h </w:instrText>
        </w:r>
        <w:r w:rsidR="00D15428">
          <w:rPr>
            <w:noProof/>
            <w:webHidden/>
          </w:rPr>
        </w:r>
        <w:r w:rsidR="00D15428">
          <w:rPr>
            <w:noProof/>
            <w:webHidden/>
          </w:rPr>
          <w:fldChar w:fldCharType="separate"/>
        </w:r>
        <w:r w:rsidR="00DE7AA1">
          <w:rPr>
            <w:noProof/>
            <w:webHidden/>
          </w:rPr>
          <w:t>78</w:t>
        </w:r>
        <w:r w:rsidR="00D15428">
          <w:rPr>
            <w:noProof/>
            <w:webHidden/>
          </w:rPr>
          <w:fldChar w:fldCharType="end"/>
        </w:r>
      </w:hyperlink>
    </w:p>
    <w:p w14:paraId="7AC99F6F" w14:textId="3E32E90C" w:rsidR="00D15428" w:rsidRDefault="00150A14">
      <w:pPr>
        <w:pStyle w:val="TOC3"/>
        <w:rPr>
          <w:rFonts w:eastAsiaTheme="minorEastAsia"/>
          <w:iCs w:val="0"/>
          <w:caps w:val="0"/>
          <w:noProof/>
          <w:sz w:val="22"/>
          <w:lang w:eastAsia="en-AU"/>
        </w:rPr>
      </w:pPr>
      <w:hyperlink w:anchor="_Toc23847543" w:history="1">
        <w:r w:rsidR="00D15428" w:rsidRPr="00642086">
          <w:rPr>
            <w:rStyle w:val="Hyperlink"/>
            <w:rFonts w:eastAsia="Times New Roman"/>
            <w:noProof/>
          </w:rPr>
          <w:t>Housing</w:t>
        </w:r>
        <w:r w:rsidR="00D15428">
          <w:rPr>
            <w:noProof/>
            <w:webHidden/>
          </w:rPr>
          <w:tab/>
        </w:r>
        <w:r w:rsidR="00D15428">
          <w:rPr>
            <w:noProof/>
            <w:webHidden/>
          </w:rPr>
          <w:fldChar w:fldCharType="begin"/>
        </w:r>
        <w:r w:rsidR="00D15428">
          <w:rPr>
            <w:noProof/>
            <w:webHidden/>
          </w:rPr>
          <w:instrText xml:space="preserve"> PAGEREF _Toc23847543 \h </w:instrText>
        </w:r>
        <w:r w:rsidR="00D15428">
          <w:rPr>
            <w:noProof/>
            <w:webHidden/>
          </w:rPr>
        </w:r>
        <w:r w:rsidR="00D15428">
          <w:rPr>
            <w:noProof/>
            <w:webHidden/>
          </w:rPr>
          <w:fldChar w:fldCharType="separate"/>
        </w:r>
        <w:r w:rsidR="00DE7AA1">
          <w:rPr>
            <w:noProof/>
            <w:webHidden/>
          </w:rPr>
          <w:t>79</w:t>
        </w:r>
        <w:r w:rsidR="00D15428">
          <w:rPr>
            <w:noProof/>
            <w:webHidden/>
          </w:rPr>
          <w:fldChar w:fldCharType="end"/>
        </w:r>
      </w:hyperlink>
    </w:p>
    <w:p w14:paraId="23F65079" w14:textId="5FFFEA13" w:rsidR="00D15428" w:rsidRDefault="00150A14">
      <w:pPr>
        <w:pStyle w:val="TOC4"/>
        <w:rPr>
          <w:rFonts w:eastAsiaTheme="minorEastAsia"/>
          <w:noProof/>
          <w:sz w:val="22"/>
          <w:lang w:eastAsia="en-AU"/>
        </w:rPr>
      </w:pPr>
      <w:hyperlink w:anchor="_Toc23847544" w:history="1">
        <w:r w:rsidR="00D15428" w:rsidRPr="00642086">
          <w:rPr>
            <w:rStyle w:val="Hyperlink"/>
            <w:rFonts w:eastAsia="Times New Roman"/>
            <w:noProof/>
          </w:rPr>
          <w:t>State service delivery and funding arrangements</w:t>
        </w:r>
        <w:r w:rsidR="00D15428">
          <w:rPr>
            <w:noProof/>
            <w:webHidden/>
          </w:rPr>
          <w:tab/>
        </w:r>
        <w:r w:rsidR="00D15428">
          <w:rPr>
            <w:noProof/>
            <w:webHidden/>
          </w:rPr>
          <w:fldChar w:fldCharType="begin"/>
        </w:r>
        <w:r w:rsidR="00D15428">
          <w:rPr>
            <w:noProof/>
            <w:webHidden/>
          </w:rPr>
          <w:instrText xml:space="preserve"> PAGEREF _Toc23847544 \h </w:instrText>
        </w:r>
        <w:r w:rsidR="00D15428">
          <w:rPr>
            <w:noProof/>
            <w:webHidden/>
          </w:rPr>
        </w:r>
        <w:r w:rsidR="00D15428">
          <w:rPr>
            <w:noProof/>
            <w:webHidden/>
          </w:rPr>
          <w:fldChar w:fldCharType="separate"/>
        </w:r>
        <w:r w:rsidR="00DE7AA1">
          <w:rPr>
            <w:noProof/>
            <w:webHidden/>
          </w:rPr>
          <w:t>79</w:t>
        </w:r>
        <w:r w:rsidR="00D15428">
          <w:rPr>
            <w:noProof/>
            <w:webHidden/>
          </w:rPr>
          <w:fldChar w:fldCharType="end"/>
        </w:r>
      </w:hyperlink>
    </w:p>
    <w:p w14:paraId="3B7A0235" w14:textId="2E497D09" w:rsidR="00D15428" w:rsidRDefault="00150A14">
      <w:pPr>
        <w:pStyle w:val="TOC4"/>
        <w:rPr>
          <w:rFonts w:eastAsiaTheme="minorEastAsia"/>
          <w:noProof/>
          <w:sz w:val="22"/>
          <w:lang w:eastAsia="en-AU"/>
        </w:rPr>
      </w:pPr>
      <w:hyperlink w:anchor="_Toc23847545" w:history="1">
        <w:r w:rsidR="00D15428" w:rsidRPr="00642086">
          <w:rPr>
            <w:rStyle w:val="Hyperlink"/>
            <w:rFonts w:eastAsia="Times New Roman"/>
            <w:noProof/>
          </w:rPr>
          <w:t>Norfolk Island service and funding arrangements</w:t>
        </w:r>
        <w:r w:rsidR="00D15428">
          <w:rPr>
            <w:noProof/>
            <w:webHidden/>
          </w:rPr>
          <w:tab/>
        </w:r>
        <w:r w:rsidR="00D15428">
          <w:rPr>
            <w:noProof/>
            <w:webHidden/>
          </w:rPr>
          <w:fldChar w:fldCharType="begin"/>
        </w:r>
        <w:r w:rsidR="00D15428">
          <w:rPr>
            <w:noProof/>
            <w:webHidden/>
          </w:rPr>
          <w:instrText xml:space="preserve"> PAGEREF _Toc23847545 \h </w:instrText>
        </w:r>
        <w:r w:rsidR="00D15428">
          <w:rPr>
            <w:noProof/>
            <w:webHidden/>
          </w:rPr>
        </w:r>
        <w:r w:rsidR="00D15428">
          <w:rPr>
            <w:noProof/>
            <w:webHidden/>
          </w:rPr>
          <w:fldChar w:fldCharType="separate"/>
        </w:r>
        <w:r w:rsidR="00DE7AA1">
          <w:rPr>
            <w:noProof/>
            <w:webHidden/>
          </w:rPr>
          <w:t>80</w:t>
        </w:r>
        <w:r w:rsidR="00D15428">
          <w:rPr>
            <w:noProof/>
            <w:webHidden/>
          </w:rPr>
          <w:fldChar w:fldCharType="end"/>
        </w:r>
      </w:hyperlink>
    </w:p>
    <w:p w14:paraId="52B37356" w14:textId="654C40EA" w:rsidR="00D15428" w:rsidRDefault="00150A14">
      <w:pPr>
        <w:pStyle w:val="TOC4"/>
        <w:rPr>
          <w:rFonts w:eastAsiaTheme="minorEastAsia"/>
          <w:noProof/>
          <w:sz w:val="22"/>
          <w:lang w:eastAsia="en-AU"/>
        </w:rPr>
      </w:pPr>
      <w:hyperlink w:anchor="_Toc23847546" w:history="1">
        <w:r w:rsidR="00D15428" w:rsidRPr="00642086">
          <w:rPr>
            <w:rStyle w:val="Hyperlink"/>
            <w:noProof/>
          </w:rPr>
          <w:t>Assessed expenses for Norfolk Island services</w:t>
        </w:r>
        <w:r w:rsidR="00D15428">
          <w:rPr>
            <w:noProof/>
            <w:webHidden/>
          </w:rPr>
          <w:tab/>
        </w:r>
        <w:r w:rsidR="00D15428">
          <w:rPr>
            <w:noProof/>
            <w:webHidden/>
          </w:rPr>
          <w:fldChar w:fldCharType="begin"/>
        </w:r>
        <w:r w:rsidR="00D15428">
          <w:rPr>
            <w:noProof/>
            <w:webHidden/>
          </w:rPr>
          <w:instrText xml:space="preserve"> PAGEREF _Toc23847546 \h </w:instrText>
        </w:r>
        <w:r w:rsidR="00D15428">
          <w:rPr>
            <w:noProof/>
            <w:webHidden/>
          </w:rPr>
        </w:r>
        <w:r w:rsidR="00D15428">
          <w:rPr>
            <w:noProof/>
            <w:webHidden/>
          </w:rPr>
          <w:fldChar w:fldCharType="separate"/>
        </w:r>
        <w:r w:rsidR="00DE7AA1">
          <w:rPr>
            <w:noProof/>
            <w:webHidden/>
          </w:rPr>
          <w:t>81</w:t>
        </w:r>
        <w:r w:rsidR="00D15428">
          <w:rPr>
            <w:noProof/>
            <w:webHidden/>
          </w:rPr>
          <w:fldChar w:fldCharType="end"/>
        </w:r>
      </w:hyperlink>
    </w:p>
    <w:p w14:paraId="495C7A0A" w14:textId="2D66CD62" w:rsidR="00D15428" w:rsidRDefault="00150A14">
      <w:pPr>
        <w:pStyle w:val="TOC3"/>
        <w:rPr>
          <w:rFonts w:eastAsiaTheme="minorEastAsia"/>
          <w:iCs w:val="0"/>
          <w:caps w:val="0"/>
          <w:noProof/>
          <w:sz w:val="22"/>
          <w:lang w:eastAsia="en-AU"/>
        </w:rPr>
      </w:pPr>
      <w:hyperlink w:anchor="_Toc23847547" w:history="1">
        <w:r w:rsidR="00D15428" w:rsidRPr="00642086">
          <w:rPr>
            <w:rStyle w:val="Hyperlink"/>
            <w:noProof/>
          </w:rPr>
          <w:t>Services to Communities</w:t>
        </w:r>
        <w:r w:rsidR="00D15428">
          <w:rPr>
            <w:noProof/>
            <w:webHidden/>
          </w:rPr>
          <w:tab/>
        </w:r>
        <w:r w:rsidR="00D15428">
          <w:rPr>
            <w:noProof/>
            <w:webHidden/>
          </w:rPr>
          <w:fldChar w:fldCharType="begin"/>
        </w:r>
        <w:r w:rsidR="00D15428">
          <w:rPr>
            <w:noProof/>
            <w:webHidden/>
          </w:rPr>
          <w:instrText xml:space="preserve"> PAGEREF _Toc23847547 \h </w:instrText>
        </w:r>
        <w:r w:rsidR="00D15428">
          <w:rPr>
            <w:noProof/>
            <w:webHidden/>
          </w:rPr>
        </w:r>
        <w:r w:rsidR="00D15428">
          <w:rPr>
            <w:noProof/>
            <w:webHidden/>
          </w:rPr>
          <w:fldChar w:fldCharType="separate"/>
        </w:r>
        <w:r w:rsidR="00DE7AA1">
          <w:rPr>
            <w:noProof/>
            <w:webHidden/>
          </w:rPr>
          <w:t>82</w:t>
        </w:r>
        <w:r w:rsidR="00D15428">
          <w:rPr>
            <w:noProof/>
            <w:webHidden/>
          </w:rPr>
          <w:fldChar w:fldCharType="end"/>
        </w:r>
      </w:hyperlink>
    </w:p>
    <w:p w14:paraId="7BC2BCA1" w14:textId="07148B48" w:rsidR="00D15428" w:rsidRDefault="00150A14">
      <w:pPr>
        <w:pStyle w:val="TOC4"/>
        <w:rPr>
          <w:rFonts w:eastAsiaTheme="minorEastAsia"/>
          <w:noProof/>
          <w:sz w:val="22"/>
          <w:lang w:eastAsia="en-AU"/>
        </w:rPr>
      </w:pPr>
      <w:hyperlink w:anchor="_Toc23847548" w:history="1">
        <w:r w:rsidR="00D15428" w:rsidRPr="00642086">
          <w:rPr>
            <w:rStyle w:val="Hyperlink"/>
            <w:rFonts w:eastAsia="Times New Roman"/>
            <w:noProof/>
          </w:rPr>
          <w:t>State service delivery and funding arrangements</w:t>
        </w:r>
        <w:r w:rsidR="00D15428">
          <w:rPr>
            <w:noProof/>
            <w:webHidden/>
          </w:rPr>
          <w:tab/>
        </w:r>
        <w:r w:rsidR="00D15428">
          <w:rPr>
            <w:noProof/>
            <w:webHidden/>
          </w:rPr>
          <w:fldChar w:fldCharType="begin"/>
        </w:r>
        <w:r w:rsidR="00D15428">
          <w:rPr>
            <w:noProof/>
            <w:webHidden/>
          </w:rPr>
          <w:instrText xml:space="preserve"> PAGEREF _Toc23847548 \h </w:instrText>
        </w:r>
        <w:r w:rsidR="00D15428">
          <w:rPr>
            <w:noProof/>
            <w:webHidden/>
          </w:rPr>
        </w:r>
        <w:r w:rsidR="00D15428">
          <w:rPr>
            <w:noProof/>
            <w:webHidden/>
          </w:rPr>
          <w:fldChar w:fldCharType="separate"/>
        </w:r>
        <w:r w:rsidR="00DE7AA1">
          <w:rPr>
            <w:noProof/>
            <w:webHidden/>
          </w:rPr>
          <w:t>82</w:t>
        </w:r>
        <w:r w:rsidR="00D15428">
          <w:rPr>
            <w:noProof/>
            <w:webHidden/>
          </w:rPr>
          <w:fldChar w:fldCharType="end"/>
        </w:r>
      </w:hyperlink>
    </w:p>
    <w:p w14:paraId="78CB5503" w14:textId="5C7A75DA" w:rsidR="00D15428" w:rsidRDefault="00150A14">
      <w:pPr>
        <w:pStyle w:val="TOC4"/>
        <w:rPr>
          <w:rFonts w:eastAsiaTheme="minorEastAsia"/>
          <w:noProof/>
          <w:sz w:val="22"/>
          <w:lang w:eastAsia="en-AU"/>
        </w:rPr>
      </w:pPr>
      <w:hyperlink w:anchor="_Toc23847549" w:history="1">
        <w:r w:rsidR="00D15428" w:rsidRPr="00642086">
          <w:rPr>
            <w:rStyle w:val="Hyperlink"/>
            <w:rFonts w:eastAsia="Times New Roman"/>
            <w:noProof/>
          </w:rPr>
          <w:t>Norfolk Island service and funding arrangements</w:t>
        </w:r>
        <w:r w:rsidR="00D15428">
          <w:rPr>
            <w:noProof/>
            <w:webHidden/>
          </w:rPr>
          <w:tab/>
        </w:r>
        <w:r w:rsidR="00D15428">
          <w:rPr>
            <w:noProof/>
            <w:webHidden/>
          </w:rPr>
          <w:fldChar w:fldCharType="begin"/>
        </w:r>
        <w:r w:rsidR="00D15428">
          <w:rPr>
            <w:noProof/>
            <w:webHidden/>
          </w:rPr>
          <w:instrText xml:space="preserve"> PAGEREF _Toc23847549 \h </w:instrText>
        </w:r>
        <w:r w:rsidR="00D15428">
          <w:rPr>
            <w:noProof/>
            <w:webHidden/>
          </w:rPr>
        </w:r>
        <w:r w:rsidR="00D15428">
          <w:rPr>
            <w:noProof/>
            <w:webHidden/>
          </w:rPr>
          <w:fldChar w:fldCharType="separate"/>
        </w:r>
        <w:r w:rsidR="00DE7AA1">
          <w:rPr>
            <w:noProof/>
            <w:webHidden/>
          </w:rPr>
          <w:t>82</w:t>
        </w:r>
        <w:r w:rsidR="00D15428">
          <w:rPr>
            <w:noProof/>
            <w:webHidden/>
          </w:rPr>
          <w:fldChar w:fldCharType="end"/>
        </w:r>
      </w:hyperlink>
    </w:p>
    <w:p w14:paraId="2B893CEB" w14:textId="0E0FBF99" w:rsidR="00D15428" w:rsidRDefault="00150A14">
      <w:pPr>
        <w:pStyle w:val="TOC4"/>
        <w:rPr>
          <w:rFonts w:eastAsiaTheme="minorEastAsia"/>
          <w:noProof/>
          <w:sz w:val="22"/>
          <w:lang w:eastAsia="en-AU"/>
        </w:rPr>
      </w:pPr>
      <w:hyperlink w:anchor="_Toc23847550" w:history="1">
        <w:r w:rsidR="00D15428" w:rsidRPr="00642086">
          <w:rPr>
            <w:rStyle w:val="Hyperlink"/>
            <w:noProof/>
          </w:rPr>
          <w:t>Assessed expenses for Norfolk Island services</w:t>
        </w:r>
        <w:r w:rsidR="00D15428">
          <w:rPr>
            <w:noProof/>
            <w:webHidden/>
          </w:rPr>
          <w:tab/>
        </w:r>
        <w:r w:rsidR="00D15428">
          <w:rPr>
            <w:noProof/>
            <w:webHidden/>
          </w:rPr>
          <w:fldChar w:fldCharType="begin"/>
        </w:r>
        <w:r w:rsidR="00D15428">
          <w:rPr>
            <w:noProof/>
            <w:webHidden/>
          </w:rPr>
          <w:instrText xml:space="preserve"> PAGEREF _Toc23847550 \h </w:instrText>
        </w:r>
        <w:r w:rsidR="00D15428">
          <w:rPr>
            <w:noProof/>
            <w:webHidden/>
          </w:rPr>
        </w:r>
        <w:r w:rsidR="00D15428">
          <w:rPr>
            <w:noProof/>
            <w:webHidden/>
          </w:rPr>
          <w:fldChar w:fldCharType="separate"/>
        </w:r>
        <w:r w:rsidR="00DE7AA1">
          <w:rPr>
            <w:noProof/>
            <w:webHidden/>
          </w:rPr>
          <w:t>83</w:t>
        </w:r>
        <w:r w:rsidR="00D15428">
          <w:rPr>
            <w:noProof/>
            <w:webHidden/>
          </w:rPr>
          <w:fldChar w:fldCharType="end"/>
        </w:r>
      </w:hyperlink>
    </w:p>
    <w:p w14:paraId="4AF2BB58" w14:textId="6BE4C984" w:rsidR="00D15428" w:rsidRDefault="00150A14">
      <w:pPr>
        <w:pStyle w:val="TOC3"/>
        <w:rPr>
          <w:rFonts w:eastAsiaTheme="minorEastAsia"/>
          <w:iCs w:val="0"/>
          <w:caps w:val="0"/>
          <w:noProof/>
          <w:sz w:val="22"/>
          <w:lang w:eastAsia="en-AU"/>
        </w:rPr>
      </w:pPr>
      <w:hyperlink w:anchor="_Toc23847551" w:history="1">
        <w:r w:rsidR="00D15428" w:rsidRPr="00642086">
          <w:rPr>
            <w:rStyle w:val="Hyperlink"/>
            <w:noProof/>
          </w:rPr>
          <w:t>Transport</w:t>
        </w:r>
        <w:r w:rsidR="00D15428">
          <w:rPr>
            <w:noProof/>
            <w:webHidden/>
          </w:rPr>
          <w:tab/>
        </w:r>
        <w:r w:rsidR="00D15428">
          <w:rPr>
            <w:noProof/>
            <w:webHidden/>
          </w:rPr>
          <w:fldChar w:fldCharType="begin"/>
        </w:r>
        <w:r w:rsidR="00D15428">
          <w:rPr>
            <w:noProof/>
            <w:webHidden/>
          </w:rPr>
          <w:instrText xml:space="preserve"> PAGEREF _Toc23847551 \h </w:instrText>
        </w:r>
        <w:r w:rsidR="00D15428">
          <w:rPr>
            <w:noProof/>
            <w:webHidden/>
          </w:rPr>
        </w:r>
        <w:r w:rsidR="00D15428">
          <w:rPr>
            <w:noProof/>
            <w:webHidden/>
          </w:rPr>
          <w:fldChar w:fldCharType="separate"/>
        </w:r>
        <w:r w:rsidR="00DE7AA1">
          <w:rPr>
            <w:noProof/>
            <w:webHidden/>
          </w:rPr>
          <w:t>85</w:t>
        </w:r>
        <w:r w:rsidR="00D15428">
          <w:rPr>
            <w:noProof/>
            <w:webHidden/>
          </w:rPr>
          <w:fldChar w:fldCharType="end"/>
        </w:r>
      </w:hyperlink>
    </w:p>
    <w:p w14:paraId="5D09ECBE" w14:textId="67A16112" w:rsidR="00D15428" w:rsidRDefault="00150A14">
      <w:pPr>
        <w:pStyle w:val="TOC4"/>
        <w:rPr>
          <w:rFonts w:eastAsiaTheme="minorEastAsia"/>
          <w:noProof/>
          <w:sz w:val="22"/>
          <w:lang w:eastAsia="en-AU"/>
        </w:rPr>
      </w:pPr>
      <w:hyperlink w:anchor="_Toc23847552" w:history="1">
        <w:r w:rsidR="00D15428" w:rsidRPr="00642086">
          <w:rPr>
            <w:rStyle w:val="Hyperlink"/>
            <w:noProof/>
          </w:rPr>
          <w:t>Commonwealth activities relating to transport</w:t>
        </w:r>
        <w:r w:rsidR="00D15428">
          <w:rPr>
            <w:noProof/>
            <w:webHidden/>
          </w:rPr>
          <w:tab/>
        </w:r>
        <w:r w:rsidR="00D15428">
          <w:rPr>
            <w:noProof/>
            <w:webHidden/>
          </w:rPr>
          <w:fldChar w:fldCharType="begin"/>
        </w:r>
        <w:r w:rsidR="00D15428">
          <w:rPr>
            <w:noProof/>
            <w:webHidden/>
          </w:rPr>
          <w:instrText xml:space="preserve"> PAGEREF _Toc23847552 \h </w:instrText>
        </w:r>
        <w:r w:rsidR="00D15428">
          <w:rPr>
            <w:noProof/>
            <w:webHidden/>
          </w:rPr>
        </w:r>
        <w:r w:rsidR="00D15428">
          <w:rPr>
            <w:noProof/>
            <w:webHidden/>
          </w:rPr>
          <w:fldChar w:fldCharType="separate"/>
        </w:r>
        <w:r w:rsidR="00DE7AA1">
          <w:rPr>
            <w:noProof/>
            <w:webHidden/>
          </w:rPr>
          <w:t>85</w:t>
        </w:r>
        <w:r w:rsidR="00D15428">
          <w:rPr>
            <w:noProof/>
            <w:webHidden/>
          </w:rPr>
          <w:fldChar w:fldCharType="end"/>
        </w:r>
      </w:hyperlink>
    </w:p>
    <w:p w14:paraId="60CC23B1" w14:textId="253C41F7" w:rsidR="00D15428" w:rsidRDefault="00150A14">
      <w:pPr>
        <w:pStyle w:val="TOC4"/>
        <w:rPr>
          <w:rFonts w:eastAsiaTheme="minorEastAsia"/>
          <w:noProof/>
          <w:sz w:val="22"/>
          <w:lang w:eastAsia="en-AU"/>
        </w:rPr>
      </w:pPr>
      <w:hyperlink w:anchor="_Toc23847553" w:history="1">
        <w:r w:rsidR="00D15428" w:rsidRPr="00642086">
          <w:rPr>
            <w:rStyle w:val="Hyperlink"/>
            <w:noProof/>
          </w:rPr>
          <w:t>Assessed expenses for Norfolk Island services</w:t>
        </w:r>
        <w:r w:rsidR="00D15428">
          <w:rPr>
            <w:noProof/>
            <w:webHidden/>
          </w:rPr>
          <w:tab/>
        </w:r>
        <w:r w:rsidR="00D15428">
          <w:rPr>
            <w:noProof/>
            <w:webHidden/>
          </w:rPr>
          <w:fldChar w:fldCharType="begin"/>
        </w:r>
        <w:r w:rsidR="00D15428">
          <w:rPr>
            <w:noProof/>
            <w:webHidden/>
          </w:rPr>
          <w:instrText xml:space="preserve"> PAGEREF _Toc23847553 \h </w:instrText>
        </w:r>
        <w:r w:rsidR="00D15428">
          <w:rPr>
            <w:noProof/>
            <w:webHidden/>
          </w:rPr>
        </w:r>
        <w:r w:rsidR="00D15428">
          <w:rPr>
            <w:noProof/>
            <w:webHidden/>
          </w:rPr>
          <w:fldChar w:fldCharType="separate"/>
        </w:r>
        <w:r w:rsidR="00DE7AA1">
          <w:rPr>
            <w:noProof/>
            <w:webHidden/>
          </w:rPr>
          <w:t>86</w:t>
        </w:r>
        <w:r w:rsidR="00D15428">
          <w:rPr>
            <w:noProof/>
            <w:webHidden/>
          </w:rPr>
          <w:fldChar w:fldCharType="end"/>
        </w:r>
      </w:hyperlink>
    </w:p>
    <w:p w14:paraId="12822202" w14:textId="17AB039F" w:rsidR="00D15428" w:rsidRDefault="00150A14">
      <w:pPr>
        <w:pStyle w:val="TOC3"/>
        <w:rPr>
          <w:rFonts w:eastAsiaTheme="minorEastAsia"/>
          <w:iCs w:val="0"/>
          <w:caps w:val="0"/>
          <w:noProof/>
          <w:sz w:val="22"/>
          <w:lang w:eastAsia="en-AU"/>
        </w:rPr>
      </w:pPr>
      <w:hyperlink w:anchor="_Toc23847554" w:history="1">
        <w:r w:rsidR="00D15428" w:rsidRPr="00642086">
          <w:rPr>
            <w:rStyle w:val="Hyperlink"/>
            <w:noProof/>
          </w:rPr>
          <w:t>Services to industry</w:t>
        </w:r>
        <w:r w:rsidR="00D15428">
          <w:rPr>
            <w:noProof/>
            <w:webHidden/>
          </w:rPr>
          <w:tab/>
        </w:r>
        <w:r w:rsidR="00D15428">
          <w:rPr>
            <w:noProof/>
            <w:webHidden/>
          </w:rPr>
          <w:fldChar w:fldCharType="begin"/>
        </w:r>
        <w:r w:rsidR="00D15428">
          <w:rPr>
            <w:noProof/>
            <w:webHidden/>
          </w:rPr>
          <w:instrText xml:space="preserve"> PAGEREF _Toc23847554 \h </w:instrText>
        </w:r>
        <w:r w:rsidR="00D15428">
          <w:rPr>
            <w:noProof/>
            <w:webHidden/>
          </w:rPr>
        </w:r>
        <w:r w:rsidR="00D15428">
          <w:rPr>
            <w:noProof/>
            <w:webHidden/>
          </w:rPr>
          <w:fldChar w:fldCharType="separate"/>
        </w:r>
        <w:r w:rsidR="00DE7AA1">
          <w:rPr>
            <w:noProof/>
            <w:webHidden/>
          </w:rPr>
          <w:t>86</w:t>
        </w:r>
        <w:r w:rsidR="00D15428">
          <w:rPr>
            <w:noProof/>
            <w:webHidden/>
          </w:rPr>
          <w:fldChar w:fldCharType="end"/>
        </w:r>
      </w:hyperlink>
    </w:p>
    <w:p w14:paraId="255F5F00" w14:textId="7AAFCFFD" w:rsidR="00D15428" w:rsidRDefault="00150A14">
      <w:pPr>
        <w:pStyle w:val="TOC4"/>
        <w:rPr>
          <w:rFonts w:eastAsiaTheme="minorEastAsia"/>
          <w:noProof/>
          <w:sz w:val="22"/>
          <w:lang w:eastAsia="en-AU"/>
        </w:rPr>
      </w:pPr>
      <w:hyperlink w:anchor="_Toc23847555" w:history="1">
        <w:r w:rsidR="00D15428" w:rsidRPr="00642086">
          <w:rPr>
            <w:rStyle w:val="Hyperlink"/>
            <w:rFonts w:eastAsia="Times New Roman"/>
            <w:noProof/>
          </w:rPr>
          <w:t>State service delivery and funding arrangements</w:t>
        </w:r>
        <w:r w:rsidR="00D15428">
          <w:rPr>
            <w:noProof/>
            <w:webHidden/>
          </w:rPr>
          <w:tab/>
        </w:r>
        <w:r w:rsidR="00D15428">
          <w:rPr>
            <w:noProof/>
            <w:webHidden/>
          </w:rPr>
          <w:fldChar w:fldCharType="begin"/>
        </w:r>
        <w:r w:rsidR="00D15428">
          <w:rPr>
            <w:noProof/>
            <w:webHidden/>
          </w:rPr>
          <w:instrText xml:space="preserve"> PAGEREF _Toc23847555 \h </w:instrText>
        </w:r>
        <w:r w:rsidR="00D15428">
          <w:rPr>
            <w:noProof/>
            <w:webHidden/>
          </w:rPr>
        </w:r>
        <w:r w:rsidR="00D15428">
          <w:rPr>
            <w:noProof/>
            <w:webHidden/>
          </w:rPr>
          <w:fldChar w:fldCharType="separate"/>
        </w:r>
        <w:r w:rsidR="00DE7AA1">
          <w:rPr>
            <w:noProof/>
            <w:webHidden/>
          </w:rPr>
          <w:t>86</w:t>
        </w:r>
        <w:r w:rsidR="00D15428">
          <w:rPr>
            <w:noProof/>
            <w:webHidden/>
          </w:rPr>
          <w:fldChar w:fldCharType="end"/>
        </w:r>
      </w:hyperlink>
    </w:p>
    <w:p w14:paraId="56CC4649" w14:textId="19B32F88" w:rsidR="00D15428" w:rsidRDefault="00150A14">
      <w:pPr>
        <w:pStyle w:val="TOC4"/>
        <w:rPr>
          <w:rFonts w:eastAsiaTheme="minorEastAsia"/>
          <w:noProof/>
          <w:sz w:val="22"/>
          <w:lang w:eastAsia="en-AU"/>
        </w:rPr>
      </w:pPr>
      <w:hyperlink w:anchor="_Toc23847556" w:history="1">
        <w:r w:rsidR="00D15428" w:rsidRPr="00642086">
          <w:rPr>
            <w:rStyle w:val="Hyperlink"/>
            <w:rFonts w:eastAsia="Times New Roman"/>
            <w:noProof/>
          </w:rPr>
          <w:t>Norfolk Island service and funding arrangements</w:t>
        </w:r>
        <w:r w:rsidR="00D15428">
          <w:rPr>
            <w:noProof/>
            <w:webHidden/>
          </w:rPr>
          <w:tab/>
        </w:r>
        <w:r w:rsidR="00D15428">
          <w:rPr>
            <w:noProof/>
            <w:webHidden/>
          </w:rPr>
          <w:fldChar w:fldCharType="begin"/>
        </w:r>
        <w:r w:rsidR="00D15428">
          <w:rPr>
            <w:noProof/>
            <w:webHidden/>
          </w:rPr>
          <w:instrText xml:space="preserve"> PAGEREF _Toc23847556 \h </w:instrText>
        </w:r>
        <w:r w:rsidR="00D15428">
          <w:rPr>
            <w:noProof/>
            <w:webHidden/>
          </w:rPr>
        </w:r>
        <w:r w:rsidR="00D15428">
          <w:rPr>
            <w:noProof/>
            <w:webHidden/>
          </w:rPr>
          <w:fldChar w:fldCharType="separate"/>
        </w:r>
        <w:r w:rsidR="00DE7AA1">
          <w:rPr>
            <w:noProof/>
            <w:webHidden/>
          </w:rPr>
          <w:t>87</w:t>
        </w:r>
        <w:r w:rsidR="00D15428">
          <w:rPr>
            <w:noProof/>
            <w:webHidden/>
          </w:rPr>
          <w:fldChar w:fldCharType="end"/>
        </w:r>
      </w:hyperlink>
    </w:p>
    <w:p w14:paraId="75B13CB4" w14:textId="6A81D8C2" w:rsidR="00D15428" w:rsidRDefault="00150A14">
      <w:pPr>
        <w:pStyle w:val="TOC4"/>
        <w:rPr>
          <w:rFonts w:eastAsiaTheme="minorEastAsia"/>
          <w:noProof/>
          <w:sz w:val="22"/>
          <w:lang w:eastAsia="en-AU"/>
        </w:rPr>
      </w:pPr>
      <w:hyperlink w:anchor="_Toc23847557" w:history="1">
        <w:r w:rsidR="00D15428" w:rsidRPr="00642086">
          <w:rPr>
            <w:rStyle w:val="Hyperlink"/>
            <w:noProof/>
          </w:rPr>
          <w:t>Assessed expenses for Norfolk Island services</w:t>
        </w:r>
        <w:r w:rsidR="00D15428">
          <w:rPr>
            <w:noProof/>
            <w:webHidden/>
          </w:rPr>
          <w:tab/>
        </w:r>
        <w:r w:rsidR="00D15428">
          <w:rPr>
            <w:noProof/>
            <w:webHidden/>
          </w:rPr>
          <w:fldChar w:fldCharType="begin"/>
        </w:r>
        <w:r w:rsidR="00D15428">
          <w:rPr>
            <w:noProof/>
            <w:webHidden/>
          </w:rPr>
          <w:instrText xml:space="preserve"> PAGEREF _Toc23847557 \h </w:instrText>
        </w:r>
        <w:r w:rsidR="00D15428">
          <w:rPr>
            <w:noProof/>
            <w:webHidden/>
          </w:rPr>
        </w:r>
        <w:r w:rsidR="00D15428">
          <w:rPr>
            <w:noProof/>
            <w:webHidden/>
          </w:rPr>
          <w:fldChar w:fldCharType="separate"/>
        </w:r>
        <w:r w:rsidR="00DE7AA1">
          <w:rPr>
            <w:noProof/>
            <w:webHidden/>
          </w:rPr>
          <w:t>87</w:t>
        </w:r>
        <w:r w:rsidR="00D15428">
          <w:rPr>
            <w:noProof/>
            <w:webHidden/>
          </w:rPr>
          <w:fldChar w:fldCharType="end"/>
        </w:r>
      </w:hyperlink>
    </w:p>
    <w:p w14:paraId="2B72AB98" w14:textId="5B01F857" w:rsidR="00D15428" w:rsidRDefault="00150A14">
      <w:pPr>
        <w:pStyle w:val="TOC3"/>
        <w:rPr>
          <w:rFonts w:eastAsiaTheme="minorEastAsia"/>
          <w:iCs w:val="0"/>
          <w:caps w:val="0"/>
          <w:noProof/>
          <w:sz w:val="22"/>
          <w:lang w:eastAsia="en-AU"/>
        </w:rPr>
      </w:pPr>
      <w:hyperlink w:anchor="_Toc23847558" w:history="1">
        <w:r w:rsidR="00D15428" w:rsidRPr="00642086">
          <w:rPr>
            <w:rStyle w:val="Hyperlink"/>
            <w:rFonts w:eastAsia="Times New Roman"/>
            <w:noProof/>
          </w:rPr>
          <w:t>Other expenses</w:t>
        </w:r>
        <w:r w:rsidR="00D15428">
          <w:rPr>
            <w:noProof/>
            <w:webHidden/>
          </w:rPr>
          <w:tab/>
        </w:r>
        <w:r w:rsidR="00D15428">
          <w:rPr>
            <w:noProof/>
            <w:webHidden/>
          </w:rPr>
          <w:fldChar w:fldCharType="begin"/>
        </w:r>
        <w:r w:rsidR="00D15428">
          <w:rPr>
            <w:noProof/>
            <w:webHidden/>
          </w:rPr>
          <w:instrText xml:space="preserve"> PAGEREF _Toc23847558 \h </w:instrText>
        </w:r>
        <w:r w:rsidR="00D15428">
          <w:rPr>
            <w:noProof/>
            <w:webHidden/>
          </w:rPr>
        </w:r>
        <w:r w:rsidR="00D15428">
          <w:rPr>
            <w:noProof/>
            <w:webHidden/>
          </w:rPr>
          <w:fldChar w:fldCharType="separate"/>
        </w:r>
        <w:r w:rsidR="00DE7AA1">
          <w:rPr>
            <w:noProof/>
            <w:webHidden/>
          </w:rPr>
          <w:t>89</w:t>
        </w:r>
        <w:r w:rsidR="00D15428">
          <w:rPr>
            <w:noProof/>
            <w:webHidden/>
          </w:rPr>
          <w:fldChar w:fldCharType="end"/>
        </w:r>
      </w:hyperlink>
    </w:p>
    <w:p w14:paraId="692DB6C4" w14:textId="3EAC95A0" w:rsidR="00D15428" w:rsidRDefault="00150A14">
      <w:pPr>
        <w:pStyle w:val="TOC4"/>
        <w:rPr>
          <w:rFonts w:eastAsiaTheme="minorEastAsia"/>
          <w:noProof/>
          <w:sz w:val="22"/>
          <w:lang w:eastAsia="en-AU"/>
        </w:rPr>
      </w:pPr>
      <w:hyperlink w:anchor="_Toc23847559" w:history="1">
        <w:r w:rsidR="00D15428" w:rsidRPr="00642086">
          <w:rPr>
            <w:rStyle w:val="Hyperlink"/>
            <w:rFonts w:eastAsia="Times New Roman"/>
            <w:noProof/>
          </w:rPr>
          <w:t>State service delivery and funding arrangements</w:t>
        </w:r>
        <w:r w:rsidR="00D15428">
          <w:rPr>
            <w:noProof/>
            <w:webHidden/>
          </w:rPr>
          <w:tab/>
        </w:r>
        <w:r w:rsidR="00D15428">
          <w:rPr>
            <w:noProof/>
            <w:webHidden/>
          </w:rPr>
          <w:fldChar w:fldCharType="begin"/>
        </w:r>
        <w:r w:rsidR="00D15428">
          <w:rPr>
            <w:noProof/>
            <w:webHidden/>
          </w:rPr>
          <w:instrText xml:space="preserve"> PAGEREF _Toc23847559 \h </w:instrText>
        </w:r>
        <w:r w:rsidR="00D15428">
          <w:rPr>
            <w:noProof/>
            <w:webHidden/>
          </w:rPr>
        </w:r>
        <w:r w:rsidR="00D15428">
          <w:rPr>
            <w:noProof/>
            <w:webHidden/>
          </w:rPr>
          <w:fldChar w:fldCharType="separate"/>
        </w:r>
        <w:r w:rsidR="00DE7AA1">
          <w:rPr>
            <w:noProof/>
            <w:webHidden/>
          </w:rPr>
          <w:t>89</w:t>
        </w:r>
        <w:r w:rsidR="00D15428">
          <w:rPr>
            <w:noProof/>
            <w:webHidden/>
          </w:rPr>
          <w:fldChar w:fldCharType="end"/>
        </w:r>
      </w:hyperlink>
    </w:p>
    <w:p w14:paraId="19C96129" w14:textId="398EB798" w:rsidR="00D15428" w:rsidRDefault="00150A14">
      <w:pPr>
        <w:pStyle w:val="TOC4"/>
        <w:rPr>
          <w:rFonts w:eastAsiaTheme="minorEastAsia"/>
          <w:noProof/>
          <w:sz w:val="22"/>
          <w:lang w:eastAsia="en-AU"/>
        </w:rPr>
      </w:pPr>
      <w:hyperlink w:anchor="_Toc23847560" w:history="1">
        <w:r w:rsidR="00D15428" w:rsidRPr="00642086">
          <w:rPr>
            <w:rStyle w:val="Hyperlink"/>
            <w:rFonts w:eastAsia="Times New Roman"/>
            <w:noProof/>
          </w:rPr>
          <w:t>Norfolk Island service and funding arrangements</w:t>
        </w:r>
        <w:r w:rsidR="00D15428">
          <w:rPr>
            <w:noProof/>
            <w:webHidden/>
          </w:rPr>
          <w:tab/>
        </w:r>
        <w:r w:rsidR="00D15428">
          <w:rPr>
            <w:noProof/>
            <w:webHidden/>
          </w:rPr>
          <w:fldChar w:fldCharType="begin"/>
        </w:r>
        <w:r w:rsidR="00D15428">
          <w:rPr>
            <w:noProof/>
            <w:webHidden/>
          </w:rPr>
          <w:instrText xml:space="preserve"> PAGEREF _Toc23847560 \h </w:instrText>
        </w:r>
        <w:r w:rsidR="00D15428">
          <w:rPr>
            <w:noProof/>
            <w:webHidden/>
          </w:rPr>
        </w:r>
        <w:r w:rsidR="00D15428">
          <w:rPr>
            <w:noProof/>
            <w:webHidden/>
          </w:rPr>
          <w:fldChar w:fldCharType="separate"/>
        </w:r>
        <w:r w:rsidR="00DE7AA1">
          <w:rPr>
            <w:noProof/>
            <w:webHidden/>
          </w:rPr>
          <w:t>89</w:t>
        </w:r>
        <w:r w:rsidR="00D15428">
          <w:rPr>
            <w:noProof/>
            <w:webHidden/>
          </w:rPr>
          <w:fldChar w:fldCharType="end"/>
        </w:r>
      </w:hyperlink>
    </w:p>
    <w:p w14:paraId="5DA12135" w14:textId="55185F43" w:rsidR="00D15428" w:rsidRDefault="00150A14">
      <w:pPr>
        <w:pStyle w:val="TOC4"/>
        <w:rPr>
          <w:rFonts w:eastAsiaTheme="minorEastAsia"/>
          <w:noProof/>
          <w:sz w:val="22"/>
          <w:lang w:eastAsia="en-AU"/>
        </w:rPr>
      </w:pPr>
      <w:hyperlink w:anchor="_Toc23847561" w:history="1">
        <w:r w:rsidR="00D15428" w:rsidRPr="00642086">
          <w:rPr>
            <w:rStyle w:val="Hyperlink"/>
            <w:noProof/>
          </w:rPr>
          <w:t>Assessed cost of Norfolk Island services</w:t>
        </w:r>
        <w:r w:rsidR="00D15428">
          <w:rPr>
            <w:noProof/>
            <w:webHidden/>
          </w:rPr>
          <w:tab/>
        </w:r>
        <w:r w:rsidR="00D15428">
          <w:rPr>
            <w:noProof/>
            <w:webHidden/>
          </w:rPr>
          <w:fldChar w:fldCharType="begin"/>
        </w:r>
        <w:r w:rsidR="00D15428">
          <w:rPr>
            <w:noProof/>
            <w:webHidden/>
          </w:rPr>
          <w:instrText xml:space="preserve"> PAGEREF _Toc23847561 \h </w:instrText>
        </w:r>
        <w:r w:rsidR="00D15428">
          <w:rPr>
            <w:noProof/>
            <w:webHidden/>
          </w:rPr>
        </w:r>
        <w:r w:rsidR="00D15428">
          <w:rPr>
            <w:noProof/>
            <w:webHidden/>
          </w:rPr>
          <w:fldChar w:fldCharType="separate"/>
        </w:r>
        <w:r w:rsidR="00DE7AA1">
          <w:rPr>
            <w:noProof/>
            <w:webHidden/>
          </w:rPr>
          <w:t>89</w:t>
        </w:r>
        <w:r w:rsidR="00D15428">
          <w:rPr>
            <w:noProof/>
            <w:webHidden/>
          </w:rPr>
          <w:fldChar w:fldCharType="end"/>
        </w:r>
      </w:hyperlink>
    </w:p>
    <w:p w14:paraId="0983DAC1" w14:textId="0981CA5E" w:rsidR="00D15428" w:rsidRDefault="00150A14">
      <w:pPr>
        <w:pStyle w:val="TOC1"/>
        <w:rPr>
          <w:rFonts w:eastAsiaTheme="minorEastAsia"/>
          <w:b w:val="0"/>
          <w:bCs w:val="0"/>
          <w:caps w:val="0"/>
          <w:noProof/>
          <w:sz w:val="22"/>
          <w:szCs w:val="22"/>
          <w:lang w:eastAsia="en-AU"/>
        </w:rPr>
      </w:pPr>
      <w:hyperlink w:anchor="_Toc23847562" w:history="1">
        <w:r w:rsidR="00D15428" w:rsidRPr="00642086">
          <w:rPr>
            <w:rStyle w:val="Hyperlink"/>
            <w:noProof/>
          </w:rPr>
          <w:t>Attachment F: Local Government services</w:t>
        </w:r>
        <w:r w:rsidR="00D15428">
          <w:rPr>
            <w:noProof/>
            <w:webHidden/>
          </w:rPr>
          <w:tab/>
        </w:r>
        <w:r w:rsidR="00D15428">
          <w:rPr>
            <w:noProof/>
            <w:webHidden/>
          </w:rPr>
          <w:fldChar w:fldCharType="begin"/>
        </w:r>
        <w:r w:rsidR="00D15428">
          <w:rPr>
            <w:noProof/>
            <w:webHidden/>
          </w:rPr>
          <w:instrText xml:space="preserve"> PAGEREF _Toc23847562 \h </w:instrText>
        </w:r>
        <w:r w:rsidR="00D15428">
          <w:rPr>
            <w:noProof/>
            <w:webHidden/>
          </w:rPr>
        </w:r>
        <w:r w:rsidR="00D15428">
          <w:rPr>
            <w:noProof/>
            <w:webHidden/>
          </w:rPr>
          <w:fldChar w:fldCharType="separate"/>
        </w:r>
        <w:r w:rsidR="00DE7AA1">
          <w:rPr>
            <w:noProof/>
            <w:webHidden/>
          </w:rPr>
          <w:t>91</w:t>
        </w:r>
        <w:r w:rsidR="00D15428">
          <w:rPr>
            <w:noProof/>
            <w:webHidden/>
          </w:rPr>
          <w:fldChar w:fldCharType="end"/>
        </w:r>
      </w:hyperlink>
    </w:p>
    <w:p w14:paraId="226BD231" w14:textId="6BFBF397" w:rsidR="00D15428" w:rsidRDefault="00150A14">
      <w:pPr>
        <w:pStyle w:val="TOC3"/>
        <w:rPr>
          <w:rFonts w:eastAsiaTheme="minorEastAsia"/>
          <w:iCs w:val="0"/>
          <w:caps w:val="0"/>
          <w:noProof/>
          <w:sz w:val="22"/>
          <w:lang w:eastAsia="en-AU"/>
        </w:rPr>
      </w:pPr>
      <w:hyperlink w:anchor="_Toc23847563" w:history="1">
        <w:r w:rsidR="00D15428" w:rsidRPr="00642086">
          <w:rPr>
            <w:rStyle w:val="Hyperlink"/>
            <w:noProof/>
          </w:rPr>
          <w:t>Introduction</w:t>
        </w:r>
        <w:r w:rsidR="00D15428">
          <w:rPr>
            <w:noProof/>
            <w:webHidden/>
          </w:rPr>
          <w:tab/>
        </w:r>
        <w:r w:rsidR="00D15428">
          <w:rPr>
            <w:noProof/>
            <w:webHidden/>
          </w:rPr>
          <w:fldChar w:fldCharType="begin"/>
        </w:r>
        <w:r w:rsidR="00D15428">
          <w:rPr>
            <w:noProof/>
            <w:webHidden/>
          </w:rPr>
          <w:instrText xml:space="preserve"> PAGEREF _Toc23847563 \h </w:instrText>
        </w:r>
        <w:r w:rsidR="00D15428">
          <w:rPr>
            <w:noProof/>
            <w:webHidden/>
          </w:rPr>
        </w:r>
        <w:r w:rsidR="00D15428">
          <w:rPr>
            <w:noProof/>
            <w:webHidden/>
          </w:rPr>
          <w:fldChar w:fldCharType="separate"/>
        </w:r>
        <w:r w:rsidR="00DE7AA1">
          <w:rPr>
            <w:noProof/>
            <w:webHidden/>
          </w:rPr>
          <w:t>91</w:t>
        </w:r>
        <w:r w:rsidR="00D15428">
          <w:rPr>
            <w:noProof/>
            <w:webHidden/>
          </w:rPr>
          <w:fldChar w:fldCharType="end"/>
        </w:r>
      </w:hyperlink>
    </w:p>
    <w:p w14:paraId="1D6B5E7F" w14:textId="550EC803" w:rsidR="00D15428" w:rsidRDefault="00150A14">
      <w:pPr>
        <w:pStyle w:val="TOC3"/>
        <w:rPr>
          <w:rFonts w:eastAsiaTheme="minorEastAsia"/>
          <w:iCs w:val="0"/>
          <w:caps w:val="0"/>
          <w:noProof/>
          <w:sz w:val="22"/>
          <w:lang w:eastAsia="en-AU"/>
        </w:rPr>
      </w:pPr>
      <w:hyperlink w:anchor="_Toc23847564" w:history="1">
        <w:r w:rsidR="00D15428" w:rsidRPr="00642086">
          <w:rPr>
            <w:rStyle w:val="Hyperlink"/>
            <w:noProof/>
          </w:rPr>
          <w:t>Scope of Local Government Services</w:t>
        </w:r>
        <w:r w:rsidR="00D15428">
          <w:rPr>
            <w:noProof/>
            <w:webHidden/>
          </w:rPr>
          <w:tab/>
        </w:r>
        <w:r w:rsidR="00D15428">
          <w:rPr>
            <w:noProof/>
            <w:webHidden/>
          </w:rPr>
          <w:fldChar w:fldCharType="begin"/>
        </w:r>
        <w:r w:rsidR="00D15428">
          <w:rPr>
            <w:noProof/>
            <w:webHidden/>
          </w:rPr>
          <w:instrText xml:space="preserve"> PAGEREF _Toc23847564 \h </w:instrText>
        </w:r>
        <w:r w:rsidR="00D15428">
          <w:rPr>
            <w:noProof/>
            <w:webHidden/>
          </w:rPr>
        </w:r>
        <w:r w:rsidR="00D15428">
          <w:rPr>
            <w:noProof/>
            <w:webHidden/>
          </w:rPr>
          <w:fldChar w:fldCharType="separate"/>
        </w:r>
        <w:r w:rsidR="00DE7AA1">
          <w:rPr>
            <w:noProof/>
            <w:webHidden/>
          </w:rPr>
          <w:t>91</w:t>
        </w:r>
        <w:r w:rsidR="00D15428">
          <w:rPr>
            <w:noProof/>
            <w:webHidden/>
          </w:rPr>
          <w:fldChar w:fldCharType="end"/>
        </w:r>
      </w:hyperlink>
    </w:p>
    <w:p w14:paraId="3B14E68F" w14:textId="52E37C62" w:rsidR="00D15428" w:rsidRDefault="00150A14">
      <w:pPr>
        <w:pStyle w:val="TOC3"/>
        <w:rPr>
          <w:rFonts w:eastAsiaTheme="minorEastAsia"/>
          <w:iCs w:val="0"/>
          <w:caps w:val="0"/>
          <w:noProof/>
          <w:sz w:val="22"/>
          <w:lang w:eastAsia="en-AU"/>
        </w:rPr>
      </w:pPr>
      <w:hyperlink w:anchor="_Toc23847565" w:history="1">
        <w:r w:rsidR="00D15428" w:rsidRPr="00642086">
          <w:rPr>
            <w:rStyle w:val="Hyperlink"/>
            <w:noProof/>
          </w:rPr>
          <w:t>Method</w:t>
        </w:r>
        <w:r w:rsidR="00D15428">
          <w:rPr>
            <w:noProof/>
            <w:webHidden/>
          </w:rPr>
          <w:tab/>
        </w:r>
        <w:r w:rsidR="00D15428">
          <w:rPr>
            <w:noProof/>
            <w:webHidden/>
          </w:rPr>
          <w:fldChar w:fldCharType="begin"/>
        </w:r>
        <w:r w:rsidR="00D15428">
          <w:rPr>
            <w:noProof/>
            <w:webHidden/>
          </w:rPr>
          <w:instrText xml:space="preserve"> PAGEREF _Toc23847565 \h </w:instrText>
        </w:r>
        <w:r w:rsidR="00D15428">
          <w:rPr>
            <w:noProof/>
            <w:webHidden/>
          </w:rPr>
        </w:r>
        <w:r w:rsidR="00D15428">
          <w:rPr>
            <w:noProof/>
            <w:webHidden/>
          </w:rPr>
          <w:fldChar w:fldCharType="separate"/>
        </w:r>
        <w:r w:rsidR="00DE7AA1">
          <w:rPr>
            <w:noProof/>
            <w:webHidden/>
          </w:rPr>
          <w:t>92</w:t>
        </w:r>
        <w:r w:rsidR="00D15428">
          <w:rPr>
            <w:noProof/>
            <w:webHidden/>
          </w:rPr>
          <w:fldChar w:fldCharType="end"/>
        </w:r>
      </w:hyperlink>
    </w:p>
    <w:p w14:paraId="2BDDCD2C" w14:textId="14E20A22" w:rsidR="00D15428" w:rsidRDefault="00150A14">
      <w:pPr>
        <w:pStyle w:val="TOC3"/>
        <w:rPr>
          <w:rFonts w:eastAsiaTheme="minorEastAsia"/>
          <w:iCs w:val="0"/>
          <w:caps w:val="0"/>
          <w:noProof/>
          <w:sz w:val="22"/>
          <w:lang w:eastAsia="en-AU"/>
        </w:rPr>
      </w:pPr>
      <w:hyperlink w:anchor="_Toc23847566" w:history="1">
        <w:r w:rsidR="00D15428" w:rsidRPr="00642086">
          <w:rPr>
            <w:rStyle w:val="Hyperlink"/>
            <w:noProof/>
          </w:rPr>
          <w:t>General administration</w:t>
        </w:r>
        <w:r w:rsidR="00D15428">
          <w:rPr>
            <w:noProof/>
            <w:webHidden/>
          </w:rPr>
          <w:tab/>
        </w:r>
        <w:r w:rsidR="00D15428">
          <w:rPr>
            <w:noProof/>
            <w:webHidden/>
          </w:rPr>
          <w:fldChar w:fldCharType="begin"/>
        </w:r>
        <w:r w:rsidR="00D15428">
          <w:rPr>
            <w:noProof/>
            <w:webHidden/>
          </w:rPr>
          <w:instrText xml:space="preserve"> PAGEREF _Toc23847566 \h </w:instrText>
        </w:r>
        <w:r w:rsidR="00D15428">
          <w:rPr>
            <w:noProof/>
            <w:webHidden/>
          </w:rPr>
        </w:r>
        <w:r w:rsidR="00D15428">
          <w:rPr>
            <w:noProof/>
            <w:webHidden/>
          </w:rPr>
          <w:fldChar w:fldCharType="separate"/>
        </w:r>
        <w:r w:rsidR="00DE7AA1">
          <w:rPr>
            <w:noProof/>
            <w:webHidden/>
          </w:rPr>
          <w:t>95</w:t>
        </w:r>
        <w:r w:rsidR="00D15428">
          <w:rPr>
            <w:noProof/>
            <w:webHidden/>
          </w:rPr>
          <w:fldChar w:fldCharType="end"/>
        </w:r>
      </w:hyperlink>
    </w:p>
    <w:p w14:paraId="7714E6ED" w14:textId="5178F17F" w:rsidR="00D15428" w:rsidRDefault="00150A14">
      <w:pPr>
        <w:pStyle w:val="TOC3"/>
        <w:rPr>
          <w:rFonts w:eastAsiaTheme="minorEastAsia"/>
          <w:iCs w:val="0"/>
          <w:caps w:val="0"/>
          <w:noProof/>
          <w:sz w:val="22"/>
          <w:lang w:eastAsia="en-AU"/>
        </w:rPr>
      </w:pPr>
      <w:hyperlink w:anchor="_Toc23847567" w:history="1">
        <w:r w:rsidR="00D15428" w:rsidRPr="00642086">
          <w:rPr>
            <w:rStyle w:val="Hyperlink"/>
            <w:noProof/>
          </w:rPr>
          <w:t>Health, housing and welfare</w:t>
        </w:r>
        <w:r w:rsidR="00D15428">
          <w:rPr>
            <w:noProof/>
            <w:webHidden/>
          </w:rPr>
          <w:tab/>
        </w:r>
        <w:r w:rsidR="00D15428">
          <w:rPr>
            <w:noProof/>
            <w:webHidden/>
          </w:rPr>
          <w:fldChar w:fldCharType="begin"/>
        </w:r>
        <w:r w:rsidR="00D15428">
          <w:rPr>
            <w:noProof/>
            <w:webHidden/>
          </w:rPr>
          <w:instrText xml:space="preserve"> PAGEREF _Toc23847567 \h </w:instrText>
        </w:r>
        <w:r w:rsidR="00D15428">
          <w:rPr>
            <w:noProof/>
            <w:webHidden/>
          </w:rPr>
        </w:r>
        <w:r w:rsidR="00D15428">
          <w:rPr>
            <w:noProof/>
            <w:webHidden/>
          </w:rPr>
          <w:fldChar w:fldCharType="separate"/>
        </w:r>
        <w:r w:rsidR="00DE7AA1">
          <w:rPr>
            <w:noProof/>
            <w:webHidden/>
          </w:rPr>
          <w:t>96</w:t>
        </w:r>
        <w:r w:rsidR="00D15428">
          <w:rPr>
            <w:noProof/>
            <w:webHidden/>
          </w:rPr>
          <w:fldChar w:fldCharType="end"/>
        </w:r>
      </w:hyperlink>
    </w:p>
    <w:p w14:paraId="77EBF90C" w14:textId="44E39DE7" w:rsidR="00D15428" w:rsidRDefault="00150A14">
      <w:pPr>
        <w:pStyle w:val="TOC3"/>
        <w:rPr>
          <w:rFonts w:eastAsiaTheme="minorEastAsia"/>
          <w:iCs w:val="0"/>
          <w:caps w:val="0"/>
          <w:noProof/>
          <w:sz w:val="22"/>
          <w:lang w:eastAsia="en-AU"/>
        </w:rPr>
      </w:pPr>
      <w:hyperlink w:anchor="_Toc23847568" w:history="1">
        <w:r w:rsidR="00D15428" w:rsidRPr="00642086">
          <w:rPr>
            <w:rStyle w:val="Hyperlink"/>
            <w:noProof/>
          </w:rPr>
          <w:t>Law, order and public safety</w:t>
        </w:r>
        <w:r w:rsidR="00D15428">
          <w:rPr>
            <w:noProof/>
            <w:webHidden/>
          </w:rPr>
          <w:tab/>
        </w:r>
        <w:r w:rsidR="00D15428">
          <w:rPr>
            <w:noProof/>
            <w:webHidden/>
          </w:rPr>
          <w:fldChar w:fldCharType="begin"/>
        </w:r>
        <w:r w:rsidR="00D15428">
          <w:rPr>
            <w:noProof/>
            <w:webHidden/>
          </w:rPr>
          <w:instrText xml:space="preserve"> PAGEREF _Toc23847568 \h </w:instrText>
        </w:r>
        <w:r w:rsidR="00D15428">
          <w:rPr>
            <w:noProof/>
            <w:webHidden/>
          </w:rPr>
        </w:r>
        <w:r w:rsidR="00D15428">
          <w:rPr>
            <w:noProof/>
            <w:webHidden/>
          </w:rPr>
          <w:fldChar w:fldCharType="separate"/>
        </w:r>
        <w:r w:rsidR="00DE7AA1">
          <w:rPr>
            <w:noProof/>
            <w:webHidden/>
          </w:rPr>
          <w:t>96</w:t>
        </w:r>
        <w:r w:rsidR="00D15428">
          <w:rPr>
            <w:noProof/>
            <w:webHidden/>
          </w:rPr>
          <w:fldChar w:fldCharType="end"/>
        </w:r>
      </w:hyperlink>
    </w:p>
    <w:p w14:paraId="32BE3161" w14:textId="4B38A994" w:rsidR="00D15428" w:rsidRDefault="00150A14">
      <w:pPr>
        <w:pStyle w:val="TOC3"/>
        <w:rPr>
          <w:rFonts w:eastAsiaTheme="minorEastAsia"/>
          <w:iCs w:val="0"/>
          <w:caps w:val="0"/>
          <w:noProof/>
          <w:sz w:val="22"/>
          <w:lang w:eastAsia="en-AU"/>
        </w:rPr>
      </w:pPr>
      <w:hyperlink w:anchor="_Toc23847569" w:history="1">
        <w:r w:rsidR="00D15428" w:rsidRPr="00642086">
          <w:rPr>
            <w:rStyle w:val="Hyperlink"/>
            <w:noProof/>
          </w:rPr>
          <w:t>Planning and community amenities</w:t>
        </w:r>
        <w:r w:rsidR="00D15428">
          <w:rPr>
            <w:noProof/>
            <w:webHidden/>
          </w:rPr>
          <w:tab/>
        </w:r>
        <w:r w:rsidR="00D15428">
          <w:rPr>
            <w:noProof/>
            <w:webHidden/>
          </w:rPr>
          <w:fldChar w:fldCharType="begin"/>
        </w:r>
        <w:r w:rsidR="00D15428">
          <w:rPr>
            <w:noProof/>
            <w:webHidden/>
          </w:rPr>
          <w:instrText xml:space="preserve"> PAGEREF _Toc23847569 \h </w:instrText>
        </w:r>
        <w:r w:rsidR="00D15428">
          <w:rPr>
            <w:noProof/>
            <w:webHidden/>
          </w:rPr>
        </w:r>
        <w:r w:rsidR="00D15428">
          <w:rPr>
            <w:noProof/>
            <w:webHidden/>
          </w:rPr>
          <w:fldChar w:fldCharType="separate"/>
        </w:r>
        <w:r w:rsidR="00DE7AA1">
          <w:rPr>
            <w:noProof/>
            <w:webHidden/>
          </w:rPr>
          <w:t>96</w:t>
        </w:r>
        <w:r w:rsidR="00D15428">
          <w:rPr>
            <w:noProof/>
            <w:webHidden/>
          </w:rPr>
          <w:fldChar w:fldCharType="end"/>
        </w:r>
      </w:hyperlink>
    </w:p>
    <w:p w14:paraId="45791EFE" w14:textId="280926E0" w:rsidR="00D15428" w:rsidRDefault="00150A14">
      <w:pPr>
        <w:pStyle w:val="TOC3"/>
        <w:rPr>
          <w:rFonts w:eastAsiaTheme="minorEastAsia"/>
          <w:iCs w:val="0"/>
          <w:caps w:val="0"/>
          <w:noProof/>
          <w:sz w:val="22"/>
          <w:lang w:eastAsia="en-AU"/>
        </w:rPr>
      </w:pPr>
      <w:hyperlink w:anchor="_Toc23847570" w:history="1">
        <w:r w:rsidR="00D15428" w:rsidRPr="00642086">
          <w:rPr>
            <w:rStyle w:val="Hyperlink"/>
            <w:noProof/>
          </w:rPr>
          <w:t>Environmental Protection</w:t>
        </w:r>
        <w:r w:rsidR="00D15428">
          <w:rPr>
            <w:noProof/>
            <w:webHidden/>
          </w:rPr>
          <w:tab/>
        </w:r>
        <w:r w:rsidR="00D15428">
          <w:rPr>
            <w:noProof/>
            <w:webHidden/>
          </w:rPr>
          <w:fldChar w:fldCharType="begin"/>
        </w:r>
        <w:r w:rsidR="00D15428">
          <w:rPr>
            <w:noProof/>
            <w:webHidden/>
          </w:rPr>
          <w:instrText xml:space="preserve"> PAGEREF _Toc23847570 \h </w:instrText>
        </w:r>
        <w:r w:rsidR="00D15428">
          <w:rPr>
            <w:noProof/>
            <w:webHidden/>
          </w:rPr>
        </w:r>
        <w:r w:rsidR="00D15428">
          <w:rPr>
            <w:noProof/>
            <w:webHidden/>
          </w:rPr>
          <w:fldChar w:fldCharType="separate"/>
        </w:r>
        <w:r w:rsidR="00DE7AA1">
          <w:rPr>
            <w:noProof/>
            <w:webHidden/>
          </w:rPr>
          <w:t>97</w:t>
        </w:r>
        <w:r w:rsidR="00D15428">
          <w:rPr>
            <w:noProof/>
            <w:webHidden/>
          </w:rPr>
          <w:fldChar w:fldCharType="end"/>
        </w:r>
      </w:hyperlink>
    </w:p>
    <w:p w14:paraId="52A6DE6C" w14:textId="661FA689" w:rsidR="00D15428" w:rsidRDefault="00150A14">
      <w:pPr>
        <w:pStyle w:val="TOC3"/>
        <w:rPr>
          <w:rFonts w:eastAsiaTheme="minorEastAsia"/>
          <w:iCs w:val="0"/>
          <w:caps w:val="0"/>
          <w:noProof/>
          <w:sz w:val="22"/>
          <w:lang w:eastAsia="en-AU"/>
        </w:rPr>
      </w:pPr>
      <w:hyperlink w:anchor="_Toc23847571" w:history="1">
        <w:r w:rsidR="00D15428" w:rsidRPr="00642086">
          <w:rPr>
            <w:rStyle w:val="Hyperlink"/>
            <w:noProof/>
          </w:rPr>
          <w:t>Recreation and Culture</w:t>
        </w:r>
        <w:r w:rsidR="00D15428">
          <w:rPr>
            <w:noProof/>
            <w:webHidden/>
          </w:rPr>
          <w:tab/>
        </w:r>
        <w:r w:rsidR="00D15428">
          <w:rPr>
            <w:noProof/>
            <w:webHidden/>
          </w:rPr>
          <w:fldChar w:fldCharType="begin"/>
        </w:r>
        <w:r w:rsidR="00D15428">
          <w:rPr>
            <w:noProof/>
            <w:webHidden/>
          </w:rPr>
          <w:instrText xml:space="preserve"> PAGEREF _Toc23847571 \h </w:instrText>
        </w:r>
        <w:r w:rsidR="00D15428">
          <w:rPr>
            <w:noProof/>
            <w:webHidden/>
          </w:rPr>
        </w:r>
        <w:r w:rsidR="00D15428">
          <w:rPr>
            <w:noProof/>
            <w:webHidden/>
          </w:rPr>
          <w:fldChar w:fldCharType="separate"/>
        </w:r>
        <w:r w:rsidR="00DE7AA1">
          <w:rPr>
            <w:noProof/>
            <w:webHidden/>
          </w:rPr>
          <w:t>98</w:t>
        </w:r>
        <w:r w:rsidR="00D15428">
          <w:rPr>
            <w:noProof/>
            <w:webHidden/>
          </w:rPr>
          <w:fldChar w:fldCharType="end"/>
        </w:r>
      </w:hyperlink>
    </w:p>
    <w:p w14:paraId="66AFC181" w14:textId="51D5538D" w:rsidR="00D15428" w:rsidRDefault="00150A14">
      <w:pPr>
        <w:pStyle w:val="TOC3"/>
        <w:rPr>
          <w:rFonts w:eastAsiaTheme="minorEastAsia"/>
          <w:iCs w:val="0"/>
          <w:caps w:val="0"/>
          <w:noProof/>
          <w:sz w:val="22"/>
          <w:lang w:eastAsia="en-AU"/>
        </w:rPr>
      </w:pPr>
      <w:hyperlink w:anchor="_Toc23847572" w:history="1">
        <w:r w:rsidR="00D15428" w:rsidRPr="00642086">
          <w:rPr>
            <w:rStyle w:val="Hyperlink"/>
            <w:noProof/>
          </w:rPr>
          <w:t>Roads and bridges</w:t>
        </w:r>
        <w:r w:rsidR="00D15428">
          <w:rPr>
            <w:noProof/>
            <w:webHidden/>
          </w:rPr>
          <w:tab/>
        </w:r>
        <w:r w:rsidR="00D15428">
          <w:rPr>
            <w:noProof/>
            <w:webHidden/>
          </w:rPr>
          <w:fldChar w:fldCharType="begin"/>
        </w:r>
        <w:r w:rsidR="00D15428">
          <w:rPr>
            <w:noProof/>
            <w:webHidden/>
          </w:rPr>
          <w:instrText xml:space="preserve"> PAGEREF _Toc23847572 \h </w:instrText>
        </w:r>
        <w:r w:rsidR="00D15428">
          <w:rPr>
            <w:noProof/>
            <w:webHidden/>
          </w:rPr>
        </w:r>
        <w:r w:rsidR="00D15428">
          <w:rPr>
            <w:noProof/>
            <w:webHidden/>
          </w:rPr>
          <w:fldChar w:fldCharType="separate"/>
        </w:r>
        <w:r w:rsidR="00DE7AA1">
          <w:rPr>
            <w:noProof/>
            <w:webHidden/>
          </w:rPr>
          <w:t>98</w:t>
        </w:r>
        <w:r w:rsidR="00D15428">
          <w:rPr>
            <w:noProof/>
            <w:webHidden/>
          </w:rPr>
          <w:fldChar w:fldCharType="end"/>
        </w:r>
      </w:hyperlink>
    </w:p>
    <w:p w14:paraId="7F9F5DC2" w14:textId="3000D3DF" w:rsidR="00D15428" w:rsidRDefault="00150A14">
      <w:pPr>
        <w:pStyle w:val="TOC3"/>
        <w:rPr>
          <w:rFonts w:eastAsiaTheme="minorEastAsia"/>
          <w:iCs w:val="0"/>
          <w:caps w:val="0"/>
          <w:noProof/>
          <w:sz w:val="22"/>
          <w:lang w:eastAsia="en-AU"/>
        </w:rPr>
      </w:pPr>
      <w:hyperlink w:anchor="_Toc23847573" w:history="1">
        <w:r w:rsidR="00D15428" w:rsidRPr="00642086">
          <w:rPr>
            <w:rStyle w:val="Hyperlink"/>
            <w:noProof/>
          </w:rPr>
          <w:t>Depreciation</w:t>
        </w:r>
        <w:r w:rsidR="00D15428">
          <w:rPr>
            <w:noProof/>
            <w:webHidden/>
          </w:rPr>
          <w:tab/>
        </w:r>
        <w:r w:rsidR="00D15428">
          <w:rPr>
            <w:noProof/>
            <w:webHidden/>
          </w:rPr>
          <w:fldChar w:fldCharType="begin"/>
        </w:r>
        <w:r w:rsidR="00D15428">
          <w:rPr>
            <w:noProof/>
            <w:webHidden/>
          </w:rPr>
          <w:instrText xml:space="preserve"> PAGEREF _Toc23847573 \h </w:instrText>
        </w:r>
        <w:r w:rsidR="00D15428">
          <w:rPr>
            <w:noProof/>
            <w:webHidden/>
          </w:rPr>
        </w:r>
        <w:r w:rsidR="00D15428">
          <w:rPr>
            <w:noProof/>
            <w:webHidden/>
          </w:rPr>
          <w:fldChar w:fldCharType="separate"/>
        </w:r>
        <w:r w:rsidR="00DE7AA1">
          <w:rPr>
            <w:noProof/>
            <w:webHidden/>
          </w:rPr>
          <w:t>99</w:t>
        </w:r>
        <w:r w:rsidR="00D15428">
          <w:rPr>
            <w:noProof/>
            <w:webHidden/>
          </w:rPr>
          <w:fldChar w:fldCharType="end"/>
        </w:r>
      </w:hyperlink>
    </w:p>
    <w:p w14:paraId="1FDCCAE6" w14:textId="0F000438" w:rsidR="00D15428" w:rsidRDefault="00150A14">
      <w:pPr>
        <w:pStyle w:val="TOC3"/>
        <w:rPr>
          <w:rFonts w:eastAsiaTheme="minorEastAsia"/>
          <w:iCs w:val="0"/>
          <w:caps w:val="0"/>
          <w:noProof/>
          <w:sz w:val="22"/>
          <w:lang w:eastAsia="en-AU"/>
        </w:rPr>
      </w:pPr>
      <w:hyperlink w:anchor="_Toc23847574" w:history="1">
        <w:r w:rsidR="00D15428" w:rsidRPr="00642086">
          <w:rPr>
            <w:rStyle w:val="Hyperlink"/>
            <w:noProof/>
          </w:rPr>
          <w:t>Airport</w:t>
        </w:r>
        <w:r w:rsidR="00D15428">
          <w:rPr>
            <w:noProof/>
            <w:webHidden/>
          </w:rPr>
          <w:tab/>
        </w:r>
        <w:r w:rsidR="00D15428">
          <w:rPr>
            <w:noProof/>
            <w:webHidden/>
          </w:rPr>
          <w:fldChar w:fldCharType="begin"/>
        </w:r>
        <w:r w:rsidR="00D15428">
          <w:rPr>
            <w:noProof/>
            <w:webHidden/>
          </w:rPr>
          <w:instrText xml:space="preserve"> PAGEREF _Toc23847574 \h </w:instrText>
        </w:r>
        <w:r w:rsidR="00D15428">
          <w:rPr>
            <w:noProof/>
            <w:webHidden/>
          </w:rPr>
        </w:r>
        <w:r w:rsidR="00D15428">
          <w:rPr>
            <w:noProof/>
            <w:webHidden/>
          </w:rPr>
          <w:fldChar w:fldCharType="separate"/>
        </w:r>
        <w:r w:rsidR="00DE7AA1">
          <w:rPr>
            <w:noProof/>
            <w:webHidden/>
          </w:rPr>
          <w:t>100</w:t>
        </w:r>
        <w:r w:rsidR="00D15428">
          <w:rPr>
            <w:noProof/>
            <w:webHidden/>
          </w:rPr>
          <w:fldChar w:fldCharType="end"/>
        </w:r>
      </w:hyperlink>
    </w:p>
    <w:p w14:paraId="746090EC" w14:textId="5C1C6798" w:rsidR="00D15428" w:rsidRDefault="00150A14">
      <w:pPr>
        <w:pStyle w:val="TOC3"/>
        <w:rPr>
          <w:rFonts w:eastAsiaTheme="minorEastAsia"/>
          <w:iCs w:val="0"/>
          <w:caps w:val="0"/>
          <w:noProof/>
          <w:sz w:val="22"/>
          <w:lang w:eastAsia="en-AU"/>
        </w:rPr>
      </w:pPr>
      <w:hyperlink w:anchor="_Toc23847575" w:history="1">
        <w:r w:rsidR="00D15428" w:rsidRPr="00642086">
          <w:rPr>
            <w:rStyle w:val="Hyperlink"/>
            <w:noProof/>
          </w:rPr>
          <w:t>Other services</w:t>
        </w:r>
        <w:r w:rsidR="00D15428">
          <w:rPr>
            <w:noProof/>
            <w:webHidden/>
          </w:rPr>
          <w:tab/>
        </w:r>
        <w:r w:rsidR="00D15428">
          <w:rPr>
            <w:noProof/>
            <w:webHidden/>
          </w:rPr>
          <w:fldChar w:fldCharType="begin"/>
        </w:r>
        <w:r w:rsidR="00D15428">
          <w:rPr>
            <w:noProof/>
            <w:webHidden/>
          </w:rPr>
          <w:instrText xml:space="preserve"> PAGEREF _Toc23847575 \h </w:instrText>
        </w:r>
        <w:r w:rsidR="00D15428">
          <w:rPr>
            <w:noProof/>
            <w:webHidden/>
          </w:rPr>
        </w:r>
        <w:r w:rsidR="00D15428">
          <w:rPr>
            <w:noProof/>
            <w:webHidden/>
          </w:rPr>
          <w:fldChar w:fldCharType="separate"/>
        </w:r>
        <w:r w:rsidR="00DE7AA1">
          <w:rPr>
            <w:noProof/>
            <w:webHidden/>
          </w:rPr>
          <w:t>101</w:t>
        </w:r>
        <w:r w:rsidR="00D15428">
          <w:rPr>
            <w:noProof/>
            <w:webHidden/>
          </w:rPr>
          <w:fldChar w:fldCharType="end"/>
        </w:r>
      </w:hyperlink>
    </w:p>
    <w:p w14:paraId="3D8DE4AF" w14:textId="6030B6B2" w:rsidR="000D202F" w:rsidRPr="000D202F" w:rsidRDefault="00EA1C93" w:rsidP="00716A70">
      <w:r>
        <w:fldChar w:fldCharType="end"/>
      </w:r>
    </w:p>
    <w:tbl>
      <w:tblPr>
        <w:tblW w:w="5000" w:type="pct"/>
        <w:tblCellMar>
          <w:left w:w="85" w:type="dxa"/>
          <w:right w:w="85" w:type="dxa"/>
        </w:tblCellMar>
        <w:tblLook w:val="0000" w:firstRow="0" w:lastRow="0" w:firstColumn="0" w:lastColumn="0" w:noHBand="0" w:noVBand="0"/>
      </w:tblPr>
      <w:tblGrid>
        <w:gridCol w:w="2037"/>
        <w:gridCol w:w="6914"/>
      </w:tblGrid>
      <w:tr w:rsidR="000D202F" w:rsidRPr="004537EA" w14:paraId="78F35296" w14:textId="77777777" w:rsidTr="00175351">
        <w:tc>
          <w:tcPr>
            <w:tcW w:w="5000" w:type="pct"/>
            <w:gridSpan w:val="2"/>
            <w:vAlign w:val="bottom"/>
          </w:tcPr>
          <w:p w14:paraId="078AF55B" w14:textId="77777777" w:rsidR="000D202F" w:rsidRDefault="000D202F" w:rsidP="008C049D">
            <w:pPr>
              <w:pStyle w:val="Heading2"/>
              <w:rPr>
                <w:rFonts w:cstheme="minorHAnsi"/>
              </w:rPr>
            </w:pPr>
            <w:bookmarkStart w:id="77" w:name="_Toc19262879"/>
            <w:bookmarkStart w:id="78" w:name="_Toc23847424"/>
            <w:r>
              <w:lastRenderedPageBreak/>
              <w:t>List of acronyms</w:t>
            </w:r>
            <w:bookmarkEnd w:id="77"/>
            <w:bookmarkEnd w:id="78"/>
          </w:p>
        </w:tc>
      </w:tr>
      <w:tr w:rsidR="00231E6F" w:rsidRPr="004537EA" w14:paraId="078F4BE6" w14:textId="77777777" w:rsidTr="00175351">
        <w:tc>
          <w:tcPr>
            <w:tcW w:w="1138" w:type="pct"/>
            <w:tcBorders>
              <w:bottom w:val="single" w:sz="6" w:space="0" w:color="auto"/>
            </w:tcBorders>
            <w:vAlign w:val="bottom"/>
          </w:tcPr>
          <w:p w14:paraId="29B43CFB" w14:textId="77777777" w:rsidR="00231E6F" w:rsidRPr="004537EA" w:rsidRDefault="00231E6F" w:rsidP="00F36C50">
            <w:pPr>
              <w:pStyle w:val="TableColHeadings"/>
              <w:jc w:val="left"/>
              <w:rPr>
                <w:rFonts w:cstheme="minorHAnsi"/>
              </w:rPr>
            </w:pPr>
            <w:r>
              <w:rPr>
                <w:rFonts w:cstheme="minorHAnsi"/>
              </w:rPr>
              <w:t xml:space="preserve">Acronym </w:t>
            </w:r>
          </w:p>
        </w:tc>
        <w:tc>
          <w:tcPr>
            <w:tcW w:w="3862" w:type="pct"/>
            <w:tcBorders>
              <w:bottom w:val="single" w:sz="6" w:space="0" w:color="auto"/>
            </w:tcBorders>
            <w:vAlign w:val="bottom"/>
          </w:tcPr>
          <w:p w14:paraId="02941FA9" w14:textId="77777777" w:rsidR="00231E6F" w:rsidRPr="004537EA" w:rsidRDefault="00231E6F" w:rsidP="00F36C50">
            <w:pPr>
              <w:pStyle w:val="TableColHeadings"/>
              <w:jc w:val="left"/>
              <w:rPr>
                <w:rFonts w:cstheme="minorHAnsi"/>
              </w:rPr>
            </w:pPr>
            <w:r>
              <w:rPr>
                <w:rFonts w:cstheme="minorHAnsi"/>
              </w:rPr>
              <w:t>Meaning</w:t>
            </w:r>
          </w:p>
        </w:tc>
      </w:tr>
      <w:tr w:rsidR="00231E6F" w:rsidRPr="004537EA" w14:paraId="20FB76C1" w14:textId="77777777" w:rsidTr="00175351">
        <w:tc>
          <w:tcPr>
            <w:tcW w:w="1138" w:type="pct"/>
            <w:vAlign w:val="bottom"/>
          </w:tcPr>
          <w:p w14:paraId="1F5F5E32" w14:textId="77777777" w:rsidR="00231E6F" w:rsidRDefault="00231E6F" w:rsidP="00F36C50">
            <w:pPr>
              <w:pStyle w:val="CGCTableStub"/>
              <w:rPr>
                <w:rFonts w:cstheme="minorHAnsi"/>
              </w:rPr>
            </w:pPr>
            <w:r>
              <w:rPr>
                <w:rFonts w:cstheme="minorHAnsi"/>
              </w:rPr>
              <w:t>ABS</w:t>
            </w:r>
          </w:p>
        </w:tc>
        <w:tc>
          <w:tcPr>
            <w:tcW w:w="3862" w:type="pct"/>
            <w:vAlign w:val="bottom"/>
          </w:tcPr>
          <w:p w14:paraId="28AD7202" w14:textId="77777777" w:rsidR="00231E6F" w:rsidRDefault="00231E6F" w:rsidP="00F36C50">
            <w:pPr>
              <w:pStyle w:val="TableRowNormal"/>
              <w:ind w:left="0" w:firstLine="0"/>
              <w:jc w:val="left"/>
            </w:pPr>
            <w:r>
              <w:t>Australian Bureau of Statistics</w:t>
            </w:r>
          </w:p>
        </w:tc>
      </w:tr>
      <w:tr w:rsidR="00231E6F" w:rsidRPr="004537EA" w14:paraId="4759689E" w14:textId="77777777" w:rsidTr="00175351">
        <w:tc>
          <w:tcPr>
            <w:tcW w:w="1138" w:type="pct"/>
            <w:vAlign w:val="bottom"/>
          </w:tcPr>
          <w:p w14:paraId="6A0798E6" w14:textId="77777777" w:rsidR="00231E6F" w:rsidRDefault="00231E6F" w:rsidP="00F36C50">
            <w:pPr>
              <w:pStyle w:val="CGCTableStub"/>
              <w:rPr>
                <w:rFonts w:cstheme="minorHAnsi"/>
              </w:rPr>
            </w:pPr>
            <w:r>
              <w:rPr>
                <w:rFonts w:cstheme="minorHAnsi"/>
              </w:rPr>
              <w:t>ACARA</w:t>
            </w:r>
          </w:p>
        </w:tc>
        <w:tc>
          <w:tcPr>
            <w:tcW w:w="3862" w:type="pct"/>
            <w:vAlign w:val="bottom"/>
          </w:tcPr>
          <w:p w14:paraId="40819C63" w14:textId="77777777" w:rsidR="00231E6F" w:rsidRDefault="00231E6F" w:rsidP="00F36C50">
            <w:pPr>
              <w:pStyle w:val="TableRowNormal"/>
              <w:jc w:val="left"/>
              <w:rPr>
                <w:rFonts w:cstheme="minorHAnsi"/>
              </w:rPr>
            </w:pPr>
            <w:r>
              <w:t>Australian Curriculum, Assessment and Reporting Authority</w:t>
            </w:r>
          </w:p>
        </w:tc>
      </w:tr>
      <w:tr w:rsidR="00231E6F" w:rsidRPr="004537EA" w14:paraId="1168894D" w14:textId="77777777" w:rsidTr="00175351">
        <w:tc>
          <w:tcPr>
            <w:tcW w:w="1138" w:type="pct"/>
            <w:tcMar>
              <w:top w:w="0" w:type="dxa"/>
              <w:bottom w:w="0" w:type="dxa"/>
            </w:tcMar>
            <w:vAlign w:val="bottom"/>
          </w:tcPr>
          <w:p w14:paraId="4C0F4965" w14:textId="77777777" w:rsidR="00231E6F" w:rsidRPr="004537EA" w:rsidRDefault="00231E6F" w:rsidP="00F36C50">
            <w:pPr>
              <w:pStyle w:val="CGCTableStub"/>
              <w:rPr>
                <w:rFonts w:cstheme="minorHAnsi"/>
              </w:rPr>
            </w:pPr>
            <w:r>
              <w:rPr>
                <w:rFonts w:cstheme="minorHAnsi"/>
              </w:rPr>
              <w:t>AFP</w:t>
            </w:r>
          </w:p>
        </w:tc>
        <w:tc>
          <w:tcPr>
            <w:tcW w:w="3862" w:type="pct"/>
            <w:tcMar>
              <w:top w:w="0" w:type="dxa"/>
              <w:bottom w:w="0" w:type="dxa"/>
            </w:tcMar>
            <w:vAlign w:val="bottom"/>
          </w:tcPr>
          <w:p w14:paraId="017F72EC" w14:textId="77777777" w:rsidR="00231E6F" w:rsidRPr="004537EA" w:rsidRDefault="00231E6F" w:rsidP="00F36C50">
            <w:pPr>
              <w:pStyle w:val="CGCTableStub"/>
              <w:rPr>
                <w:rFonts w:cstheme="minorHAnsi"/>
              </w:rPr>
            </w:pPr>
            <w:r>
              <w:rPr>
                <w:rFonts w:cstheme="minorHAnsi"/>
              </w:rPr>
              <w:t>Australian Federal Police</w:t>
            </w:r>
          </w:p>
        </w:tc>
      </w:tr>
      <w:tr w:rsidR="00231E6F" w:rsidRPr="004537EA" w14:paraId="50BFF609" w14:textId="77777777" w:rsidTr="00175351">
        <w:tc>
          <w:tcPr>
            <w:tcW w:w="1138" w:type="pct"/>
            <w:tcMar>
              <w:top w:w="0" w:type="dxa"/>
              <w:bottom w:w="0" w:type="dxa"/>
            </w:tcMar>
            <w:vAlign w:val="bottom"/>
          </w:tcPr>
          <w:p w14:paraId="7267FFF9" w14:textId="77777777" w:rsidR="00231E6F" w:rsidRDefault="00231E6F" w:rsidP="00F36C50">
            <w:pPr>
              <w:pStyle w:val="CGCTableStub"/>
              <w:rPr>
                <w:rFonts w:cstheme="minorHAnsi"/>
              </w:rPr>
            </w:pPr>
            <w:r>
              <w:rPr>
                <w:rFonts w:cstheme="minorHAnsi"/>
              </w:rPr>
              <w:t>APC</w:t>
            </w:r>
          </w:p>
        </w:tc>
        <w:tc>
          <w:tcPr>
            <w:tcW w:w="3862" w:type="pct"/>
            <w:tcMar>
              <w:top w:w="0" w:type="dxa"/>
              <w:bottom w:w="0" w:type="dxa"/>
            </w:tcMar>
            <w:vAlign w:val="bottom"/>
          </w:tcPr>
          <w:p w14:paraId="1AD3F739" w14:textId="77777777" w:rsidR="00231E6F" w:rsidRDefault="00231E6F" w:rsidP="00F36C50">
            <w:pPr>
              <w:pStyle w:val="CGCTableStub"/>
              <w:rPr>
                <w:rFonts w:cstheme="minorHAnsi"/>
              </w:rPr>
            </w:pPr>
            <w:r>
              <w:rPr>
                <w:rFonts w:cstheme="minorHAnsi"/>
              </w:rPr>
              <w:t>Actual per capita</w:t>
            </w:r>
          </w:p>
        </w:tc>
      </w:tr>
      <w:tr w:rsidR="00231E6F" w:rsidRPr="004537EA" w14:paraId="6FD1A913" w14:textId="77777777" w:rsidTr="00175351">
        <w:tc>
          <w:tcPr>
            <w:tcW w:w="1138" w:type="pct"/>
            <w:vAlign w:val="bottom"/>
          </w:tcPr>
          <w:p w14:paraId="6F4E972D" w14:textId="77777777" w:rsidR="00231E6F" w:rsidRDefault="00231E6F" w:rsidP="00F36C50">
            <w:pPr>
              <w:pStyle w:val="CGCTableStub"/>
              <w:rPr>
                <w:rFonts w:cstheme="minorHAnsi"/>
              </w:rPr>
            </w:pPr>
            <w:r>
              <w:rPr>
                <w:rFonts w:cstheme="minorHAnsi"/>
              </w:rPr>
              <w:t>COFOG – A</w:t>
            </w:r>
          </w:p>
        </w:tc>
        <w:tc>
          <w:tcPr>
            <w:tcW w:w="3862" w:type="pct"/>
            <w:vAlign w:val="bottom"/>
          </w:tcPr>
          <w:p w14:paraId="350A865F" w14:textId="77777777" w:rsidR="00231E6F" w:rsidRDefault="00231E6F" w:rsidP="00F36C50">
            <w:pPr>
              <w:pStyle w:val="TableRowNormal"/>
              <w:jc w:val="left"/>
              <w:rPr>
                <w:rFonts w:cstheme="minorHAnsi"/>
              </w:rPr>
            </w:pPr>
            <w:r>
              <w:rPr>
                <w:rFonts w:cstheme="minorHAnsi"/>
              </w:rPr>
              <w:t>Classifications of the Functions of Government - Australia</w:t>
            </w:r>
          </w:p>
        </w:tc>
      </w:tr>
      <w:tr w:rsidR="00231E6F" w:rsidRPr="004537EA" w14:paraId="445E174B" w14:textId="77777777" w:rsidTr="00175351">
        <w:tc>
          <w:tcPr>
            <w:tcW w:w="1138" w:type="pct"/>
            <w:vAlign w:val="bottom"/>
          </w:tcPr>
          <w:p w14:paraId="59503171" w14:textId="77777777" w:rsidR="00231E6F" w:rsidRDefault="00231E6F" w:rsidP="00F36C50">
            <w:pPr>
              <w:pStyle w:val="CGCTableStub"/>
              <w:rPr>
                <w:rFonts w:cstheme="minorHAnsi"/>
              </w:rPr>
            </w:pPr>
            <w:r>
              <w:rPr>
                <w:rFonts w:cstheme="minorHAnsi"/>
              </w:rPr>
              <w:t>CGC</w:t>
            </w:r>
          </w:p>
        </w:tc>
        <w:tc>
          <w:tcPr>
            <w:tcW w:w="3862" w:type="pct"/>
            <w:vAlign w:val="bottom"/>
          </w:tcPr>
          <w:p w14:paraId="7485997C" w14:textId="77777777" w:rsidR="00231E6F" w:rsidRDefault="00231E6F" w:rsidP="00F36C50">
            <w:pPr>
              <w:pStyle w:val="TableRowNormal"/>
              <w:jc w:val="left"/>
              <w:rPr>
                <w:rFonts w:cstheme="minorHAnsi"/>
              </w:rPr>
            </w:pPr>
            <w:r>
              <w:rPr>
                <w:rFonts w:cstheme="minorHAnsi"/>
              </w:rPr>
              <w:t>Commonwealth Grants Commission</w:t>
            </w:r>
          </w:p>
        </w:tc>
      </w:tr>
      <w:tr w:rsidR="00231E6F" w:rsidRPr="004537EA" w14:paraId="3BE3C73B" w14:textId="77777777" w:rsidTr="00175351">
        <w:tc>
          <w:tcPr>
            <w:tcW w:w="1138" w:type="pct"/>
            <w:vAlign w:val="bottom"/>
          </w:tcPr>
          <w:p w14:paraId="35D85500" w14:textId="535119D0" w:rsidR="00231E6F" w:rsidRPr="004537EA" w:rsidRDefault="00345290" w:rsidP="00345290">
            <w:pPr>
              <w:pStyle w:val="CGCTableStub"/>
              <w:rPr>
                <w:rFonts w:cstheme="minorHAnsi"/>
              </w:rPr>
            </w:pPr>
            <w:r>
              <w:rPr>
                <w:rFonts w:cstheme="minorHAnsi"/>
              </w:rPr>
              <w:t>The Department</w:t>
            </w:r>
            <w:r w:rsidR="00795D7C">
              <w:rPr>
                <w:rFonts w:cstheme="minorHAnsi"/>
              </w:rPr>
              <w:t xml:space="preserve"> (DITCRD)</w:t>
            </w:r>
          </w:p>
        </w:tc>
        <w:tc>
          <w:tcPr>
            <w:tcW w:w="3862" w:type="pct"/>
            <w:vAlign w:val="bottom"/>
          </w:tcPr>
          <w:p w14:paraId="4741A1AA" w14:textId="77777777" w:rsidR="00231E6F" w:rsidRPr="004537EA" w:rsidRDefault="00231E6F" w:rsidP="00630FF5">
            <w:pPr>
              <w:pStyle w:val="TableRowNormal"/>
              <w:jc w:val="left"/>
              <w:rPr>
                <w:rFonts w:cstheme="minorHAnsi"/>
              </w:rPr>
            </w:pPr>
            <w:r>
              <w:rPr>
                <w:rFonts w:cstheme="minorHAnsi"/>
              </w:rPr>
              <w:t>Department of Infrastructure,</w:t>
            </w:r>
            <w:r w:rsidR="00096B70">
              <w:rPr>
                <w:rFonts w:cstheme="minorHAnsi"/>
              </w:rPr>
              <w:t xml:space="preserve"> Transport, Cities and</w:t>
            </w:r>
            <w:r>
              <w:rPr>
                <w:rFonts w:cstheme="minorHAnsi"/>
              </w:rPr>
              <w:t xml:space="preserve"> </w:t>
            </w:r>
            <w:r w:rsidR="00630FF5">
              <w:rPr>
                <w:rFonts w:cstheme="minorHAnsi"/>
              </w:rPr>
              <w:t xml:space="preserve">Regional </w:t>
            </w:r>
            <w:r>
              <w:rPr>
                <w:rFonts w:cstheme="minorHAnsi"/>
              </w:rPr>
              <w:t>Development</w:t>
            </w:r>
          </w:p>
        </w:tc>
      </w:tr>
      <w:tr w:rsidR="00231E6F" w:rsidRPr="004537EA" w14:paraId="7A6FAD3D" w14:textId="77777777" w:rsidTr="00175351">
        <w:tc>
          <w:tcPr>
            <w:tcW w:w="1138" w:type="pct"/>
            <w:vAlign w:val="bottom"/>
          </w:tcPr>
          <w:p w14:paraId="2C5EFF6C" w14:textId="77777777" w:rsidR="00231E6F" w:rsidRDefault="00231E6F" w:rsidP="00F36C50">
            <w:pPr>
              <w:pStyle w:val="CGCTableStub"/>
              <w:rPr>
                <w:rFonts w:cstheme="minorHAnsi"/>
              </w:rPr>
            </w:pPr>
            <w:r>
              <w:rPr>
                <w:rFonts w:cstheme="minorHAnsi"/>
              </w:rPr>
              <w:t>EPC</w:t>
            </w:r>
          </w:p>
        </w:tc>
        <w:tc>
          <w:tcPr>
            <w:tcW w:w="3862" w:type="pct"/>
            <w:vAlign w:val="bottom"/>
          </w:tcPr>
          <w:p w14:paraId="537995AB" w14:textId="77777777" w:rsidR="00231E6F" w:rsidRDefault="00231E6F" w:rsidP="00F36C50">
            <w:pPr>
              <w:pStyle w:val="TableRowNormal"/>
              <w:jc w:val="left"/>
            </w:pPr>
            <w:r>
              <w:t>Equal per capita</w:t>
            </w:r>
          </w:p>
        </w:tc>
      </w:tr>
      <w:tr w:rsidR="00231E6F" w:rsidRPr="004537EA" w14:paraId="50EFA39F" w14:textId="77777777" w:rsidTr="00175351">
        <w:tc>
          <w:tcPr>
            <w:tcW w:w="1138" w:type="pct"/>
            <w:vAlign w:val="bottom"/>
          </w:tcPr>
          <w:p w14:paraId="2956017C" w14:textId="77777777" w:rsidR="00231E6F" w:rsidRDefault="00231E6F" w:rsidP="00F36C50">
            <w:pPr>
              <w:pStyle w:val="CGCTableStub"/>
              <w:rPr>
                <w:rFonts w:cstheme="minorHAnsi"/>
              </w:rPr>
            </w:pPr>
            <w:r>
              <w:rPr>
                <w:rFonts w:cstheme="minorHAnsi"/>
              </w:rPr>
              <w:t>FAGS</w:t>
            </w:r>
          </w:p>
        </w:tc>
        <w:tc>
          <w:tcPr>
            <w:tcW w:w="3862" w:type="pct"/>
            <w:vAlign w:val="bottom"/>
          </w:tcPr>
          <w:p w14:paraId="6383C37E" w14:textId="77777777" w:rsidR="00231E6F" w:rsidRDefault="00630FF5" w:rsidP="00F36C50">
            <w:pPr>
              <w:pStyle w:val="TableRowNormal"/>
              <w:jc w:val="left"/>
            </w:pPr>
            <w:r>
              <w:t xml:space="preserve">Financial </w:t>
            </w:r>
            <w:r w:rsidR="00231E6F">
              <w:t>Assistance Grants</w:t>
            </w:r>
          </w:p>
        </w:tc>
      </w:tr>
      <w:tr w:rsidR="00231E6F" w:rsidRPr="004537EA" w14:paraId="3577DEB2" w14:textId="77777777" w:rsidTr="00175351">
        <w:tc>
          <w:tcPr>
            <w:tcW w:w="1138" w:type="pct"/>
            <w:vAlign w:val="bottom"/>
          </w:tcPr>
          <w:p w14:paraId="1464E55A" w14:textId="77777777" w:rsidR="00231E6F" w:rsidRDefault="00231E6F" w:rsidP="00F36C50">
            <w:pPr>
              <w:pStyle w:val="CGCTableStub"/>
              <w:rPr>
                <w:rFonts w:cstheme="minorHAnsi"/>
              </w:rPr>
            </w:pPr>
            <w:r>
              <w:rPr>
                <w:rFonts w:cstheme="minorHAnsi"/>
              </w:rPr>
              <w:t>FESL</w:t>
            </w:r>
          </w:p>
        </w:tc>
        <w:tc>
          <w:tcPr>
            <w:tcW w:w="3862" w:type="pct"/>
            <w:vAlign w:val="bottom"/>
          </w:tcPr>
          <w:p w14:paraId="7DBF7852" w14:textId="77777777" w:rsidR="00231E6F" w:rsidRDefault="00231E6F" w:rsidP="00F36C50">
            <w:pPr>
              <w:pStyle w:val="TableRowNormal"/>
              <w:jc w:val="left"/>
              <w:rPr>
                <w:rFonts w:cstheme="minorHAnsi"/>
              </w:rPr>
            </w:pPr>
            <w:r>
              <w:t>F</w:t>
            </w:r>
            <w:r w:rsidRPr="00C172B0">
              <w:t>ire and emergency services levies</w:t>
            </w:r>
          </w:p>
        </w:tc>
      </w:tr>
      <w:tr w:rsidR="00231E6F" w:rsidRPr="004537EA" w14:paraId="1395B688" w14:textId="77777777" w:rsidTr="00175351">
        <w:tc>
          <w:tcPr>
            <w:tcW w:w="1138" w:type="pct"/>
            <w:vAlign w:val="bottom"/>
          </w:tcPr>
          <w:p w14:paraId="52A724B6" w14:textId="77777777" w:rsidR="00231E6F" w:rsidRDefault="00231E6F" w:rsidP="00F36C50">
            <w:pPr>
              <w:pStyle w:val="CGCTableStub"/>
              <w:rPr>
                <w:rFonts w:cstheme="minorHAnsi"/>
              </w:rPr>
            </w:pPr>
            <w:r>
              <w:rPr>
                <w:rFonts w:cstheme="minorHAnsi"/>
              </w:rPr>
              <w:t>GBE</w:t>
            </w:r>
          </w:p>
        </w:tc>
        <w:tc>
          <w:tcPr>
            <w:tcW w:w="3862" w:type="pct"/>
            <w:vAlign w:val="bottom"/>
          </w:tcPr>
          <w:p w14:paraId="71382FFB" w14:textId="77777777" w:rsidR="00231E6F" w:rsidRDefault="00231E6F" w:rsidP="00F36C50">
            <w:pPr>
              <w:pStyle w:val="TableRowNormal"/>
              <w:jc w:val="left"/>
              <w:rPr>
                <w:rFonts w:cstheme="minorHAnsi"/>
              </w:rPr>
            </w:pPr>
            <w:r>
              <w:rPr>
                <w:rFonts w:cstheme="minorHAnsi"/>
              </w:rPr>
              <w:t>Government Business Enterprise</w:t>
            </w:r>
          </w:p>
        </w:tc>
      </w:tr>
      <w:tr w:rsidR="00231E6F" w:rsidRPr="004537EA" w14:paraId="2C38200E" w14:textId="77777777" w:rsidTr="00175351">
        <w:tc>
          <w:tcPr>
            <w:tcW w:w="1138" w:type="pct"/>
            <w:vAlign w:val="bottom"/>
          </w:tcPr>
          <w:p w14:paraId="71884D1B" w14:textId="77777777" w:rsidR="00231E6F" w:rsidRDefault="00231E6F" w:rsidP="00F36C50">
            <w:pPr>
              <w:pStyle w:val="CGCTableStub"/>
              <w:rPr>
                <w:rFonts w:cstheme="minorHAnsi"/>
              </w:rPr>
            </w:pPr>
            <w:r>
              <w:rPr>
                <w:rFonts w:cstheme="minorHAnsi"/>
              </w:rPr>
              <w:t>GFS</w:t>
            </w:r>
          </w:p>
        </w:tc>
        <w:tc>
          <w:tcPr>
            <w:tcW w:w="3862" w:type="pct"/>
            <w:vAlign w:val="bottom"/>
          </w:tcPr>
          <w:p w14:paraId="1502EC83" w14:textId="77777777" w:rsidR="00231E6F" w:rsidRDefault="00231E6F" w:rsidP="00F36C50">
            <w:pPr>
              <w:pStyle w:val="TableRowNormal"/>
              <w:jc w:val="left"/>
              <w:rPr>
                <w:rFonts w:cstheme="minorHAnsi"/>
              </w:rPr>
            </w:pPr>
            <w:r>
              <w:rPr>
                <w:rFonts w:cstheme="minorHAnsi"/>
              </w:rPr>
              <w:t>Government Financial Statistics</w:t>
            </w:r>
          </w:p>
        </w:tc>
      </w:tr>
      <w:tr w:rsidR="00231E6F" w:rsidRPr="004537EA" w14:paraId="713C817C" w14:textId="77777777" w:rsidTr="00175351">
        <w:tc>
          <w:tcPr>
            <w:tcW w:w="1138" w:type="pct"/>
            <w:vAlign w:val="bottom"/>
          </w:tcPr>
          <w:p w14:paraId="003270FD" w14:textId="77777777" w:rsidR="00231E6F" w:rsidRDefault="00231E6F" w:rsidP="00F36C50">
            <w:pPr>
              <w:pStyle w:val="CGCTableStub"/>
              <w:rPr>
                <w:rFonts w:cstheme="minorHAnsi"/>
              </w:rPr>
            </w:pPr>
            <w:r>
              <w:rPr>
                <w:rFonts w:cstheme="minorHAnsi"/>
              </w:rPr>
              <w:t>GP</w:t>
            </w:r>
          </w:p>
        </w:tc>
        <w:tc>
          <w:tcPr>
            <w:tcW w:w="3862" w:type="pct"/>
            <w:vAlign w:val="bottom"/>
          </w:tcPr>
          <w:p w14:paraId="2A253A5B" w14:textId="77777777" w:rsidR="00231E6F" w:rsidRDefault="00231E6F" w:rsidP="00F36C50">
            <w:pPr>
              <w:pStyle w:val="TableRowNormal"/>
              <w:jc w:val="left"/>
              <w:rPr>
                <w:rFonts w:cstheme="minorHAnsi"/>
              </w:rPr>
            </w:pPr>
            <w:r>
              <w:rPr>
                <w:rFonts w:cstheme="minorHAnsi"/>
              </w:rPr>
              <w:t>General Practitioner</w:t>
            </w:r>
          </w:p>
        </w:tc>
      </w:tr>
      <w:tr w:rsidR="00231E6F" w:rsidRPr="004537EA" w14:paraId="5207ECAD" w14:textId="77777777" w:rsidTr="00175351">
        <w:tc>
          <w:tcPr>
            <w:tcW w:w="1138" w:type="pct"/>
            <w:vAlign w:val="bottom"/>
          </w:tcPr>
          <w:p w14:paraId="394064C3" w14:textId="77777777" w:rsidR="00231E6F" w:rsidRDefault="00231E6F" w:rsidP="00F36C50">
            <w:pPr>
              <w:pStyle w:val="CGCTableStub"/>
              <w:rPr>
                <w:rFonts w:cstheme="minorHAnsi"/>
              </w:rPr>
            </w:pPr>
            <w:r>
              <w:rPr>
                <w:rFonts w:cstheme="minorHAnsi"/>
              </w:rPr>
              <w:t>ICSEA</w:t>
            </w:r>
          </w:p>
        </w:tc>
        <w:tc>
          <w:tcPr>
            <w:tcW w:w="3862" w:type="pct"/>
            <w:vAlign w:val="bottom"/>
          </w:tcPr>
          <w:p w14:paraId="76666A46" w14:textId="77777777" w:rsidR="00231E6F" w:rsidRDefault="00231E6F" w:rsidP="00F36C50">
            <w:pPr>
              <w:pStyle w:val="TableRowNormal"/>
              <w:jc w:val="left"/>
              <w:rPr>
                <w:rFonts w:cstheme="minorHAnsi"/>
              </w:rPr>
            </w:pPr>
            <w:r w:rsidRPr="00E56260">
              <w:t>Index of Community Socio-Educational Advantage</w:t>
            </w:r>
          </w:p>
        </w:tc>
      </w:tr>
      <w:tr w:rsidR="00231E6F" w:rsidRPr="004537EA" w14:paraId="14B35A40" w14:textId="77777777" w:rsidTr="00175351">
        <w:tc>
          <w:tcPr>
            <w:tcW w:w="1138" w:type="pct"/>
            <w:vAlign w:val="bottom"/>
          </w:tcPr>
          <w:p w14:paraId="150F7C65" w14:textId="77777777" w:rsidR="00231E6F" w:rsidRDefault="00231E6F" w:rsidP="00F36C50">
            <w:pPr>
              <w:pStyle w:val="CGCTableStub"/>
              <w:rPr>
                <w:rFonts w:cstheme="minorHAnsi"/>
              </w:rPr>
            </w:pPr>
            <w:r>
              <w:rPr>
                <w:rFonts w:cstheme="minorHAnsi"/>
              </w:rPr>
              <w:t>IHAD</w:t>
            </w:r>
          </w:p>
        </w:tc>
        <w:tc>
          <w:tcPr>
            <w:tcW w:w="3862" w:type="pct"/>
            <w:vAlign w:val="bottom"/>
          </w:tcPr>
          <w:p w14:paraId="0E23F67A" w14:textId="77777777" w:rsidR="00231E6F" w:rsidRDefault="00231E6F" w:rsidP="00F36C50">
            <w:pPr>
              <w:pStyle w:val="TableRowNormal"/>
              <w:jc w:val="left"/>
              <w:rPr>
                <w:rFonts w:cstheme="minorHAnsi"/>
              </w:rPr>
            </w:pPr>
            <w:r>
              <w:t>Index of Household Advantage and Disadvantage</w:t>
            </w:r>
          </w:p>
        </w:tc>
      </w:tr>
      <w:tr w:rsidR="00231E6F" w:rsidRPr="004537EA" w14:paraId="02C33DCE" w14:textId="77777777" w:rsidTr="00175351">
        <w:tc>
          <w:tcPr>
            <w:tcW w:w="1138" w:type="pct"/>
            <w:vAlign w:val="bottom"/>
          </w:tcPr>
          <w:p w14:paraId="3F99F801" w14:textId="77777777" w:rsidR="00231E6F" w:rsidRDefault="00231E6F" w:rsidP="00F36C50">
            <w:pPr>
              <w:pStyle w:val="CGCTableStub"/>
              <w:rPr>
                <w:rFonts w:cstheme="minorHAnsi"/>
              </w:rPr>
            </w:pPr>
            <w:r>
              <w:rPr>
                <w:rFonts w:cstheme="minorHAnsi"/>
              </w:rPr>
              <w:t>IHPA</w:t>
            </w:r>
          </w:p>
        </w:tc>
        <w:tc>
          <w:tcPr>
            <w:tcW w:w="3862" w:type="pct"/>
            <w:vAlign w:val="bottom"/>
          </w:tcPr>
          <w:p w14:paraId="10CC2565" w14:textId="77777777" w:rsidR="00231E6F" w:rsidRDefault="00231E6F" w:rsidP="00F36C50">
            <w:pPr>
              <w:pStyle w:val="TableRowNormal"/>
              <w:jc w:val="left"/>
              <w:rPr>
                <w:rFonts w:cstheme="minorHAnsi"/>
              </w:rPr>
            </w:pPr>
            <w:r>
              <w:rPr>
                <w:rFonts w:cstheme="minorHAnsi"/>
              </w:rPr>
              <w:t>Independent Health Pricing Authority</w:t>
            </w:r>
          </w:p>
        </w:tc>
      </w:tr>
      <w:tr w:rsidR="00231E6F" w:rsidRPr="004537EA" w14:paraId="03C5251A" w14:textId="77777777" w:rsidTr="00175351">
        <w:tc>
          <w:tcPr>
            <w:tcW w:w="1138" w:type="pct"/>
            <w:vAlign w:val="bottom"/>
          </w:tcPr>
          <w:p w14:paraId="1726BE76" w14:textId="77777777" w:rsidR="00231E6F" w:rsidRDefault="00231E6F" w:rsidP="00F36C50">
            <w:pPr>
              <w:pStyle w:val="CGCTableStub"/>
              <w:rPr>
                <w:rFonts w:cstheme="minorHAnsi"/>
              </w:rPr>
            </w:pPr>
            <w:r>
              <w:rPr>
                <w:rFonts w:cstheme="minorHAnsi"/>
              </w:rPr>
              <w:t>IPTAAS</w:t>
            </w:r>
          </w:p>
        </w:tc>
        <w:tc>
          <w:tcPr>
            <w:tcW w:w="3862" w:type="pct"/>
            <w:vAlign w:val="bottom"/>
          </w:tcPr>
          <w:p w14:paraId="4465784E" w14:textId="77777777" w:rsidR="00231E6F" w:rsidRDefault="00231E6F" w:rsidP="00F36C50">
            <w:pPr>
              <w:pStyle w:val="TableRowNormal"/>
              <w:jc w:val="left"/>
              <w:rPr>
                <w:rFonts w:cstheme="minorHAnsi"/>
              </w:rPr>
            </w:pPr>
            <w:r w:rsidRPr="00042068">
              <w:t xml:space="preserve">New South Wales’ Isolated Patients Travel and </w:t>
            </w:r>
            <w:r w:rsidR="00175351">
              <w:t xml:space="preserve">Accommodation Assistance </w:t>
            </w:r>
            <w:r w:rsidRPr="00042068">
              <w:t>Scheme</w:t>
            </w:r>
          </w:p>
        </w:tc>
      </w:tr>
      <w:tr w:rsidR="00231E6F" w:rsidRPr="004537EA" w14:paraId="33714663" w14:textId="77777777" w:rsidTr="00175351">
        <w:tc>
          <w:tcPr>
            <w:tcW w:w="1138" w:type="pct"/>
            <w:vAlign w:val="bottom"/>
          </w:tcPr>
          <w:p w14:paraId="3D2D04FA" w14:textId="77777777" w:rsidR="00231E6F" w:rsidRDefault="00231E6F" w:rsidP="00F36C50">
            <w:pPr>
              <w:pStyle w:val="CGCTableStub"/>
              <w:rPr>
                <w:rFonts w:cstheme="minorHAnsi"/>
              </w:rPr>
            </w:pPr>
            <w:r>
              <w:rPr>
                <w:rFonts w:cstheme="minorHAnsi"/>
              </w:rPr>
              <w:t>KAVHA</w:t>
            </w:r>
          </w:p>
        </w:tc>
        <w:tc>
          <w:tcPr>
            <w:tcW w:w="3862" w:type="pct"/>
            <w:vAlign w:val="bottom"/>
          </w:tcPr>
          <w:p w14:paraId="0324BCF2" w14:textId="77777777" w:rsidR="00231E6F" w:rsidRDefault="00231E6F" w:rsidP="00F36C50">
            <w:pPr>
              <w:pStyle w:val="TableRowNormal"/>
              <w:jc w:val="left"/>
              <w:rPr>
                <w:rFonts w:cstheme="minorHAnsi"/>
              </w:rPr>
            </w:pPr>
            <w:r>
              <w:rPr>
                <w:rFonts w:cstheme="minorHAnsi"/>
              </w:rPr>
              <w:t>The Kingston and Arthur’s Vale Historic Area</w:t>
            </w:r>
          </w:p>
        </w:tc>
      </w:tr>
      <w:tr w:rsidR="00231E6F" w:rsidRPr="004537EA" w14:paraId="16D4ACF7" w14:textId="77777777" w:rsidTr="00175351">
        <w:tc>
          <w:tcPr>
            <w:tcW w:w="1138" w:type="pct"/>
            <w:vAlign w:val="bottom"/>
          </w:tcPr>
          <w:p w14:paraId="1BA61FD5" w14:textId="77777777" w:rsidR="00231E6F" w:rsidRDefault="00231E6F" w:rsidP="00F36C50">
            <w:pPr>
              <w:pStyle w:val="CGCTableStub"/>
              <w:rPr>
                <w:rFonts w:cstheme="minorHAnsi"/>
              </w:rPr>
            </w:pPr>
            <w:r>
              <w:rPr>
                <w:rFonts w:cstheme="minorHAnsi"/>
              </w:rPr>
              <w:t>kWh</w:t>
            </w:r>
          </w:p>
        </w:tc>
        <w:tc>
          <w:tcPr>
            <w:tcW w:w="3862" w:type="pct"/>
            <w:vAlign w:val="bottom"/>
          </w:tcPr>
          <w:p w14:paraId="4F1FED05" w14:textId="77777777" w:rsidR="00231E6F" w:rsidRDefault="00231E6F" w:rsidP="00F36C50">
            <w:pPr>
              <w:pStyle w:val="TableRowNormal"/>
              <w:jc w:val="left"/>
              <w:rPr>
                <w:rFonts w:cstheme="minorHAnsi"/>
              </w:rPr>
            </w:pPr>
            <w:r>
              <w:rPr>
                <w:rFonts w:cstheme="minorHAnsi"/>
              </w:rPr>
              <w:t>Kilowatt hour (for electricity)</w:t>
            </w:r>
          </w:p>
        </w:tc>
      </w:tr>
      <w:tr w:rsidR="00231E6F" w:rsidRPr="004537EA" w14:paraId="19B8298C" w14:textId="77777777" w:rsidTr="00175351">
        <w:tc>
          <w:tcPr>
            <w:tcW w:w="1138" w:type="pct"/>
            <w:vAlign w:val="bottom"/>
          </w:tcPr>
          <w:p w14:paraId="77FC3287" w14:textId="77777777" w:rsidR="00231E6F" w:rsidRDefault="00231E6F" w:rsidP="00F36C50">
            <w:pPr>
              <w:pStyle w:val="CGCTableStub"/>
              <w:rPr>
                <w:rFonts w:cstheme="minorHAnsi"/>
              </w:rPr>
            </w:pPr>
            <w:r>
              <w:rPr>
                <w:rFonts w:cstheme="minorHAnsi"/>
              </w:rPr>
              <w:t>LGGC</w:t>
            </w:r>
          </w:p>
        </w:tc>
        <w:tc>
          <w:tcPr>
            <w:tcW w:w="3862" w:type="pct"/>
            <w:vAlign w:val="bottom"/>
          </w:tcPr>
          <w:p w14:paraId="212B6B18" w14:textId="77777777" w:rsidR="00231E6F" w:rsidRDefault="00231E6F" w:rsidP="00F36C50">
            <w:pPr>
              <w:pStyle w:val="TableRowNormal"/>
              <w:jc w:val="left"/>
            </w:pPr>
            <w:r>
              <w:t>Local Government Grants Commission</w:t>
            </w:r>
          </w:p>
        </w:tc>
      </w:tr>
      <w:tr w:rsidR="00231E6F" w:rsidRPr="004537EA" w14:paraId="622C3F1D" w14:textId="77777777" w:rsidTr="00175351">
        <w:tc>
          <w:tcPr>
            <w:tcW w:w="1138" w:type="pct"/>
            <w:vAlign w:val="bottom"/>
          </w:tcPr>
          <w:p w14:paraId="491EB1AE" w14:textId="77777777" w:rsidR="00231E6F" w:rsidRDefault="00231E6F" w:rsidP="00F36C50">
            <w:pPr>
              <w:pStyle w:val="CGCTableStub"/>
              <w:rPr>
                <w:rFonts w:cstheme="minorHAnsi"/>
              </w:rPr>
            </w:pPr>
            <w:r>
              <w:rPr>
                <w:rFonts w:cstheme="minorHAnsi"/>
              </w:rPr>
              <w:t>NDIS</w:t>
            </w:r>
          </w:p>
        </w:tc>
        <w:tc>
          <w:tcPr>
            <w:tcW w:w="3862" w:type="pct"/>
            <w:vAlign w:val="bottom"/>
          </w:tcPr>
          <w:p w14:paraId="3993478A" w14:textId="77777777" w:rsidR="00231E6F" w:rsidRDefault="00231E6F" w:rsidP="00F36C50">
            <w:pPr>
              <w:pStyle w:val="TableRowNormal"/>
              <w:jc w:val="left"/>
            </w:pPr>
            <w:r>
              <w:t>National Disability Insurance Scheme</w:t>
            </w:r>
          </w:p>
        </w:tc>
      </w:tr>
      <w:tr w:rsidR="00231E6F" w:rsidRPr="004537EA" w14:paraId="07195CBC" w14:textId="77777777" w:rsidTr="00175351">
        <w:tc>
          <w:tcPr>
            <w:tcW w:w="1138" w:type="pct"/>
            <w:vAlign w:val="bottom"/>
          </w:tcPr>
          <w:p w14:paraId="567E2E66" w14:textId="77777777" w:rsidR="00231E6F" w:rsidRDefault="00231E6F" w:rsidP="00F36C50">
            <w:pPr>
              <w:pStyle w:val="CGCTableStub"/>
              <w:rPr>
                <w:rFonts w:cstheme="minorHAnsi"/>
              </w:rPr>
            </w:pPr>
            <w:r>
              <w:rPr>
                <w:rFonts w:cstheme="minorHAnsi"/>
              </w:rPr>
              <w:t>NHFB</w:t>
            </w:r>
          </w:p>
        </w:tc>
        <w:tc>
          <w:tcPr>
            <w:tcW w:w="3862" w:type="pct"/>
            <w:vAlign w:val="bottom"/>
          </w:tcPr>
          <w:p w14:paraId="41C6EA5A" w14:textId="77777777" w:rsidR="00231E6F" w:rsidRDefault="00231E6F" w:rsidP="00F36C50">
            <w:pPr>
              <w:pStyle w:val="TableRowNormal"/>
              <w:jc w:val="left"/>
              <w:rPr>
                <w:rFonts w:cstheme="minorHAnsi"/>
              </w:rPr>
            </w:pPr>
            <w:r>
              <w:t>National Health Funding Body</w:t>
            </w:r>
          </w:p>
        </w:tc>
      </w:tr>
      <w:tr w:rsidR="00231E6F" w:rsidRPr="004537EA" w14:paraId="647389B4" w14:textId="77777777" w:rsidTr="00175351">
        <w:tc>
          <w:tcPr>
            <w:tcW w:w="1138" w:type="pct"/>
            <w:vAlign w:val="bottom"/>
          </w:tcPr>
          <w:p w14:paraId="73074A32" w14:textId="77777777" w:rsidR="00231E6F" w:rsidRDefault="00231E6F" w:rsidP="00F36C50">
            <w:pPr>
              <w:pStyle w:val="CGCTableStub"/>
              <w:rPr>
                <w:rFonts w:cstheme="minorHAnsi"/>
              </w:rPr>
            </w:pPr>
            <w:r>
              <w:rPr>
                <w:rFonts w:cstheme="minorHAnsi"/>
              </w:rPr>
              <w:t>NI</w:t>
            </w:r>
          </w:p>
        </w:tc>
        <w:tc>
          <w:tcPr>
            <w:tcW w:w="3862" w:type="pct"/>
            <w:vAlign w:val="bottom"/>
          </w:tcPr>
          <w:p w14:paraId="79B65F50" w14:textId="77777777" w:rsidR="00231E6F" w:rsidRDefault="00231E6F" w:rsidP="00F36C50">
            <w:pPr>
              <w:pStyle w:val="TableRowNormal"/>
              <w:jc w:val="left"/>
              <w:rPr>
                <w:rFonts w:cstheme="minorHAnsi"/>
              </w:rPr>
            </w:pPr>
            <w:r>
              <w:rPr>
                <w:rFonts w:cstheme="minorHAnsi"/>
              </w:rPr>
              <w:t>Norfolk Island</w:t>
            </w:r>
          </w:p>
        </w:tc>
      </w:tr>
      <w:tr w:rsidR="00231E6F" w:rsidRPr="004537EA" w14:paraId="7E85C05D" w14:textId="77777777" w:rsidTr="00175351">
        <w:tc>
          <w:tcPr>
            <w:tcW w:w="1138" w:type="pct"/>
            <w:vAlign w:val="bottom"/>
          </w:tcPr>
          <w:p w14:paraId="3F76B228" w14:textId="77777777" w:rsidR="00231E6F" w:rsidRDefault="00231E6F" w:rsidP="00F36C50">
            <w:pPr>
              <w:pStyle w:val="CGCTableStub"/>
              <w:rPr>
                <w:rFonts w:cstheme="minorHAnsi"/>
              </w:rPr>
            </w:pPr>
            <w:r>
              <w:rPr>
                <w:rFonts w:cstheme="minorHAnsi"/>
              </w:rPr>
              <w:t>NICS</w:t>
            </w:r>
          </w:p>
        </w:tc>
        <w:tc>
          <w:tcPr>
            <w:tcW w:w="3862" w:type="pct"/>
            <w:vAlign w:val="bottom"/>
          </w:tcPr>
          <w:p w14:paraId="479D745C" w14:textId="77777777" w:rsidR="00231E6F" w:rsidRDefault="00231E6F" w:rsidP="00F36C50">
            <w:pPr>
              <w:pStyle w:val="TableRowNormal"/>
              <w:jc w:val="left"/>
              <w:rPr>
                <w:rFonts w:cstheme="minorHAnsi"/>
              </w:rPr>
            </w:pPr>
            <w:r>
              <w:rPr>
                <w:rFonts w:cstheme="minorHAnsi"/>
              </w:rPr>
              <w:t>Norfolk Island Central School</w:t>
            </w:r>
          </w:p>
        </w:tc>
      </w:tr>
      <w:tr w:rsidR="00231E6F" w:rsidRPr="004537EA" w14:paraId="03486513" w14:textId="77777777" w:rsidTr="00175351">
        <w:tc>
          <w:tcPr>
            <w:tcW w:w="1138" w:type="pct"/>
            <w:vAlign w:val="bottom"/>
          </w:tcPr>
          <w:p w14:paraId="6C31B2E8" w14:textId="77777777" w:rsidR="00231E6F" w:rsidRDefault="00231E6F" w:rsidP="00F36C50">
            <w:pPr>
              <w:pStyle w:val="CGCTableStub"/>
              <w:rPr>
                <w:rFonts w:cstheme="minorHAnsi"/>
              </w:rPr>
            </w:pPr>
            <w:r>
              <w:rPr>
                <w:rFonts w:cstheme="minorHAnsi"/>
              </w:rPr>
              <w:t>NIHRACS</w:t>
            </w:r>
          </w:p>
        </w:tc>
        <w:tc>
          <w:tcPr>
            <w:tcW w:w="3862" w:type="pct"/>
            <w:vAlign w:val="bottom"/>
          </w:tcPr>
          <w:p w14:paraId="49A969B0" w14:textId="77777777" w:rsidR="00231E6F" w:rsidRDefault="00231E6F" w:rsidP="00F36C50">
            <w:pPr>
              <w:pStyle w:val="TableRowNormal"/>
              <w:jc w:val="left"/>
              <w:rPr>
                <w:rFonts w:cstheme="minorHAnsi"/>
              </w:rPr>
            </w:pPr>
            <w:r>
              <w:rPr>
                <w:rFonts w:cstheme="minorHAnsi"/>
              </w:rPr>
              <w:t>Norfolk Island Health and Residential Aged Care Service</w:t>
            </w:r>
          </w:p>
        </w:tc>
      </w:tr>
      <w:tr w:rsidR="00231E6F" w:rsidRPr="004537EA" w14:paraId="77B1F583" w14:textId="77777777" w:rsidTr="00175351">
        <w:tc>
          <w:tcPr>
            <w:tcW w:w="1138" w:type="pct"/>
            <w:vAlign w:val="bottom"/>
          </w:tcPr>
          <w:p w14:paraId="0B5A3F1B" w14:textId="77777777" w:rsidR="00231E6F" w:rsidRDefault="00231E6F" w:rsidP="00F36C50">
            <w:pPr>
              <w:pStyle w:val="CGCTableStub"/>
              <w:rPr>
                <w:rFonts w:cstheme="minorHAnsi"/>
              </w:rPr>
            </w:pPr>
            <w:r>
              <w:rPr>
                <w:rFonts w:cstheme="minorHAnsi"/>
              </w:rPr>
              <w:t>NIPTAAS</w:t>
            </w:r>
          </w:p>
        </w:tc>
        <w:tc>
          <w:tcPr>
            <w:tcW w:w="3862" w:type="pct"/>
            <w:vAlign w:val="bottom"/>
          </w:tcPr>
          <w:p w14:paraId="2033A0F1" w14:textId="77777777" w:rsidR="00231E6F" w:rsidRDefault="00231E6F" w:rsidP="00F36C50">
            <w:pPr>
              <w:pStyle w:val="TableRowNormal"/>
              <w:jc w:val="left"/>
              <w:rPr>
                <w:rFonts w:cstheme="minorHAnsi"/>
              </w:rPr>
            </w:pPr>
            <w:r w:rsidRPr="00042068">
              <w:t>Norfolk Island Patients’ Travel Accommodation and Assistance Scheme</w:t>
            </w:r>
          </w:p>
        </w:tc>
      </w:tr>
      <w:tr w:rsidR="00231E6F" w:rsidRPr="004537EA" w14:paraId="30FFC7EC" w14:textId="77777777" w:rsidTr="00175351">
        <w:tc>
          <w:tcPr>
            <w:tcW w:w="1138" w:type="pct"/>
            <w:vAlign w:val="bottom"/>
          </w:tcPr>
          <w:p w14:paraId="0124877C" w14:textId="77777777" w:rsidR="00231E6F" w:rsidRDefault="00231E6F" w:rsidP="00F36C50">
            <w:pPr>
              <w:pStyle w:val="CGCTableStub"/>
              <w:rPr>
                <w:rFonts w:cstheme="minorHAnsi"/>
              </w:rPr>
            </w:pPr>
            <w:r>
              <w:rPr>
                <w:rFonts w:cstheme="minorHAnsi"/>
              </w:rPr>
              <w:t>NIRC</w:t>
            </w:r>
          </w:p>
        </w:tc>
        <w:tc>
          <w:tcPr>
            <w:tcW w:w="3862" w:type="pct"/>
            <w:vAlign w:val="bottom"/>
          </w:tcPr>
          <w:p w14:paraId="716E56AB" w14:textId="77777777" w:rsidR="00231E6F" w:rsidRDefault="00231E6F" w:rsidP="00F36C50">
            <w:pPr>
              <w:pStyle w:val="TableRowNormal"/>
              <w:jc w:val="left"/>
              <w:rPr>
                <w:rFonts w:cstheme="minorHAnsi"/>
              </w:rPr>
            </w:pPr>
            <w:r>
              <w:rPr>
                <w:rFonts w:cstheme="minorHAnsi"/>
              </w:rPr>
              <w:t>Norfolk lsland Regional Council</w:t>
            </w:r>
          </w:p>
        </w:tc>
      </w:tr>
      <w:tr w:rsidR="00231E6F" w:rsidRPr="004537EA" w14:paraId="4F8071C1" w14:textId="77777777" w:rsidTr="00175351">
        <w:tc>
          <w:tcPr>
            <w:tcW w:w="1138" w:type="pct"/>
            <w:vAlign w:val="bottom"/>
          </w:tcPr>
          <w:p w14:paraId="5FA57A08" w14:textId="77777777" w:rsidR="00231E6F" w:rsidRDefault="00231E6F" w:rsidP="00F36C50">
            <w:pPr>
              <w:pStyle w:val="CGCTableStub"/>
              <w:rPr>
                <w:rFonts w:cstheme="minorHAnsi"/>
              </w:rPr>
            </w:pPr>
            <w:r>
              <w:rPr>
                <w:rFonts w:cstheme="minorHAnsi"/>
              </w:rPr>
              <w:t>NPP</w:t>
            </w:r>
          </w:p>
        </w:tc>
        <w:tc>
          <w:tcPr>
            <w:tcW w:w="3862" w:type="pct"/>
            <w:vAlign w:val="bottom"/>
          </w:tcPr>
          <w:p w14:paraId="6A4761D1" w14:textId="77777777" w:rsidR="00231E6F" w:rsidRDefault="00231E6F" w:rsidP="00F36C50">
            <w:pPr>
              <w:pStyle w:val="TableRowNormal"/>
              <w:jc w:val="left"/>
              <w:rPr>
                <w:rFonts w:cstheme="minorHAnsi"/>
              </w:rPr>
            </w:pPr>
            <w:r>
              <w:rPr>
                <w:rFonts w:cstheme="minorHAnsi"/>
              </w:rPr>
              <w:t>National Partnership Payment</w:t>
            </w:r>
          </w:p>
        </w:tc>
      </w:tr>
      <w:tr w:rsidR="00231E6F" w:rsidRPr="004537EA" w14:paraId="4AD9FFC3" w14:textId="77777777" w:rsidTr="00175351">
        <w:tc>
          <w:tcPr>
            <w:tcW w:w="1138" w:type="pct"/>
            <w:vAlign w:val="bottom"/>
          </w:tcPr>
          <w:p w14:paraId="0D98E95C" w14:textId="77777777" w:rsidR="00231E6F" w:rsidRDefault="00231E6F" w:rsidP="00F36C50">
            <w:pPr>
              <w:pStyle w:val="CGCTableStub"/>
              <w:rPr>
                <w:rFonts w:cstheme="minorHAnsi"/>
              </w:rPr>
            </w:pPr>
            <w:r>
              <w:rPr>
                <w:rFonts w:cstheme="minorHAnsi"/>
              </w:rPr>
              <w:t>NWAU</w:t>
            </w:r>
          </w:p>
        </w:tc>
        <w:tc>
          <w:tcPr>
            <w:tcW w:w="3862" w:type="pct"/>
            <w:vAlign w:val="bottom"/>
          </w:tcPr>
          <w:p w14:paraId="3E3D25A5" w14:textId="77777777" w:rsidR="00231E6F" w:rsidRDefault="00231E6F" w:rsidP="00F36C50">
            <w:pPr>
              <w:pStyle w:val="TableRowNormal"/>
              <w:jc w:val="left"/>
              <w:rPr>
                <w:rFonts w:cstheme="minorHAnsi"/>
              </w:rPr>
            </w:pPr>
            <w:r>
              <w:rPr>
                <w:rFonts w:cstheme="minorHAnsi"/>
              </w:rPr>
              <w:t>National Weighted Activity Unit</w:t>
            </w:r>
          </w:p>
        </w:tc>
      </w:tr>
      <w:tr w:rsidR="00231E6F" w:rsidRPr="004537EA" w14:paraId="140A95ED" w14:textId="77777777" w:rsidTr="00175351">
        <w:tc>
          <w:tcPr>
            <w:tcW w:w="1138" w:type="pct"/>
            <w:vAlign w:val="bottom"/>
          </w:tcPr>
          <w:p w14:paraId="2835A6FF" w14:textId="77777777" w:rsidR="00231E6F" w:rsidRDefault="00231E6F" w:rsidP="00F36C50">
            <w:pPr>
              <w:pStyle w:val="CGCTableStub"/>
              <w:rPr>
                <w:rFonts w:cstheme="minorHAnsi"/>
              </w:rPr>
            </w:pPr>
            <w:r>
              <w:rPr>
                <w:rFonts w:cstheme="minorHAnsi"/>
              </w:rPr>
              <w:t>PBS</w:t>
            </w:r>
          </w:p>
        </w:tc>
        <w:tc>
          <w:tcPr>
            <w:tcW w:w="3862" w:type="pct"/>
            <w:vAlign w:val="bottom"/>
          </w:tcPr>
          <w:p w14:paraId="2D543F3B" w14:textId="77777777" w:rsidR="00231E6F" w:rsidRDefault="00231E6F" w:rsidP="00F36C50">
            <w:pPr>
              <w:pStyle w:val="TableRowNormal"/>
              <w:jc w:val="left"/>
            </w:pPr>
            <w:r>
              <w:t>Pharmaceutical Benefits Scheme</w:t>
            </w:r>
          </w:p>
        </w:tc>
      </w:tr>
      <w:tr w:rsidR="00231E6F" w:rsidRPr="004537EA" w14:paraId="4479B581" w14:textId="77777777" w:rsidTr="00175351">
        <w:tc>
          <w:tcPr>
            <w:tcW w:w="1138" w:type="pct"/>
            <w:vAlign w:val="bottom"/>
          </w:tcPr>
          <w:p w14:paraId="75265041" w14:textId="77777777" w:rsidR="00231E6F" w:rsidRDefault="00231E6F" w:rsidP="00F36C50">
            <w:pPr>
              <w:pStyle w:val="CGCTableStub"/>
              <w:rPr>
                <w:rFonts w:cstheme="minorHAnsi"/>
              </w:rPr>
            </w:pPr>
            <w:r>
              <w:rPr>
                <w:rFonts w:cstheme="minorHAnsi"/>
              </w:rPr>
              <w:t>PNFC</w:t>
            </w:r>
          </w:p>
        </w:tc>
        <w:tc>
          <w:tcPr>
            <w:tcW w:w="3862" w:type="pct"/>
            <w:vAlign w:val="bottom"/>
          </w:tcPr>
          <w:p w14:paraId="59E1BF6E" w14:textId="77777777" w:rsidR="00231E6F" w:rsidRDefault="00231E6F" w:rsidP="00F36C50">
            <w:pPr>
              <w:pStyle w:val="TableRowNormal"/>
              <w:jc w:val="left"/>
              <w:rPr>
                <w:rFonts w:cstheme="minorHAnsi"/>
              </w:rPr>
            </w:pPr>
            <w:r>
              <w:t>Public Non-Financial Corporation</w:t>
            </w:r>
          </w:p>
        </w:tc>
      </w:tr>
      <w:tr w:rsidR="00231E6F" w:rsidRPr="004537EA" w14:paraId="20C736AF" w14:textId="77777777" w:rsidTr="00175351">
        <w:tc>
          <w:tcPr>
            <w:tcW w:w="1138" w:type="pct"/>
            <w:vAlign w:val="bottom"/>
          </w:tcPr>
          <w:p w14:paraId="0C34E7D7" w14:textId="77777777" w:rsidR="00231E6F" w:rsidRDefault="00231E6F" w:rsidP="00F36C50">
            <w:pPr>
              <w:pStyle w:val="CGCTableStub"/>
              <w:rPr>
                <w:rFonts w:cstheme="minorHAnsi"/>
              </w:rPr>
            </w:pPr>
            <w:r>
              <w:rPr>
                <w:rFonts w:cstheme="minorHAnsi"/>
              </w:rPr>
              <w:lastRenderedPageBreak/>
              <w:t>RTOs</w:t>
            </w:r>
          </w:p>
        </w:tc>
        <w:tc>
          <w:tcPr>
            <w:tcW w:w="3862" w:type="pct"/>
            <w:vAlign w:val="bottom"/>
          </w:tcPr>
          <w:p w14:paraId="64AECBA4" w14:textId="77777777" w:rsidR="00231E6F" w:rsidRDefault="00231E6F" w:rsidP="00F36C50">
            <w:pPr>
              <w:pStyle w:val="TableRowNormal"/>
              <w:jc w:val="left"/>
              <w:rPr>
                <w:rFonts w:cstheme="minorHAnsi"/>
              </w:rPr>
            </w:pPr>
            <w:r>
              <w:t>Registered Training Organisations</w:t>
            </w:r>
          </w:p>
        </w:tc>
      </w:tr>
      <w:tr w:rsidR="00231E6F" w:rsidRPr="004537EA" w14:paraId="78CC9D77" w14:textId="77777777" w:rsidTr="00175351">
        <w:tc>
          <w:tcPr>
            <w:tcW w:w="1138" w:type="pct"/>
            <w:vAlign w:val="bottom"/>
          </w:tcPr>
          <w:p w14:paraId="1589A4D4" w14:textId="77777777" w:rsidR="00231E6F" w:rsidRPr="004537EA" w:rsidRDefault="00231E6F" w:rsidP="00F36C50">
            <w:pPr>
              <w:pStyle w:val="CGCTableStub"/>
              <w:rPr>
                <w:rFonts w:cstheme="minorHAnsi"/>
              </w:rPr>
            </w:pPr>
            <w:r>
              <w:rPr>
                <w:rFonts w:cstheme="minorHAnsi"/>
              </w:rPr>
              <w:t>SDA</w:t>
            </w:r>
          </w:p>
        </w:tc>
        <w:tc>
          <w:tcPr>
            <w:tcW w:w="3862" w:type="pct"/>
            <w:vAlign w:val="bottom"/>
          </w:tcPr>
          <w:p w14:paraId="5C8516E8" w14:textId="77777777" w:rsidR="00231E6F" w:rsidRPr="004537EA" w:rsidRDefault="00231E6F" w:rsidP="00F36C50">
            <w:pPr>
              <w:pStyle w:val="TableRowNormal"/>
              <w:jc w:val="left"/>
              <w:rPr>
                <w:rFonts w:cstheme="minorHAnsi"/>
              </w:rPr>
            </w:pPr>
            <w:r>
              <w:rPr>
                <w:rFonts w:cstheme="minorHAnsi"/>
              </w:rPr>
              <w:t>Service Delivery Agreement</w:t>
            </w:r>
          </w:p>
        </w:tc>
      </w:tr>
      <w:tr w:rsidR="00231E6F" w:rsidRPr="004537EA" w14:paraId="690F23DA" w14:textId="77777777" w:rsidTr="00175351">
        <w:tc>
          <w:tcPr>
            <w:tcW w:w="1138" w:type="pct"/>
            <w:vAlign w:val="bottom"/>
          </w:tcPr>
          <w:p w14:paraId="5CC1E09B" w14:textId="77777777" w:rsidR="00231E6F" w:rsidRDefault="00231E6F" w:rsidP="00F36C50">
            <w:pPr>
              <w:pStyle w:val="CGCTableStub"/>
              <w:rPr>
                <w:rFonts w:cstheme="minorHAnsi"/>
              </w:rPr>
            </w:pPr>
            <w:r>
              <w:rPr>
                <w:rFonts w:cstheme="minorHAnsi"/>
              </w:rPr>
              <w:t>SDC</w:t>
            </w:r>
          </w:p>
        </w:tc>
        <w:tc>
          <w:tcPr>
            <w:tcW w:w="3862" w:type="pct"/>
            <w:vAlign w:val="bottom"/>
          </w:tcPr>
          <w:p w14:paraId="14D27640" w14:textId="77777777" w:rsidR="00231E6F" w:rsidRDefault="00231E6F" w:rsidP="00F36C50">
            <w:pPr>
              <w:pStyle w:val="TableRowNormal"/>
              <w:jc w:val="left"/>
              <w:rPr>
                <w:rFonts w:cstheme="minorHAnsi"/>
              </w:rPr>
            </w:pPr>
            <w:r>
              <w:rPr>
                <w:rFonts w:cstheme="minorHAnsi"/>
              </w:rPr>
              <w:t>Socio-demographic composition</w:t>
            </w:r>
          </w:p>
        </w:tc>
      </w:tr>
      <w:tr w:rsidR="00231E6F" w:rsidRPr="004537EA" w14:paraId="2E37FA0E" w14:textId="77777777" w:rsidTr="00175351">
        <w:tc>
          <w:tcPr>
            <w:tcW w:w="1138" w:type="pct"/>
            <w:vAlign w:val="bottom"/>
          </w:tcPr>
          <w:p w14:paraId="04DF61A7" w14:textId="77777777" w:rsidR="00231E6F" w:rsidRDefault="00231E6F" w:rsidP="00F36C50">
            <w:pPr>
              <w:pStyle w:val="CGCTableStub"/>
              <w:rPr>
                <w:rFonts w:cstheme="minorHAnsi"/>
              </w:rPr>
            </w:pPr>
            <w:r>
              <w:rPr>
                <w:rFonts w:cstheme="minorHAnsi"/>
              </w:rPr>
              <w:t>SES</w:t>
            </w:r>
          </w:p>
        </w:tc>
        <w:tc>
          <w:tcPr>
            <w:tcW w:w="3862" w:type="pct"/>
            <w:vAlign w:val="bottom"/>
          </w:tcPr>
          <w:p w14:paraId="08B1F606" w14:textId="77777777" w:rsidR="00231E6F" w:rsidRDefault="00231E6F" w:rsidP="00F36C50">
            <w:pPr>
              <w:pStyle w:val="TableRowNormal"/>
              <w:jc w:val="left"/>
              <w:rPr>
                <w:rFonts w:cstheme="minorHAnsi"/>
              </w:rPr>
            </w:pPr>
            <w:r>
              <w:rPr>
                <w:rFonts w:cstheme="minorHAnsi"/>
              </w:rPr>
              <w:t>Socio-economic status</w:t>
            </w:r>
          </w:p>
        </w:tc>
      </w:tr>
      <w:tr w:rsidR="00231E6F" w:rsidRPr="004537EA" w14:paraId="5FC2585E" w14:textId="77777777" w:rsidTr="00175351">
        <w:tc>
          <w:tcPr>
            <w:tcW w:w="1138" w:type="pct"/>
            <w:vAlign w:val="bottom"/>
          </w:tcPr>
          <w:p w14:paraId="3480B591" w14:textId="77777777" w:rsidR="00231E6F" w:rsidRDefault="00231E6F" w:rsidP="00F36C50">
            <w:pPr>
              <w:pStyle w:val="CGCTableStub"/>
              <w:rPr>
                <w:rFonts w:cstheme="minorHAnsi"/>
              </w:rPr>
            </w:pPr>
            <w:r>
              <w:rPr>
                <w:rFonts w:cstheme="minorHAnsi"/>
              </w:rPr>
              <w:t>SESLHD</w:t>
            </w:r>
          </w:p>
        </w:tc>
        <w:tc>
          <w:tcPr>
            <w:tcW w:w="3862" w:type="pct"/>
            <w:vAlign w:val="bottom"/>
          </w:tcPr>
          <w:p w14:paraId="48C24448" w14:textId="77777777" w:rsidR="00231E6F" w:rsidRDefault="00231E6F" w:rsidP="00F36C50">
            <w:pPr>
              <w:pStyle w:val="TableRowNormal"/>
              <w:jc w:val="left"/>
              <w:rPr>
                <w:rFonts w:cstheme="minorHAnsi"/>
              </w:rPr>
            </w:pPr>
            <w:r>
              <w:rPr>
                <w:rFonts w:cstheme="minorHAnsi"/>
              </w:rPr>
              <w:t>South East Sydney Local Health District</w:t>
            </w:r>
          </w:p>
        </w:tc>
      </w:tr>
      <w:tr w:rsidR="00231E6F" w:rsidRPr="004537EA" w14:paraId="1562BC99" w14:textId="77777777" w:rsidTr="00175351">
        <w:tc>
          <w:tcPr>
            <w:tcW w:w="1138" w:type="pct"/>
            <w:vAlign w:val="bottom"/>
          </w:tcPr>
          <w:p w14:paraId="3DC502AA" w14:textId="77777777" w:rsidR="00231E6F" w:rsidRDefault="00231E6F" w:rsidP="00F36C50">
            <w:pPr>
              <w:pStyle w:val="CGCTableStub"/>
              <w:rPr>
                <w:rFonts w:cstheme="minorHAnsi"/>
              </w:rPr>
            </w:pPr>
            <w:r>
              <w:rPr>
                <w:rFonts w:cstheme="minorHAnsi"/>
              </w:rPr>
              <w:t>TAFE</w:t>
            </w:r>
          </w:p>
        </w:tc>
        <w:tc>
          <w:tcPr>
            <w:tcW w:w="3862" w:type="pct"/>
            <w:vAlign w:val="bottom"/>
          </w:tcPr>
          <w:p w14:paraId="4A03F88B" w14:textId="77777777" w:rsidR="00231E6F" w:rsidRDefault="00231E6F" w:rsidP="00F36C50">
            <w:pPr>
              <w:pStyle w:val="TableRowNormal"/>
              <w:jc w:val="left"/>
              <w:rPr>
                <w:rFonts w:cstheme="minorHAnsi"/>
              </w:rPr>
            </w:pPr>
            <w:r>
              <w:rPr>
                <w:rFonts w:cstheme="minorHAnsi"/>
              </w:rPr>
              <w:t>Technical and Further Education</w:t>
            </w:r>
          </w:p>
        </w:tc>
      </w:tr>
      <w:tr w:rsidR="00231E6F" w:rsidRPr="004537EA" w14:paraId="402F90EC" w14:textId="77777777" w:rsidTr="00175351">
        <w:tc>
          <w:tcPr>
            <w:tcW w:w="1138" w:type="pct"/>
            <w:tcBorders>
              <w:bottom w:val="single" w:sz="6" w:space="0" w:color="auto"/>
            </w:tcBorders>
            <w:vAlign w:val="bottom"/>
          </w:tcPr>
          <w:p w14:paraId="07E9F3BB" w14:textId="77777777" w:rsidR="00231E6F" w:rsidRPr="004537EA" w:rsidRDefault="00231E6F" w:rsidP="00F36C50">
            <w:pPr>
              <w:pStyle w:val="CGCTableStub"/>
              <w:rPr>
                <w:rFonts w:cstheme="minorHAnsi"/>
              </w:rPr>
            </w:pPr>
          </w:p>
        </w:tc>
        <w:tc>
          <w:tcPr>
            <w:tcW w:w="3862" w:type="pct"/>
            <w:tcBorders>
              <w:bottom w:val="single" w:sz="6" w:space="0" w:color="auto"/>
            </w:tcBorders>
            <w:vAlign w:val="bottom"/>
          </w:tcPr>
          <w:p w14:paraId="3537FE9D" w14:textId="77777777" w:rsidR="00231E6F" w:rsidRPr="004537EA" w:rsidRDefault="00231E6F" w:rsidP="00F36C50">
            <w:pPr>
              <w:pStyle w:val="TableRowNormal"/>
              <w:jc w:val="left"/>
              <w:rPr>
                <w:rFonts w:cstheme="minorHAnsi"/>
              </w:rPr>
            </w:pPr>
          </w:p>
        </w:tc>
      </w:tr>
    </w:tbl>
    <w:p w14:paraId="7BD776F0" w14:textId="77777777" w:rsidR="00231E6F" w:rsidRDefault="00231E6F" w:rsidP="00231E6F"/>
    <w:p w14:paraId="13FAC0CA" w14:textId="77777777" w:rsidR="00863190" w:rsidRDefault="00863190" w:rsidP="00AD77C8">
      <w:pPr>
        <w:pStyle w:val="NoSpacing"/>
        <w:sectPr w:rsidR="00863190" w:rsidSect="00863190">
          <w:footerReference w:type="default" r:id="rId10"/>
          <w:footerReference w:type="first" r:id="rId11"/>
          <w:pgSz w:w="11899" w:h="16838" w:code="9"/>
          <w:pgMar w:top="1701" w:right="1474" w:bottom="1701" w:left="1474" w:header="709" w:footer="709" w:gutter="0"/>
          <w:pgNumType w:fmt="lowerRoman"/>
          <w:cols w:space="708"/>
          <w:docGrid w:linePitch="326"/>
        </w:sectPr>
      </w:pPr>
    </w:p>
    <w:p w14:paraId="15C2B291" w14:textId="77777777" w:rsidR="00A12C14" w:rsidRPr="00A12C14" w:rsidRDefault="00A12C14" w:rsidP="008C049D">
      <w:pPr>
        <w:pStyle w:val="Heading2"/>
      </w:pPr>
      <w:bookmarkStart w:id="79" w:name="_Toc17105566"/>
      <w:bookmarkStart w:id="80" w:name="_Toc19262880"/>
      <w:bookmarkStart w:id="81" w:name="_Toc23847425"/>
      <w:r w:rsidRPr="00A12C14">
        <w:lastRenderedPageBreak/>
        <w:t>OVERVIEW</w:t>
      </w:r>
      <w:bookmarkEnd w:id="79"/>
      <w:bookmarkEnd w:id="80"/>
      <w:bookmarkEnd w:id="81"/>
    </w:p>
    <w:p w14:paraId="69492C74" w14:textId="77777777" w:rsidR="00863190" w:rsidRDefault="00863190" w:rsidP="00863190">
      <w:pPr>
        <w:pStyle w:val="Heading3"/>
      </w:pPr>
      <w:bookmarkStart w:id="82" w:name="_Toc17105359"/>
      <w:bookmarkStart w:id="83" w:name="_Toc17105411"/>
      <w:bookmarkStart w:id="84" w:name="_Toc17105567"/>
      <w:bookmarkStart w:id="85" w:name="_Toc17380436"/>
      <w:bookmarkStart w:id="86" w:name="_Toc19262881"/>
      <w:bookmarkStart w:id="87" w:name="_Toc23847426"/>
      <w:r>
        <w:t>T</w:t>
      </w:r>
      <w:bookmarkEnd w:id="82"/>
      <w:bookmarkEnd w:id="83"/>
      <w:bookmarkEnd w:id="84"/>
      <w:bookmarkEnd w:id="85"/>
      <w:bookmarkEnd w:id="86"/>
      <w:r w:rsidR="009E175D">
        <w:t>ask</w:t>
      </w:r>
      <w:bookmarkEnd w:id="87"/>
    </w:p>
    <w:p w14:paraId="373B5ECB" w14:textId="77777777" w:rsidR="00863190" w:rsidRDefault="00863190" w:rsidP="00863190">
      <w:pPr>
        <w:pStyle w:val="CGCNumberedPara"/>
        <w:numPr>
          <w:ilvl w:val="1"/>
          <w:numId w:val="3"/>
        </w:numPr>
        <w:tabs>
          <w:tab w:val="clear" w:pos="567"/>
        </w:tabs>
      </w:pPr>
      <w:r>
        <w:t>The Department of Infrastructure,</w:t>
      </w:r>
      <w:r w:rsidR="009C1A7D">
        <w:t xml:space="preserve"> Transport, Cities and</w:t>
      </w:r>
      <w:r>
        <w:t xml:space="preserve"> Regional Development (</w:t>
      </w:r>
      <w:r w:rsidR="008F4885">
        <w:t>the Department</w:t>
      </w:r>
      <w:r>
        <w:t xml:space="preserve">) engaged Commonwealth Grants Commission staff to review the funding for Norfolk Island. </w:t>
      </w:r>
      <w:r w:rsidR="008F4885">
        <w:t>The Department</w:t>
      </w:r>
      <w:r>
        <w:t xml:space="preserve"> sought credible costing-related information to:</w:t>
      </w:r>
    </w:p>
    <w:p w14:paraId="7BB066DC" w14:textId="0B472E47" w:rsidR="00863190" w:rsidRDefault="00863190" w:rsidP="00863190">
      <w:pPr>
        <w:pStyle w:val="CGCBulletlist"/>
      </w:pPr>
      <w:r w:rsidRPr="00B464EB">
        <w:t xml:space="preserve">support </w:t>
      </w:r>
      <w:r>
        <w:t xml:space="preserve">its </w:t>
      </w:r>
      <w:r w:rsidRPr="00B464EB">
        <w:t xml:space="preserve">consideration of options for the provision of State-type and local government services, and </w:t>
      </w:r>
      <w:r>
        <w:t xml:space="preserve">for </w:t>
      </w:r>
      <w:r w:rsidR="001253B9">
        <w:t>S</w:t>
      </w:r>
      <w:r w:rsidRPr="00B464EB">
        <w:t xml:space="preserve">tate-type </w:t>
      </w:r>
      <w:r>
        <w:t>government business enterprises</w:t>
      </w:r>
    </w:p>
    <w:p w14:paraId="39671350" w14:textId="77777777" w:rsidR="00863190" w:rsidRDefault="00863190" w:rsidP="00863190">
      <w:pPr>
        <w:pStyle w:val="CGCBulletlist"/>
      </w:pPr>
      <w:r>
        <w:t xml:space="preserve">provide estimates of the annual expenditure, including infrastructure costs, required to provide these services, </w:t>
      </w:r>
      <w:r w:rsidR="001253B9">
        <w:t>by</w:t>
      </w:r>
      <w:r>
        <w:t xml:space="preserve"> reference to the services available in comparable communities </w:t>
      </w:r>
    </w:p>
    <w:p w14:paraId="425CB49C" w14:textId="77777777" w:rsidR="00863190" w:rsidRDefault="00863190" w:rsidP="00863190">
      <w:pPr>
        <w:pStyle w:val="CGCBulletlist"/>
      </w:pPr>
      <w:r>
        <w:t xml:space="preserve">identify the capacity of Norfolk Island to raise revenue from a range of taxes and charges </w:t>
      </w:r>
      <w:r w:rsidR="001253B9">
        <w:t>comparable to th</w:t>
      </w:r>
      <w:r w:rsidR="003D48DB">
        <w:t>ose</w:t>
      </w:r>
      <w:r w:rsidR="001253B9">
        <w:t xml:space="preserve"> </w:t>
      </w:r>
      <w:r>
        <w:t>levied by State and local governments, assuming it makes the average Australian revenue raising effort.</w:t>
      </w:r>
    </w:p>
    <w:p w14:paraId="7989A89F" w14:textId="77777777" w:rsidR="00863190" w:rsidRDefault="009E175D" w:rsidP="00863190">
      <w:pPr>
        <w:pStyle w:val="Heading3"/>
      </w:pPr>
      <w:bookmarkStart w:id="88" w:name="_Toc17105360"/>
      <w:bookmarkStart w:id="89" w:name="_Toc17105412"/>
      <w:bookmarkStart w:id="90" w:name="_Toc17105568"/>
      <w:bookmarkStart w:id="91" w:name="_Toc17380437"/>
      <w:bookmarkStart w:id="92" w:name="_Toc19262882"/>
      <w:bookmarkStart w:id="93" w:name="_Toc23847427"/>
      <w:r>
        <w:t>The C</w:t>
      </w:r>
      <w:r w:rsidR="00863190">
        <w:t xml:space="preserve">ommission’s </w:t>
      </w:r>
      <w:bookmarkEnd w:id="88"/>
      <w:bookmarkEnd w:id="89"/>
      <w:bookmarkEnd w:id="90"/>
      <w:bookmarkEnd w:id="91"/>
      <w:bookmarkEnd w:id="92"/>
      <w:r>
        <w:t>approach</w:t>
      </w:r>
      <w:bookmarkEnd w:id="93"/>
      <w:r w:rsidR="00863190">
        <w:t xml:space="preserve"> </w:t>
      </w:r>
    </w:p>
    <w:p w14:paraId="3116E7CE" w14:textId="77777777" w:rsidR="00863190" w:rsidRDefault="00E30EAD" w:rsidP="00863190">
      <w:pPr>
        <w:pStyle w:val="CGCNumberedPara"/>
        <w:numPr>
          <w:ilvl w:val="1"/>
          <w:numId w:val="3"/>
        </w:numPr>
        <w:tabs>
          <w:tab w:val="clear" w:pos="567"/>
        </w:tabs>
      </w:pPr>
      <w:r>
        <w:t xml:space="preserve">We undertook a desktop </w:t>
      </w:r>
      <w:r w:rsidR="00863190">
        <w:t xml:space="preserve">based inquiry using data and other information sourced from </w:t>
      </w:r>
      <w:r w:rsidR="008F4885">
        <w:t>the Department</w:t>
      </w:r>
      <w:r w:rsidR="00863190">
        <w:t>, the Norfolk Island Regional Council</w:t>
      </w:r>
      <w:r w:rsidR="004269D9">
        <w:t xml:space="preserve"> (NIRC)</w:t>
      </w:r>
      <w:r w:rsidR="00863190">
        <w:t xml:space="preserve"> and third party sources. </w:t>
      </w:r>
    </w:p>
    <w:p w14:paraId="56C7900B" w14:textId="77777777" w:rsidR="00863190" w:rsidRDefault="00863190" w:rsidP="00863190">
      <w:pPr>
        <w:pStyle w:val="CGCNumberedPara"/>
        <w:numPr>
          <w:ilvl w:val="1"/>
          <w:numId w:val="3"/>
        </w:numPr>
        <w:tabs>
          <w:tab w:val="clear" w:pos="567"/>
        </w:tabs>
      </w:pPr>
      <w:r>
        <w:t>The main steps in the inquiry were as follows.</w:t>
      </w:r>
    </w:p>
    <w:p w14:paraId="40EDD767" w14:textId="77777777" w:rsidR="00863190" w:rsidRDefault="00863190" w:rsidP="00863190">
      <w:pPr>
        <w:pStyle w:val="CGCBulletlist"/>
        <w:tabs>
          <w:tab w:val="clear" w:pos="927"/>
          <w:tab w:val="clear" w:pos="1134"/>
          <w:tab w:val="num" w:pos="851"/>
        </w:tabs>
        <w:ind w:left="851" w:hanging="284"/>
      </w:pPr>
      <w:r>
        <w:t>We review</w:t>
      </w:r>
      <w:r w:rsidR="001253B9">
        <w:t>ed the</w:t>
      </w:r>
      <w:r>
        <w:t xml:space="preserve"> service delivery </w:t>
      </w:r>
      <w:r w:rsidR="00E30EAD">
        <w:t xml:space="preserve">expenses </w:t>
      </w:r>
      <w:r>
        <w:t xml:space="preserve">and revenue raising activities on </w:t>
      </w:r>
      <w:r w:rsidR="004269D9">
        <w:t>Norfolk </w:t>
      </w:r>
      <w:r>
        <w:t>Island to develop an understanding of the circumstances of Norfolk Island and assist in identifying comparable Australian communities for costing purposes.</w:t>
      </w:r>
    </w:p>
    <w:p w14:paraId="7F6D6959" w14:textId="77777777" w:rsidR="00863190" w:rsidRDefault="001253B9" w:rsidP="00863190">
      <w:pPr>
        <w:pStyle w:val="CGCBulletlist"/>
        <w:tabs>
          <w:tab w:val="clear" w:pos="927"/>
          <w:tab w:val="clear" w:pos="1134"/>
          <w:tab w:val="num" w:pos="851"/>
        </w:tabs>
        <w:ind w:left="851" w:hanging="284"/>
      </w:pPr>
      <w:r>
        <w:t xml:space="preserve">We used that </w:t>
      </w:r>
      <w:r w:rsidR="00863190">
        <w:t xml:space="preserve">information </w:t>
      </w:r>
      <w:r>
        <w:t xml:space="preserve">to </w:t>
      </w:r>
      <w:r w:rsidR="00863190">
        <w:t xml:space="preserve">develop methods for estimating assessed expenses and revenue for all major State-type and local government services and revenues. </w:t>
      </w:r>
    </w:p>
    <w:p w14:paraId="236F80DB" w14:textId="77777777" w:rsidR="004269D9" w:rsidRDefault="00863190" w:rsidP="00654CA9">
      <w:pPr>
        <w:pStyle w:val="CGCSubbulletlist"/>
        <w:ind w:left="1418"/>
      </w:pPr>
      <w:r w:rsidRPr="000A55D4">
        <w:t>Assessed expen</w:t>
      </w:r>
      <w:r>
        <w:t>ses are</w:t>
      </w:r>
      <w:r w:rsidRPr="000A55D4">
        <w:t xml:space="preserve"> the</w:t>
      </w:r>
      <w:r w:rsidR="000D059E">
        <w:t xml:space="preserve"> cost of delivering</w:t>
      </w:r>
      <w:r>
        <w:t xml:space="preserve"> comparable S</w:t>
      </w:r>
      <w:r w:rsidRPr="000A55D4">
        <w:t>tate</w:t>
      </w:r>
      <w:r w:rsidRPr="000A55D4">
        <w:noBreakHyphen/>
        <w:t xml:space="preserve">type and local government services and infrastructure on Norfolk Island having regard to </w:t>
      </w:r>
      <w:r w:rsidR="00733467">
        <w:t xml:space="preserve">its </w:t>
      </w:r>
      <w:r w:rsidR="008056F0">
        <w:t>unique circumstances</w:t>
      </w:r>
      <w:r w:rsidR="00733467">
        <w:t>.</w:t>
      </w:r>
    </w:p>
    <w:p w14:paraId="07AF1F6A" w14:textId="77777777" w:rsidR="00863190" w:rsidRPr="000A55D4" w:rsidRDefault="00863190" w:rsidP="00654CA9">
      <w:pPr>
        <w:pStyle w:val="CGCSubbulletlist"/>
        <w:ind w:left="1418"/>
      </w:pPr>
      <w:r w:rsidRPr="000A55D4">
        <w:t>Assessed revenue is the amount that would be raised</w:t>
      </w:r>
      <w:r>
        <w:t xml:space="preserve"> from S</w:t>
      </w:r>
      <w:r w:rsidRPr="000A55D4">
        <w:t xml:space="preserve">tate-type and local </w:t>
      </w:r>
      <w:r w:rsidR="003D48DB">
        <w:t xml:space="preserve">government </w:t>
      </w:r>
      <w:r w:rsidRPr="000A55D4">
        <w:t>equivalent revenue bases if comparable Australian revenue raising efforts were made.</w:t>
      </w:r>
    </w:p>
    <w:p w14:paraId="6454CE6B" w14:textId="77777777" w:rsidR="00863190" w:rsidRDefault="00863190" w:rsidP="00863190">
      <w:pPr>
        <w:pStyle w:val="CGCNumberedPara"/>
        <w:numPr>
          <w:ilvl w:val="1"/>
          <w:numId w:val="3"/>
        </w:numPr>
      </w:pPr>
      <w:r>
        <w:t xml:space="preserve">The assessments of State-type expenses and revenues were based on the Commission’s latest methods where appropriate. The assessment of local government expenses and revenue used a mixture of methods, including those used by </w:t>
      </w:r>
      <w:r w:rsidR="003547F1">
        <w:t xml:space="preserve">the States’ </w:t>
      </w:r>
      <w:r>
        <w:t>Local Government Grants Commissions.</w:t>
      </w:r>
    </w:p>
    <w:p w14:paraId="247FBF75" w14:textId="77777777" w:rsidR="00863190" w:rsidRDefault="00863190" w:rsidP="00863190">
      <w:pPr>
        <w:pStyle w:val="CGCNumberedPara"/>
        <w:numPr>
          <w:ilvl w:val="1"/>
          <w:numId w:val="3"/>
        </w:numPr>
      </w:pPr>
      <w:r>
        <w:lastRenderedPageBreak/>
        <w:t xml:space="preserve">The assessments largely did not require actual expenditure and revenue data for Norfolk Island. Nevertheless, we collected this information to help build our understanding of </w:t>
      </w:r>
      <w:r w:rsidR="003547F1">
        <w:t>circumstances</w:t>
      </w:r>
      <w:r>
        <w:t xml:space="preserve"> and to </w:t>
      </w:r>
      <w:r w:rsidR="00605C6C">
        <w:t>double</w:t>
      </w:r>
      <w:r>
        <w:t xml:space="preserve"> check the assessed expenses and revenue. For example, if the assessed expenses differed markedly from the actual spending on Norfolk</w:t>
      </w:r>
      <w:r w:rsidR="00527A1B">
        <w:t xml:space="preserve"> Island</w:t>
      </w:r>
      <w:r>
        <w:t>, we:</w:t>
      </w:r>
    </w:p>
    <w:p w14:paraId="53E0A426" w14:textId="77777777" w:rsidR="00863190" w:rsidRPr="00E31BFB" w:rsidRDefault="00863190" w:rsidP="00E31BFB">
      <w:pPr>
        <w:pStyle w:val="CGCBulletlist"/>
      </w:pPr>
      <w:r>
        <w:t xml:space="preserve">considered </w:t>
      </w:r>
      <w:r w:rsidRPr="00E31BFB">
        <w:t xml:space="preserve">whether the current standard of services on Norfolk Island </w:t>
      </w:r>
      <w:r w:rsidR="007E31FB" w:rsidRPr="00E31BFB">
        <w:t>is similar to</w:t>
      </w:r>
      <w:r w:rsidRPr="00E31BFB">
        <w:t xml:space="preserve"> that in comparable communities, or whether the assessment method did not capture a cost advantage or disad</w:t>
      </w:r>
      <w:r w:rsidR="00733467">
        <w:t>vantage faced on Norfolk Island</w:t>
      </w:r>
    </w:p>
    <w:p w14:paraId="6C062BEE" w14:textId="77777777" w:rsidR="00863190" w:rsidRDefault="00863190" w:rsidP="00E31BFB">
      <w:pPr>
        <w:pStyle w:val="CGCBulletlist"/>
      </w:pPr>
      <w:r w:rsidRPr="00E31BFB">
        <w:t>sought to validate</w:t>
      </w:r>
      <w:r>
        <w:t xml:space="preserve"> our findings using comparisons with other communities facing similar circumstances to Norfolk Island (for example, King Island or the Indian Ocean Territories).</w:t>
      </w:r>
    </w:p>
    <w:p w14:paraId="43D03967" w14:textId="77777777" w:rsidR="00863190" w:rsidRDefault="00863190" w:rsidP="00863190">
      <w:pPr>
        <w:pStyle w:val="CGCNumberedPara"/>
        <w:numPr>
          <w:ilvl w:val="1"/>
          <w:numId w:val="3"/>
        </w:numPr>
      </w:pPr>
      <w:r>
        <w:t>The analysis focused only on 2017</w:t>
      </w:r>
      <w:r>
        <w:noBreakHyphen/>
        <w:t>18. Given the governance and administrative arrangements introduced in July 2016, the 2017</w:t>
      </w:r>
      <w:r>
        <w:noBreakHyphen/>
        <w:t xml:space="preserve">18 data were considered more reliable and reflective of Norfolk Island circumstances going forward. </w:t>
      </w:r>
    </w:p>
    <w:p w14:paraId="26370CA5" w14:textId="77777777" w:rsidR="00863190" w:rsidRDefault="009E175D" w:rsidP="00863190">
      <w:pPr>
        <w:pStyle w:val="Heading3"/>
      </w:pPr>
      <w:bookmarkStart w:id="94" w:name="_Toc17105361"/>
      <w:bookmarkStart w:id="95" w:name="_Toc17105413"/>
      <w:bookmarkStart w:id="96" w:name="_Toc17105569"/>
      <w:bookmarkStart w:id="97" w:name="_Toc17380438"/>
      <w:bookmarkStart w:id="98" w:name="_Toc19262883"/>
      <w:bookmarkStart w:id="99" w:name="_Toc23847428"/>
      <w:r>
        <w:t>Norfolk Island</w:t>
      </w:r>
      <w:r w:rsidR="00863190">
        <w:t xml:space="preserve"> circumstances</w:t>
      </w:r>
      <w:bookmarkEnd w:id="94"/>
      <w:bookmarkEnd w:id="95"/>
      <w:bookmarkEnd w:id="96"/>
      <w:bookmarkEnd w:id="97"/>
      <w:bookmarkEnd w:id="98"/>
      <w:bookmarkEnd w:id="99"/>
    </w:p>
    <w:p w14:paraId="28ECE2D2" w14:textId="77777777" w:rsidR="00863190" w:rsidRDefault="00863190" w:rsidP="00863190">
      <w:pPr>
        <w:pStyle w:val="Heading4"/>
      </w:pPr>
      <w:bookmarkStart w:id="100" w:name="_Toc17105362"/>
      <w:bookmarkStart w:id="101" w:name="_Toc17105414"/>
      <w:bookmarkStart w:id="102" w:name="_Toc17105570"/>
      <w:bookmarkStart w:id="103" w:name="_Toc17380439"/>
      <w:bookmarkStart w:id="104" w:name="_Toc19262884"/>
      <w:bookmarkStart w:id="105" w:name="_Toc23847429"/>
      <w:r>
        <w:t>Unique circumstances</w:t>
      </w:r>
      <w:bookmarkEnd w:id="100"/>
      <w:bookmarkEnd w:id="101"/>
      <w:bookmarkEnd w:id="102"/>
      <w:bookmarkEnd w:id="103"/>
      <w:bookmarkEnd w:id="104"/>
      <w:bookmarkEnd w:id="105"/>
    </w:p>
    <w:p w14:paraId="22C653B4" w14:textId="77777777" w:rsidR="00EC5AFF" w:rsidRDefault="00863190" w:rsidP="00863190">
      <w:pPr>
        <w:pStyle w:val="CGCNumberedPara"/>
        <w:numPr>
          <w:ilvl w:val="1"/>
          <w:numId w:val="3"/>
        </w:numPr>
      </w:pPr>
      <w:r>
        <w:t>The approach was to make calculations by reference to revenues raised and services provided in comparable communities and</w:t>
      </w:r>
      <w:r w:rsidR="00733467">
        <w:t xml:space="preserve"> make an</w:t>
      </w:r>
      <w:r>
        <w:t xml:space="preserve"> allow</w:t>
      </w:r>
      <w:r w:rsidR="00733467">
        <w:t>ance</w:t>
      </w:r>
      <w:r>
        <w:t xml:space="preserve"> for </w:t>
      </w:r>
      <w:r w:rsidR="00733467">
        <w:t xml:space="preserve">the specific </w:t>
      </w:r>
      <w:r>
        <w:t xml:space="preserve">circumstances of Norfolk Island. </w:t>
      </w:r>
      <w:r w:rsidR="00EC5AFF">
        <w:t xml:space="preserve">We considered Norfolk Island as comparable to small, very remote communities with relatively low </w:t>
      </w:r>
      <w:r w:rsidR="00DC125A">
        <w:t>Aboriginal and Torres Strait Islander</w:t>
      </w:r>
      <w:r w:rsidR="007E31FB">
        <w:t xml:space="preserve"> </w:t>
      </w:r>
      <w:r w:rsidR="00EC5AFF">
        <w:t>populations</w:t>
      </w:r>
      <w:r w:rsidR="00F61B5D">
        <w:t xml:space="preserve">. </w:t>
      </w:r>
    </w:p>
    <w:p w14:paraId="2D85E9D2" w14:textId="77777777" w:rsidR="00863190" w:rsidRDefault="00EC5AFF" w:rsidP="00863190">
      <w:pPr>
        <w:pStyle w:val="CGCNumberedPara"/>
        <w:numPr>
          <w:ilvl w:val="1"/>
          <w:numId w:val="3"/>
        </w:numPr>
      </w:pPr>
      <w:r>
        <w:t xml:space="preserve">Our assessed revenues and expenses were derived by </w:t>
      </w:r>
      <w:r w:rsidR="00863190">
        <w:t xml:space="preserve">establishing a base from the expenses and revenues in communities or regions where the major features are broadly comparable with those on Norfolk Island and </w:t>
      </w:r>
      <w:r>
        <w:t xml:space="preserve">then </w:t>
      </w:r>
      <w:r w:rsidR="00863190">
        <w:t xml:space="preserve">making adjustments to better recognise any special characteristics of Norfolk Island. </w:t>
      </w:r>
    </w:p>
    <w:p w14:paraId="0567F76F" w14:textId="77777777" w:rsidR="00863190" w:rsidRDefault="00863190" w:rsidP="00863190">
      <w:pPr>
        <w:pStyle w:val="CGCNumberedPara"/>
        <w:numPr>
          <w:ilvl w:val="1"/>
          <w:numId w:val="3"/>
        </w:numPr>
      </w:pPr>
      <w:r>
        <w:t xml:space="preserve">The </w:t>
      </w:r>
      <w:r w:rsidR="008056F0">
        <w:t>unique circumstances</w:t>
      </w:r>
      <w:r>
        <w:t xml:space="preserve"> that make Norfolk Island different from other communities in Australia, and which affect its financial capacity, include its:</w:t>
      </w:r>
    </w:p>
    <w:p w14:paraId="008BFE26" w14:textId="77777777" w:rsidR="00863190" w:rsidRPr="00E31BFB" w:rsidRDefault="00863190" w:rsidP="00E31BFB">
      <w:pPr>
        <w:pStyle w:val="CGCBulletlist"/>
      </w:pPr>
      <w:r w:rsidRPr="00E31BFB">
        <w:t>location including its remoteness, isolation and island status</w:t>
      </w:r>
    </w:p>
    <w:p w14:paraId="15A19A59" w14:textId="77777777" w:rsidR="00863190" w:rsidRPr="00E31BFB" w:rsidRDefault="00863190" w:rsidP="00E31BFB">
      <w:pPr>
        <w:pStyle w:val="CGCBulletlist"/>
      </w:pPr>
      <w:r w:rsidRPr="00E31BFB">
        <w:t>economy, including its narrow economic base with a strong reliance on tourism, the size of the potential tax bases, the number of tourists on the Island at any one time and its wage levels</w:t>
      </w:r>
    </w:p>
    <w:p w14:paraId="73AB180E" w14:textId="77777777" w:rsidR="00863190" w:rsidRPr="00E31BFB" w:rsidRDefault="00863190" w:rsidP="00E31BFB">
      <w:pPr>
        <w:pStyle w:val="CGCBulletlist"/>
      </w:pPr>
      <w:r w:rsidRPr="00E31BFB">
        <w:t>small size, which means many services are less able to achieve economies of scale</w:t>
      </w:r>
    </w:p>
    <w:p w14:paraId="05C6C09F" w14:textId="77777777" w:rsidR="00863190" w:rsidRPr="00E31BFB" w:rsidRDefault="00863190" w:rsidP="00E31BFB">
      <w:pPr>
        <w:pStyle w:val="CGCBulletlist"/>
      </w:pPr>
      <w:r w:rsidRPr="00E31BFB">
        <w:t>population characteristics including a relatively small working age population and a relatively large elderly population</w:t>
      </w:r>
    </w:p>
    <w:p w14:paraId="34D84271" w14:textId="77777777" w:rsidR="00863190" w:rsidRDefault="00863190" w:rsidP="00E31BFB">
      <w:pPr>
        <w:pStyle w:val="CGCBulletlist"/>
      </w:pPr>
      <w:r w:rsidRPr="00E31BFB">
        <w:t>governance</w:t>
      </w:r>
      <w:r w:rsidRPr="00B048BC">
        <w:t xml:space="preserve"> arrangements, which result in the need for special arrangements for the delivery of State-type services.</w:t>
      </w:r>
    </w:p>
    <w:p w14:paraId="6779C91B" w14:textId="77777777" w:rsidR="00863190" w:rsidRDefault="00863190" w:rsidP="00863190">
      <w:pPr>
        <w:pStyle w:val="CGCNumberedPara"/>
        <w:numPr>
          <w:ilvl w:val="1"/>
          <w:numId w:val="3"/>
        </w:numPr>
      </w:pPr>
      <w:r>
        <w:lastRenderedPageBreak/>
        <w:t xml:space="preserve">The assessments have taken into account these </w:t>
      </w:r>
      <w:r w:rsidR="008056F0">
        <w:t>unique circumstances</w:t>
      </w:r>
      <w:r>
        <w:t xml:space="preserve"> by:</w:t>
      </w:r>
    </w:p>
    <w:p w14:paraId="46250BC4" w14:textId="77777777" w:rsidR="00863190" w:rsidRPr="00E31BFB" w:rsidRDefault="00863190" w:rsidP="00E31BFB">
      <w:pPr>
        <w:pStyle w:val="CGCBulletlist"/>
      </w:pPr>
      <w:r>
        <w:t xml:space="preserve">taking into account the demographic and socio-economic status of the population and </w:t>
      </w:r>
      <w:r w:rsidRPr="00E31BFB">
        <w:t xml:space="preserve">service delivery arrangements </w:t>
      </w:r>
    </w:p>
    <w:p w14:paraId="16413AD1" w14:textId="77777777" w:rsidR="00863190" w:rsidRPr="00E31BFB" w:rsidRDefault="00863190" w:rsidP="00E31BFB">
      <w:pPr>
        <w:pStyle w:val="CGCBulletlist"/>
      </w:pPr>
      <w:r w:rsidRPr="00E31BFB">
        <w:t>allowing for the cost impact of remoteness and community size (or service delivery scale) by adding a range of cost factors that vary depending on the service or revenue under consideration and the available data</w:t>
      </w:r>
    </w:p>
    <w:p w14:paraId="5F7A2AE2" w14:textId="77777777" w:rsidR="00863190" w:rsidRPr="00E31BFB" w:rsidRDefault="00863190" w:rsidP="00E31BFB">
      <w:pPr>
        <w:pStyle w:val="CGCBulletlist"/>
      </w:pPr>
      <w:r w:rsidRPr="00E31BFB">
        <w:t>applying a 5% isolation allowance to the base costs for most services</w:t>
      </w:r>
      <w:r w:rsidR="00EC5AFF" w:rsidRPr="00E31BFB">
        <w:t xml:space="preserve"> to </w:t>
      </w:r>
      <w:r w:rsidR="00733467">
        <w:t>account</w:t>
      </w:r>
      <w:r w:rsidR="00EC5AFF" w:rsidRPr="00E31BFB">
        <w:t xml:space="preserve"> for additional costs arising from Norfolk’s isolated island status </w:t>
      </w:r>
      <w:r w:rsidR="00AF2250" w:rsidRPr="00E31BFB">
        <w:t>and which are not covered by the remoteness allowances</w:t>
      </w:r>
      <w:r w:rsidRPr="00E31BFB">
        <w:t xml:space="preserve">. The allowance was based on previous analysis of the extent to which transport, travel, communication and equipment costs were increased by </w:t>
      </w:r>
      <w:r w:rsidR="00AF2250" w:rsidRPr="00E31BFB">
        <w:t>Norfolk</w:t>
      </w:r>
      <w:r w:rsidR="000D059E" w:rsidRPr="00E31BFB">
        <w:t xml:space="preserve"> Island</w:t>
      </w:r>
      <w:r w:rsidR="00AF2250" w:rsidRPr="00E31BFB">
        <w:t>’s</w:t>
      </w:r>
      <w:r w:rsidRPr="00E31BFB">
        <w:t xml:space="preserve"> isolation</w:t>
      </w:r>
    </w:p>
    <w:p w14:paraId="6CCBFA76" w14:textId="77777777" w:rsidR="00863190" w:rsidRPr="00E31BFB" w:rsidRDefault="00863190" w:rsidP="00E31BFB">
      <w:pPr>
        <w:pStyle w:val="CGCBulletlist"/>
      </w:pPr>
      <w:r w:rsidRPr="00E31BFB">
        <w:t xml:space="preserve">adding a cost factor for the impact of tourists on the demand for </w:t>
      </w:r>
      <w:r w:rsidR="00AF2250" w:rsidRPr="00E31BFB">
        <w:t xml:space="preserve">some </w:t>
      </w:r>
      <w:r w:rsidRPr="00E31BFB">
        <w:t>services</w:t>
      </w:r>
    </w:p>
    <w:p w14:paraId="68548351" w14:textId="77777777" w:rsidR="00863190" w:rsidRDefault="00863190" w:rsidP="00E31BFB">
      <w:pPr>
        <w:pStyle w:val="CGCBulletlist"/>
      </w:pPr>
      <w:r w:rsidRPr="00E31BFB">
        <w:t>applying a</w:t>
      </w:r>
      <w:r>
        <w:t xml:space="preserve"> contract administration allowance of 10% in estimating assessed expenses of State-type services performed under the service delivery agreements.</w:t>
      </w:r>
    </w:p>
    <w:p w14:paraId="0D3E9D69" w14:textId="77777777" w:rsidR="00863190" w:rsidRPr="002336F2" w:rsidRDefault="00863190" w:rsidP="00863190">
      <w:pPr>
        <w:pStyle w:val="Heading4"/>
      </w:pPr>
      <w:bookmarkStart w:id="106" w:name="_Toc17105363"/>
      <w:bookmarkStart w:id="107" w:name="_Toc17105415"/>
      <w:bookmarkStart w:id="108" w:name="_Toc17105571"/>
      <w:bookmarkStart w:id="109" w:name="_Toc17380440"/>
      <w:bookmarkStart w:id="110" w:name="_Toc19262885"/>
      <w:bookmarkStart w:id="111" w:name="_Toc23847430"/>
      <w:r>
        <w:t>Governance and service delivery arrangements</w:t>
      </w:r>
      <w:bookmarkEnd w:id="106"/>
      <w:bookmarkEnd w:id="107"/>
      <w:bookmarkEnd w:id="108"/>
      <w:bookmarkEnd w:id="109"/>
      <w:bookmarkEnd w:id="110"/>
      <w:bookmarkEnd w:id="111"/>
    </w:p>
    <w:p w14:paraId="36297699" w14:textId="77777777" w:rsidR="00863190" w:rsidRDefault="00AF2250" w:rsidP="00863190">
      <w:pPr>
        <w:pStyle w:val="CGCNumberedPara"/>
        <w:numPr>
          <w:ilvl w:val="1"/>
          <w:numId w:val="3"/>
        </w:numPr>
        <w:tabs>
          <w:tab w:val="clear" w:pos="567"/>
        </w:tabs>
      </w:pPr>
      <w:r>
        <w:t xml:space="preserve">Our calculations reflected the current arrangements for </w:t>
      </w:r>
      <w:r w:rsidR="00863190">
        <w:t xml:space="preserve">service delivery </w:t>
      </w:r>
      <w:r>
        <w:t xml:space="preserve">on </w:t>
      </w:r>
      <w:r w:rsidR="00863190">
        <w:t>Norfolk Island</w:t>
      </w:r>
      <w:r>
        <w:t>. They include</w:t>
      </w:r>
      <w:r w:rsidR="00863190">
        <w:t>:</w:t>
      </w:r>
    </w:p>
    <w:p w14:paraId="6FB7A0EC" w14:textId="77777777" w:rsidR="00863190" w:rsidRPr="00E31BFB" w:rsidRDefault="00863190" w:rsidP="00E31BFB">
      <w:pPr>
        <w:pStyle w:val="CGCBulletlist"/>
      </w:pPr>
      <w:r w:rsidRPr="00E31BFB">
        <w:t>Commonwealth-type activities are delivered on Norfolk Island by the Australian Government agencies responsible for them in the rest of Australia</w:t>
      </w:r>
    </w:p>
    <w:p w14:paraId="72A579AA" w14:textId="77777777" w:rsidR="00863190" w:rsidRPr="00E31BFB" w:rsidRDefault="008F4885" w:rsidP="00E31BFB">
      <w:pPr>
        <w:pStyle w:val="CGCBulletlist"/>
      </w:pPr>
      <w:r>
        <w:t>The Department</w:t>
      </w:r>
      <w:r w:rsidR="00863190" w:rsidRPr="00E31BFB">
        <w:t xml:space="preserve"> has responsibility for State-type services through service delivery agreements whereby it funds the services delivered by a mix of mainland based and Norfolk Island-based service providers</w:t>
      </w:r>
    </w:p>
    <w:p w14:paraId="51395961" w14:textId="77777777" w:rsidR="00863190" w:rsidRDefault="004D2ED1" w:rsidP="00E31BFB">
      <w:pPr>
        <w:pStyle w:val="CGCBulletlist"/>
      </w:pPr>
      <w:r w:rsidRPr="00E31BFB">
        <w:t xml:space="preserve">NIRC </w:t>
      </w:r>
      <w:r w:rsidR="00863190" w:rsidRPr="00E31BFB">
        <w:t>is responsible for local government-type activities, but also provides some services that</w:t>
      </w:r>
      <w:r w:rsidR="00863190">
        <w:t xml:space="preserve"> are normally Commonwealth or State activities (such as telecommunications and electricity). </w:t>
      </w:r>
    </w:p>
    <w:p w14:paraId="2026CA5D" w14:textId="77777777" w:rsidR="00863190" w:rsidRDefault="00863190" w:rsidP="00863190">
      <w:pPr>
        <w:pStyle w:val="CGCNumberedPara"/>
        <w:numPr>
          <w:ilvl w:val="1"/>
          <w:numId w:val="3"/>
        </w:numPr>
        <w:tabs>
          <w:tab w:val="clear" w:pos="567"/>
        </w:tabs>
      </w:pPr>
      <w:r w:rsidRPr="0005064B">
        <w:t xml:space="preserve">We </w:t>
      </w:r>
      <w:r w:rsidR="007E31FB">
        <w:t xml:space="preserve">have </w:t>
      </w:r>
      <w:r>
        <w:t xml:space="preserve">excluded revenues and expenses related to activities on Norfolk Island </w:t>
      </w:r>
      <w:r w:rsidR="00AF2250">
        <w:t xml:space="preserve">that </w:t>
      </w:r>
      <w:r>
        <w:t xml:space="preserve">are a Commonwealth responsibility. These include </w:t>
      </w:r>
      <w:r w:rsidRPr="0005064B">
        <w:t>the Kingston and Arthur’s Vale Historic A</w:t>
      </w:r>
      <w:r>
        <w:t>rea</w:t>
      </w:r>
      <w:r w:rsidR="004421AA">
        <w:t xml:space="preserve"> (KAVHA)</w:t>
      </w:r>
      <w:r>
        <w:t xml:space="preserve"> World Heritage site, the</w:t>
      </w:r>
      <w:r w:rsidRPr="0005064B">
        <w:t xml:space="preserve"> National Park</w:t>
      </w:r>
      <w:r>
        <w:t xml:space="preserve">, airline and air freight subsidies and major capital works, such as the airport runway </w:t>
      </w:r>
      <w:r w:rsidR="007E31FB">
        <w:t>repaving</w:t>
      </w:r>
      <w:r>
        <w:t xml:space="preserve"> and jetty upgrades. The activities of Norfolk Island Telecom were also excluded from our analysis because telecommunications is normally a Commonwealth responsibility.</w:t>
      </w:r>
    </w:p>
    <w:p w14:paraId="0B2E0963" w14:textId="77777777" w:rsidR="00863190" w:rsidRDefault="00863190" w:rsidP="00863190">
      <w:pPr>
        <w:pStyle w:val="CGCNumberedPara"/>
        <w:numPr>
          <w:ilvl w:val="1"/>
          <w:numId w:val="3"/>
        </w:numPr>
        <w:tabs>
          <w:tab w:val="clear" w:pos="567"/>
        </w:tabs>
      </w:pPr>
      <w:r>
        <w:t xml:space="preserve">In those cases where </w:t>
      </w:r>
      <w:r w:rsidR="004D2ED1">
        <w:t xml:space="preserve">NIRC </w:t>
      </w:r>
      <w:r>
        <w:t xml:space="preserve">provides services that are normally a State service (for example, electricity generation and distribution) we included the relevant revenues and expenses in our analysis of State-type matters and excluded them from the local government analyses. We also treated some tourism expenses incurred by </w:t>
      </w:r>
      <w:r w:rsidR="004D2ED1">
        <w:t xml:space="preserve">NIRC as </w:t>
      </w:r>
      <w:r>
        <w:t>State-type expenses because responsibility for tourism is normally split between State and local governments</w:t>
      </w:r>
      <w:r w:rsidR="00F61B5D">
        <w:t xml:space="preserve">. </w:t>
      </w:r>
    </w:p>
    <w:p w14:paraId="002AC5E7" w14:textId="77777777" w:rsidR="00863190" w:rsidRDefault="00863190" w:rsidP="00863190">
      <w:pPr>
        <w:pStyle w:val="CGCNumberedPara"/>
        <w:numPr>
          <w:ilvl w:val="1"/>
          <w:numId w:val="3"/>
        </w:numPr>
        <w:tabs>
          <w:tab w:val="clear" w:pos="567"/>
        </w:tabs>
      </w:pPr>
      <w:r>
        <w:lastRenderedPageBreak/>
        <w:t xml:space="preserve">There </w:t>
      </w:r>
      <w:r w:rsidR="00AF2250">
        <w:t>are some</w:t>
      </w:r>
      <w:r>
        <w:t xml:space="preserve"> legacy State and local</w:t>
      </w:r>
      <w:r w:rsidR="00733467">
        <w:t xml:space="preserve"> </w:t>
      </w:r>
      <w:r>
        <w:t>government</w:t>
      </w:r>
      <w:r w:rsidR="00AF2250">
        <w:t>-</w:t>
      </w:r>
      <w:r>
        <w:t>type governm</w:t>
      </w:r>
      <w:r w:rsidR="00AF2250">
        <w:t xml:space="preserve">ent business enterprises on </w:t>
      </w:r>
      <w:r w:rsidR="009A18D1">
        <w:t>Norfolk</w:t>
      </w:r>
      <w:r w:rsidR="00AF2250">
        <w:t xml:space="preserve"> I</w:t>
      </w:r>
      <w:r>
        <w:t>sland. These include Norfolk Telecom, electricity generation and distribution, the airport, waste management</w:t>
      </w:r>
      <w:r w:rsidR="008C7B71">
        <w:t>,</w:t>
      </w:r>
      <w:r>
        <w:t xml:space="preserve"> wastewater</w:t>
      </w:r>
      <w:r w:rsidR="008C7B71">
        <w:t xml:space="preserve"> and the Liquor Bond</w:t>
      </w:r>
      <w:r>
        <w:t xml:space="preserve">. </w:t>
      </w:r>
      <w:r w:rsidR="00AF2250">
        <w:t>We have treated</w:t>
      </w:r>
      <w:r>
        <w:t>:</w:t>
      </w:r>
    </w:p>
    <w:p w14:paraId="03F6E578" w14:textId="77777777" w:rsidR="00863190" w:rsidRPr="00E31BFB" w:rsidRDefault="00863190" w:rsidP="00E31BFB">
      <w:pPr>
        <w:pStyle w:val="CGCBulletlist"/>
      </w:pPr>
      <w:r>
        <w:t xml:space="preserve">waste </w:t>
      </w:r>
      <w:r w:rsidR="009C451E">
        <w:t xml:space="preserve">management </w:t>
      </w:r>
      <w:r w:rsidR="008C7B71">
        <w:t xml:space="preserve">and the Liquor Bond </w:t>
      </w:r>
      <w:r>
        <w:t xml:space="preserve">as local </w:t>
      </w:r>
      <w:r w:rsidRPr="00E31BFB">
        <w:t>government functions and include</w:t>
      </w:r>
      <w:r w:rsidR="00AF2250" w:rsidRPr="00E31BFB">
        <w:t>d</w:t>
      </w:r>
      <w:r w:rsidRPr="00E31BFB">
        <w:t xml:space="preserve"> all revenues and expenses for these businesses in our assessments</w:t>
      </w:r>
    </w:p>
    <w:p w14:paraId="31CDE910" w14:textId="77777777" w:rsidR="00863190" w:rsidRPr="00E31BFB" w:rsidRDefault="00863190" w:rsidP="00E31BFB">
      <w:pPr>
        <w:pStyle w:val="CGCBulletlist"/>
      </w:pPr>
      <w:r w:rsidRPr="00E31BFB">
        <w:t>the airport as a local government function but only include</w:t>
      </w:r>
      <w:r w:rsidR="00AF2250" w:rsidRPr="00E31BFB">
        <w:t>d</w:t>
      </w:r>
      <w:r w:rsidRPr="00E31BFB">
        <w:t xml:space="preserve"> the net result for the airport in our assessments</w:t>
      </w:r>
    </w:p>
    <w:p w14:paraId="4372E310" w14:textId="77777777" w:rsidR="00863190" w:rsidRDefault="00863190" w:rsidP="00E31BFB">
      <w:pPr>
        <w:pStyle w:val="CGCBulletlist"/>
      </w:pPr>
      <w:r w:rsidRPr="00E31BFB">
        <w:t xml:space="preserve">electricity generation </w:t>
      </w:r>
      <w:r w:rsidR="003D48DB">
        <w:t>and</w:t>
      </w:r>
      <w:r w:rsidRPr="00E31BFB">
        <w:t xml:space="preserve"> distri</w:t>
      </w:r>
      <w:r w:rsidR="009A18D1">
        <w:t>bution</w:t>
      </w:r>
      <w:r w:rsidR="009C451E">
        <w:t>, water</w:t>
      </w:r>
      <w:r w:rsidR="009A18D1">
        <w:t xml:space="preserve"> </w:t>
      </w:r>
      <w:r w:rsidR="003D48DB">
        <w:t>and</w:t>
      </w:r>
      <w:r w:rsidR="009A18D1">
        <w:t xml:space="preserve"> wastewater as </w:t>
      </w:r>
      <w:r w:rsidRPr="00E31BFB">
        <w:t>State function</w:t>
      </w:r>
      <w:r w:rsidR="009A18D1">
        <w:t>s,</w:t>
      </w:r>
      <w:r w:rsidRPr="00E31BFB">
        <w:t xml:space="preserve"> </w:t>
      </w:r>
      <w:r w:rsidR="00AF2250" w:rsidRPr="00E31BFB">
        <w:t xml:space="preserve">but </w:t>
      </w:r>
      <w:r w:rsidR="00132689" w:rsidRPr="00E31BFB">
        <w:t xml:space="preserve">we </w:t>
      </w:r>
      <w:r w:rsidRPr="00E31BFB">
        <w:t>only consider</w:t>
      </w:r>
      <w:r w:rsidR="00AF2250" w:rsidRPr="00E31BFB">
        <w:t>ed</w:t>
      </w:r>
      <w:r w:rsidRPr="00E31BFB">
        <w:t xml:space="preserve"> the net subsidy</w:t>
      </w:r>
      <w:r>
        <w:t xml:space="preserve"> in our assessments</w:t>
      </w:r>
      <w:r w:rsidR="00132689">
        <w:t>, consistent with our approach for States</w:t>
      </w:r>
    </w:p>
    <w:p w14:paraId="297DC514" w14:textId="77777777" w:rsidR="00863190" w:rsidRDefault="00863190" w:rsidP="00863190">
      <w:pPr>
        <w:pStyle w:val="CGCBulletlist"/>
      </w:pPr>
      <w:r>
        <w:t xml:space="preserve">Norfolk </w:t>
      </w:r>
      <w:r w:rsidR="000D059E">
        <w:t>T</w:t>
      </w:r>
      <w:r>
        <w:t>elecom as out of scope as</w:t>
      </w:r>
      <w:r w:rsidR="000D059E">
        <w:t xml:space="preserve"> telecommunications</w:t>
      </w:r>
      <w:r>
        <w:t xml:space="preserve"> is a Commonwealth responsibility.</w:t>
      </w:r>
    </w:p>
    <w:p w14:paraId="58FE4D68" w14:textId="77777777" w:rsidR="00863190" w:rsidRDefault="00863190" w:rsidP="00863190">
      <w:pPr>
        <w:pStyle w:val="CGCNumberedPara"/>
        <w:numPr>
          <w:ilvl w:val="1"/>
          <w:numId w:val="3"/>
        </w:numPr>
      </w:pPr>
      <w:r>
        <w:t xml:space="preserve">Reflecting these service delivery arrangements, State services were classified into 11 functional groups: Schools, </w:t>
      </w:r>
      <w:r w:rsidR="00132689">
        <w:t>Post-secondary education</w:t>
      </w:r>
      <w:r>
        <w:t xml:space="preserve">, Health, Welfare, Housing, Justice, Services to communities, Roads, Transport, Services to industry and Other expenses. Many of those functional groups were split into sub-functions to facilitate the assessments. For example, health services were split into hospital services (on- and off-island), patient transport and community health. </w:t>
      </w:r>
    </w:p>
    <w:p w14:paraId="2EEC7103" w14:textId="77777777" w:rsidR="00863190" w:rsidRDefault="00863190" w:rsidP="00863190">
      <w:pPr>
        <w:pStyle w:val="CGCNumberedPara"/>
        <w:numPr>
          <w:ilvl w:val="1"/>
          <w:numId w:val="3"/>
        </w:numPr>
      </w:pPr>
      <w:r>
        <w:t>Local government services were classified into 11 functional groups: General administration; Health, housing and welfare; Law, order and public safety; Planning and community amenities; Environmental protection; Recreation and culture; Tourism; Roads and bridges; Depreciation; Debt charges and Other expenses</w:t>
      </w:r>
      <w:r w:rsidR="00F61B5D">
        <w:t xml:space="preserve">. </w:t>
      </w:r>
    </w:p>
    <w:p w14:paraId="3FB85EF3" w14:textId="77777777" w:rsidR="00863190" w:rsidRDefault="009A18D1" w:rsidP="00863190">
      <w:pPr>
        <w:pStyle w:val="Heading3"/>
      </w:pPr>
      <w:bookmarkStart w:id="112" w:name="_Toc17105364"/>
      <w:bookmarkStart w:id="113" w:name="_Toc17105416"/>
      <w:bookmarkStart w:id="114" w:name="_Toc17105572"/>
      <w:bookmarkStart w:id="115" w:name="_Toc17380441"/>
      <w:bookmarkStart w:id="116" w:name="_Toc19262886"/>
      <w:bookmarkStart w:id="117" w:name="_Toc23847431"/>
      <w:r>
        <w:t>revenue</w:t>
      </w:r>
      <w:r w:rsidR="00863190">
        <w:t xml:space="preserve"> and expense assessments and results</w:t>
      </w:r>
      <w:bookmarkEnd w:id="112"/>
      <w:bookmarkEnd w:id="113"/>
      <w:bookmarkEnd w:id="114"/>
      <w:bookmarkEnd w:id="115"/>
      <w:bookmarkEnd w:id="116"/>
      <w:bookmarkEnd w:id="117"/>
    </w:p>
    <w:p w14:paraId="1F1F6878" w14:textId="77777777" w:rsidR="00863190" w:rsidRDefault="00863190" w:rsidP="00863190">
      <w:pPr>
        <w:pStyle w:val="Heading4"/>
      </w:pPr>
      <w:bookmarkStart w:id="118" w:name="_Toc17105365"/>
      <w:bookmarkStart w:id="119" w:name="_Toc17105417"/>
      <w:bookmarkStart w:id="120" w:name="_Toc17105573"/>
      <w:bookmarkStart w:id="121" w:name="_Toc17380442"/>
      <w:bookmarkStart w:id="122" w:name="_Toc19262887"/>
      <w:bookmarkStart w:id="123" w:name="_Toc23847432"/>
      <w:r>
        <w:t>State-type revenues</w:t>
      </w:r>
      <w:bookmarkEnd w:id="118"/>
      <w:bookmarkEnd w:id="119"/>
      <w:bookmarkEnd w:id="120"/>
      <w:bookmarkEnd w:id="121"/>
      <w:bookmarkEnd w:id="122"/>
      <w:bookmarkEnd w:id="123"/>
    </w:p>
    <w:p w14:paraId="12F7956B" w14:textId="77777777" w:rsidR="00863190" w:rsidRDefault="00863190" w:rsidP="00863190">
      <w:pPr>
        <w:pStyle w:val="CGCNumberedPara"/>
        <w:numPr>
          <w:ilvl w:val="1"/>
          <w:numId w:val="3"/>
        </w:numPr>
        <w:tabs>
          <w:tab w:val="left" w:pos="567"/>
          <w:tab w:val="num" w:pos="1134"/>
        </w:tabs>
      </w:pPr>
      <w:r>
        <w:t xml:space="preserve">If comparable State-type revenue policies applied on Norfolk Island we </w:t>
      </w:r>
      <w:r w:rsidR="00F94FB2">
        <w:t xml:space="preserve">estimated </w:t>
      </w:r>
      <w:r>
        <w:t>$3.2 million or $1 824 per capita</w:t>
      </w:r>
      <w:r w:rsidR="00F94FB2">
        <w:t xml:space="preserve"> could have been raised</w:t>
      </w:r>
      <w:r>
        <w:t xml:space="preserve"> in 2017-18. This compares with average State revenue of $5 </w:t>
      </w:r>
      <w:r w:rsidR="007C2203">
        <w:t xml:space="preserve">107 </w:t>
      </w:r>
      <w:r>
        <w:t>per capita and actual Norfolk Island revenue of $1 335 per capita. The results indicate:</w:t>
      </w:r>
    </w:p>
    <w:p w14:paraId="3F2BEAD6" w14:textId="77777777" w:rsidR="00863190" w:rsidRPr="00E31BFB" w:rsidRDefault="00863190" w:rsidP="00E31BFB">
      <w:pPr>
        <w:pStyle w:val="CGCBulletlist"/>
      </w:pPr>
      <w:r w:rsidRPr="00E31BFB">
        <w:t xml:space="preserve">Norfolk Island’s capacity to raise State-type revenues is </w:t>
      </w:r>
      <w:r w:rsidR="00F94FB2" w:rsidRPr="00E31BFB">
        <w:t>well</w:t>
      </w:r>
      <w:r w:rsidRPr="00E31BFB">
        <w:t xml:space="preserve"> below that of comparable communities</w:t>
      </w:r>
    </w:p>
    <w:p w14:paraId="12DCD9BA" w14:textId="77777777" w:rsidR="00BC7FA1" w:rsidRDefault="006107EE" w:rsidP="001E1CD0">
      <w:pPr>
        <w:pStyle w:val="CGCBulletlist"/>
      </w:pPr>
      <w:r>
        <w:t xml:space="preserve">there is </w:t>
      </w:r>
      <w:r w:rsidR="00863190" w:rsidRPr="00E31BFB">
        <w:t>below aver</w:t>
      </w:r>
      <w:r w:rsidR="00863190">
        <w:t xml:space="preserve">age revenue raising effort </w:t>
      </w:r>
      <w:r>
        <w:t xml:space="preserve">for a </w:t>
      </w:r>
      <w:r w:rsidR="00863190">
        <w:t xml:space="preserve">number of State-type </w:t>
      </w:r>
      <w:r w:rsidR="00696906">
        <w:t xml:space="preserve">taxes and </w:t>
      </w:r>
      <w:r w:rsidR="003D48DB">
        <w:t xml:space="preserve">other </w:t>
      </w:r>
      <w:r w:rsidR="00863190">
        <w:t>revenue</w:t>
      </w:r>
      <w:r w:rsidR="003D48DB">
        <w:t>s</w:t>
      </w:r>
      <w:r w:rsidR="00863190">
        <w:t xml:space="preserve"> including motor tax, </w:t>
      </w:r>
      <w:r w:rsidR="00BC7FA1">
        <w:t>insurance tax and other revenue</w:t>
      </w:r>
    </w:p>
    <w:p w14:paraId="3D998113" w14:textId="6F6D9346" w:rsidR="001E1CD0" w:rsidRDefault="001E1CD0" w:rsidP="001E1CD0">
      <w:pPr>
        <w:pStyle w:val="CGCNumberedPara"/>
        <w:numPr>
          <w:ilvl w:val="1"/>
          <w:numId w:val="3"/>
        </w:numPr>
        <w:tabs>
          <w:tab w:val="left" w:pos="567"/>
          <w:tab w:val="num" w:pos="1134"/>
        </w:tabs>
      </w:pPr>
      <w:r>
        <w:t xml:space="preserve">The Commission </w:t>
      </w:r>
      <w:r w:rsidR="00A25811">
        <w:t xml:space="preserve">also </w:t>
      </w:r>
      <w:r>
        <w:t xml:space="preserve">compared Norfolk Island assessed revenues to those </w:t>
      </w:r>
      <w:r w:rsidR="00E24A60">
        <w:t>of t</w:t>
      </w:r>
      <w:r>
        <w:t>he Northern Territory, as this is the State</w:t>
      </w:r>
      <w:r w:rsidR="002A59A8">
        <w:t xml:space="preserve"> or territory</w:t>
      </w:r>
      <w:r>
        <w:t xml:space="preserve"> with the </w:t>
      </w:r>
      <w:r w:rsidR="00E24A60">
        <w:t xml:space="preserve">highest proportion of its population in </w:t>
      </w:r>
      <w:r>
        <w:t xml:space="preserve">remote areas. The Northern Territory’s assessed State-type revenues in </w:t>
      </w:r>
      <w:r>
        <w:lastRenderedPageBreak/>
        <w:t>2017-18 were $5 596 per capita, or about three times that of Norfolk Island</w:t>
      </w:r>
      <w:r w:rsidR="00E24A60">
        <w:t xml:space="preserve"> in per capita terms</w:t>
      </w:r>
      <w:r>
        <w:t xml:space="preserve">. </w:t>
      </w:r>
    </w:p>
    <w:p w14:paraId="44F97AD6" w14:textId="77777777" w:rsidR="00863190" w:rsidRDefault="00863190" w:rsidP="00863190">
      <w:pPr>
        <w:pStyle w:val="Heading4"/>
      </w:pPr>
      <w:bookmarkStart w:id="124" w:name="_Toc17105366"/>
      <w:bookmarkStart w:id="125" w:name="_Toc17105418"/>
      <w:bookmarkStart w:id="126" w:name="_Toc17105574"/>
      <w:bookmarkStart w:id="127" w:name="_Toc17380443"/>
      <w:bookmarkStart w:id="128" w:name="_Toc19262888"/>
      <w:bookmarkStart w:id="129" w:name="_Toc23847433"/>
      <w:r>
        <w:t>Local government-type revenues</w:t>
      </w:r>
      <w:bookmarkEnd w:id="124"/>
      <w:bookmarkEnd w:id="125"/>
      <w:bookmarkEnd w:id="126"/>
      <w:bookmarkEnd w:id="127"/>
      <w:bookmarkEnd w:id="128"/>
      <w:bookmarkEnd w:id="129"/>
    </w:p>
    <w:p w14:paraId="31EA41C7" w14:textId="77777777" w:rsidR="00863190" w:rsidRDefault="00863190" w:rsidP="00863190">
      <w:pPr>
        <w:pStyle w:val="CGCNumberedPara"/>
        <w:numPr>
          <w:ilvl w:val="1"/>
          <w:numId w:val="3"/>
        </w:numPr>
        <w:tabs>
          <w:tab w:val="clear" w:pos="567"/>
        </w:tabs>
      </w:pPr>
      <w:r>
        <w:t>If comparable local government-type policies applied on Norfolk Island, and it received the average amount of grants from Commonwealth and State governments, we estimate</w:t>
      </w:r>
      <w:r w:rsidR="00F94FB2">
        <w:t>d</w:t>
      </w:r>
      <w:r>
        <w:t xml:space="preserve"> it could have raise</w:t>
      </w:r>
      <w:r w:rsidR="00F94FB2">
        <w:t>d</w:t>
      </w:r>
      <w:r>
        <w:t xml:space="preserve"> $7.8 million or $4 460 per capita in 2017-18. This compares with average all-council revenue of $1 921 per capita and actual Norfolk Island revenue of $4 698 per capita. </w:t>
      </w:r>
      <w:r w:rsidR="00C41B96">
        <w:t>The results indicate:</w:t>
      </w:r>
    </w:p>
    <w:p w14:paraId="02EA4790" w14:textId="77777777" w:rsidR="00863190" w:rsidRPr="00E31BFB" w:rsidRDefault="00863190" w:rsidP="00E31BFB">
      <w:pPr>
        <w:pStyle w:val="CGCBulletlist"/>
      </w:pPr>
      <w:r>
        <w:t xml:space="preserve">Norfolk Island’s capacity to raise local government-type revenues is significantly above that of comparable communities due largely to its above average </w:t>
      </w:r>
      <w:r w:rsidR="003D48DB">
        <w:t xml:space="preserve">Commonwealth financial assistance </w:t>
      </w:r>
      <w:r>
        <w:t xml:space="preserve">grants and the </w:t>
      </w:r>
      <w:r w:rsidR="00466FF2" w:rsidRPr="00E31BFB">
        <w:t xml:space="preserve">substantial </w:t>
      </w:r>
      <w:r w:rsidRPr="00E31BFB">
        <w:t>net contribution from the Liquor Bond, which is a unique revenue source for</w:t>
      </w:r>
      <w:r w:rsidR="00E96382" w:rsidRPr="00E31BFB">
        <w:t xml:space="preserve"> NIRC</w:t>
      </w:r>
      <w:r w:rsidRPr="00E31BFB">
        <w:t>.</w:t>
      </w:r>
    </w:p>
    <w:p w14:paraId="70C811BD" w14:textId="77777777" w:rsidR="00863190" w:rsidRDefault="00F94FB2" w:rsidP="00E31BFB">
      <w:pPr>
        <w:pStyle w:val="CGCBulletlist"/>
      </w:pPr>
      <w:r w:rsidRPr="00E31BFB">
        <w:t>B</w:t>
      </w:r>
      <w:r w:rsidR="00863190" w:rsidRPr="00E31BFB">
        <w:t>elow average revenue</w:t>
      </w:r>
      <w:r w:rsidR="00863190">
        <w:t xml:space="preserve"> raising effort applies to most normal local government</w:t>
      </w:r>
      <w:r w:rsidR="00863190">
        <w:noBreakHyphen/>
        <w:t>type revenue bases</w:t>
      </w:r>
      <w:r>
        <w:t>,</w:t>
      </w:r>
      <w:r w:rsidR="00863190">
        <w:t xml:space="preserve"> including the municipal rates tax base.</w:t>
      </w:r>
    </w:p>
    <w:p w14:paraId="465D62DE" w14:textId="77777777" w:rsidR="00863190" w:rsidRDefault="00863190" w:rsidP="00863190">
      <w:pPr>
        <w:pStyle w:val="Heading4"/>
      </w:pPr>
      <w:bookmarkStart w:id="130" w:name="_Toc17105367"/>
      <w:bookmarkStart w:id="131" w:name="_Toc17105419"/>
      <w:bookmarkStart w:id="132" w:name="_Toc17105575"/>
      <w:bookmarkStart w:id="133" w:name="_Toc17380444"/>
      <w:bookmarkStart w:id="134" w:name="_Toc19262889"/>
      <w:bookmarkStart w:id="135" w:name="_Toc23847434"/>
      <w:r>
        <w:t xml:space="preserve">State-type </w:t>
      </w:r>
      <w:bookmarkEnd w:id="130"/>
      <w:bookmarkEnd w:id="131"/>
      <w:bookmarkEnd w:id="132"/>
      <w:bookmarkEnd w:id="133"/>
      <w:r w:rsidR="0037344B">
        <w:t>expenses</w:t>
      </w:r>
      <w:bookmarkEnd w:id="134"/>
      <w:bookmarkEnd w:id="135"/>
    </w:p>
    <w:p w14:paraId="07A6BC16" w14:textId="77777777" w:rsidR="00863190" w:rsidRDefault="00863190" w:rsidP="00863190">
      <w:pPr>
        <w:pStyle w:val="CGCNumberedPara"/>
        <w:numPr>
          <w:ilvl w:val="1"/>
          <w:numId w:val="3"/>
        </w:numPr>
      </w:pPr>
      <w:r>
        <w:t>The estimated expen</w:t>
      </w:r>
      <w:r w:rsidR="00F94FB2">
        <w:t>ses</w:t>
      </w:r>
      <w:r>
        <w:t xml:space="preserve"> required to provide comparable State-type services on Norfolk Island in 2017</w:t>
      </w:r>
      <w:r>
        <w:noBreakHyphen/>
        <w:t>18 is $32.</w:t>
      </w:r>
      <w:r w:rsidR="005D6580">
        <w:t>0 million or $18 241</w:t>
      </w:r>
      <w:r>
        <w:t xml:space="preserve"> per capita, which is </w:t>
      </w:r>
      <w:r w:rsidR="00103EA9">
        <w:t>more than double</w:t>
      </w:r>
      <w:r>
        <w:t xml:space="preserve"> the average level of State spending. The high level of assessed spending is mainly due to Norfolk</w:t>
      </w:r>
      <w:r w:rsidR="000D059E">
        <w:t xml:space="preserve"> Island</w:t>
      </w:r>
      <w:r>
        <w:t>’s remoteness</w:t>
      </w:r>
      <w:r w:rsidR="00F94FB2">
        <w:t xml:space="preserve"> and </w:t>
      </w:r>
      <w:r>
        <w:t xml:space="preserve">isolation from the mainland and </w:t>
      </w:r>
      <w:r w:rsidR="00F94FB2">
        <w:t xml:space="preserve">its </w:t>
      </w:r>
      <w:r>
        <w:t>small scale</w:t>
      </w:r>
      <w:r w:rsidR="00A732F1">
        <w:t>, which raises per capita service delivery costs</w:t>
      </w:r>
      <w:r>
        <w:t xml:space="preserve">. Those </w:t>
      </w:r>
      <w:r w:rsidR="008056F0">
        <w:t>unique circumstances</w:t>
      </w:r>
      <w:r>
        <w:t xml:space="preserve"> of Norfolk </w:t>
      </w:r>
      <w:r w:rsidR="00733467">
        <w:t xml:space="preserve">Island </w:t>
      </w:r>
      <w:r>
        <w:t xml:space="preserve">affect most services but especially schools, health, police and electricity. The </w:t>
      </w:r>
      <w:r w:rsidR="008F5F4A">
        <w:t xml:space="preserve">Commonwealth engages a range of providers to deliver services through </w:t>
      </w:r>
      <w:r>
        <w:t>service delivery agreements</w:t>
      </w:r>
      <w:r w:rsidR="008F5F4A">
        <w:t>, as it is not best placed to directly deliver State</w:t>
      </w:r>
      <w:r w:rsidR="003D48DB">
        <w:noBreakHyphen/>
      </w:r>
      <w:r w:rsidR="008F5F4A">
        <w:t xml:space="preserve">type services. Providers include </w:t>
      </w:r>
      <w:r w:rsidR="00D925CF">
        <w:t xml:space="preserve">the </w:t>
      </w:r>
      <w:r>
        <w:t>New South Wales</w:t>
      </w:r>
      <w:r w:rsidR="00D925CF">
        <w:t xml:space="preserve"> Government</w:t>
      </w:r>
      <w:r>
        <w:t xml:space="preserve">, </w:t>
      </w:r>
      <w:r w:rsidR="00E96382">
        <w:t>NIRC</w:t>
      </w:r>
      <w:r>
        <w:t>, the</w:t>
      </w:r>
      <w:r w:rsidR="00446B06">
        <w:t xml:space="preserve"> Australian Federal Police (</w:t>
      </w:r>
      <w:r>
        <w:t>AFP</w:t>
      </w:r>
      <w:r w:rsidR="00446B06">
        <w:t>)</w:t>
      </w:r>
      <w:r>
        <w:t xml:space="preserve"> or private contractors</w:t>
      </w:r>
      <w:r w:rsidR="008F5F4A">
        <w:t xml:space="preserve">. This arrangement </w:t>
      </w:r>
      <w:r>
        <w:t>further increases costs. In addition, we assessed above average per capita costs for tourism to allow Norfolk Island to provide services similar to those provided by the States on average.</w:t>
      </w:r>
    </w:p>
    <w:p w14:paraId="228A5EE0" w14:textId="77777777" w:rsidR="00863190" w:rsidRDefault="00863190" w:rsidP="00863190">
      <w:pPr>
        <w:pStyle w:val="CGCNumberedPara"/>
        <w:numPr>
          <w:ilvl w:val="1"/>
          <w:numId w:val="3"/>
        </w:numPr>
      </w:pPr>
      <w:r>
        <w:t>We found that total assessed and actual spending were about the same in 2017-18 ($32.</w:t>
      </w:r>
      <w:r w:rsidR="005D6580">
        <w:t>0 million and $33</w:t>
      </w:r>
      <w:r>
        <w:t>.</w:t>
      </w:r>
      <w:r w:rsidR="005D6580">
        <w:t>1</w:t>
      </w:r>
      <w:r>
        <w:t xml:space="preserve"> million). However, there are some large differences between assessed and actual spending for some services.</w:t>
      </w:r>
    </w:p>
    <w:p w14:paraId="31668AC5" w14:textId="77777777" w:rsidR="00863190" w:rsidRDefault="00863190" w:rsidP="00863190">
      <w:pPr>
        <w:pStyle w:val="CGCNumberedPara"/>
        <w:numPr>
          <w:ilvl w:val="1"/>
          <w:numId w:val="3"/>
        </w:numPr>
      </w:pPr>
      <w:r>
        <w:t xml:space="preserve">Some State-type services were not provided in 2017-18 including first home owner grants, </w:t>
      </w:r>
      <w:r w:rsidR="007C2203">
        <w:t>p</w:t>
      </w:r>
      <w:r w:rsidR="00466FF2">
        <w:t xml:space="preserve">ost-secondary </w:t>
      </w:r>
      <w:r w:rsidR="0076655B">
        <w:t>education</w:t>
      </w:r>
      <w:r>
        <w:t xml:space="preserve">, remote community electricity subsidies and State grants for local </w:t>
      </w:r>
      <w:r w:rsidR="00C565F2">
        <w:t>government</w:t>
      </w:r>
      <w:r>
        <w:t>.</w:t>
      </w:r>
      <w:r>
        <w:rPr>
          <w:rStyle w:val="FootnoteReference"/>
        </w:rPr>
        <w:footnoteReference w:id="1"/>
      </w:r>
      <w:r>
        <w:t xml:space="preserve">  The </w:t>
      </w:r>
      <w:r w:rsidR="00435CBF">
        <w:t>assessed</w:t>
      </w:r>
      <w:r>
        <w:t xml:space="preserve"> cost of providing </w:t>
      </w:r>
      <w:r w:rsidR="00FE62EA">
        <w:t xml:space="preserve">those services at </w:t>
      </w:r>
      <w:r>
        <w:lastRenderedPageBreak/>
        <w:t>comparable community s</w:t>
      </w:r>
      <w:r w:rsidR="00FE62EA">
        <w:t>tandards</w:t>
      </w:r>
      <w:r>
        <w:t xml:space="preserve"> on Norfolk Island </w:t>
      </w:r>
      <w:r w:rsidRPr="00DD0CED">
        <w:t>is $</w:t>
      </w:r>
      <w:r w:rsidR="00A135E2" w:rsidRPr="00DD0CED">
        <w:t>2.8</w:t>
      </w:r>
      <w:r w:rsidRPr="00DD0CED">
        <w:t> million</w:t>
      </w:r>
      <w:r w:rsidR="00733467" w:rsidRPr="00DD0CED">
        <w:t xml:space="preserve"> and</w:t>
      </w:r>
      <w:r w:rsidR="00733467">
        <w:t xml:space="preserve"> a</w:t>
      </w:r>
      <w:r>
        <w:t xml:space="preserve">bout half of this is for electricity subsidies. </w:t>
      </w:r>
    </w:p>
    <w:p w14:paraId="45E687C6" w14:textId="77777777" w:rsidR="00863190" w:rsidRDefault="00863190" w:rsidP="00863190">
      <w:pPr>
        <w:pStyle w:val="CGCNumberedPara"/>
        <w:numPr>
          <w:ilvl w:val="1"/>
          <w:numId w:val="3"/>
        </w:numPr>
      </w:pPr>
      <w:r w:rsidRPr="00753E12">
        <w:t xml:space="preserve">Compared with the 2011 report, assessed expenses have increased </w:t>
      </w:r>
      <w:r w:rsidR="00971A2C" w:rsidRPr="00753E12">
        <w:t>by 119% or $9 951</w:t>
      </w:r>
      <w:r w:rsidRPr="00753E12">
        <w:t xml:space="preserve"> per capita, </w:t>
      </w:r>
      <w:r w:rsidR="005E3291" w:rsidRPr="00753E12">
        <w:t xml:space="preserve">less </w:t>
      </w:r>
      <w:r w:rsidRPr="00753E12">
        <w:t xml:space="preserve">than the </w:t>
      </w:r>
      <w:r w:rsidR="00971A2C" w:rsidRPr="00753E12">
        <w:t>increase in actual expenses (244</w:t>
      </w:r>
      <w:r w:rsidRPr="00753E12">
        <w:t>% or $1</w:t>
      </w:r>
      <w:r w:rsidR="00971A2C" w:rsidRPr="00753E12">
        <w:t>3 37</w:t>
      </w:r>
      <w:r w:rsidRPr="00753E12">
        <w:t>0 per capita). Th</w:t>
      </w:r>
      <w:r w:rsidR="00FE62EA" w:rsidRPr="00753E12">
        <w:t>e faster increase in actual expenses is partly due to the higher wages now payable for some services</w:t>
      </w:r>
      <w:r w:rsidR="005E3291" w:rsidRPr="00753E12">
        <w:t>, but it also suggests</w:t>
      </w:r>
      <w:r w:rsidR="00CF435B" w:rsidRPr="00753E12">
        <w:t xml:space="preserve"> that</w:t>
      </w:r>
      <w:r w:rsidR="00FE62EA" w:rsidRPr="00753E12">
        <w:t xml:space="preserve"> </w:t>
      </w:r>
      <w:r w:rsidRPr="00753E12">
        <w:t xml:space="preserve">service levels </w:t>
      </w:r>
      <w:r w:rsidR="005E3291" w:rsidRPr="00753E12">
        <w:t xml:space="preserve">have increased </w:t>
      </w:r>
      <w:r w:rsidRPr="00753E12">
        <w:t>since 2009</w:t>
      </w:r>
      <w:r w:rsidRPr="00753E12">
        <w:noBreakHyphen/>
        <w:t>10.</w:t>
      </w:r>
    </w:p>
    <w:p w14:paraId="37F39976" w14:textId="0AE24B3A" w:rsidR="001E1CD0" w:rsidRPr="00753E12" w:rsidRDefault="001E1CD0" w:rsidP="00696906">
      <w:pPr>
        <w:pStyle w:val="CGCNumberedPara"/>
        <w:numPr>
          <w:ilvl w:val="1"/>
          <w:numId w:val="3"/>
        </w:numPr>
        <w:tabs>
          <w:tab w:val="left" w:pos="567"/>
          <w:tab w:val="num" w:pos="1134"/>
        </w:tabs>
      </w:pPr>
      <w:r>
        <w:t>The Commission also compared Norfolk Island’s assessed expenses to those raised by the Northern Territory, as this is the State</w:t>
      </w:r>
      <w:r w:rsidR="002A59A8">
        <w:t xml:space="preserve"> or territory</w:t>
      </w:r>
      <w:r>
        <w:t xml:space="preserve"> with the greatest level of remote areas. The Northern Territory’s assessed State-type expenses in 2017-18 were $20 604 per capita, or about 12% above those of Norfolk Island</w:t>
      </w:r>
      <w:r w:rsidR="00E24A60">
        <w:t xml:space="preserve"> in per capita terms</w:t>
      </w:r>
      <w:r>
        <w:t xml:space="preserve">. </w:t>
      </w:r>
    </w:p>
    <w:p w14:paraId="1753183D" w14:textId="77777777" w:rsidR="00863190" w:rsidRDefault="009A18D1" w:rsidP="00863190">
      <w:pPr>
        <w:pStyle w:val="Heading4"/>
      </w:pPr>
      <w:bookmarkStart w:id="136" w:name="_Toc17105368"/>
      <w:bookmarkStart w:id="137" w:name="_Toc17105420"/>
      <w:bookmarkStart w:id="138" w:name="_Toc17105576"/>
      <w:bookmarkStart w:id="139" w:name="_Toc17380445"/>
      <w:bookmarkStart w:id="140" w:name="_Toc19262890"/>
      <w:bookmarkStart w:id="141" w:name="_Toc23847435"/>
      <w:r>
        <w:t>Local government-</w:t>
      </w:r>
      <w:r w:rsidR="00863190">
        <w:t xml:space="preserve">type </w:t>
      </w:r>
      <w:bookmarkEnd w:id="136"/>
      <w:bookmarkEnd w:id="137"/>
      <w:bookmarkEnd w:id="138"/>
      <w:bookmarkEnd w:id="139"/>
      <w:r w:rsidR="0037344B">
        <w:t>expenses</w:t>
      </w:r>
      <w:bookmarkEnd w:id="140"/>
      <w:bookmarkEnd w:id="141"/>
    </w:p>
    <w:p w14:paraId="69D5A3DD" w14:textId="77777777" w:rsidR="00863190" w:rsidRDefault="00FE62EA" w:rsidP="00863190">
      <w:pPr>
        <w:pStyle w:val="CGCNumberedPara"/>
        <w:numPr>
          <w:ilvl w:val="1"/>
          <w:numId w:val="3"/>
        </w:numPr>
      </w:pPr>
      <w:r>
        <w:t>W</w:t>
      </w:r>
      <w:r w:rsidR="00863190">
        <w:t>e have estimated that Norfolk Island would need to</w:t>
      </w:r>
      <w:r w:rsidR="00971A2C">
        <w:t xml:space="preserve"> spend $3 168 per capita or $5.6</w:t>
      </w:r>
      <w:r w:rsidR="00863190">
        <w:t xml:space="preserve"> million in 2017-18 to deliver comparable local government services. The result is driven by above average </w:t>
      </w:r>
      <w:r>
        <w:t>costs</w:t>
      </w:r>
      <w:r w:rsidR="00863190">
        <w:t xml:space="preserve"> </w:t>
      </w:r>
      <w:r>
        <w:t>relative</w:t>
      </w:r>
      <w:r w:rsidR="00863190">
        <w:t xml:space="preserve"> to comparable communities in all areas except debt charges. The main factors affecting State service delivery expenses </w:t>
      </w:r>
      <w:r>
        <w:t xml:space="preserve">(remoteness, isolation from the mainland and diseconomies of small scale) </w:t>
      </w:r>
      <w:r w:rsidR="00863190">
        <w:t xml:space="preserve">also affect local government expenses. Assessed spending on tourism is also above that of comparable communities reflecting the importance of tourism to </w:t>
      </w:r>
      <w:r w:rsidR="009A18D1">
        <w:t>Norfolk Island’s</w:t>
      </w:r>
      <w:r w:rsidR="00863190">
        <w:t xml:space="preserve"> economy.</w:t>
      </w:r>
    </w:p>
    <w:p w14:paraId="43FC4EF8" w14:textId="77777777" w:rsidR="00863190" w:rsidRDefault="00863190" w:rsidP="00863190">
      <w:pPr>
        <w:pStyle w:val="CGCNumberedPara"/>
        <w:numPr>
          <w:ilvl w:val="1"/>
          <w:numId w:val="3"/>
        </w:numPr>
      </w:pPr>
      <w:r>
        <w:t>Norfolk Island’s actual spending on loca</w:t>
      </w:r>
      <w:r w:rsidR="00971A2C">
        <w:t>l government type-services is 26</w:t>
      </w:r>
      <w:r>
        <w:t xml:space="preserve">% above </w:t>
      </w:r>
      <w:r w:rsidR="0071254D">
        <w:t>our</w:t>
      </w:r>
      <w:r>
        <w:t xml:space="preserve"> assessed level of spending.</w:t>
      </w:r>
    </w:p>
    <w:p w14:paraId="416E5955" w14:textId="77777777" w:rsidR="00863190" w:rsidRDefault="00863190" w:rsidP="00863190">
      <w:pPr>
        <w:pStyle w:val="Heading4"/>
      </w:pPr>
      <w:bookmarkStart w:id="142" w:name="_Toc17105369"/>
      <w:bookmarkStart w:id="143" w:name="_Toc17105421"/>
      <w:bookmarkStart w:id="144" w:name="_Toc17105577"/>
      <w:bookmarkStart w:id="145" w:name="_Toc17380446"/>
      <w:bookmarkStart w:id="146" w:name="_Toc19262891"/>
      <w:bookmarkStart w:id="147" w:name="_Toc23847436"/>
      <w:r>
        <w:t>Overall results</w:t>
      </w:r>
      <w:bookmarkEnd w:id="142"/>
      <w:bookmarkEnd w:id="143"/>
      <w:bookmarkEnd w:id="144"/>
      <w:bookmarkEnd w:id="145"/>
      <w:bookmarkEnd w:id="146"/>
      <w:bookmarkEnd w:id="147"/>
    </w:p>
    <w:p w14:paraId="4165F888" w14:textId="50AF65E0" w:rsidR="00863190" w:rsidRDefault="00BF3913" w:rsidP="00863190">
      <w:pPr>
        <w:pStyle w:val="CGCNumberedPara"/>
        <w:numPr>
          <w:ilvl w:val="1"/>
          <w:numId w:val="3"/>
        </w:numPr>
        <w:tabs>
          <w:tab w:val="clear" w:pos="567"/>
        </w:tabs>
      </w:pPr>
      <w:r>
        <w:fldChar w:fldCharType="begin"/>
      </w:r>
      <w:r>
        <w:instrText xml:space="preserve"> REF _Ref22048691 \h </w:instrText>
      </w:r>
      <w:r>
        <w:fldChar w:fldCharType="separate"/>
      </w:r>
      <w:r w:rsidR="00DE7AA1">
        <w:t xml:space="preserve">Table </w:t>
      </w:r>
      <w:r w:rsidR="00DE7AA1">
        <w:rPr>
          <w:noProof/>
        </w:rPr>
        <w:t>1</w:t>
      </w:r>
      <w:r>
        <w:fldChar w:fldCharType="end"/>
      </w:r>
      <w:r>
        <w:t xml:space="preserve"> </w:t>
      </w:r>
      <w:r w:rsidR="00863190" w:rsidRPr="00CA6446">
        <w:t xml:space="preserve">compares </w:t>
      </w:r>
      <w:r w:rsidR="0071254D">
        <w:t>the amounts</w:t>
      </w:r>
      <w:r w:rsidR="00863190" w:rsidRPr="00CA6446">
        <w:t xml:space="preserve"> Norfolk Island </w:t>
      </w:r>
      <w:r w:rsidR="00863190">
        <w:t xml:space="preserve">actually </w:t>
      </w:r>
      <w:r w:rsidR="00863190" w:rsidRPr="00CA6446">
        <w:t xml:space="preserve">spent and raised in </w:t>
      </w:r>
      <w:r w:rsidR="00863190">
        <w:t>2017</w:t>
      </w:r>
      <w:r w:rsidR="00863190">
        <w:noBreakHyphen/>
        <w:t>18</w:t>
      </w:r>
      <w:r w:rsidR="00863190" w:rsidRPr="00CA6446">
        <w:t xml:space="preserve"> with what it would have spen</w:t>
      </w:r>
      <w:r w:rsidR="00863190">
        <w:t>t</w:t>
      </w:r>
      <w:r w:rsidR="00863190" w:rsidRPr="00CA6446">
        <w:t xml:space="preserve"> and raised if it operated like comparable communities. In </w:t>
      </w:r>
      <w:r w:rsidR="00863190">
        <w:t>2017</w:t>
      </w:r>
      <w:r w:rsidR="00863190">
        <w:noBreakHyphen/>
        <w:t>18</w:t>
      </w:r>
      <w:r w:rsidR="00863190" w:rsidRPr="00CA6446">
        <w:t xml:space="preserve">, there was a </w:t>
      </w:r>
      <w:r w:rsidR="00CD4EF0">
        <w:t>difference</w:t>
      </w:r>
      <w:r w:rsidR="00863190" w:rsidRPr="00CA6446">
        <w:t xml:space="preserve"> of $</w:t>
      </w:r>
      <w:r w:rsidR="00863190">
        <w:t xml:space="preserve">26.6 </w:t>
      </w:r>
      <w:r w:rsidR="00863190" w:rsidRPr="00CA6446">
        <w:t xml:space="preserve">million between the Norfolk Island State and local government </w:t>
      </w:r>
      <w:r w:rsidR="00863190">
        <w:t xml:space="preserve">assessed revenues and expenses. This is the net </w:t>
      </w:r>
      <w:r w:rsidR="00F968BA">
        <w:t xml:space="preserve">assistance </w:t>
      </w:r>
      <w:r w:rsidR="00863190">
        <w:t xml:space="preserve">needed to provide </w:t>
      </w:r>
      <w:r w:rsidR="00863190" w:rsidRPr="00CA6446">
        <w:t xml:space="preserve">comparable State and local government services at average levels of efficiency, </w:t>
      </w:r>
      <w:r w:rsidR="00863190">
        <w:t xml:space="preserve">if </w:t>
      </w:r>
      <w:r w:rsidR="00863190" w:rsidRPr="00CA6446">
        <w:t>comparable State and local government revenues</w:t>
      </w:r>
      <w:r w:rsidR="00863190">
        <w:t xml:space="preserve"> were raised. </w:t>
      </w:r>
    </w:p>
    <w:p w14:paraId="7FFC4D66" w14:textId="77777777" w:rsidR="00AC5597" w:rsidRDefault="00AC5597">
      <w:pPr>
        <w:tabs>
          <w:tab w:val="clear" w:pos="567"/>
        </w:tabs>
        <w:spacing w:after="200" w:line="276" w:lineRule="auto"/>
        <w:rPr>
          <w:b/>
          <w:bCs/>
          <w:szCs w:val="20"/>
        </w:rPr>
      </w:pPr>
      <w:r>
        <w:br w:type="page"/>
      </w:r>
    </w:p>
    <w:p w14:paraId="0D3233A6" w14:textId="7A6F6A9D" w:rsidR="00221335" w:rsidRDefault="00BF3913" w:rsidP="00BF3913">
      <w:pPr>
        <w:pStyle w:val="Caption"/>
      </w:pPr>
      <w:bookmarkStart w:id="148" w:name="_Ref22048691"/>
      <w:bookmarkStart w:id="149" w:name="_Ref21705573"/>
      <w:r>
        <w:lastRenderedPageBreak/>
        <w:t xml:space="preserve">Table </w:t>
      </w:r>
      <w:r w:rsidR="00150A14">
        <w:fldChar w:fldCharType="begin"/>
      </w:r>
      <w:r w:rsidR="00150A14">
        <w:instrText xml:space="preserve"> SEQ Table \* ARABIC </w:instrText>
      </w:r>
      <w:r w:rsidR="00150A14">
        <w:fldChar w:fldCharType="separate"/>
      </w:r>
      <w:r w:rsidR="00DE7AA1">
        <w:rPr>
          <w:noProof/>
        </w:rPr>
        <w:t>1</w:t>
      </w:r>
      <w:r w:rsidR="00150A14">
        <w:rPr>
          <w:noProof/>
        </w:rPr>
        <w:fldChar w:fldCharType="end"/>
      </w:r>
      <w:bookmarkEnd w:id="148"/>
      <w:r w:rsidR="00221335">
        <w:tab/>
        <w:t>Comparison of Norfolk Island revenue and expenses with assessed revenue and expenses, 2017-18</w:t>
      </w:r>
    </w:p>
    <w:tbl>
      <w:tblPr>
        <w:tblW w:w="8980" w:type="dxa"/>
        <w:tblLook w:val="04A0" w:firstRow="1" w:lastRow="0" w:firstColumn="1" w:lastColumn="0" w:noHBand="0" w:noVBand="1"/>
      </w:tblPr>
      <w:tblGrid>
        <w:gridCol w:w="1860"/>
        <w:gridCol w:w="2161"/>
        <w:gridCol w:w="1399"/>
        <w:gridCol w:w="2161"/>
        <w:gridCol w:w="1399"/>
      </w:tblGrid>
      <w:tr w:rsidR="00221335" w:rsidRPr="001824FD" w14:paraId="2BC0E7A1" w14:textId="77777777" w:rsidTr="00696906">
        <w:trPr>
          <w:trHeight w:val="555"/>
        </w:trPr>
        <w:tc>
          <w:tcPr>
            <w:tcW w:w="1860" w:type="dxa"/>
            <w:tcBorders>
              <w:top w:val="single" w:sz="4" w:space="0" w:color="auto"/>
              <w:left w:val="nil"/>
              <w:bottom w:val="single" w:sz="4" w:space="0" w:color="auto"/>
              <w:right w:val="nil"/>
            </w:tcBorders>
            <w:shd w:val="clear" w:color="auto" w:fill="auto"/>
            <w:noWrap/>
            <w:vAlign w:val="bottom"/>
            <w:hideMark/>
          </w:tcPr>
          <w:p w14:paraId="59F428DE" w14:textId="77777777" w:rsidR="00221335" w:rsidRPr="001824FD" w:rsidRDefault="00221335" w:rsidP="00696906">
            <w:pPr>
              <w:tabs>
                <w:tab w:val="clear" w:pos="567"/>
              </w:tabs>
              <w:spacing w:after="0" w:line="240" w:lineRule="auto"/>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 </w:t>
            </w:r>
          </w:p>
        </w:tc>
        <w:tc>
          <w:tcPr>
            <w:tcW w:w="3560" w:type="dxa"/>
            <w:gridSpan w:val="2"/>
            <w:tcBorders>
              <w:top w:val="single" w:sz="4" w:space="0" w:color="auto"/>
              <w:left w:val="nil"/>
              <w:bottom w:val="single" w:sz="4" w:space="0" w:color="auto"/>
              <w:right w:val="nil"/>
            </w:tcBorders>
            <w:shd w:val="clear" w:color="auto" w:fill="auto"/>
            <w:noWrap/>
            <w:vAlign w:val="center"/>
            <w:hideMark/>
          </w:tcPr>
          <w:p w14:paraId="06D0A405"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 xml:space="preserve">Norfolk Island </w:t>
            </w:r>
            <w:r>
              <w:rPr>
                <w:rFonts w:ascii="Calibri" w:eastAsia="Times New Roman" w:hAnsi="Calibri" w:cs="Calibri"/>
                <w:sz w:val="20"/>
                <w:szCs w:val="20"/>
                <w:lang w:eastAsia="en-AU"/>
              </w:rPr>
              <w:t>assessed</w:t>
            </w:r>
          </w:p>
        </w:tc>
        <w:tc>
          <w:tcPr>
            <w:tcW w:w="3560" w:type="dxa"/>
            <w:gridSpan w:val="2"/>
            <w:tcBorders>
              <w:top w:val="single" w:sz="4" w:space="0" w:color="auto"/>
              <w:left w:val="nil"/>
              <w:bottom w:val="single" w:sz="4" w:space="0" w:color="auto"/>
              <w:right w:val="nil"/>
            </w:tcBorders>
            <w:shd w:val="clear" w:color="auto" w:fill="auto"/>
            <w:noWrap/>
            <w:vAlign w:val="center"/>
            <w:hideMark/>
          </w:tcPr>
          <w:p w14:paraId="0D30FF5A"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 xml:space="preserve">Norfolk Island </w:t>
            </w:r>
            <w:r>
              <w:rPr>
                <w:rFonts w:ascii="Calibri" w:eastAsia="Times New Roman" w:hAnsi="Calibri" w:cs="Calibri"/>
                <w:sz w:val="20"/>
                <w:szCs w:val="20"/>
                <w:lang w:eastAsia="en-AU"/>
              </w:rPr>
              <w:t>actuals</w:t>
            </w:r>
          </w:p>
        </w:tc>
      </w:tr>
      <w:tr w:rsidR="00221335" w:rsidRPr="001824FD" w14:paraId="243851B6" w14:textId="77777777" w:rsidTr="00696906">
        <w:trPr>
          <w:trHeight w:val="259"/>
        </w:trPr>
        <w:tc>
          <w:tcPr>
            <w:tcW w:w="1860" w:type="dxa"/>
            <w:tcBorders>
              <w:top w:val="nil"/>
              <w:left w:val="nil"/>
              <w:bottom w:val="nil"/>
              <w:right w:val="nil"/>
            </w:tcBorders>
            <w:shd w:val="clear" w:color="auto" w:fill="auto"/>
            <w:noWrap/>
            <w:vAlign w:val="bottom"/>
            <w:hideMark/>
          </w:tcPr>
          <w:p w14:paraId="2282CD5A" w14:textId="77777777" w:rsidR="00221335" w:rsidRPr="001824FD" w:rsidRDefault="00221335" w:rsidP="00696906">
            <w:pPr>
              <w:tabs>
                <w:tab w:val="clear" w:pos="567"/>
              </w:tabs>
              <w:spacing w:after="0" w:line="240" w:lineRule="auto"/>
              <w:jc w:val="center"/>
              <w:rPr>
                <w:rFonts w:ascii="Calibri" w:eastAsia="Times New Roman" w:hAnsi="Calibri" w:cs="Calibri"/>
                <w:sz w:val="20"/>
                <w:szCs w:val="20"/>
                <w:lang w:eastAsia="en-AU"/>
              </w:rPr>
            </w:pPr>
          </w:p>
        </w:tc>
        <w:tc>
          <w:tcPr>
            <w:tcW w:w="2161" w:type="dxa"/>
            <w:tcBorders>
              <w:top w:val="nil"/>
              <w:left w:val="nil"/>
              <w:bottom w:val="nil"/>
              <w:right w:val="nil"/>
            </w:tcBorders>
            <w:shd w:val="clear" w:color="auto" w:fill="auto"/>
            <w:noWrap/>
            <w:vAlign w:val="center"/>
            <w:hideMark/>
          </w:tcPr>
          <w:p w14:paraId="0F0CC293"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$pc</w:t>
            </w:r>
          </w:p>
        </w:tc>
        <w:tc>
          <w:tcPr>
            <w:tcW w:w="1399" w:type="dxa"/>
            <w:tcBorders>
              <w:top w:val="nil"/>
              <w:left w:val="nil"/>
              <w:bottom w:val="nil"/>
              <w:right w:val="nil"/>
            </w:tcBorders>
            <w:shd w:val="clear" w:color="auto" w:fill="auto"/>
            <w:noWrap/>
            <w:vAlign w:val="center"/>
            <w:hideMark/>
          </w:tcPr>
          <w:p w14:paraId="779142D0"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$m</w:t>
            </w:r>
          </w:p>
        </w:tc>
        <w:tc>
          <w:tcPr>
            <w:tcW w:w="2161" w:type="dxa"/>
            <w:tcBorders>
              <w:top w:val="nil"/>
              <w:left w:val="nil"/>
              <w:bottom w:val="nil"/>
              <w:right w:val="nil"/>
            </w:tcBorders>
            <w:shd w:val="clear" w:color="auto" w:fill="auto"/>
            <w:noWrap/>
            <w:vAlign w:val="center"/>
            <w:hideMark/>
          </w:tcPr>
          <w:p w14:paraId="1ABD155C"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$pc</w:t>
            </w:r>
          </w:p>
        </w:tc>
        <w:tc>
          <w:tcPr>
            <w:tcW w:w="1399" w:type="dxa"/>
            <w:tcBorders>
              <w:top w:val="nil"/>
              <w:left w:val="nil"/>
              <w:bottom w:val="nil"/>
              <w:right w:val="nil"/>
            </w:tcBorders>
            <w:shd w:val="clear" w:color="auto" w:fill="auto"/>
            <w:noWrap/>
            <w:vAlign w:val="center"/>
            <w:hideMark/>
          </w:tcPr>
          <w:p w14:paraId="62E91E32"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$m</w:t>
            </w:r>
          </w:p>
        </w:tc>
      </w:tr>
      <w:tr w:rsidR="00221335" w:rsidRPr="001824FD" w14:paraId="5C884F0A" w14:textId="77777777" w:rsidTr="00696906">
        <w:trPr>
          <w:trHeight w:val="315"/>
        </w:trPr>
        <w:tc>
          <w:tcPr>
            <w:tcW w:w="1860" w:type="dxa"/>
            <w:tcBorders>
              <w:top w:val="nil"/>
              <w:left w:val="nil"/>
              <w:bottom w:val="nil"/>
              <w:right w:val="nil"/>
            </w:tcBorders>
            <w:shd w:val="clear" w:color="auto" w:fill="auto"/>
            <w:noWrap/>
            <w:vAlign w:val="bottom"/>
            <w:hideMark/>
          </w:tcPr>
          <w:p w14:paraId="1FA37C06" w14:textId="77777777" w:rsidR="00221335" w:rsidRPr="001824FD" w:rsidRDefault="00221335" w:rsidP="00696906">
            <w:pPr>
              <w:tabs>
                <w:tab w:val="clear" w:pos="567"/>
              </w:tabs>
              <w:spacing w:after="0" w:line="240" w:lineRule="auto"/>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Revenue</w:t>
            </w:r>
          </w:p>
        </w:tc>
        <w:tc>
          <w:tcPr>
            <w:tcW w:w="2161" w:type="dxa"/>
            <w:tcBorders>
              <w:top w:val="nil"/>
              <w:left w:val="nil"/>
              <w:bottom w:val="nil"/>
              <w:right w:val="nil"/>
            </w:tcBorders>
            <w:shd w:val="clear" w:color="auto" w:fill="auto"/>
            <w:noWrap/>
            <w:vAlign w:val="bottom"/>
            <w:hideMark/>
          </w:tcPr>
          <w:p w14:paraId="5DD9C1E7" w14:textId="77777777" w:rsidR="00221335" w:rsidRPr="001824FD" w:rsidRDefault="00221335" w:rsidP="00696906">
            <w:pPr>
              <w:tabs>
                <w:tab w:val="clear" w:pos="567"/>
              </w:tabs>
              <w:spacing w:after="0" w:line="240" w:lineRule="auto"/>
              <w:rPr>
                <w:rFonts w:ascii="Calibri" w:eastAsia="Times New Roman" w:hAnsi="Calibri" w:cs="Calibri"/>
                <w:sz w:val="20"/>
                <w:szCs w:val="20"/>
                <w:lang w:eastAsia="en-AU"/>
              </w:rPr>
            </w:pPr>
          </w:p>
        </w:tc>
        <w:tc>
          <w:tcPr>
            <w:tcW w:w="1399" w:type="dxa"/>
            <w:tcBorders>
              <w:top w:val="nil"/>
              <w:left w:val="nil"/>
              <w:bottom w:val="nil"/>
              <w:right w:val="nil"/>
            </w:tcBorders>
            <w:shd w:val="clear" w:color="auto" w:fill="auto"/>
            <w:noWrap/>
            <w:vAlign w:val="bottom"/>
            <w:hideMark/>
          </w:tcPr>
          <w:p w14:paraId="05F09EF3" w14:textId="77777777" w:rsidR="00221335" w:rsidRPr="001824FD" w:rsidRDefault="00221335" w:rsidP="00696906">
            <w:pPr>
              <w:tabs>
                <w:tab w:val="clear" w:pos="567"/>
              </w:tabs>
              <w:spacing w:after="0" w:line="240" w:lineRule="auto"/>
              <w:rPr>
                <w:rFonts w:ascii="Times New Roman" w:eastAsia="Times New Roman" w:hAnsi="Times New Roman" w:cs="Times New Roman"/>
                <w:sz w:val="20"/>
                <w:szCs w:val="20"/>
                <w:lang w:eastAsia="en-AU"/>
              </w:rPr>
            </w:pPr>
          </w:p>
        </w:tc>
        <w:tc>
          <w:tcPr>
            <w:tcW w:w="2161" w:type="dxa"/>
            <w:tcBorders>
              <w:top w:val="nil"/>
              <w:left w:val="nil"/>
              <w:bottom w:val="nil"/>
              <w:right w:val="nil"/>
            </w:tcBorders>
            <w:shd w:val="clear" w:color="auto" w:fill="auto"/>
            <w:noWrap/>
            <w:vAlign w:val="bottom"/>
            <w:hideMark/>
          </w:tcPr>
          <w:p w14:paraId="7B0E968F" w14:textId="77777777" w:rsidR="00221335" w:rsidRPr="001824FD" w:rsidRDefault="00221335" w:rsidP="00696906">
            <w:pPr>
              <w:tabs>
                <w:tab w:val="clear" w:pos="567"/>
              </w:tabs>
              <w:spacing w:after="0" w:line="240" w:lineRule="auto"/>
              <w:rPr>
                <w:rFonts w:ascii="Times New Roman" w:eastAsia="Times New Roman" w:hAnsi="Times New Roman" w:cs="Times New Roman"/>
                <w:sz w:val="20"/>
                <w:szCs w:val="20"/>
                <w:lang w:eastAsia="en-AU"/>
              </w:rPr>
            </w:pPr>
          </w:p>
        </w:tc>
        <w:tc>
          <w:tcPr>
            <w:tcW w:w="1399" w:type="dxa"/>
            <w:tcBorders>
              <w:top w:val="nil"/>
              <w:left w:val="nil"/>
              <w:bottom w:val="nil"/>
              <w:right w:val="nil"/>
            </w:tcBorders>
            <w:shd w:val="clear" w:color="auto" w:fill="auto"/>
            <w:noWrap/>
            <w:vAlign w:val="bottom"/>
            <w:hideMark/>
          </w:tcPr>
          <w:p w14:paraId="79B2D452" w14:textId="77777777" w:rsidR="00221335" w:rsidRPr="001824FD" w:rsidRDefault="00221335" w:rsidP="00696906">
            <w:pPr>
              <w:tabs>
                <w:tab w:val="clear" w:pos="567"/>
              </w:tabs>
              <w:spacing w:after="0" w:line="240" w:lineRule="auto"/>
              <w:rPr>
                <w:rFonts w:ascii="Times New Roman" w:eastAsia="Times New Roman" w:hAnsi="Times New Roman" w:cs="Times New Roman"/>
                <w:sz w:val="20"/>
                <w:szCs w:val="20"/>
                <w:lang w:eastAsia="en-AU"/>
              </w:rPr>
            </w:pPr>
          </w:p>
        </w:tc>
      </w:tr>
      <w:tr w:rsidR="00221335" w:rsidRPr="001824FD" w14:paraId="65058AEF" w14:textId="77777777" w:rsidTr="00696906">
        <w:trPr>
          <w:trHeight w:val="315"/>
        </w:trPr>
        <w:tc>
          <w:tcPr>
            <w:tcW w:w="1860" w:type="dxa"/>
            <w:tcBorders>
              <w:top w:val="nil"/>
              <w:left w:val="nil"/>
              <w:bottom w:val="nil"/>
              <w:right w:val="nil"/>
            </w:tcBorders>
            <w:shd w:val="clear" w:color="auto" w:fill="auto"/>
            <w:noWrap/>
            <w:vAlign w:val="bottom"/>
            <w:hideMark/>
          </w:tcPr>
          <w:p w14:paraId="744D1935" w14:textId="77777777" w:rsidR="00221335" w:rsidRPr="001824FD" w:rsidRDefault="00221335" w:rsidP="00696906">
            <w:pPr>
              <w:tabs>
                <w:tab w:val="clear" w:pos="567"/>
              </w:tabs>
              <w:spacing w:after="0" w:line="240" w:lineRule="auto"/>
              <w:ind w:firstLineChars="100" w:firstLine="200"/>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State</w:t>
            </w:r>
          </w:p>
        </w:tc>
        <w:tc>
          <w:tcPr>
            <w:tcW w:w="2161" w:type="dxa"/>
            <w:tcBorders>
              <w:top w:val="nil"/>
              <w:left w:val="nil"/>
              <w:bottom w:val="nil"/>
              <w:right w:val="nil"/>
            </w:tcBorders>
            <w:shd w:val="clear" w:color="auto" w:fill="auto"/>
            <w:noWrap/>
            <w:vAlign w:val="bottom"/>
          </w:tcPr>
          <w:p w14:paraId="4CCCF9A5"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1 824</w:t>
            </w:r>
          </w:p>
        </w:tc>
        <w:tc>
          <w:tcPr>
            <w:tcW w:w="1399" w:type="dxa"/>
            <w:tcBorders>
              <w:top w:val="nil"/>
              <w:left w:val="nil"/>
              <w:bottom w:val="nil"/>
              <w:right w:val="nil"/>
            </w:tcBorders>
            <w:shd w:val="clear" w:color="auto" w:fill="auto"/>
            <w:noWrap/>
            <w:vAlign w:val="bottom"/>
          </w:tcPr>
          <w:p w14:paraId="6E91FE4A"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3.2</w:t>
            </w:r>
          </w:p>
        </w:tc>
        <w:tc>
          <w:tcPr>
            <w:tcW w:w="2161" w:type="dxa"/>
            <w:tcBorders>
              <w:top w:val="nil"/>
              <w:left w:val="nil"/>
              <w:bottom w:val="nil"/>
              <w:right w:val="nil"/>
            </w:tcBorders>
            <w:shd w:val="clear" w:color="auto" w:fill="auto"/>
            <w:noWrap/>
            <w:vAlign w:val="bottom"/>
          </w:tcPr>
          <w:p w14:paraId="71D5446E"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1 335</w:t>
            </w:r>
          </w:p>
        </w:tc>
        <w:tc>
          <w:tcPr>
            <w:tcW w:w="1399" w:type="dxa"/>
            <w:tcBorders>
              <w:top w:val="nil"/>
              <w:left w:val="nil"/>
              <w:bottom w:val="nil"/>
              <w:right w:val="nil"/>
            </w:tcBorders>
            <w:shd w:val="clear" w:color="auto" w:fill="auto"/>
            <w:noWrap/>
            <w:vAlign w:val="bottom"/>
          </w:tcPr>
          <w:p w14:paraId="1DAF315D"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2.3</w:t>
            </w:r>
          </w:p>
        </w:tc>
      </w:tr>
      <w:tr w:rsidR="00221335" w:rsidRPr="001824FD" w14:paraId="543BA5ED" w14:textId="77777777" w:rsidTr="00696906">
        <w:trPr>
          <w:trHeight w:val="315"/>
        </w:trPr>
        <w:tc>
          <w:tcPr>
            <w:tcW w:w="1860" w:type="dxa"/>
            <w:tcBorders>
              <w:top w:val="nil"/>
              <w:left w:val="nil"/>
              <w:bottom w:val="nil"/>
              <w:right w:val="nil"/>
            </w:tcBorders>
            <w:shd w:val="clear" w:color="auto" w:fill="auto"/>
            <w:noWrap/>
            <w:vAlign w:val="bottom"/>
            <w:hideMark/>
          </w:tcPr>
          <w:p w14:paraId="20AFDDF9" w14:textId="77777777" w:rsidR="00221335" w:rsidRPr="001824FD" w:rsidRDefault="00221335" w:rsidP="00696906">
            <w:pPr>
              <w:tabs>
                <w:tab w:val="clear" w:pos="567"/>
              </w:tabs>
              <w:spacing w:after="0" w:line="240" w:lineRule="auto"/>
              <w:ind w:firstLineChars="100" w:firstLine="200"/>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Local</w:t>
            </w:r>
          </w:p>
        </w:tc>
        <w:tc>
          <w:tcPr>
            <w:tcW w:w="2161" w:type="dxa"/>
            <w:tcBorders>
              <w:top w:val="nil"/>
              <w:left w:val="nil"/>
              <w:bottom w:val="single" w:sz="4" w:space="0" w:color="auto"/>
              <w:right w:val="nil"/>
            </w:tcBorders>
            <w:shd w:val="clear" w:color="auto" w:fill="auto"/>
            <w:noWrap/>
            <w:vAlign w:val="bottom"/>
          </w:tcPr>
          <w:p w14:paraId="15E3698F"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4 460</w:t>
            </w:r>
          </w:p>
        </w:tc>
        <w:tc>
          <w:tcPr>
            <w:tcW w:w="1399" w:type="dxa"/>
            <w:tcBorders>
              <w:top w:val="nil"/>
              <w:left w:val="nil"/>
              <w:bottom w:val="single" w:sz="4" w:space="0" w:color="auto"/>
              <w:right w:val="nil"/>
            </w:tcBorders>
            <w:shd w:val="clear" w:color="auto" w:fill="auto"/>
            <w:noWrap/>
            <w:vAlign w:val="bottom"/>
          </w:tcPr>
          <w:p w14:paraId="50554D18"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7.8</w:t>
            </w:r>
          </w:p>
        </w:tc>
        <w:tc>
          <w:tcPr>
            <w:tcW w:w="2161" w:type="dxa"/>
            <w:tcBorders>
              <w:top w:val="nil"/>
              <w:left w:val="nil"/>
              <w:bottom w:val="single" w:sz="4" w:space="0" w:color="auto"/>
              <w:right w:val="nil"/>
            </w:tcBorders>
            <w:shd w:val="clear" w:color="auto" w:fill="auto"/>
            <w:noWrap/>
            <w:vAlign w:val="bottom"/>
          </w:tcPr>
          <w:p w14:paraId="737B69C2"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4 698</w:t>
            </w:r>
          </w:p>
        </w:tc>
        <w:tc>
          <w:tcPr>
            <w:tcW w:w="1399" w:type="dxa"/>
            <w:tcBorders>
              <w:top w:val="nil"/>
              <w:left w:val="nil"/>
              <w:bottom w:val="single" w:sz="4" w:space="0" w:color="auto"/>
              <w:right w:val="nil"/>
            </w:tcBorders>
            <w:shd w:val="clear" w:color="auto" w:fill="auto"/>
            <w:noWrap/>
            <w:vAlign w:val="bottom"/>
          </w:tcPr>
          <w:p w14:paraId="609521B9"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8.2</w:t>
            </w:r>
          </w:p>
        </w:tc>
      </w:tr>
      <w:tr w:rsidR="00221335" w:rsidRPr="001824FD" w14:paraId="14950686" w14:textId="77777777" w:rsidTr="00696906">
        <w:trPr>
          <w:trHeight w:val="315"/>
        </w:trPr>
        <w:tc>
          <w:tcPr>
            <w:tcW w:w="1860" w:type="dxa"/>
            <w:tcBorders>
              <w:top w:val="nil"/>
              <w:left w:val="nil"/>
              <w:bottom w:val="nil"/>
              <w:right w:val="nil"/>
            </w:tcBorders>
            <w:shd w:val="clear" w:color="auto" w:fill="auto"/>
            <w:noWrap/>
            <w:vAlign w:val="bottom"/>
            <w:hideMark/>
          </w:tcPr>
          <w:p w14:paraId="0F594845" w14:textId="77777777" w:rsidR="00221335" w:rsidRPr="001824FD" w:rsidRDefault="00221335" w:rsidP="00696906">
            <w:pPr>
              <w:tabs>
                <w:tab w:val="clear" w:pos="567"/>
              </w:tabs>
              <w:spacing w:after="0" w:line="240" w:lineRule="auto"/>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Total</w:t>
            </w:r>
          </w:p>
        </w:tc>
        <w:tc>
          <w:tcPr>
            <w:tcW w:w="2161" w:type="dxa"/>
            <w:tcBorders>
              <w:top w:val="nil"/>
              <w:left w:val="nil"/>
              <w:bottom w:val="nil"/>
              <w:right w:val="nil"/>
            </w:tcBorders>
            <w:shd w:val="clear" w:color="auto" w:fill="auto"/>
            <w:noWrap/>
            <w:vAlign w:val="bottom"/>
          </w:tcPr>
          <w:p w14:paraId="6F364A5E"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6 284</w:t>
            </w:r>
          </w:p>
        </w:tc>
        <w:tc>
          <w:tcPr>
            <w:tcW w:w="1399" w:type="dxa"/>
            <w:tcBorders>
              <w:top w:val="nil"/>
              <w:left w:val="nil"/>
              <w:bottom w:val="nil"/>
              <w:right w:val="nil"/>
            </w:tcBorders>
            <w:shd w:val="clear" w:color="auto" w:fill="auto"/>
            <w:noWrap/>
            <w:vAlign w:val="bottom"/>
          </w:tcPr>
          <w:p w14:paraId="10CFE70C"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11.0</w:t>
            </w:r>
          </w:p>
        </w:tc>
        <w:tc>
          <w:tcPr>
            <w:tcW w:w="2161" w:type="dxa"/>
            <w:tcBorders>
              <w:top w:val="nil"/>
              <w:left w:val="nil"/>
              <w:bottom w:val="nil"/>
              <w:right w:val="nil"/>
            </w:tcBorders>
            <w:shd w:val="clear" w:color="auto" w:fill="auto"/>
            <w:noWrap/>
            <w:vAlign w:val="bottom"/>
          </w:tcPr>
          <w:p w14:paraId="12DF643F"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6 033</w:t>
            </w:r>
          </w:p>
        </w:tc>
        <w:tc>
          <w:tcPr>
            <w:tcW w:w="1399" w:type="dxa"/>
            <w:tcBorders>
              <w:top w:val="nil"/>
              <w:left w:val="nil"/>
              <w:bottom w:val="nil"/>
              <w:right w:val="nil"/>
            </w:tcBorders>
            <w:shd w:val="clear" w:color="auto" w:fill="auto"/>
            <w:noWrap/>
            <w:vAlign w:val="bottom"/>
          </w:tcPr>
          <w:p w14:paraId="1F1570CC"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10.6</w:t>
            </w:r>
          </w:p>
        </w:tc>
      </w:tr>
      <w:tr w:rsidR="00221335" w:rsidRPr="001824FD" w14:paraId="59B83A74" w14:textId="77777777" w:rsidTr="00696906">
        <w:trPr>
          <w:trHeight w:val="315"/>
        </w:trPr>
        <w:tc>
          <w:tcPr>
            <w:tcW w:w="1860" w:type="dxa"/>
            <w:tcBorders>
              <w:top w:val="nil"/>
              <w:left w:val="nil"/>
              <w:bottom w:val="nil"/>
              <w:right w:val="nil"/>
            </w:tcBorders>
            <w:shd w:val="clear" w:color="auto" w:fill="auto"/>
            <w:noWrap/>
            <w:vAlign w:val="bottom"/>
            <w:hideMark/>
          </w:tcPr>
          <w:p w14:paraId="3427EFF0" w14:textId="77777777" w:rsidR="00221335" w:rsidRPr="001824FD" w:rsidRDefault="00221335" w:rsidP="00696906">
            <w:pPr>
              <w:tabs>
                <w:tab w:val="clear" w:pos="567"/>
              </w:tabs>
              <w:spacing w:after="0" w:line="240" w:lineRule="auto"/>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Expenses</w:t>
            </w:r>
          </w:p>
        </w:tc>
        <w:tc>
          <w:tcPr>
            <w:tcW w:w="2161" w:type="dxa"/>
            <w:tcBorders>
              <w:top w:val="nil"/>
              <w:left w:val="nil"/>
              <w:bottom w:val="nil"/>
              <w:right w:val="nil"/>
            </w:tcBorders>
            <w:shd w:val="clear" w:color="auto" w:fill="auto"/>
            <w:noWrap/>
            <w:vAlign w:val="bottom"/>
          </w:tcPr>
          <w:p w14:paraId="7B2C98EF" w14:textId="77777777" w:rsidR="00221335" w:rsidRPr="001824FD" w:rsidRDefault="00221335" w:rsidP="00696906">
            <w:pPr>
              <w:tabs>
                <w:tab w:val="clear" w:pos="567"/>
              </w:tabs>
              <w:spacing w:after="0" w:line="240" w:lineRule="auto"/>
              <w:rPr>
                <w:rFonts w:ascii="Calibri" w:eastAsia="Times New Roman" w:hAnsi="Calibri" w:cs="Calibri"/>
                <w:sz w:val="20"/>
                <w:szCs w:val="20"/>
                <w:lang w:eastAsia="en-AU"/>
              </w:rPr>
            </w:pPr>
          </w:p>
        </w:tc>
        <w:tc>
          <w:tcPr>
            <w:tcW w:w="1399" w:type="dxa"/>
            <w:tcBorders>
              <w:top w:val="nil"/>
              <w:left w:val="nil"/>
              <w:bottom w:val="nil"/>
              <w:right w:val="nil"/>
            </w:tcBorders>
            <w:shd w:val="clear" w:color="auto" w:fill="auto"/>
            <w:noWrap/>
            <w:vAlign w:val="bottom"/>
          </w:tcPr>
          <w:p w14:paraId="78F4055A" w14:textId="77777777" w:rsidR="00221335" w:rsidRPr="001824FD" w:rsidRDefault="00221335" w:rsidP="00696906">
            <w:pPr>
              <w:tabs>
                <w:tab w:val="clear" w:pos="567"/>
              </w:tabs>
              <w:spacing w:after="0" w:line="240" w:lineRule="auto"/>
              <w:rPr>
                <w:rFonts w:ascii="Times New Roman" w:eastAsia="Times New Roman" w:hAnsi="Times New Roman" w:cs="Times New Roman"/>
                <w:sz w:val="20"/>
                <w:szCs w:val="20"/>
                <w:lang w:eastAsia="en-AU"/>
              </w:rPr>
            </w:pPr>
          </w:p>
        </w:tc>
        <w:tc>
          <w:tcPr>
            <w:tcW w:w="2161" w:type="dxa"/>
            <w:tcBorders>
              <w:top w:val="nil"/>
              <w:left w:val="nil"/>
              <w:bottom w:val="nil"/>
              <w:right w:val="nil"/>
            </w:tcBorders>
            <w:shd w:val="clear" w:color="auto" w:fill="auto"/>
            <w:noWrap/>
            <w:vAlign w:val="bottom"/>
          </w:tcPr>
          <w:p w14:paraId="447E49B4" w14:textId="77777777" w:rsidR="00221335" w:rsidRPr="001824FD" w:rsidRDefault="00221335" w:rsidP="00696906">
            <w:pPr>
              <w:tabs>
                <w:tab w:val="clear" w:pos="567"/>
              </w:tabs>
              <w:spacing w:after="0" w:line="240" w:lineRule="auto"/>
              <w:rPr>
                <w:rFonts w:ascii="Times New Roman" w:eastAsia="Times New Roman" w:hAnsi="Times New Roman" w:cs="Times New Roman"/>
                <w:sz w:val="20"/>
                <w:szCs w:val="20"/>
                <w:lang w:eastAsia="en-AU"/>
              </w:rPr>
            </w:pPr>
          </w:p>
        </w:tc>
        <w:tc>
          <w:tcPr>
            <w:tcW w:w="1399" w:type="dxa"/>
            <w:tcBorders>
              <w:top w:val="nil"/>
              <w:left w:val="nil"/>
              <w:bottom w:val="nil"/>
              <w:right w:val="nil"/>
            </w:tcBorders>
            <w:shd w:val="clear" w:color="auto" w:fill="auto"/>
            <w:noWrap/>
            <w:vAlign w:val="bottom"/>
          </w:tcPr>
          <w:p w14:paraId="3BDE498B" w14:textId="77777777" w:rsidR="00221335" w:rsidRPr="001824FD" w:rsidRDefault="00221335" w:rsidP="00696906">
            <w:pPr>
              <w:tabs>
                <w:tab w:val="clear" w:pos="567"/>
              </w:tabs>
              <w:spacing w:after="0" w:line="240" w:lineRule="auto"/>
              <w:rPr>
                <w:rFonts w:ascii="Times New Roman" w:eastAsia="Times New Roman" w:hAnsi="Times New Roman" w:cs="Times New Roman"/>
                <w:sz w:val="20"/>
                <w:szCs w:val="20"/>
                <w:lang w:eastAsia="en-AU"/>
              </w:rPr>
            </w:pPr>
          </w:p>
        </w:tc>
      </w:tr>
      <w:tr w:rsidR="00221335" w:rsidRPr="001824FD" w14:paraId="78E73A50" w14:textId="77777777" w:rsidTr="00696906">
        <w:trPr>
          <w:trHeight w:val="315"/>
        </w:trPr>
        <w:tc>
          <w:tcPr>
            <w:tcW w:w="1860" w:type="dxa"/>
            <w:tcBorders>
              <w:top w:val="nil"/>
              <w:left w:val="nil"/>
              <w:bottom w:val="nil"/>
              <w:right w:val="nil"/>
            </w:tcBorders>
            <w:shd w:val="clear" w:color="auto" w:fill="auto"/>
            <w:noWrap/>
            <w:vAlign w:val="bottom"/>
            <w:hideMark/>
          </w:tcPr>
          <w:p w14:paraId="0BA74FA2" w14:textId="77777777" w:rsidR="00221335" w:rsidRPr="001824FD" w:rsidRDefault="00221335" w:rsidP="00696906">
            <w:pPr>
              <w:tabs>
                <w:tab w:val="clear" w:pos="567"/>
              </w:tabs>
              <w:spacing w:after="0" w:line="240" w:lineRule="auto"/>
              <w:ind w:firstLineChars="100" w:firstLine="200"/>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State</w:t>
            </w:r>
          </w:p>
        </w:tc>
        <w:tc>
          <w:tcPr>
            <w:tcW w:w="2161" w:type="dxa"/>
            <w:tcBorders>
              <w:top w:val="nil"/>
              <w:left w:val="nil"/>
              <w:bottom w:val="nil"/>
              <w:right w:val="nil"/>
            </w:tcBorders>
            <w:shd w:val="clear" w:color="auto" w:fill="auto"/>
            <w:noWrap/>
            <w:vAlign w:val="bottom"/>
          </w:tcPr>
          <w:p w14:paraId="2CA6A503"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18 237</w:t>
            </w:r>
          </w:p>
        </w:tc>
        <w:tc>
          <w:tcPr>
            <w:tcW w:w="1399" w:type="dxa"/>
            <w:tcBorders>
              <w:top w:val="nil"/>
              <w:left w:val="nil"/>
              <w:bottom w:val="nil"/>
              <w:right w:val="nil"/>
            </w:tcBorders>
            <w:shd w:val="clear" w:color="auto" w:fill="auto"/>
            <w:noWrap/>
            <w:vAlign w:val="bottom"/>
          </w:tcPr>
          <w:p w14:paraId="10152F8C"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32.0</w:t>
            </w:r>
          </w:p>
        </w:tc>
        <w:tc>
          <w:tcPr>
            <w:tcW w:w="2161" w:type="dxa"/>
            <w:tcBorders>
              <w:top w:val="nil"/>
              <w:left w:val="nil"/>
              <w:bottom w:val="nil"/>
              <w:right w:val="nil"/>
            </w:tcBorders>
            <w:shd w:val="clear" w:color="auto" w:fill="auto"/>
            <w:noWrap/>
            <w:vAlign w:val="bottom"/>
          </w:tcPr>
          <w:p w14:paraId="17CDBDF7"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18 954</w:t>
            </w:r>
          </w:p>
        </w:tc>
        <w:tc>
          <w:tcPr>
            <w:tcW w:w="1399" w:type="dxa"/>
            <w:tcBorders>
              <w:top w:val="nil"/>
              <w:left w:val="nil"/>
              <w:bottom w:val="nil"/>
              <w:right w:val="nil"/>
            </w:tcBorders>
            <w:shd w:val="clear" w:color="auto" w:fill="auto"/>
            <w:noWrap/>
            <w:vAlign w:val="bottom"/>
          </w:tcPr>
          <w:p w14:paraId="4AFD77BC"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33.3</w:t>
            </w:r>
          </w:p>
        </w:tc>
      </w:tr>
      <w:tr w:rsidR="00221335" w:rsidRPr="001824FD" w14:paraId="60C45DFA" w14:textId="77777777" w:rsidTr="00696906">
        <w:trPr>
          <w:trHeight w:val="315"/>
        </w:trPr>
        <w:tc>
          <w:tcPr>
            <w:tcW w:w="1860" w:type="dxa"/>
            <w:tcBorders>
              <w:top w:val="nil"/>
              <w:left w:val="nil"/>
              <w:bottom w:val="nil"/>
              <w:right w:val="nil"/>
            </w:tcBorders>
            <w:shd w:val="clear" w:color="auto" w:fill="auto"/>
            <w:noWrap/>
            <w:vAlign w:val="bottom"/>
            <w:hideMark/>
          </w:tcPr>
          <w:p w14:paraId="59B51927" w14:textId="77777777" w:rsidR="00221335" w:rsidRPr="001824FD" w:rsidRDefault="00221335" w:rsidP="00696906">
            <w:pPr>
              <w:tabs>
                <w:tab w:val="clear" w:pos="567"/>
              </w:tabs>
              <w:spacing w:after="0" w:line="240" w:lineRule="auto"/>
              <w:ind w:firstLineChars="100" w:firstLine="200"/>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Local</w:t>
            </w:r>
          </w:p>
        </w:tc>
        <w:tc>
          <w:tcPr>
            <w:tcW w:w="2161" w:type="dxa"/>
            <w:tcBorders>
              <w:top w:val="nil"/>
              <w:left w:val="nil"/>
              <w:bottom w:val="single" w:sz="4" w:space="0" w:color="auto"/>
              <w:right w:val="nil"/>
            </w:tcBorders>
            <w:shd w:val="clear" w:color="auto" w:fill="auto"/>
            <w:noWrap/>
            <w:vAlign w:val="bottom"/>
          </w:tcPr>
          <w:p w14:paraId="1392E462"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3 168</w:t>
            </w:r>
          </w:p>
        </w:tc>
        <w:tc>
          <w:tcPr>
            <w:tcW w:w="1399" w:type="dxa"/>
            <w:tcBorders>
              <w:top w:val="nil"/>
              <w:left w:val="nil"/>
              <w:bottom w:val="single" w:sz="4" w:space="0" w:color="auto"/>
              <w:right w:val="nil"/>
            </w:tcBorders>
            <w:shd w:val="clear" w:color="auto" w:fill="auto"/>
            <w:noWrap/>
            <w:vAlign w:val="bottom"/>
          </w:tcPr>
          <w:p w14:paraId="055036B5"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5.6</w:t>
            </w:r>
          </w:p>
        </w:tc>
        <w:tc>
          <w:tcPr>
            <w:tcW w:w="2161" w:type="dxa"/>
            <w:tcBorders>
              <w:top w:val="nil"/>
              <w:left w:val="nil"/>
              <w:bottom w:val="single" w:sz="4" w:space="0" w:color="auto"/>
              <w:right w:val="nil"/>
            </w:tcBorders>
            <w:shd w:val="clear" w:color="auto" w:fill="auto"/>
            <w:noWrap/>
            <w:vAlign w:val="bottom"/>
          </w:tcPr>
          <w:p w14:paraId="714F6C95"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3 980</w:t>
            </w:r>
          </w:p>
        </w:tc>
        <w:tc>
          <w:tcPr>
            <w:tcW w:w="1399" w:type="dxa"/>
            <w:tcBorders>
              <w:top w:val="nil"/>
              <w:left w:val="nil"/>
              <w:bottom w:val="single" w:sz="4" w:space="0" w:color="auto"/>
              <w:right w:val="nil"/>
            </w:tcBorders>
            <w:shd w:val="clear" w:color="auto" w:fill="auto"/>
            <w:noWrap/>
            <w:vAlign w:val="bottom"/>
          </w:tcPr>
          <w:p w14:paraId="0F057E20"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7.0</w:t>
            </w:r>
          </w:p>
        </w:tc>
      </w:tr>
      <w:tr w:rsidR="00221335" w:rsidRPr="001824FD" w14:paraId="548E1B10" w14:textId="77777777" w:rsidTr="00696906">
        <w:trPr>
          <w:trHeight w:val="315"/>
        </w:trPr>
        <w:tc>
          <w:tcPr>
            <w:tcW w:w="1860" w:type="dxa"/>
            <w:tcBorders>
              <w:top w:val="nil"/>
              <w:left w:val="nil"/>
              <w:bottom w:val="nil"/>
              <w:right w:val="nil"/>
            </w:tcBorders>
            <w:shd w:val="clear" w:color="auto" w:fill="auto"/>
            <w:noWrap/>
            <w:vAlign w:val="bottom"/>
            <w:hideMark/>
          </w:tcPr>
          <w:p w14:paraId="68561D2E" w14:textId="77777777" w:rsidR="00221335" w:rsidRPr="001824FD" w:rsidRDefault="00221335" w:rsidP="00696906">
            <w:pPr>
              <w:tabs>
                <w:tab w:val="clear" w:pos="567"/>
              </w:tabs>
              <w:spacing w:after="0" w:line="240" w:lineRule="auto"/>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Total</w:t>
            </w:r>
          </w:p>
        </w:tc>
        <w:tc>
          <w:tcPr>
            <w:tcW w:w="2161" w:type="dxa"/>
            <w:tcBorders>
              <w:top w:val="nil"/>
              <w:left w:val="nil"/>
              <w:bottom w:val="nil"/>
              <w:right w:val="nil"/>
            </w:tcBorders>
            <w:shd w:val="clear" w:color="auto" w:fill="auto"/>
            <w:noWrap/>
            <w:vAlign w:val="bottom"/>
          </w:tcPr>
          <w:p w14:paraId="4AAA53FD"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21 405</w:t>
            </w:r>
          </w:p>
        </w:tc>
        <w:tc>
          <w:tcPr>
            <w:tcW w:w="1399" w:type="dxa"/>
            <w:tcBorders>
              <w:top w:val="nil"/>
              <w:left w:val="nil"/>
              <w:bottom w:val="nil"/>
              <w:right w:val="nil"/>
            </w:tcBorders>
            <w:shd w:val="clear" w:color="auto" w:fill="auto"/>
            <w:noWrap/>
            <w:vAlign w:val="bottom"/>
          </w:tcPr>
          <w:p w14:paraId="0364E86E"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37.6</w:t>
            </w:r>
          </w:p>
        </w:tc>
        <w:tc>
          <w:tcPr>
            <w:tcW w:w="2161" w:type="dxa"/>
            <w:tcBorders>
              <w:top w:val="nil"/>
              <w:left w:val="nil"/>
              <w:bottom w:val="nil"/>
              <w:right w:val="nil"/>
            </w:tcBorders>
            <w:shd w:val="clear" w:color="auto" w:fill="auto"/>
            <w:noWrap/>
            <w:vAlign w:val="bottom"/>
          </w:tcPr>
          <w:p w14:paraId="51357D6E"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22 934</w:t>
            </w:r>
          </w:p>
        </w:tc>
        <w:tc>
          <w:tcPr>
            <w:tcW w:w="1399" w:type="dxa"/>
            <w:tcBorders>
              <w:top w:val="nil"/>
              <w:left w:val="nil"/>
              <w:bottom w:val="nil"/>
              <w:right w:val="nil"/>
            </w:tcBorders>
            <w:shd w:val="clear" w:color="auto" w:fill="auto"/>
            <w:noWrap/>
            <w:vAlign w:val="bottom"/>
          </w:tcPr>
          <w:p w14:paraId="0C19CB04"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40.3</w:t>
            </w:r>
          </w:p>
        </w:tc>
      </w:tr>
      <w:tr w:rsidR="00221335" w:rsidRPr="001824FD" w14:paraId="506931B0" w14:textId="77777777" w:rsidTr="00696906">
        <w:trPr>
          <w:trHeight w:val="315"/>
        </w:trPr>
        <w:tc>
          <w:tcPr>
            <w:tcW w:w="1860" w:type="dxa"/>
            <w:tcBorders>
              <w:top w:val="nil"/>
              <w:left w:val="nil"/>
              <w:bottom w:val="nil"/>
              <w:right w:val="nil"/>
            </w:tcBorders>
            <w:shd w:val="clear" w:color="auto" w:fill="auto"/>
            <w:noWrap/>
            <w:vAlign w:val="bottom"/>
            <w:hideMark/>
          </w:tcPr>
          <w:p w14:paraId="6AB12102" w14:textId="77777777" w:rsidR="00221335" w:rsidRPr="001824FD" w:rsidRDefault="00221335" w:rsidP="00696906">
            <w:pPr>
              <w:tabs>
                <w:tab w:val="clear" w:pos="567"/>
              </w:tabs>
              <w:spacing w:after="0" w:line="240" w:lineRule="auto"/>
              <w:rPr>
                <w:rFonts w:ascii="Calibri" w:eastAsia="Times New Roman" w:hAnsi="Calibri" w:cs="Calibri"/>
                <w:sz w:val="20"/>
                <w:szCs w:val="20"/>
                <w:lang w:eastAsia="en-AU"/>
              </w:rPr>
            </w:pPr>
            <w:r w:rsidRPr="008B0AA9">
              <w:rPr>
                <w:rFonts w:ascii="Calibri" w:eastAsia="Times New Roman" w:hAnsi="Calibri" w:cs="Calibri"/>
                <w:sz w:val="20"/>
                <w:szCs w:val="20"/>
                <w:lang w:eastAsia="en-AU"/>
              </w:rPr>
              <w:t xml:space="preserve">Funding </w:t>
            </w:r>
            <w:r>
              <w:rPr>
                <w:rFonts w:ascii="Calibri" w:eastAsia="Times New Roman" w:hAnsi="Calibri" w:cs="Calibri"/>
                <w:sz w:val="20"/>
                <w:szCs w:val="20"/>
                <w:lang w:eastAsia="en-AU"/>
              </w:rPr>
              <w:t>difference</w:t>
            </w:r>
          </w:p>
        </w:tc>
        <w:tc>
          <w:tcPr>
            <w:tcW w:w="2161" w:type="dxa"/>
            <w:tcBorders>
              <w:top w:val="nil"/>
              <w:left w:val="nil"/>
              <w:bottom w:val="nil"/>
              <w:right w:val="nil"/>
            </w:tcBorders>
            <w:shd w:val="clear" w:color="auto" w:fill="auto"/>
            <w:noWrap/>
            <w:vAlign w:val="bottom"/>
          </w:tcPr>
          <w:p w14:paraId="284C2EA8" w14:textId="77777777" w:rsidR="00221335" w:rsidRPr="001824FD" w:rsidRDefault="00221335" w:rsidP="00696906">
            <w:pPr>
              <w:tabs>
                <w:tab w:val="clear" w:pos="567"/>
              </w:tabs>
              <w:spacing w:after="0" w:line="240" w:lineRule="auto"/>
              <w:rPr>
                <w:rFonts w:ascii="Calibri" w:eastAsia="Times New Roman" w:hAnsi="Calibri" w:cs="Calibri"/>
                <w:sz w:val="20"/>
                <w:szCs w:val="20"/>
                <w:lang w:eastAsia="en-AU"/>
              </w:rPr>
            </w:pPr>
          </w:p>
        </w:tc>
        <w:tc>
          <w:tcPr>
            <w:tcW w:w="1399" w:type="dxa"/>
            <w:tcBorders>
              <w:top w:val="nil"/>
              <w:left w:val="nil"/>
              <w:bottom w:val="nil"/>
              <w:right w:val="nil"/>
            </w:tcBorders>
            <w:shd w:val="clear" w:color="auto" w:fill="auto"/>
            <w:noWrap/>
            <w:vAlign w:val="bottom"/>
          </w:tcPr>
          <w:p w14:paraId="0DA6B036" w14:textId="77777777" w:rsidR="00221335" w:rsidRPr="001824FD" w:rsidRDefault="00221335" w:rsidP="00696906">
            <w:pPr>
              <w:tabs>
                <w:tab w:val="clear" w:pos="567"/>
              </w:tabs>
              <w:spacing w:after="0" w:line="240" w:lineRule="auto"/>
              <w:rPr>
                <w:rFonts w:ascii="Times New Roman" w:eastAsia="Times New Roman" w:hAnsi="Times New Roman" w:cs="Times New Roman"/>
                <w:sz w:val="20"/>
                <w:szCs w:val="20"/>
                <w:lang w:eastAsia="en-AU"/>
              </w:rPr>
            </w:pPr>
          </w:p>
        </w:tc>
        <w:tc>
          <w:tcPr>
            <w:tcW w:w="2161" w:type="dxa"/>
            <w:tcBorders>
              <w:top w:val="nil"/>
              <w:left w:val="nil"/>
              <w:bottom w:val="nil"/>
              <w:right w:val="nil"/>
            </w:tcBorders>
            <w:shd w:val="clear" w:color="auto" w:fill="auto"/>
            <w:noWrap/>
            <w:vAlign w:val="bottom"/>
          </w:tcPr>
          <w:p w14:paraId="4EC2BE8A" w14:textId="77777777" w:rsidR="00221335" w:rsidRPr="001824FD" w:rsidRDefault="00221335" w:rsidP="00696906">
            <w:pPr>
              <w:tabs>
                <w:tab w:val="clear" w:pos="567"/>
              </w:tabs>
              <w:spacing w:after="0" w:line="240" w:lineRule="auto"/>
              <w:rPr>
                <w:rFonts w:ascii="Times New Roman" w:eastAsia="Times New Roman" w:hAnsi="Times New Roman" w:cs="Times New Roman"/>
                <w:sz w:val="20"/>
                <w:szCs w:val="20"/>
                <w:lang w:eastAsia="en-AU"/>
              </w:rPr>
            </w:pPr>
          </w:p>
        </w:tc>
        <w:tc>
          <w:tcPr>
            <w:tcW w:w="1399" w:type="dxa"/>
            <w:tcBorders>
              <w:top w:val="nil"/>
              <w:left w:val="nil"/>
              <w:bottom w:val="nil"/>
              <w:right w:val="nil"/>
            </w:tcBorders>
            <w:shd w:val="clear" w:color="auto" w:fill="auto"/>
            <w:noWrap/>
            <w:vAlign w:val="bottom"/>
          </w:tcPr>
          <w:p w14:paraId="20149372" w14:textId="77777777" w:rsidR="00221335" w:rsidRPr="001824FD" w:rsidRDefault="00221335" w:rsidP="00696906">
            <w:pPr>
              <w:tabs>
                <w:tab w:val="clear" w:pos="567"/>
              </w:tabs>
              <w:spacing w:after="0" w:line="240" w:lineRule="auto"/>
              <w:rPr>
                <w:rFonts w:ascii="Times New Roman" w:eastAsia="Times New Roman" w:hAnsi="Times New Roman" w:cs="Times New Roman"/>
                <w:sz w:val="20"/>
                <w:szCs w:val="20"/>
                <w:lang w:eastAsia="en-AU"/>
              </w:rPr>
            </w:pPr>
          </w:p>
        </w:tc>
      </w:tr>
      <w:tr w:rsidR="00221335" w:rsidRPr="001824FD" w14:paraId="1BB4496C" w14:textId="77777777" w:rsidTr="00696906">
        <w:trPr>
          <w:trHeight w:val="315"/>
        </w:trPr>
        <w:tc>
          <w:tcPr>
            <w:tcW w:w="1860" w:type="dxa"/>
            <w:tcBorders>
              <w:top w:val="nil"/>
              <w:left w:val="nil"/>
              <w:bottom w:val="nil"/>
              <w:right w:val="nil"/>
            </w:tcBorders>
            <w:shd w:val="clear" w:color="auto" w:fill="auto"/>
            <w:noWrap/>
            <w:vAlign w:val="bottom"/>
            <w:hideMark/>
          </w:tcPr>
          <w:p w14:paraId="6EA40C65" w14:textId="77777777" w:rsidR="00221335" w:rsidRPr="001824FD" w:rsidRDefault="00221335" w:rsidP="00696906">
            <w:pPr>
              <w:tabs>
                <w:tab w:val="clear" w:pos="567"/>
              </w:tabs>
              <w:spacing w:after="0" w:line="240" w:lineRule="auto"/>
              <w:ind w:firstLineChars="100" w:firstLine="200"/>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State</w:t>
            </w:r>
          </w:p>
        </w:tc>
        <w:tc>
          <w:tcPr>
            <w:tcW w:w="2161" w:type="dxa"/>
            <w:tcBorders>
              <w:top w:val="nil"/>
              <w:left w:val="nil"/>
              <w:bottom w:val="nil"/>
              <w:right w:val="nil"/>
            </w:tcBorders>
            <w:shd w:val="clear" w:color="auto" w:fill="auto"/>
            <w:noWrap/>
            <w:vAlign w:val="bottom"/>
          </w:tcPr>
          <w:p w14:paraId="267C6844"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-16 413</w:t>
            </w:r>
          </w:p>
        </w:tc>
        <w:tc>
          <w:tcPr>
            <w:tcW w:w="1399" w:type="dxa"/>
            <w:tcBorders>
              <w:top w:val="nil"/>
              <w:left w:val="nil"/>
              <w:bottom w:val="nil"/>
              <w:right w:val="nil"/>
            </w:tcBorders>
            <w:shd w:val="clear" w:color="auto" w:fill="auto"/>
            <w:noWrap/>
            <w:vAlign w:val="bottom"/>
          </w:tcPr>
          <w:p w14:paraId="0DB8CFFF"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-28.8</w:t>
            </w:r>
          </w:p>
        </w:tc>
        <w:tc>
          <w:tcPr>
            <w:tcW w:w="2161" w:type="dxa"/>
            <w:tcBorders>
              <w:top w:val="nil"/>
              <w:left w:val="nil"/>
              <w:bottom w:val="nil"/>
              <w:right w:val="nil"/>
            </w:tcBorders>
            <w:shd w:val="clear" w:color="auto" w:fill="auto"/>
            <w:noWrap/>
            <w:vAlign w:val="bottom"/>
          </w:tcPr>
          <w:p w14:paraId="06103492"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-17 619</w:t>
            </w:r>
          </w:p>
        </w:tc>
        <w:tc>
          <w:tcPr>
            <w:tcW w:w="1399" w:type="dxa"/>
            <w:tcBorders>
              <w:top w:val="nil"/>
              <w:left w:val="nil"/>
              <w:bottom w:val="nil"/>
              <w:right w:val="nil"/>
            </w:tcBorders>
            <w:shd w:val="clear" w:color="auto" w:fill="auto"/>
            <w:noWrap/>
            <w:vAlign w:val="bottom"/>
          </w:tcPr>
          <w:p w14:paraId="36BD6ABB"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-30.9</w:t>
            </w:r>
          </w:p>
        </w:tc>
      </w:tr>
      <w:tr w:rsidR="00221335" w:rsidRPr="001824FD" w14:paraId="426D4220" w14:textId="77777777" w:rsidTr="00696906">
        <w:trPr>
          <w:trHeight w:val="315"/>
        </w:trPr>
        <w:tc>
          <w:tcPr>
            <w:tcW w:w="1860" w:type="dxa"/>
            <w:tcBorders>
              <w:top w:val="nil"/>
              <w:left w:val="nil"/>
              <w:bottom w:val="nil"/>
              <w:right w:val="nil"/>
            </w:tcBorders>
            <w:shd w:val="clear" w:color="auto" w:fill="auto"/>
            <w:noWrap/>
            <w:vAlign w:val="bottom"/>
            <w:hideMark/>
          </w:tcPr>
          <w:p w14:paraId="6E7184A1" w14:textId="77777777" w:rsidR="00221335" w:rsidRPr="001824FD" w:rsidRDefault="00221335" w:rsidP="00696906">
            <w:pPr>
              <w:tabs>
                <w:tab w:val="clear" w:pos="567"/>
              </w:tabs>
              <w:spacing w:after="0" w:line="240" w:lineRule="auto"/>
              <w:ind w:firstLineChars="100" w:firstLine="200"/>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Local</w:t>
            </w:r>
          </w:p>
        </w:tc>
        <w:tc>
          <w:tcPr>
            <w:tcW w:w="2161" w:type="dxa"/>
            <w:tcBorders>
              <w:top w:val="nil"/>
              <w:left w:val="nil"/>
              <w:bottom w:val="single" w:sz="4" w:space="0" w:color="auto"/>
              <w:right w:val="nil"/>
            </w:tcBorders>
            <w:shd w:val="clear" w:color="auto" w:fill="auto"/>
            <w:noWrap/>
            <w:vAlign w:val="bottom"/>
          </w:tcPr>
          <w:p w14:paraId="13FA10DF"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1 292</w:t>
            </w:r>
          </w:p>
        </w:tc>
        <w:tc>
          <w:tcPr>
            <w:tcW w:w="1399" w:type="dxa"/>
            <w:tcBorders>
              <w:top w:val="nil"/>
              <w:left w:val="nil"/>
              <w:bottom w:val="single" w:sz="4" w:space="0" w:color="auto"/>
              <w:right w:val="nil"/>
            </w:tcBorders>
            <w:shd w:val="clear" w:color="auto" w:fill="auto"/>
            <w:noWrap/>
            <w:vAlign w:val="bottom"/>
          </w:tcPr>
          <w:p w14:paraId="7B660291"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2.3</w:t>
            </w:r>
          </w:p>
        </w:tc>
        <w:tc>
          <w:tcPr>
            <w:tcW w:w="2161" w:type="dxa"/>
            <w:tcBorders>
              <w:top w:val="nil"/>
              <w:left w:val="nil"/>
              <w:bottom w:val="single" w:sz="4" w:space="0" w:color="auto"/>
              <w:right w:val="nil"/>
            </w:tcBorders>
            <w:shd w:val="clear" w:color="auto" w:fill="auto"/>
            <w:noWrap/>
            <w:vAlign w:val="bottom"/>
          </w:tcPr>
          <w:p w14:paraId="137D606D"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717</w:t>
            </w:r>
          </w:p>
        </w:tc>
        <w:tc>
          <w:tcPr>
            <w:tcW w:w="1399" w:type="dxa"/>
            <w:tcBorders>
              <w:top w:val="nil"/>
              <w:left w:val="nil"/>
              <w:bottom w:val="single" w:sz="4" w:space="0" w:color="auto"/>
              <w:right w:val="nil"/>
            </w:tcBorders>
            <w:shd w:val="clear" w:color="auto" w:fill="auto"/>
            <w:noWrap/>
            <w:vAlign w:val="bottom"/>
          </w:tcPr>
          <w:p w14:paraId="4BE8F0DE"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1.3</w:t>
            </w:r>
          </w:p>
        </w:tc>
      </w:tr>
      <w:tr w:rsidR="00221335" w:rsidRPr="001824FD" w14:paraId="06DC28B6" w14:textId="77777777" w:rsidTr="00696906">
        <w:trPr>
          <w:trHeight w:val="315"/>
        </w:trPr>
        <w:tc>
          <w:tcPr>
            <w:tcW w:w="1860" w:type="dxa"/>
            <w:tcBorders>
              <w:top w:val="nil"/>
              <w:left w:val="nil"/>
              <w:bottom w:val="single" w:sz="4" w:space="0" w:color="auto"/>
              <w:right w:val="nil"/>
            </w:tcBorders>
            <w:shd w:val="clear" w:color="auto" w:fill="auto"/>
            <w:noWrap/>
            <w:vAlign w:val="bottom"/>
            <w:hideMark/>
          </w:tcPr>
          <w:p w14:paraId="748E986B" w14:textId="77777777" w:rsidR="00221335" w:rsidRPr="001824FD" w:rsidRDefault="00221335" w:rsidP="00696906">
            <w:pPr>
              <w:tabs>
                <w:tab w:val="clear" w:pos="567"/>
              </w:tabs>
              <w:spacing w:after="0" w:line="240" w:lineRule="auto"/>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Total</w:t>
            </w:r>
          </w:p>
        </w:tc>
        <w:tc>
          <w:tcPr>
            <w:tcW w:w="2161" w:type="dxa"/>
            <w:tcBorders>
              <w:top w:val="nil"/>
              <w:left w:val="nil"/>
              <w:bottom w:val="single" w:sz="4" w:space="0" w:color="auto"/>
              <w:right w:val="nil"/>
            </w:tcBorders>
            <w:shd w:val="clear" w:color="auto" w:fill="auto"/>
            <w:noWrap/>
            <w:vAlign w:val="bottom"/>
          </w:tcPr>
          <w:p w14:paraId="1D7A3610"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-15 121</w:t>
            </w:r>
          </w:p>
        </w:tc>
        <w:tc>
          <w:tcPr>
            <w:tcW w:w="1399" w:type="dxa"/>
            <w:tcBorders>
              <w:top w:val="nil"/>
              <w:left w:val="nil"/>
              <w:bottom w:val="single" w:sz="4" w:space="0" w:color="auto"/>
              <w:right w:val="nil"/>
            </w:tcBorders>
            <w:shd w:val="clear" w:color="auto" w:fill="auto"/>
            <w:noWrap/>
            <w:vAlign w:val="bottom"/>
          </w:tcPr>
          <w:p w14:paraId="7478BA95"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-26.6</w:t>
            </w:r>
          </w:p>
        </w:tc>
        <w:tc>
          <w:tcPr>
            <w:tcW w:w="2161" w:type="dxa"/>
            <w:tcBorders>
              <w:top w:val="nil"/>
              <w:left w:val="nil"/>
              <w:bottom w:val="single" w:sz="4" w:space="0" w:color="auto"/>
              <w:right w:val="nil"/>
            </w:tcBorders>
            <w:shd w:val="clear" w:color="auto" w:fill="auto"/>
            <w:noWrap/>
            <w:vAlign w:val="bottom"/>
          </w:tcPr>
          <w:p w14:paraId="569ADDDD"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-16 901</w:t>
            </w:r>
          </w:p>
        </w:tc>
        <w:tc>
          <w:tcPr>
            <w:tcW w:w="1399" w:type="dxa"/>
            <w:tcBorders>
              <w:top w:val="nil"/>
              <w:left w:val="nil"/>
              <w:bottom w:val="single" w:sz="4" w:space="0" w:color="auto"/>
              <w:right w:val="nil"/>
            </w:tcBorders>
            <w:shd w:val="clear" w:color="auto" w:fill="auto"/>
            <w:noWrap/>
            <w:vAlign w:val="bottom"/>
          </w:tcPr>
          <w:p w14:paraId="0E3E4B51" w14:textId="77777777" w:rsidR="00221335" w:rsidRPr="001824FD" w:rsidRDefault="00221335" w:rsidP="00696906">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-29.7</w:t>
            </w:r>
          </w:p>
        </w:tc>
      </w:tr>
    </w:tbl>
    <w:p w14:paraId="47129021" w14:textId="77777777" w:rsidR="00221335" w:rsidRDefault="00221335" w:rsidP="00221335">
      <w:pPr>
        <w:pStyle w:val="CGCTableFootnote"/>
      </w:pPr>
      <w:r>
        <w:t>Source:</w:t>
      </w:r>
      <w:r>
        <w:tab/>
        <w:t>Commission staff analysis.</w:t>
      </w:r>
    </w:p>
    <w:bookmarkEnd w:id="149"/>
    <w:p w14:paraId="2E301CCE" w14:textId="77777777" w:rsidR="002D2A02" w:rsidRDefault="002D2A02" w:rsidP="00EB3F51">
      <w:pPr>
        <w:pStyle w:val="CGCNumberedPara"/>
        <w:numPr>
          <w:ilvl w:val="1"/>
          <w:numId w:val="3"/>
        </w:numPr>
        <w:tabs>
          <w:tab w:val="clear" w:pos="567"/>
        </w:tabs>
      </w:pPr>
      <w:r>
        <w:t xml:space="preserve">The </w:t>
      </w:r>
      <w:r w:rsidR="00C35E40">
        <w:t>difference</w:t>
      </w:r>
      <w:r w:rsidR="005F7A8F">
        <w:t xml:space="preserve"> </w:t>
      </w:r>
      <w:r>
        <w:t>between assessed State-type</w:t>
      </w:r>
      <w:r w:rsidR="000906BD">
        <w:t xml:space="preserve"> revenues and expenses was $28.</w:t>
      </w:r>
      <w:r w:rsidR="00C35E40">
        <w:t>8</w:t>
      </w:r>
      <w:r>
        <w:t> million. However, local government grants (including the assessed revenue from State-type grants) and own source revenue exceeded the amount</w:t>
      </w:r>
      <w:r w:rsidR="003D48DB">
        <w:t xml:space="preserve"> </w:t>
      </w:r>
      <w:r>
        <w:t xml:space="preserve">needed to provide comparable local government services. The assessed local government surplus would provide </w:t>
      </w:r>
      <w:r w:rsidR="00E96382">
        <w:t xml:space="preserve">NIRC </w:t>
      </w:r>
      <w:r>
        <w:t>with the capacity to fund some capital expenditure on new local government-type infrastructure.</w:t>
      </w:r>
    </w:p>
    <w:p w14:paraId="06CDC403" w14:textId="77777777" w:rsidR="00863190" w:rsidRDefault="00863190" w:rsidP="00863190">
      <w:pPr>
        <w:pStyle w:val="Heading4"/>
      </w:pPr>
      <w:bookmarkStart w:id="150" w:name="_Toc17105370"/>
      <w:bookmarkStart w:id="151" w:name="_Toc17105422"/>
      <w:bookmarkStart w:id="152" w:name="_Toc17105578"/>
      <w:bookmarkStart w:id="153" w:name="_Toc17380447"/>
      <w:bookmarkStart w:id="154" w:name="_Toc19262892"/>
      <w:bookmarkStart w:id="155" w:name="_Toc23847437"/>
      <w:r>
        <w:t>Infrastructure</w:t>
      </w:r>
      <w:bookmarkEnd w:id="150"/>
      <w:bookmarkEnd w:id="151"/>
      <w:bookmarkEnd w:id="152"/>
      <w:bookmarkEnd w:id="153"/>
      <w:bookmarkEnd w:id="154"/>
      <w:bookmarkEnd w:id="155"/>
    </w:p>
    <w:p w14:paraId="1EE54AE8" w14:textId="77777777" w:rsidR="00863190" w:rsidRDefault="00863190" w:rsidP="00863190">
      <w:pPr>
        <w:pStyle w:val="CGCNumberedPara"/>
        <w:numPr>
          <w:ilvl w:val="1"/>
          <w:numId w:val="3"/>
        </w:numPr>
        <w:tabs>
          <w:tab w:val="clear" w:pos="567"/>
        </w:tabs>
      </w:pPr>
      <w:r>
        <w:t xml:space="preserve">Our assessments allow for the replacement of infrastructure at the rate and level in comparable communities through a depreciation allowance. However, it has not been possible to derive methods for assessing the investment in additional State and local government type infrastructure on Norfolk </w:t>
      </w:r>
      <w:r w:rsidR="002D2A02">
        <w:t xml:space="preserve">Island </w:t>
      </w:r>
      <w:r>
        <w:t xml:space="preserve">consistent with any such investment in comparable communities. </w:t>
      </w:r>
    </w:p>
    <w:p w14:paraId="5D777960" w14:textId="77777777" w:rsidR="00863190" w:rsidRPr="0005064B" w:rsidRDefault="00863190" w:rsidP="00863190">
      <w:pPr>
        <w:pStyle w:val="CGCNumberedPara"/>
        <w:numPr>
          <w:ilvl w:val="1"/>
          <w:numId w:val="3"/>
        </w:numPr>
        <w:tabs>
          <w:tab w:val="clear" w:pos="567"/>
        </w:tabs>
      </w:pPr>
      <w:r>
        <w:t xml:space="preserve">Our estimates assume that depreciation provides for the replacement of assets, either annually, or through accumulated financial balances. To the extent that appropriate financial balances have not been accumulated, including for business enterprises such as electricity, telecommunications and the airport, then additional funding may be required when major assets need replacing. </w:t>
      </w:r>
    </w:p>
    <w:p w14:paraId="4B784293" w14:textId="77777777" w:rsidR="006530B0" w:rsidRDefault="006530B0" w:rsidP="00EB2E4A">
      <w:pPr>
        <w:pStyle w:val="NoSpacing"/>
      </w:pPr>
      <w:r>
        <w:br w:type="page"/>
      </w:r>
    </w:p>
    <w:p w14:paraId="5F9ECE0D" w14:textId="77777777" w:rsidR="00EB2E4A" w:rsidRDefault="00CE335A" w:rsidP="00EB2E4A">
      <w:pPr>
        <w:pStyle w:val="Heading2"/>
        <w:spacing w:after="0"/>
      </w:pPr>
      <w:bookmarkStart w:id="156" w:name="_Toc19262893"/>
      <w:bookmarkStart w:id="157" w:name="_Toc23847438"/>
      <w:r>
        <w:lastRenderedPageBreak/>
        <w:t>Terms of reference</w:t>
      </w:r>
      <w:bookmarkEnd w:id="156"/>
      <w:bookmarkEnd w:id="157"/>
    </w:p>
    <w:p w14:paraId="6A53C1F4" w14:textId="77777777" w:rsidR="00EB2E4A" w:rsidRDefault="00EB2E4A" w:rsidP="00EB2E4A">
      <w:pPr>
        <w:pStyle w:val="NoSpacing"/>
      </w:pPr>
      <w:r>
        <w:rPr>
          <w:noProof/>
          <w:lang w:eastAsia="en-AU"/>
        </w:rPr>
        <w:drawing>
          <wp:inline distT="0" distB="0" distL="0" distR="0" wp14:anchorId="43013ADB" wp14:editId="213BB41C">
            <wp:extent cx="5565870" cy="81764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537" r="8280" b="4945"/>
                    <a:stretch/>
                  </pic:blipFill>
                  <pic:spPr bwMode="auto">
                    <a:xfrm>
                      <a:off x="0" y="0"/>
                      <a:ext cx="5599444" cy="8225758"/>
                    </a:xfrm>
                    <a:prstGeom prst="rect">
                      <a:avLst/>
                    </a:prstGeom>
                    <a:ln>
                      <a:noFill/>
                    </a:ln>
                    <a:extLst>
                      <a:ext uri="{53640926-AAD7-44D8-BBD7-CCE9431645EC}">
                        <a14:shadowObscured xmlns:a14="http://schemas.microsoft.com/office/drawing/2010/main"/>
                      </a:ext>
                    </a:extLst>
                  </pic:spPr>
                </pic:pic>
              </a:graphicData>
            </a:graphic>
          </wp:inline>
        </w:drawing>
      </w:r>
    </w:p>
    <w:p w14:paraId="2A44A9CC" w14:textId="77777777" w:rsidR="00CE335A" w:rsidRDefault="00F43845" w:rsidP="00EB2E4A">
      <w:pPr>
        <w:rPr>
          <w:noProof/>
          <w:lang w:eastAsia="en-AU"/>
        </w:rPr>
        <w:sectPr w:rsidR="00CE335A" w:rsidSect="00A343B6">
          <w:footerReference w:type="default" r:id="rId13"/>
          <w:footerReference w:type="first" r:id="rId14"/>
          <w:pgSz w:w="11899" w:h="16838" w:code="9"/>
          <w:pgMar w:top="1701" w:right="1474" w:bottom="1701" w:left="1474" w:header="709" w:footer="709" w:gutter="0"/>
          <w:pgNumType w:fmt="lowerRoman"/>
          <w:cols w:space="708"/>
          <w:docGrid w:linePitch="326"/>
        </w:sectPr>
      </w:pPr>
      <w:r>
        <w:rPr>
          <w:noProof/>
          <w:lang w:eastAsia="en-AU"/>
        </w:rPr>
        <w:lastRenderedPageBreak/>
        <w:drawing>
          <wp:inline distT="0" distB="0" distL="0" distR="0" wp14:anchorId="0A7953C4" wp14:editId="6B8F4584">
            <wp:extent cx="5283764"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463" r="13311" b="70102"/>
                    <a:stretch/>
                  </pic:blipFill>
                  <pic:spPr bwMode="auto">
                    <a:xfrm>
                      <a:off x="0" y="0"/>
                      <a:ext cx="5355371" cy="2780376"/>
                    </a:xfrm>
                    <a:prstGeom prst="rect">
                      <a:avLst/>
                    </a:prstGeom>
                    <a:ln>
                      <a:noFill/>
                    </a:ln>
                    <a:extLst>
                      <a:ext uri="{53640926-AAD7-44D8-BBD7-CCE9431645EC}">
                        <a14:shadowObscured xmlns:a14="http://schemas.microsoft.com/office/drawing/2010/main"/>
                      </a:ext>
                    </a:extLst>
                  </pic:spPr>
                </pic:pic>
              </a:graphicData>
            </a:graphic>
          </wp:inline>
        </w:drawing>
      </w:r>
    </w:p>
    <w:p w14:paraId="2732D020" w14:textId="77777777" w:rsidR="001B6F12" w:rsidRDefault="009E175D" w:rsidP="001E4105">
      <w:pPr>
        <w:pStyle w:val="Heading2"/>
      </w:pPr>
      <w:bookmarkStart w:id="158" w:name="_Toc19262894"/>
      <w:bookmarkStart w:id="159" w:name="_Toc23847439"/>
      <w:r>
        <w:lastRenderedPageBreak/>
        <w:t>1</w:t>
      </w:r>
      <w:bookmarkStart w:id="160" w:name="_Toc16854908"/>
      <w:bookmarkStart w:id="161" w:name="_Toc17105371"/>
      <w:bookmarkStart w:id="162" w:name="_Toc17105423"/>
      <w:bookmarkStart w:id="163" w:name="_Toc17105579"/>
      <w:r>
        <w:tab/>
      </w:r>
      <w:r w:rsidR="0092009D" w:rsidRPr="0092009D">
        <w:t>Introduction</w:t>
      </w:r>
      <w:bookmarkEnd w:id="158"/>
      <w:bookmarkEnd w:id="160"/>
      <w:bookmarkEnd w:id="161"/>
      <w:bookmarkEnd w:id="162"/>
      <w:bookmarkEnd w:id="163"/>
      <w:bookmarkEnd w:id="159"/>
    </w:p>
    <w:p w14:paraId="63672D5F" w14:textId="77777777" w:rsidR="003C54E6" w:rsidRDefault="003C54E6" w:rsidP="00B464EB">
      <w:pPr>
        <w:pStyle w:val="Heading3"/>
      </w:pPr>
      <w:bookmarkStart w:id="164" w:name="_Toc14687925"/>
      <w:bookmarkStart w:id="165" w:name="_Toc14688026"/>
      <w:bookmarkStart w:id="166" w:name="_Toc16854909"/>
      <w:bookmarkStart w:id="167" w:name="_Toc17105372"/>
      <w:bookmarkStart w:id="168" w:name="_Toc17105424"/>
      <w:bookmarkStart w:id="169" w:name="_Toc17105580"/>
      <w:bookmarkStart w:id="170" w:name="_Toc17380449"/>
      <w:bookmarkStart w:id="171" w:name="_Toc19262895"/>
      <w:bookmarkStart w:id="172" w:name="_Toc23847440"/>
      <w:r>
        <w:t>The task</w:t>
      </w:r>
      <w:bookmarkEnd w:id="164"/>
      <w:bookmarkEnd w:id="165"/>
      <w:bookmarkEnd w:id="166"/>
      <w:bookmarkEnd w:id="167"/>
      <w:bookmarkEnd w:id="168"/>
      <w:bookmarkEnd w:id="169"/>
      <w:bookmarkEnd w:id="170"/>
      <w:bookmarkEnd w:id="171"/>
      <w:bookmarkEnd w:id="172"/>
    </w:p>
    <w:p w14:paraId="084475E0" w14:textId="77777777" w:rsidR="003C54E6" w:rsidRDefault="003D48C3" w:rsidP="00F64619">
      <w:pPr>
        <w:pStyle w:val="CGCNumberedPara"/>
        <w:numPr>
          <w:ilvl w:val="1"/>
          <w:numId w:val="11"/>
        </w:numPr>
      </w:pPr>
      <w:r>
        <w:t>The Department of Infrastructure,</w:t>
      </w:r>
      <w:r w:rsidR="009C1A7D">
        <w:t xml:space="preserve"> Transport, Cities and</w:t>
      </w:r>
      <w:r>
        <w:t xml:space="preserve"> Regional Development (</w:t>
      </w:r>
      <w:r w:rsidR="008F4885">
        <w:t>the Department</w:t>
      </w:r>
      <w:r>
        <w:t xml:space="preserve">) </w:t>
      </w:r>
      <w:r w:rsidR="003C54E6">
        <w:t>engaged</w:t>
      </w:r>
      <w:r>
        <w:t xml:space="preserve"> </w:t>
      </w:r>
      <w:r w:rsidR="006A14A8">
        <w:t xml:space="preserve">the </w:t>
      </w:r>
      <w:r w:rsidR="00DC6B7A">
        <w:t xml:space="preserve">Commonwealth Grants Commission </w:t>
      </w:r>
      <w:r w:rsidR="00257A1F">
        <w:t xml:space="preserve">(CGC) </w:t>
      </w:r>
      <w:r>
        <w:t xml:space="preserve">staff to </w:t>
      </w:r>
      <w:r w:rsidR="00257A1F">
        <w:t>review the funding for Norfolk </w:t>
      </w:r>
      <w:r w:rsidR="00CA1729">
        <w:t xml:space="preserve">Island. </w:t>
      </w:r>
      <w:r w:rsidR="003C54E6">
        <w:t xml:space="preserve">The scope of the task is set out in the </w:t>
      </w:r>
      <w:r w:rsidR="00D974B2">
        <w:t>T</w:t>
      </w:r>
      <w:r w:rsidR="003C54E6">
        <w:t xml:space="preserve">erms of </w:t>
      </w:r>
      <w:r w:rsidR="00D974B2">
        <w:t>R</w:t>
      </w:r>
      <w:r w:rsidR="003C54E6">
        <w:t xml:space="preserve">eference received from </w:t>
      </w:r>
      <w:r w:rsidR="008F4885">
        <w:t>the Department</w:t>
      </w:r>
      <w:r w:rsidR="00B464EB">
        <w:t xml:space="preserve"> </w:t>
      </w:r>
      <w:r w:rsidR="003C54E6">
        <w:t>in March 2019</w:t>
      </w:r>
      <w:r w:rsidR="00B464EB">
        <w:t xml:space="preserve">, a </w:t>
      </w:r>
      <w:r w:rsidR="003C54E6">
        <w:t xml:space="preserve">copy of </w:t>
      </w:r>
      <w:r w:rsidR="00B464EB">
        <w:t xml:space="preserve">which </w:t>
      </w:r>
      <w:r w:rsidR="00DC6B7A">
        <w:t>is</w:t>
      </w:r>
      <w:r w:rsidR="003C54E6">
        <w:t xml:space="preserve"> at the beginning of this report</w:t>
      </w:r>
      <w:r w:rsidR="00F61B5D">
        <w:t xml:space="preserve">. </w:t>
      </w:r>
    </w:p>
    <w:p w14:paraId="456AB61E" w14:textId="77777777" w:rsidR="00CA1729" w:rsidRDefault="008F4885" w:rsidP="00F64619">
      <w:pPr>
        <w:pStyle w:val="CGCNumberedPara"/>
      </w:pPr>
      <w:r>
        <w:t>The Department</w:t>
      </w:r>
      <w:r w:rsidR="00B464EB">
        <w:t xml:space="preserve"> is</w:t>
      </w:r>
      <w:r w:rsidR="00B276F8">
        <w:t xml:space="preserve"> seeking credible costing r</w:t>
      </w:r>
      <w:r w:rsidR="00CA1729">
        <w:t>elated information to:</w:t>
      </w:r>
      <w:r w:rsidR="008116F7">
        <w:t xml:space="preserve">  </w:t>
      </w:r>
    </w:p>
    <w:p w14:paraId="29D96907" w14:textId="77777777" w:rsidR="00CA1729" w:rsidRPr="00B464EB" w:rsidRDefault="00CA1729" w:rsidP="00B464EB">
      <w:pPr>
        <w:pStyle w:val="CGCBulletlist"/>
      </w:pPr>
      <w:r w:rsidRPr="00B464EB">
        <w:t xml:space="preserve">support consideration of options for the provision of </w:t>
      </w:r>
      <w:r w:rsidR="00B464EB" w:rsidRPr="00B464EB">
        <w:t>S</w:t>
      </w:r>
      <w:r w:rsidRPr="00B464EB">
        <w:t>tate-type governm</w:t>
      </w:r>
      <w:r w:rsidR="00C30B18">
        <w:t>ent services on Norfolk Island</w:t>
      </w:r>
    </w:p>
    <w:p w14:paraId="149EFA00" w14:textId="77777777" w:rsidR="00CA1729" w:rsidRPr="00B464EB" w:rsidRDefault="00CA1729" w:rsidP="00B464EB">
      <w:pPr>
        <w:pStyle w:val="CGCBulletlist"/>
      </w:pPr>
      <w:r w:rsidRPr="00B464EB">
        <w:t xml:space="preserve">assist in defining the optimal service provision framework for the delivery of </w:t>
      </w:r>
      <w:r w:rsidR="00B464EB" w:rsidRPr="00B464EB">
        <w:t>S</w:t>
      </w:r>
      <w:r w:rsidRPr="00B464EB">
        <w:t xml:space="preserve">tate-type and local government services, and legacy </w:t>
      </w:r>
      <w:r w:rsidR="008C7B71">
        <w:t>S</w:t>
      </w:r>
      <w:r w:rsidRPr="00B464EB">
        <w:t>tate-type government business enterprises.</w:t>
      </w:r>
    </w:p>
    <w:p w14:paraId="31E99E47" w14:textId="77777777" w:rsidR="00EF267B" w:rsidRDefault="00CA1729" w:rsidP="00F64619">
      <w:pPr>
        <w:pStyle w:val="CGCNumberedPara"/>
        <w:tabs>
          <w:tab w:val="num" w:pos="567"/>
        </w:tabs>
      </w:pPr>
      <w:r>
        <w:t xml:space="preserve">The main outputs </w:t>
      </w:r>
      <w:r w:rsidR="00B464EB">
        <w:t>sought</w:t>
      </w:r>
      <w:r>
        <w:t xml:space="preserve"> are </w:t>
      </w:r>
      <w:r w:rsidR="003D48C3">
        <w:t>estimate</w:t>
      </w:r>
      <w:r>
        <w:t>s of</w:t>
      </w:r>
      <w:r w:rsidR="00EF267B">
        <w:t>:</w:t>
      </w:r>
    </w:p>
    <w:p w14:paraId="6A69E02F" w14:textId="77777777" w:rsidR="00EF267B" w:rsidRDefault="00EF267B" w:rsidP="00CA1729">
      <w:pPr>
        <w:pStyle w:val="CGCBulletlist"/>
      </w:pPr>
      <w:r>
        <w:t>the amount of annual expenditure, including infrastruct</w:t>
      </w:r>
      <w:r w:rsidR="00B464EB">
        <w:t>ure costs, required to provide S</w:t>
      </w:r>
      <w:r>
        <w:t>tate-type government services, local government s</w:t>
      </w:r>
      <w:r w:rsidR="00B464EB">
        <w:t>ervices and support for legacy S</w:t>
      </w:r>
      <w:r>
        <w:t xml:space="preserve">tate-type </w:t>
      </w:r>
      <w:r w:rsidR="00861AD8">
        <w:t>government business enterprises</w:t>
      </w:r>
      <w:r w:rsidR="00F61462">
        <w:t xml:space="preserve">, with reference to the services available in comparable communities </w:t>
      </w:r>
    </w:p>
    <w:p w14:paraId="7ACA5578" w14:textId="77777777" w:rsidR="00EF267B" w:rsidRDefault="00EF267B" w:rsidP="00CA1729">
      <w:pPr>
        <w:pStyle w:val="CGCBulletlist"/>
      </w:pPr>
      <w:r>
        <w:t xml:space="preserve">the capacity of Norfolk Island to raise revenue from a comparable range </w:t>
      </w:r>
      <w:r w:rsidR="00B464EB">
        <w:t>of taxes and charges levied by S</w:t>
      </w:r>
      <w:r>
        <w:t>tate and local government</w:t>
      </w:r>
      <w:r w:rsidR="00B464EB">
        <w:t>s</w:t>
      </w:r>
      <w:r w:rsidR="00F61462">
        <w:t>, assuming Norfolk Island makes the average Australian revenue raising effort</w:t>
      </w:r>
      <w:r w:rsidR="00CA1729">
        <w:t>.</w:t>
      </w:r>
    </w:p>
    <w:p w14:paraId="3F3DDA19" w14:textId="77777777" w:rsidR="003D48C3" w:rsidRDefault="00F61462" w:rsidP="00477324">
      <w:pPr>
        <w:pStyle w:val="CGCNumberedPara"/>
      </w:pPr>
      <w:r>
        <w:t xml:space="preserve">The </w:t>
      </w:r>
      <w:r w:rsidR="00D974B2">
        <w:t>T</w:t>
      </w:r>
      <w:r w:rsidR="003E1573">
        <w:t xml:space="preserve">erms of </w:t>
      </w:r>
      <w:r w:rsidR="00D974B2">
        <w:t>R</w:t>
      </w:r>
      <w:r w:rsidR="00B464EB">
        <w:t>eference</w:t>
      </w:r>
      <w:r w:rsidR="00CA1729">
        <w:t xml:space="preserve"> </w:t>
      </w:r>
      <w:r w:rsidR="00B464EB">
        <w:t>require</w:t>
      </w:r>
      <w:r>
        <w:t xml:space="preserve"> the </w:t>
      </w:r>
      <w:r w:rsidR="00CA1729">
        <w:t xml:space="preserve">inquiry </w:t>
      </w:r>
      <w:r w:rsidR="00B464EB">
        <w:t>to</w:t>
      </w:r>
      <w:r>
        <w:t xml:space="preserve"> have regard to the circumstances of Norfolk Island</w:t>
      </w:r>
      <w:r w:rsidR="00DC6B7A">
        <w:t>,</w:t>
      </w:r>
      <w:r w:rsidR="00CA1729">
        <w:t xml:space="preserve"> and </w:t>
      </w:r>
      <w:r w:rsidR="00B72B05">
        <w:t>refer to</w:t>
      </w:r>
      <w:r w:rsidR="00B464EB">
        <w:t xml:space="preserve"> and</w:t>
      </w:r>
      <w:r w:rsidR="00B72B05">
        <w:t xml:space="preserve">, where applicable, update the </w:t>
      </w:r>
      <w:r w:rsidR="007104FC">
        <w:t>Commission</w:t>
      </w:r>
      <w:r w:rsidR="00BC0DFF">
        <w:t xml:space="preserve"> staff</w:t>
      </w:r>
      <w:r w:rsidR="007104FC">
        <w:t>’s</w:t>
      </w:r>
      <w:r w:rsidR="00B72B05">
        <w:t xml:space="preserve"> 2011 Norfolk Island Inquiry</w:t>
      </w:r>
      <w:r w:rsidR="00F61B5D">
        <w:t xml:space="preserve">. </w:t>
      </w:r>
    </w:p>
    <w:p w14:paraId="42E4D483" w14:textId="77777777" w:rsidR="003E1573" w:rsidRDefault="00D974B2" w:rsidP="00477324">
      <w:pPr>
        <w:pStyle w:val="CGCNumberedPara"/>
      </w:pPr>
      <w:r>
        <w:t>The T</w:t>
      </w:r>
      <w:r w:rsidR="003E1573">
        <w:t>erms o</w:t>
      </w:r>
      <w:r>
        <w:t>f R</w:t>
      </w:r>
      <w:r w:rsidR="008F4885">
        <w:t>eference require</w:t>
      </w:r>
      <w:r w:rsidR="003E1573">
        <w:t xml:space="preserve"> </w:t>
      </w:r>
      <w:r w:rsidR="008F4885">
        <w:t>the inquiry</w:t>
      </w:r>
      <w:r w:rsidR="003E1573">
        <w:t xml:space="preserve"> to </w:t>
      </w:r>
      <w:r w:rsidR="008F4885">
        <w:t>produce</w:t>
      </w:r>
      <w:r w:rsidR="003E1573">
        <w:t xml:space="preserve"> a modelling tool or mechanism for updating</w:t>
      </w:r>
      <w:r w:rsidR="002323DB">
        <w:t xml:space="preserve"> the estimated </w:t>
      </w:r>
      <w:r w:rsidR="003E1573">
        <w:t xml:space="preserve">annual expenditure for services. CGC and </w:t>
      </w:r>
      <w:r w:rsidR="008F4885">
        <w:t>the Department</w:t>
      </w:r>
      <w:r w:rsidR="003E1573">
        <w:t xml:space="preserve"> later agreed that this tool or mechanism </w:t>
      </w:r>
      <w:r w:rsidR="0090481F">
        <w:t>was</w:t>
      </w:r>
      <w:r w:rsidR="003E1573">
        <w:t xml:space="preserve"> no longer </w:t>
      </w:r>
      <w:r w:rsidR="0090481F">
        <w:t>needed</w:t>
      </w:r>
      <w:r w:rsidR="002323DB">
        <w:t xml:space="preserve"> and that the CGC would advise the Department on updating its estimated costs of service delivery on Norfolk Island</w:t>
      </w:r>
      <w:r w:rsidR="003E1573">
        <w:t>.</w:t>
      </w:r>
    </w:p>
    <w:p w14:paraId="5FB980DA" w14:textId="77777777" w:rsidR="00FB62A4" w:rsidRDefault="00DE6C96" w:rsidP="00DE6C96">
      <w:pPr>
        <w:pStyle w:val="Heading3"/>
      </w:pPr>
      <w:bookmarkStart w:id="173" w:name="_Toc14687926"/>
      <w:bookmarkStart w:id="174" w:name="_Toc14688027"/>
      <w:bookmarkStart w:id="175" w:name="_Toc16854910"/>
      <w:bookmarkStart w:id="176" w:name="_Toc17105373"/>
      <w:bookmarkStart w:id="177" w:name="_Toc17105425"/>
      <w:bookmarkStart w:id="178" w:name="_Toc17105581"/>
      <w:bookmarkStart w:id="179" w:name="_Toc17380450"/>
      <w:bookmarkStart w:id="180" w:name="_Toc19262896"/>
      <w:bookmarkStart w:id="181" w:name="_Toc23847441"/>
      <w:r>
        <w:lastRenderedPageBreak/>
        <w:t>General a</w:t>
      </w:r>
      <w:r w:rsidR="00FB62A4">
        <w:t>pproach</w:t>
      </w:r>
      <w:bookmarkEnd w:id="173"/>
      <w:bookmarkEnd w:id="174"/>
      <w:bookmarkEnd w:id="175"/>
      <w:bookmarkEnd w:id="176"/>
      <w:bookmarkEnd w:id="177"/>
      <w:bookmarkEnd w:id="178"/>
      <w:bookmarkEnd w:id="179"/>
      <w:bookmarkEnd w:id="180"/>
      <w:bookmarkEnd w:id="181"/>
    </w:p>
    <w:p w14:paraId="6A910E2C" w14:textId="77777777" w:rsidR="00221584" w:rsidRDefault="003C641E" w:rsidP="00FB62A4">
      <w:pPr>
        <w:pStyle w:val="CGCNumberedPara"/>
      </w:pPr>
      <w:r>
        <w:t>The 2011 staff inquiry (2011 i</w:t>
      </w:r>
      <w:r w:rsidR="00FB62A4">
        <w:t xml:space="preserve">nquiry) into Norfolk Island </w:t>
      </w:r>
      <w:r w:rsidR="00DC6B7A">
        <w:t>was based</w:t>
      </w:r>
      <w:r w:rsidR="00FB62A4">
        <w:t xml:space="preserve"> on the </w:t>
      </w:r>
      <w:r w:rsidR="00A012B1">
        <w:t xml:space="preserve">approach </w:t>
      </w:r>
      <w:r w:rsidR="00FB62A4">
        <w:t xml:space="preserve">of the 2006 </w:t>
      </w:r>
      <w:r w:rsidR="00A012B1">
        <w:t>Commission inquiry (200</w:t>
      </w:r>
      <w:r>
        <w:t>6 i</w:t>
      </w:r>
      <w:r w:rsidR="00FB62A4">
        <w:t>nquiry)</w:t>
      </w:r>
      <w:r w:rsidR="00A012B1">
        <w:t>.</w:t>
      </w:r>
      <w:r w:rsidR="00BA6C10">
        <w:rPr>
          <w:rStyle w:val="FootnoteReference"/>
        </w:rPr>
        <w:footnoteReference w:id="2"/>
      </w:r>
      <w:r w:rsidR="00A012B1">
        <w:t xml:space="preserve"> </w:t>
      </w:r>
      <w:r w:rsidR="00BC0DFF">
        <w:t>T</w:t>
      </w:r>
      <w:r w:rsidR="00A652F3">
        <w:t xml:space="preserve">here have been significant </w:t>
      </w:r>
      <w:r w:rsidR="00A012B1">
        <w:t>changes to governance a</w:t>
      </w:r>
      <w:r w:rsidR="00A652F3">
        <w:t xml:space="preserve">rrangements for Norfolk Island and </w:t>
      </w:r>
      <w:r w:rsidR="00A012B1">
        <w:t>the C</w:t>
      </w:r>
      <w:r w:rsidR="00BC0DFF">
        <w:t>ommission’s</w:t>
      </w:r>
      <w:r w:rsidR="00861AD8">
        <w:t xml:space="preserve"> method</w:t>
      </w:r>
      <w:r w:rsidR="00BC0DFF">
        <w:t>s for measuring State financial capacities (mainly reflecting changes to S</w:t>
      </w:r>
      <w:r w:rsidR="00861AD8">
        <w:t>tate government responsibilities and new data sources)</w:t>
      </w:r>
      <w:r w:rsidR="00BC0DFF">
        <w:t xml:space="preserve"> since 2011</w:t>
      </w:r>
      <w:r w:rsidR="00A652F3">
        <w:t xml:space="preserve">. These changes have necessitated </w:t>
      </w:r>
      <w:r w:rsidR="00BC0DFF">
        <w:t xml:space="preserve">major </w:t>
      </w:r>
      <w:r w:rsidR="00A652F3">
        <w:t xml:space="preserve">changes </w:t>
      </w:r>
      <w:r w:rsidR="00BC0DFF">
        <w:t>in</w:t>
      </w:r>
      <w:r w:rsidR="00A652F3">
        <w:t xml:space="preserve"> </w:t>
      </w:r>
      <w:r w:rsidR="00A012B1">
        <w:t xml:space="preserve">the </w:t>
      </w:r>
      <w:r w:rsidR="00842308">
        <w:t>methods for</w:t>
      </w:r>
      <w:r w:rsidR="00A012B1">
        <w:t xml:space="preserve"> </w:t>
      </w:r>
      <w:r w:rsidR="00CC4ACD">
        <w:t>assessing</w:t>
      </w:r>
      <w:r w:rsidR="00A012B1">
        <w:t xml:space="preserve"> Norfolk Island costs and revenue raising capacity. </w:t>
      </w:r>
      <w:r w:rsidR="00A63923">
        <w:t xml:space="preserve">The methods for assessing service delivery costs and revenue raising capacity are </w:t>
      </w:r>
      <w:r w:rsidR="005A45CB">
        <w:t xml:space="preserve">described in </w:t>
      </w:r>
      <w:r w:rsidR="00A63923">
        <w:t>the attachments</w:t>
      </w:r>
      <w:r w:rsidR="000A55D4">
        <w:t xml:space="preserve"> to this report</w:t>
      </w:r>
      <w:r w:rsidR="00A63923">
        <w:t>.</w:t>
      </w:r>
    </w:p>
    <w:p w14:paraId="59D9AC2A" w14:textId="77777777" w:rsidR="009A418F" w:rsidRDefault="009A418F" w:rsidP="00477324">
      <w:pPr>
        <w:pStyle w:val="CGCNumberedPara"/>
      </w:pPr>
      <w:r>
        <w:t xml:space="preserve">Staff did not visit Norfolk Island during the </w:t>
      </w:r>
      <w:r w:rsidR="00DC6B7A">
        <w:t>inquiry</w:t>
      </w:r>
      <w:r>
        <w:t xml:space="preserve">. </w:t>
      </w:r>
      <w:r w:rsidR="00A63923">
        <w:t>We</w:t>
      </w:r>
      <w:r w:rsidR="00DC6B7A">
        <w:t xml:space="preserve"> agreed</w:t>
      </w:r>
      <w:r>
        <w:t xml:space="preserve"> </w:t>
      </w:r>
      <w:r w:rsidR="00A63923">
        <w:t xml:space="preserve">with </w:t>
      </w:r>
      <w:r w:rsidR="008F4885">
        <w:t>the Department</w:t>
      </w:r>
      <w:r w:rsidR="005A45CB">
        <w:t xml:space="preserve"> </w:t>
      </w:r>
      <w:r>
        <w:t xml:space="preserve">that </w:t>
      </w:r>
      <w:r w:rsidR="00A63923">
        <w:t>this</w:t>
      </w:r>
      <w:r>
        <w:t xml:space="preserve"> would be a desktop </w:t>
      </w:r>
      <w:r w:rsidR="00DC6B7A">
        <w:t>inquiry</w:t>
      </w:r>
      <w:r>
        <w:t xml:space="preserve"> and </w:t>
      </w:r>
      <w:r w:rsidR="005A45CB">
        <w:t xml:space="preserve">that we </w:t>
      </w:r>
      <w:r>
        <w:t xml:space="preserve">would collect data and other information </w:t>
      </w:r>
      <w:r w:rsidR="005A45CB">
        <w:t xml:space="preserve">for the inquiry </w:t>
      </w:r>
      <w:r>
        <w:t xml:space="preserve">from </w:t>
      </w:r>
      <w:r w:rsidR="008F4885">
        <w:t>the Department</w:t>
      </w:r>
      <w:r w:rsidR="00A63923">
        <w:t xml:space="preserve">, </w:t>
      </w:r>
      <w:r w:rsidR="00E27E8B">
        <w:t xml:space="preserve">NIRC </w:t>
      </w:r>
      <w:r w:rsidR="00A63923">
        <w:t>and third party sources</w:t>
      </w:r>
      <w:r w:rsidR="005A45CB">
        <w:t>. Throughout the inquiry</w:t>
      </w:r>
      <w:r>
        <w:t xml:space="preserve">, we have been in regular contact with </w:t>
      </w:r>
      <w:r w:rsidR="008F4885">
        <w:t>the Department</w:t>
      </w:r>
      <w:r w:rsidR="005A45CB">
        <w:t xml:space="preserve"> and </w:t>
      </w:r>
      <w:r w:rsidR="00386D65">
        <w:t>NIRC</w:t>
      </w:r>
      <w:r w:rsidR="005A45CB">
        <w:t xml:space="preserve"> and received </w:t>
      </w:r>
      <w:r>
        <w:t>significant support f</w:t>
      </w:r>
      <w:r w:rsidR="005A45CB">
        <w:t>rom them</w:t>
      </w:r>
      <w:r>
        <w:t>.</w:t>
      </w:r>
    </w:p>
    <w:p w14:paraId="0EAE9C9B" w14:textId="77777777" w:rsidR="009A418F" w:rsidRDefault="009A418F" w:rsidP="009A418F">
      <w:pPr>
        <w:pStyle w:val="CGCNumberedPara"/>
      </w:pPr>
      <w:r>
        <w:t xml:space="preserve">The main steps in the </w:t>
      </w:r>
      <w:r w:rsidR="00DC6B7A">
        <w:t>inquiry</w:t>
      </w:r>
      <w:r>
        <w:t xml:space="preserve"> we</w:t>
      </w:r>
      <w:r w:rsidR="003C54E6">
        <w:t>re</w:t>
      </w:r>
      <w:r>
        <w:t xml:space="preserve"> as follows.</w:t>
      </w:r>
    </w:p>
    <w:p w14:paraId="5BBA9583" w14:textId="6F96E17E" w:rsidR="00216775" w:rsidRDefault="009A418F" w:rsidP="0026258D">
      <w:pPr>
        <w:pStyle w:val="CGCBulletlist"/>
        <w:tabs>
          <w:tab w:val="clear" w:pos="927"/>
          <w:tab w:val="clear" w:pos="1134"/>
          <w:tab w:val="num" w:pos="851"/>
        </w:tabs>
        <w:ind w:left="851" w:hanging="284"/>
      </w:pPr>
      <w:r>
        <w:t xml:space="preserve">We </w:t>
      </w:r>
      <w:r w:rsidR="00216775">
        <w:t xml:space="preserve">collected information from </w:t>
      </w:r>
      <w:r w:rsidR="008F4885">
        <w:t>the Department</w:t>
      </w:r>
      <w:r w:rsidR="00386D65">
        <w:t>, NIRC</w:t>
      </w:r>
      <w:r w:rsidR="00216775">
        <w:t xml:space="preserve"> and </w:t>
      </w:r>
      <w:r w:rsidR="00A63923">
        <w:t>third</w:t>
      </w:r>
      <w:r w:rsidR="005C4017">
        <w:t>-</w:t>
      </w:r>
      <w:r w:rsidR="00A63923">
        <w:t>party</w:t>
      </w:r>
      <w:r w:rsidR="00216775">
        <w:t xml:space="preserve"> sources to develop an understanding of service delivery and revenue raising </w:t>
      </w:r>
      <w:r w:rsidR="005A45CB">
        <w:t xml:space="preserve">activities </w:t>
      </w:r>
      <w:r w:rsidR="00216775">
        <w:t>on the Island.</w:t>
      </w:r>
      <w:r w:rsidR="00391DC9">
        <w:t xml:space="preserve"> We consulted the Department and NIRC several times during March 2019 to August 2019 regarding this information and to clarify the service delivery and revenue collection approach and issues.</w:t>
      </w:r>
      <w:r w:rsidR="00216775">
        <w:t xml:space="preserve"> </w:t>
      </w:r>
      <w:r w:rsidR="00391DC9">
        <w:t>These extensive consultations</w:t>
      </w:r>
      <w:r w:rsidR="00325A5A">
        <w:t xml:space="preserve"> provided </w:t>
      </w:r>
      <w:r w:rsidR="00B90B38">
        <w:t>an understanding of</w:t>
      </w:r>
      <w:r w:rsidR="00216775">
        <w:t xml:space="preserve"> the </w:t>
      </w:r>
      <w:r w:rsidR="00A9522E">
        <w:t xml:space="preserve">unique </w:t>
      </w:r>
      <w:r w:rsidR="00216775">
        <w:t xml:space="preserve">circumstances of Norfolk Island and </w:t>
      </w:r>
      <w:r w:rsidR="00325A5A">
        <w:t xml:space="preserve">assisted in </w:t>
      </w:r>
      <w:r w:rsidR="00216775">
        <w:t>identify</w:t>
      </w:r>
      <w:r w:rsidR="00325A5A">
        <w:t>ing</w:t>
      </w:r>
      <w:r w:rsidR="00216775">
        <w:t xml:space="preserve"> comparable </w:t>
      </w:r>
      <w:r w:rsidR="00325A5A">
        <w:t xml:space="preserve">Australian </w:t>
      </w:r>
      <w:r w:rsidR="00216775">
        <w:t xml:space="preserve">communities </w:t>
      </w:r>
      <w:r w:rsidR="006C2824">
        <w:t>for</w:t>
      </w:r>
      <w:r w:rsidR="00216775">
        <w:t xml:space="preserve"> </w:t>
      </w:r>
      <w:r w:rsidR="00325A5A">
        <w:t>costing</w:t>
      </w:r>
      <w:r w:rsidR="00216775">
        <w:t xml:space="preserve"> </w:t>
      </w:r>
      <w:r w:rsidR="006C2824">
        <w:t>purposes</w:t>
      </w:r>
      <w:r w:rsidR="00216775">
        <w:t>.</w:t>
      </w:r>
    </w:p>
    <w:p w14:paraId="2006AD11" w14:textId="77777777" w:rsidR="006C2824" w:rsidRDefault="006C2824" w:rsidP="00654CA9">
      <w:pPr>
        <w:pStyle w:val="CGCBulletlist"/>
        <w:tabs>
          <w:tab w:val="clear" w:pos="927"/>
          <w:tab w:val="clear" w:pos="1134"/>
          <w:tab w:val="num" w:pos="851"/>
        </w:tabs>
        <w:ind w:left="851" w:hanging="284"/>
      </w:pPr>
      <w:r>
        <w:t xml:space="preserve">The assessments </w:t>
      </w:r>
      <w:r w:rsidR="003C54E6">
        <w:t xml:space="preserve">of service delivery costs and revenue raising capacity </w:t>
      </w:r>
      <w:r w:rsidR="00BA1D28">
        <w:t>require</w:t>
      </w:r>
      <w:r w:rsidR="00F61462">
        <w:t>d</w:t>
      </w:r>
      <w:r w:rsidR="0026258D">
        <w:t xml:space="preserve"> </w:t>
      </w:r>
      <w:r w:rsidR="000A55D4">
        <w:t>financial data on S</w:t>
      </w:r>
      <w:r>
        <w:t xml:space="preserve">tate and local </w:t>
      </w:r>
      <w:r w:rsidR="00F61462">
        <w:t>government expen</w:t>
      </w:r>
      <w:r w:rsidR="000A55D4">
        <w:t>ses</w:t>
      </w:r>
      <w:r>
        <w:t xml:space="preserve"> and revenue</w:t>
      </w:r>
      <w:r w:rsidR="000A55D4">
        <w:t>s</w:t>
      </w:r>
      <w:r w:rsidR="003C54E6">
        <w:t>.</w:t>
      </w:r>
      <w:r w:rsidR="00F61462">
        <w:t xml:space="preserve"> </w:t>
      </w:r>
      <w:r w:rsidR="000A55D4">
        <w:t>The State financial data were available from the Commission’s inquiries into State finances. Local government data were mainly sourced from Australian Bureau of Statistics</w:t>
      </w:r>
      <w:r w:rsidR="00BD1156">
        <w:t>’</w:t>
      </w:r>
      <w:r w:rsidR="000A55D4">
        <w:t xml:space="preserve"> (ABS) </w:t>
      </w:r>
      <w:r w:rsidR="00BD1156">
        <w:t>G</w:t>
      </w:r>
      <w:r w:rsidR="000A55D4">
        <w:t xml:space="preserve">overnment </w:t>
      </w:r>
      <w:r w:rsidR="00BD1156">
        <w:t>F</w:t>
      </w:r>
      <w:r w:rsidR="000A55D4">
        <w:t xml:space="preserve">inance </w:t>
      </w:r>
      <w:r w:rsidR="00BD1156">
        <w:t>S</w:t>
      </w:r>
      <w:r w:rsidR="000A55D4">
        <w:t>tatistics</w:t>
      </w:r>
      <w:r w:rsidR="00DA43CA">
        <w:t xml:space="preserve"> (GFS)</w:t>
      </w:r>
      <w:r w:rsidR="000A55D4">
        <w:t xml:space="preserve">. </w:t>
      </w:r>
      <w:r w:rsidR="00C418BD">
        <w:t>F</w:t>
      </w:r>
      <w:r>
        <w:t xml:space="preserve">inancial </w:t>
      </w:r>
      <w:r w:rsidR="009209CE">
        <w:t>data</w:t>
      </w:r>
      <w:r>
        <w:t xml:space="preserve"> for Norfolk Island</w:t>
      </w:r>
      <w:r w:rsidR="009D6485">
        <w:t xml:space="preserve"> were provided by </w:t>
      </w:r>
      <w:r w:rsidR="008F4885">
        <w:t>the Department</w:t>
      </w:r>
      <w:r w:rsidR="009D6485">
        <w:t xml:space="preserve"> </w:t>
      </w:r>
      <w:r w:rsidR="00386D65">
        <w:t>and NIRC</w:t>
      </w:r>
      <w:r w:rsidR="00DA43CA">
        <w:t>.</w:t>
      </w:r>
      <w:r w:rsidR="001D2F1B">
        <w:t xml:space="preserve"> </w:t>
      </w:r>
      <w:r w:rsidR="003C54E6">
        <w:t>Population data were also needed</w:t>
      </w:r>
      <w:r w:rsidR="00DA43CA">
        <w:t>, which were sourced</w:t>
      </w:r>
      <w:r w:rsidR="00263EDD">
        <w:t xml:space="preserve"> from</w:t>
      </w:r>
      <w:r w:rsidR="00DA43CA">
        <w:t xml:space="preserve"> the </w:t>
      </w:r>
      <w:r w:rsidR="00C418BD">
        <w:t>A</w:t>
      </w:r>
      <w:r w:rsidR="001D1A25">
        <w:t>BS</w:t>
      </w:r>
      <w:r w:rsidR="003C54E6">
        <w:t>.</w:t>
      </w:r>
    </w:p>
    <w:p w14:paraId="3B2A1CEC" w14:textId="77777777" w:rsidR="001D1A25" w:rsidRDefault="009A418F" w:rsidP="00B97E35">
      <w:pPr>
        <w:pStyle w:val="CGCBulletlist"/>
        <w:tabs>
          <w:tab w:val="clear" w:pos="927"/>
          <w:tab w:val="clear" w:pos="1134"/>
          <w:tab w:val="num" w:pos="851"/>
        </w:tabs>
        <w:ind w:left="851" w:hanging="284"/>
      </w:pPr>
      <w:r>
        <w:t>W</w:t>
      </w:r>
      <w:r w:rsidR="0026258D">
        <w:t>e calculated a</w:t>
      </w:r>
      <w:r w:rsidR="002C73A7">
        <w:t>ssessed expen</w:t>
      </w:r>
      <w:r w:rsidR="000A55D4">
        <w:t>ses</w:t>
      </w:r>
      <w:r w:rsidR="0026258D">
        <w:t xml:space="preserve"> and revenue</w:t>
      </w:r>
      <w:r w:rsidR="009E1714">
        <w:t xml:space="preserve"> for </w:t>
      </w:r>
      <w:r w:rsidR="00325A5A">
        <w:t>all</w:t>
      </w:r>
      <w:r w:rsidR="009E1714">
        <w:t xml:space="preserve"> major </w:t>
      </w:r>
      <w:r w:rsidR="000A55D4">
        <w:t>S</w:t>
      </w:r>
      <w:r w:rsidR="00325A5A">
        <w:t>tate-type and local government services</w:t>
      </w:r>
      <w:r w:rsidR="001D1A25">
        <w:t xml:space="preserve"> and revenues</w:t>
      </w:r>
      <w:r w:rsidR="002B0BCA">
        <w:t xml:space="preserve">. </w:t>
      </w:r>
    </w:p>
    <w:p w14:paraId="59A468F8" w14:textId="77777777" w:rsidR="001D1A25" w:rsidRPr="000A55D4" w:rsidRDefault="002B0BCA" w:rsidP="000A55D4">
      <w:pPr>
        <w:pStyle w:val="CGCSubbulletlist"/>
        <w:ind w:left="1418"/>
      </w:pPr>
      <w:r w:rsidRPr="000A55D4">
        <w:t>Assessed expen</w:t>
      </w:r>
      <w:r w:rsidR="000A55D4">
        <w:t>ses are</w:t>
      </w:r>
      <w:r w:rsidRPr="000A55D4">
        <w:t xml:space="preserve"> the </w:t>
      </w:r>
      <w:r w:rsidR="002D2A02">
        <w:t>costs of delivering</w:t>
      </w:r>
      <w:r w:rsidR="000A55D4">
        <w:t xml:space="preserve"> comparable S</w:t>
      </w:r>
      <w:r w:rsidRPr="000A55D4">
        <w:t>tate</w:t>
      </w:r>
      <w:r w:rsidR="00DC6B7A" w:rsidRPr="000A55D4">
        <w:noBreakHyphen/>
      </w:r>
      <w:r w:rsidR="00325A5A" w:rsidRPr="000A55D4">
        <w:t>type</w:t>
      </w:r>
      <w:r w:rsidRPr="000A55D4">
        <w:t xml:space="preserve"> and local government services and infrastructure on Norfolk Island</w:t>
      </w:r>
      <w:r w:rsidR="00A63923" w:rsidRPr="000A55D4">
        <w:t xml:space="preserve"> having regard to th</w:t>
      </w:r>
      <w:r w:rsidR="000A55D4">
        <w:t xml:space="preserve">e </w:t>
      </w:r>
      <w:r w:rsidR="008056F0">
        <w:t>unique circumstances</w:t>
      </w:r>
      <w:r w:rsidR="000A55D4">
        <w:t xml:space="preserve"> of the I</w:t>
      </w:r>
      <w:r w:rsidR="00A63923" w:rsidRPr="000A55D4">
        <w:t>sland</w:t>
      </w:r>
      <w:r w:rsidR="001D1A25" w:rsidRPr="000A55D4">
        <w:t>.</w:t>
      </w:r>
    </w:p>
    <w:p w14:paraId="135BC6C4" w14:textId="77777777" w:rsidR="001D1A25" w:rsidRPr="000A55D4" w:rsidRDefault="009E1714" w:rsidP="000A55D4">
      <w:pPr>
        <w:pStyle w:val="CGCSubbulletlist"/>
        <w:ind w:left="1418"/>
      </w:pPr>
      <w:r w:rsidRPr="000A55D4">
        <w:lastRenderedPageBreak/>
        <w:t>Assessed revenue is the amount that would be raised</w:t>
      </w:r>
      <w:r w:rsidR="000A55D4">
        <w:t xml:space="preserve"> from S</w:t>
      </w:r>
      <w:r w:rsidRPr="000A55D4">
        <w:t>tate</w:t>
      </w:r>
      <w:r w:rsidR="001D1A25" w:rsidRPr="000A55D4">
        <w:t>-type</w:t>
      </w:r>
      <w:r w:rsidRPr="000A55D4">
        <w:t xml:space="preserve"> and local </w:t>
      </w:r>
      <w:r w:rsidR="001D1A25" w:rsidRPr="000A55D4">
        <w:t xml:space="preserve">equivalent revenue bases </w:t>
      </w:r>
      <w:r w:rsidRPr="000A55D4">
        <w:t xml:space="preserve">if comparable Australian revenue raising efforts were made. </w:t>
      </w:r>
    </w:p>
    <w:p w14:paraId="42E50A6B" w14:textId="77777777" w:rsidR="0026258D" w:rsidRDefault="00B97E35" w:rsidP="00291057">
      <w:pPr>
        <w:pStyle w:val="CGCNumberedPara"/>
      </w:pPr>
      <w:r>
        <w:t>To the extent that it was appropriate, t</w:t>
      </w:r>
      <w:r w:rsidR="00325A5A">
        <w:t xml:space="preserve">he assessments of </w:t>
      </w:r>
      <w:r w:rsidR="000A55D4">
        <w:t>S</w:t>
      </w:r>
      <w:r>
        <w:t xml:space="preserve">tate-type </w:t>
      </w:r>
      <w:r w:rsidR="009E1714">
        <w:t>expen</w:t>
      </w:r>
      <w:r w:rsidR="000A55D4">
        <w:t>ses</w:t>
      </w:r>
      <w:r w:rsidR="009E1714">
        <w:t xml:space="preserve"> and revenue</w:t>
      </w:r>
      <w:r w:rsidR="000A55D4">
        <w:t>s</w:t>
      </w:r>
      <w:r>
        <w:t xml:space="preserve"> </w:t>
      </w:r>
      <w:r w:rsidR="000A55D4">
        <w:t xml:space="preserve">were based on the Commission’s </w:t>
      </w:r>
      <w:r>
        <w:t xml:space="preserve">latest methods. The assessment of local government expenses </w:t>
      </w:r>
      <w:r w:rsidR="009E1714">
        <w:t xml:space="preserve">and revenue </w:t>
      </w:r>
      <w:r>
        <w:t>used a mixture of methods</w:t>
      </w:r>
      <w:r w:rsidR="00C418BD">
        <w:t>,</w:t>
      </w:r>
      <w:r>
        <w:t xml:space="preserve"> including those used by </w:t>
      </w:r>
      <w:r w:rsidR="0023035C">
        <w:t xml:space="preserve">States’ </w:t>
      </w:r>
      <w:r>
        <w:t xml:space="preserve">Local </w:t>
      </w:r>
      <w:r w:rsidR="00263C1F">
        <w:t>Government Grants Commissions.</w:t>
      </w:r>
    </w:p>
    <w:p w14:paraId="67CD9411" w14:textId="77777777" w:rsidR="00BA1D28" w:rsidRDefault="00325A5A" w:rsidP="00263C1F">
      <w:pPr>
        <w:pStyle w:val="CGCNumberedPara"/>
      </w:pPr>
      <w:r>
        <w:t>For most services and revenues, o</w:t>
      </w:r>
      <w:r w:rsidR="00BA1D28">
        <w:t xml:space="preserve">ur assessments did not require actual expenditure and revenue data for Norfolk Island. Nevertheless, we </w:t>
      </w:r>
      <w:r w:rsidR="001D1A25">
        <w:t>collected</w:t>
      </w:r>
      <w:r w:rsidR="00BA1D28">
        <w:t xml:space="preserve"> this </w:t>
      </w:r>
      <w:r w:rsidR="001D1A25">
        <w:t>information</w:t>
      </w:r>
      <w:r w:rsidR="00BA1D28">
        <w:t xml:space="preserve"> to </w:t>
      </w:r>
      <w:r w:rsidR="000A55D4">
        <w:t>help build our understanding and to</w:t>
      </w:r>
      <w:r w:rsidR="00605C6C">
        <w:t xml:space="preserve"> double </w:t>
      </w:r>
      <w:r w:rsidR="00BA1D28">
        <w:t>check</w:t>
      </w:r>
      <w:r w:rsidR="00605C6C">
        <w:t xml:space="preserve"> </w:t>
      </w:r>
      <w:r w:rsidR="00BA1D28">
        <w:t xml:space="preserve">the assessed </w:t>
      </w:r>
      <w:r>
        <w:t>expen</w:t>
      </w:r>
      <w:r w:rsidR="006D39EC">
        <w:t>ses</w:t>
      </w:r>
      <w:r>
        <w:t xml:space="preserve"> and </w:t>
      </w:r>
      <w:r w:rsidR="00BA1D28">
        <w:t xml:space="preserve">revenue. For example, if the assessed </w:t>
      </w:r>
      <w:r w:rsidR="001D1A25">
        <w:t>expen</w:t>
      </w:r>
      <w:r w:rsidR="006D39EC">
        <w:t>ses</w:t>
      </w:r>
      <w:r w:rsidR="00BA1D28">
        <w:t xml:space="preserve"> differed </w:t>
      </w:r>
      <w:r w:rsidR="006D39EC">
        <w:t xml:space="preserve">markedly </w:t>
      </w:r>
      <w:r w:rsidR="00BA1D28">
        <w:t xml:space="preserve">from the actual </w:t>
      </w:r>
      <w:r w:rsidR="006D39EC">
        <w:t xml:space="preserve">spending on </w:t>
      </w:r>
      <w:r w:rsidR="002D2A02">
        <w:t>the Island</w:t>
      </w:r>
      <w:r w:rsidR="00BA1D28">
        <w:t>, we</w:t>
      </w:r>
      <w:r w:rsidR="006D39EC">
        <w:t xml:space="preserve"> considered</w:t>
      </w:r>
      <w:r w:rsidR="00BA1D28">
        <w:t xml:space="preserve"> whether the current standard of services on Norfolk Island matched </w:t>
      </w:r>
      <w:r w:rsidR="006D39EC">
        <w:t>that</w:t>
      </w:r>
      <w:r w:rsidR="00BA1D28">
        <w:t xml:space="preserve"> in comparable communities, or whether </w:t>
      </w:r>
      <w:r w:rsidR="006D39EC">
        <w:t xml:space="preserve">the assessment method did not capture </w:t>
      </w:r>
      <w:r w:rsidR="00BA1D28">
        <w:t xml:space="preserve">a cost advantage or disadvantage </w:t>
      </w:r>
      <w:r w:rsidR="006D39EC">
        <w:t>faced on Norfolk Island</w:t>
      </w:r>
      <w:r w:rsidR="00BA1D28">
        <w:t>.</w:t>
      </w:r>
      <w:r w:rsidR="00263C1F">
        <w:t xml:space="preserve"> </w:t>
      </w:r>
      <w:r w:rsidR="006D39EC">
        <w:t>In some cases, we sought to</w:t>
      </w:r>
      <w:r w:rsidR="00263C1F">
        <w:t xml:space="preserve"> validate our findings</w:t>
      </w:r>
      <w:r w:rsidR="006D39EC">
        <w:t xml:space="preserve"> using </w:t>
      </w:r>
      <w:r w:rsidR="00263C1F">
        <w:t xml:space="preserve">comparisons </w:t>
      </w:r>
      <w:r w:rsidR="006D39EC">
        <w:t>with</w:t>
      </w:r>
      <w:r w:rsidR="00263C1F">
        <w:t xml:space="preserve"> other communities facing similar circumstances to Norfolk Island (for example, King Island or the Indian Ocean Territories)</w:t>
      </w:r>
      <w:r w:rsidR="006D39EC">
        <w:t>.</w:t>
      </w:r>
    </w:p>
    <w:p w14:paraId="54B65147" w14:textId="77777777" w:rsidR="00B97E35" w:rsidRDefault="00B97E35" w:rsidP="00B97E35">
      <w:pPr>
        <w:pStyle w:val="CGCNumberedPara"/>
      </w:pPr>
      <w:r>
        <w:t>Initially</w:t>
      </w:r>
      <w:r w:rsidR="006D39EC">
        <w:t>,</w:t>
      </w:r>
      <w:r>
        <w:t xml:space="preserve"> we tried to collect Norfolk Island data for two years, 2016</w:t>
      </w:r>
      <w:r>
        <w:noBreakHyphen/>
        <w:t>17 and 2017</w:t>
      </w:r>
      <w:r>
        <w:noBreakHyphen/>
        <w:t xml:space="preserve">18, but in the end the analysis focused </w:t>
      </w:r>
      <w:r w:rsidR="006D39EC">
        <w:t xml:space="preserve">only </w:t>
      </w:r>
      <w:r w:rsidR="000D4F13">
        <w:t xml:space="preserve">on </w:t>
      </w:r>
      <w:r>
        <w:t>2017</w:t>
      </w:r>
      <w:r>
        <w:noBreakHyphen/>
        <w:t xml:space="preserve">18. </w:t>
      </w:r>
      <w:r w:rsidR="00C038AA">
        <w:t>As</w:t>
      </w:r>
      <w:r w:rsidR="00C20F5D">
        <w:t xml:space="preserve"> the new governance and administrative arrangements were introduced in July 2016, t</w:t>
      </w:r>
      <w:r>
        <w:t>he 2017</w:t>
      </w:r>
      <w:r>
        <w:noBreakHyphen/>
        <w:t xml:space="preserve">18 </w:t>
      </w:r>
      <w:r w:rsidR="006D39EC">
        <w:t xml:space="preserve">data </w:t>
      </w:r>
      <w:r>
        <w:t xml:space="preserve">were considered more reliable and reflective of Norfolk Island circumstances going forward. </w:t>
      </w:r>
    </w:p>
    <w:p w14:paraId="7158E95B" w14:textId="77777777" w:rsidR="006C5A56" w:rsidRDefault="00B97E35" w:rsidP="00221584">
      <w:pPr>
        <w:pStyle w:val="CGCNumberedPara"/>
      </w:pPr>
      <w:r>
        <w:t xml:space="preserve">The </w:t>
      </w:r>
      <w:r w:rsidR="000737B6">
        <w:t>T</w:t>
      </w:r>
      <w:r w:rsidR="00355B5C">
        <w:t xml:space="preserve">erms of </w:t>
      </w:r>
      <w:r w:rsidR="000737B6">
        <w:t>R</w:t>
      </w:r>
      <w:r w:rsidR="00C20F5D">
        <w:t>eference say</w:t>
      </w:r>
      <w:r>
        <w:t xml:space="preserve"> the inquiry </w:t>
      </w:r>
      <w:r w:rsidR="00C20F5D">
        <w:t xml:space="preserve">should </w:t>
      </w:r>
      <w:r>
        <w:t xml:space="preserve">refer to and, where applicable, update the 2011 Norfolk Island Inquiry. For each </w:t>
      </w:r>
      <w:r w:rsidR="001040D4">
        <w:t xml:space="preserve">expenditure and revenue </w:t>
      </w:r>
      <w:r>
        <w:t xml:space="preserve">assessment, we considered the suitability of the </w:t>
      </w:r>
      <w:r w:rsidR="001040D4">
        <w:t xml:space="preserve">2011 methods, which were largely based on </w:t>
      </w:r>
      <w:r w:rsidR="00C20F5D">
        <w:t xml:space="preserve">methods devised in the </w:t>
      </w:r>
      <w:r w:rsidR="001040D4">
        <w:t xml:space="preserve">2006 </w:t>
      </w:r>
      <w:r w:rsidR="00C20F5D">
        <w:t>Inquiry</w:t>
      </w:r>
      <w:r w:rsidR="001040D4">
        <w:t xml:space="preserve">. </w:t>
      </w:r>
      <w:r w:rsidR="002C73A7">
        <w:t>T</w:t>
      </w:r>
      <w:r w:rsidR="00221584">
        <w:t>h</w:t>
      </w:r>
      <w:r w:rsidR="007B29BE">
        <w:t>ose methods</w:t>
      </w:r>
      <w:r w:rsidR="00221584">
        <w:t xml:space="preserve"> used </w:t>
      </w:r>
      <w:r w:rsidR="00A63923">
        <w:t xml:space="preserve">adjusted </w:t>
      </w:r>
      <w:r w:rsidR="00221584">
        <w:t>actual Norfolk Island expen</w:t>
      </w:r>
      <w:r w:rsidR="00C20F5D">
        <w:t>ses</w:t>
      </w:r>
      <w:r w:rsidR="00221584">
        <w:t xml:space="preserve"> as the basis for estimating </w:t>
      </w:r>
      <w:r w:rsidR="002C73A7">
        <w:t xml:space="preserve">assessed </w:t>
      </w:r>
      <w:r w:rsidR="001D1A25">
        <w:t>expen</w:t>
      </w:r>
      <w:r w:rsidR="00C20F5D">
        <w:t>ses</w:t>
      </w:r>
      <w:r w:rsidR="002C73A7">
        <w:t xml:space="preserve"> for many major services</w:t>
      </w:r>
      <w:r w:rsidR="00221584">
        <w:t xml:space="preserve">. </w:t>
      </w:r>
      <w:r w:rsidR="00C20F5D">
        <w:t xml:space="preserve">Updating those methods using costs derived from the current service delivery contracts would not support </w:t>
      </w:r>
      <w:r w:rsidR="00221584">
        <w:t>one of the</w:t>
      </w:r>
      <w:r w:rsidR="00C20F5D">
        <w:t xml:space="preserve"> aims </w:t>
      </w:r>
      <w:r w:rsidR="00221584">
        <w:t xml:space="preserve">of this </w:t>
      </w:r>
      <w:r w:rsidR="00C20F5D">
        <w:t xml:space="preserve">inquiry, which is to assist </w:t>
      </w:r>
      <w:r w:rsidR="00221584">
        <w:t xml:space="preserve">the costing of </w:t>
      </w:r>
      <w:r w:rsidR="00C20F5D">
        <w:t>S</w:t>
      </w:r>
      <w:r w:rsidR="00221584">
        <w:t>tate</w:t>
      </w:r>
      <w:r w:rsidR="00A63923">
        <w:noBreakHyphen/>
      </w:r>
      <w:r w:rsidR="00221584">
        <w:t xml:space="preserve">type government services on Norfolk. </w:t>
      </w:r>
      <w:r w:rsidR="00BE44F6">
        <w:t xml:space="preserve">In addition, </w:t>
      </w:r>
      <w:r w:rsidR="00C20F5D">
        <w:t xml:space="preserve">some </w:t>
      </w:r>
      <w:r w:rsidR="00BE44F6">
        <w:t xml:space="preserve">of </w:t>
      </w:r>
      <w:r w:rsidR="00C20F5D">
        <w:t xml:space="preserve">the 2006 and 2011 Inquiry </w:t>
      </w:r>
      <w:r w:rsidR="00BE44F6">
        <w:t>revenue assessments used estimates of revenue bases that relied on partial information</w:t>
      </w:r>
      <w:r w:rsidR="00C74F4A">
        <w:t xml:space="preserve"> (for example, land values were estimated in 2006 and extrapolated </w:t>
      </w:r>
      <w:r w:rsidR="00D52622">
        <w:t xml:space="preserve">for </w:t>
      </w:r>
      <w:r w:rsidR="00C74F4A">
        <w:t>the 2011 inquiry)</w:t>
      </w:r>
      <w:r w:rsidR="00BE44F6">
        <w:t>.</w:t>
      </w:r>
      <w:r w:rsidR="001040D4">
        <w:t xml:space="preserve"> For some assessments, data </w:t>
      </w:r>
      <w:r w:rsidR="00F15BEA">
        <w:t xml:space="preserve">that </w:t>
      </w:r>
      <w:r w:rsidR="001040D4">
        <w:t>were not</w:t>
      </w:r>
      <w:r w:rsidR="007B29BE">
        <w:t xml:space="preserve"> previously</w:t>
      </w:r>
      <w:r w:rsidR="001040D4">
        <w:t xml:space="preserve"> available</w:t>
      </w:r>
      <w:r w:rsidR="00F15BEA">
        <w:t xml:space="preserve"> </w:t>
      </w:r>
      <w:r w:rsidR="00D52622">
        <w:t xml:space="preserve">became </w:t>
      </w:r>
      <w:r w:rsidR="00F15BEA">
        <w:t>available and have been used in this Inquiry.</w:t>
      </w:r>
      <w:r w:rsidR="001040D4">
        <w:t xml:space="preserve"> </w:t>
      </w:r>
    </w:p>
    <w:p w14:paraId="7AFD3CB8" w14:textId="77777777" w:rsidR="00167267" w:rsidRDefault="00167267" w:rsidP="00167267">
      <w:pPr>
        <w:pStyle w:val="Heading3"/>
      </w:pPr>
      <w:bookmarkStart w:id="182" w:name="_Toc16854911"/>
      <w:bookmarkStart w:id="183" w:name="_Toc17105374"/>
      <w:bookmarkStart w:id="184" w:name="_Toc17105426"/>
      <w:bookmarkStart w:id="185" w:name="_Toc17105582"/>
      <w:bookmarkStart w:id="186" w:name="_Toc17380451"/>
      <w:bookmarkStart w:id="187" w:name="_Toc19262897"/>
      <w:bookmarkStart w:id="188" w:name="_Toc23847442"/>
      <w:bookmarkStart w:id="189" w:name="_Toc14687927"/>
      <w:bookmarkStart w:id="190" w:name="_Toc14688028"/>
      <w:r>
        <w:lastRenderedPageBreak/>
        <w:t>Concepts</w:t>
      </w:r>
      <w:bookmarkEnd w:id="182"/>
      <w:bookmarkEnd w:id="183"/>
      <w:bookmarkEnd w:id="184"/>
      <w:bookmarkEnd w:id="185"/>
      <w:bookmarkEnd w:id="186"/>
      <w:bookmarkEnd w:id="187"/>
      <w:bookmarkEnd w:id="188"/>
      <w:r>
        <w:t xml:space="preserve"> </w:t>
      </w:r>
    </w:p>
    <w:p w14:paraId="600F5800" w14:textId="77777777" w:rsidR="002C2C1C" w:rsidRDefault="002C2C1C" w:rsidP="002C2C1C">
      <w:pPr>
        <w:pStyle w:val="Heading4"/>
      </w:pPr>
      <w:bookmarkStart w:id="191" w:name="_Toc16854912"/>
      <w:bookmarkStart w:id="192" w:name="_Toc17105375"/>
      <w:bookmarkStart w:id="193" w:name="_Toc17105427"/>
      <w:bookmarkStart w:id="194" w:name="_Toc17105583"/>
      <w:bookmarkStart w:id="195" w:name="_Toc17380452"/>
      <w:bookmarkStart w:id="196" w:name="_Toc19262898"/>
      <w:bookmarkStart w:id="197" w:name="_Toc23847443"/>
      <w:r>
        <w:t>Comparable communities</w:t>
      </w:r>
      <w:bookmarkEnd w:id="189"/>
      <w:bookmarkEnd w:id="190"/>
      <w:bookmarkEnd w:id="191"/>
      <w:bookmarkEnd w:id="192"/>
      <w:bookmarkEnd w:id="193"/>
      <w:bookmarkEnd w:id="194"/>
      <w:bookmarkEnd w:id="195"/>
      <w:bookmarkEnd w:id="196"/>
      <w:bookmarkEnd w:id="197"/>
      <w:r w:rsidR="00167267">
        <w:t xml:space="preserve"> </w:t>
      </w:r>
    </w:p>
    <w:p w14:paraId="47AFED43" w14:textId="77777777" w:rsidR="006B41E5" w:rsidRDefault="002C2C1C" w:rsidP="002C2C1C">
      <w:pPr>
        <w:pStyle w:val="CGCNumberedPara"/>
      </w:pPr>
      <w:r>
        <w:t xml:space="preserve">The </w:t>
      </w:r>
      <w:r w:rsidR="00904311">
        <w:t>Terms of Reference ask</w:t>
      </w:r>
      <w:r w:rsidR="00C053FE">
        <w:t>ed</w:t>
      </w:r>
      <w:r w:rsidR="00167267">
        <w:t xml:space="preserve"> us to make our calculations by reference to revenues raised and services provided in comparable communities</w:t>
      </w:r>
      <w:r w:rsidR="006B41E5">
        <w:t xml:space="preserve"> and allow for other circumstances of Norfolk Island</w:t>
      </w:r>
      <w:r w:rsidR="00F61B5D">
        <w:t xml:space="preserve">. </w:t>
      </w:r>
    </w:p>
    <w:p w14:paraId="432E0772" w14:textId="77777777" w:rsidR="006B41E5" w:rsidRDefault="00904311" w:rsidP="002C2C1C">
      <w:pPr>
        <w:pStyle w:val="CGCNumberedPara"/>
      </w:pPr>
      <w:r>
        <w:t xml:space="preserve">This conceptual approach </w:t>
      </w:r>
      <w:r w:rsidR="006B41E5">
        <w:t>recognise</w:t>
      </w:r>
      <w:r w:rsidR="00C053FE">
        <w:t>s</w:t>
      </w:r>
      <w:r w:rsidR="006B41E5">
        <w:t xml:space="preserve"> that</w:t>
      </w:r>
      <w:r w:rsidR="00C053FE">
        <w:t>,</w:t>
      </w:r>
      <w:r w:rsidR="006B41E5">
        <w:t xml:space="preserve"> while Norfolk Island requires services similar to those in comparable communities, there are particular circumstances that mean those services cannot be provided at the same cost</w:t>
      </w:r>
      <w:r w:rsidR="001747AA">
        <w:t>,</w:t>
      </w:r>
      <w:r w:rsidR="006B41E5">
        <w:t xml:space="preserve"> or </w:t>
      </w:r>
      <w:r w:rsidR="001747AA">
        <w:t xml:space="preserve">that </w:t>
      </w:r>
      <w:r w:rsidR="006B41E5">
        <w:t xml:space="preserve">other </w:t>
      </w:r>
      <w:r w:rsidR="001747AA">
        <w:t xml:space="preserve">supplementary </w:t>
      </w:r>
      <w:r w:rsidR="006B41E5">
        <w:t xml:space="preserve">services may be required. Similarly, circumstances on Norfolk Island may mean </w:t>
      </w:r>
      <w:r w:rsidR="00F42AB2">
        <w:t xml:space="preserve">per capita </w:t>
      </w:r>
      <w:r w:rsidR="006B41E5">
        <w:t xml:space="preserve">revenue </w:t>
      </w:r>
      <w:r w:rsidR="00F42AB2">
        <w:t>collected there may differ from that in comparable communities, even when the same revenue raising effort is made</w:t>
      </w:r>
      <w:r w:rsidR="00F61B5D">
        <w:t xml:space="preserve">. </w:t>
      </w:r>
    </w:p>
    <w:p w14:paraId="57E06DAA" w14:textId="77777777" w:rsidR="00A91204" w:rsidRPr="00454BD7" w:rsidRDefault="00F42AB2" w:rsidP="00F36C50">
      <w:pPr>
        <w:pStyle w:val="CGCNumberedPara"/>
      </w:pPr>
      <w:r>
        <w:t xml:space="preserve">In general terms, we considered Norfolk Island was comparable to small, very remote communities with a </w:t>
      </w:r>
      <w:r w:rsidR="00532269">
        <w:t xml:space="preserve">relatively </w:t>
      </w:r>
      <w:r>
        <w:t xml:space="preserve">low </w:t>
      </w:r>
      <w:r w:rsidR="00CB0792">
        <w:t xml:space="preserve">Aboriginal or Torres Strait Islander </w:t>
      </w:r>
      <w:r>
        <w:t>population in the States</w:t>
      </w:r>
      <w:r w:rsidR="00F61B5D">
        <w:t xml:space="preserve">. </w:t>
      </w:r>
      <w:r w:rsidR="00A91204">
        <w:t>However, our concept of comparable communities d</w:t>
      </w:r>
      <w:r>
        <w:t>id</w:t>
      </w:r>
      <w:r w:rsidR="00A91204">
        <w:t xml:space="preserve"> not rely on full comparability</w:t>
      </w:r>
      <w:r>
        <w:t xml:space="preserve"> with an actual community</w:t>
      </w:r>
      <w:r w:rsidR="00A91204">
        <w:t xml:space="preserve">. Instead, </w:t>
      </w:r>
      <w:r w:rsidR="002D21EF">
        <w:t xml:space="preserve">it relied on establishing a base from </w:t>
      </w:r>
      <w:r w:rsidR="00A91204">
        <w:t xml:space="preserve">the costs </w:t>
      </w:r>
      <w:r w:rsidR="002D21EF">
        <w:t xml:space="preserve">and revenues </w:t>
      </w:r>
      <w:r w:rsidR="00A91204">
        <w:t xml:space="preserve">in communities or regions where the major features are </w:t>
      </w:r>
      <w:r w:rsidR="002D21EF">
        <w:t xml:space="preserve">broadly </w:t>
      </w:r>
      <w:r w:rsidR="00A91204">
        <w:t>comparable with those on Norfolk Island and ma</w:t>
      </w:r>
      <w:r w:rsidR="002D21EF">
        <w:t>king</w:t>
      </w:r>
      <w:r w:rsidR="00A91204">
        <w:t xml:space="preserve"> adjustments to </w:t>
      </w:r>
      <w:r w:rsidR="002D21EF">
        <w:t xml:space="preserve">it to </w:t>
      </w:r>
      <w:r w:rsidR="00A91204">
        <w:t>better recognise any other circumstances of Norfolk Island</w:t>
      </w:r>
      <w:r w:rsidR="00F61B5D">
        <w:t xml:space="preserve">. </w:t>
      </w:r>
    </w:p>
    <w:p w14:paraId="57DBF703" w14:textId="77777777" w:rsidR="002C2C1C" w:rsidRDefault="002C2C1C" w:rsidP="002C2C1C">
      <w:pPr>
        <w:pStyle w:val="Heading4"/>
      </w:pPr>
      <w:bookmarkStart w:id="198" w:name="_Toc14687928"/>
      <w:bookmarkStart w:id="199" w:name="_Toc14688029"/>
      <w:bookmarkStart w:id="200" w:name="_Toc16854913"/>
      <w:bookmarkStart w:id="201" w:name="_Toc17105376"/>
      <w:bookmarkStart w:id="202" w:name="_Toc17105428"/>
      <w:bookmarkStart w:id="203" w:name="_Toc17105584"/>
      <w:bookmarkStart w:id="204" w:name="_Toc17380453"/>
      <w:bookmarkStart w:id="205" w:name="_Toc19262899"/>
      <w:bookmarkStart w:id="206" w:name="_Toc23847444"/>
      <w:r>
        <w:t>Norfolk Island circumstances</w:t>
      </w:r>
      <w:bookmarkEnd w:id="198"/>
      <w:bookmarkEnd w:id="199"/>
      <w:bookmarkEnd w:id="200"/>
      <w:bookmarkEnd w:id="201"/>
      <w:bookmarkEnd w:id="202"/>
      <w:bookmarkEnd w:id="203"/>
      <w:bookmarkEnd w:id="204"/>
      <w:bookmarkEnd w:id="205"/>
      <w:bookmarkEnd w:id="206"/>
    </w:p>
    <w:p w14:paraId="2CA00947" w14:textId="77777777" w:rsidR="002C2C1C" w:rsidRDefault="002C2C1C" w:rsidP="00E81116">
      <w:pPr>
        <w:pStyle w:val="CGCNumberedPara"/>
      </w:pPr>
      <w:r>
        <w:t xml:space="preserve">Circumstances that </w:t>
      </w:r>
      <w:r w:rsidR="00E81116">
        <w:t>make Norfolk Island different from other communities in Australia</w:t>
      </w:r>
      <w:r w:rsidR="00483ECE">
        <w:t>,</w:t>
      </w:r>
      <w:r w:rsidR="00E81116">
        <w:t xml:space="preserve"> and which affect its </w:t>
      </w:r>
      <w:r>
        <w:t>financial capacity</w:t>
      </w:r>
      <w:r w:rsidR="00483ECE">
        <w:t>,</w:t>
      </w:r>
      <w:r>
        <w:t xml:space="preserve"> include</w:t>
      </w:r>
      <w:r w:rsidR="00E81116">
        <w:t xml:space="preserve"> its island status and isolated location</w:t>
      </w:r>
      <w:r w:rsidR="00483ECE">
        <w:t>;</w:t>
      </w:r>
      <w:r w:rsidR="00E81116">
        <w:t xml:space="preserve"> its narrow economic base with a strong reliance on tourism; its small size, which affects the ability to achieve economies of scale in service delivery; its population characteristics; and its governance arrangements. </w:t>
      </w:r>
    </w:p>
    <w:p w14:paraId="1290C4CF" w14:textId="77777777" w:rsidR="002C2C1C" w:rsidRPr="00454BD7" w:rsidRDefault="002C2C1C" w:rsidP="002C2C1C">
      <w:pPr>
        <w:pStyle w:val="CGCNumberedPara"/>
      </w:pPr>
      <w:r w:rsidRPr="00E81116">
        <w:t>Chapter 2</w:t>
      </w:r>
      <w:r>
        <w:t xml:space="preserve"> discusses </w:t>
      </w:r>
      <w:r w:rsidR="00E81116">
        <w:t>h</w:t>
      </w:r>
      <w:r>
        <w:t>ow these factors influence Norfolk Island costs and revenue.</w:t>
      </w:r>
    </w:p>
    <w:p w14:paraId="56DAEEC6" w14:textId="77777777" w:rsidR="00DE6C96" w:rsidRDefault="00DE6C96" w:rsidP="00E81116">
      <w:pPr>
        <w:pStyle w:val="Heading4"/>
      </w:pPr>
      <w:bookmarkStart w:id="207" w:name="_Toc16854914"/>
      <w:bookmarkStart w:id="208" w:name="_Toc17105377"/>
      <w:bookmarkStart w:id="209" w:name="_Toc17105429"/>
      <w:bookmarkStart w:id="210" w:name="_Toc17105585"/>
      <w:bookmarkStart w:id="211" w:name="_Toc17380454"/>
      <w:bookmarkStart w:id="212" w:name="_Toc19262900"/>
      <w:bookmarkStart w:id="213" w:name="_Toc23847445"/>
      <w:bookmarkStart w:id="214" w:name="_Toc14687930"/>
      <w:bookmarkStart w:id="215" w:name="_Toc14688031"/>
      <w:r>
        <w:t>Average efficiency</w:t>
      </w:r>
      <w:bookmarkEnd w:id="207"/>
      <w:bookmarkEnd w:id="208"/>
      <w:bookmarkEnd w:id="209"/>
      <w:bookmarkEnd w:id="210"/>
      <w:bookmarkEnd w:id="211"/>
      <w:bookmarkEnd w:id="212"/>
      <w:bookmarkEnd w:id="213"/>
    </w:p>
    <w:p w14:paraId="2806F6E6" w14:textId="77777777" w:rsidR="00C41C4E" w:rsidRDefault="00E81116" w:rsidP="00167267">
      <w:pPr>
        <w:pStyle w:val="CGCNumberedPara"/>
      </w:pPr>
      <w:r>
        <w:t xml:space="preserve">The </w:t>
      </w:r>
      <w:r w:rsidR="000737B6">
        <w:t>T</w:t>
      </w:r>
      <w:r w:rsidR="00C053FE">
        <w:t xml:space="preserve">erms of </w:t>
      </w:r>
      <w:r w:rsidR="000737B6">
        <w:t>R</w:t>
      </w:r>
      <w:r w:rsidR="00C053FE">
        <w:t>eference required</w:t>
      </w:r>
      <w:r>
        <w:t xml:space="preserve"> us to base our </w:t>
      </w:r>
      <w:r w:rsidR="00167267">
        <w:t xml:space="preserve">estimates </w:t>
      </w:r>
      <w:r>
        <w:t xml:space="preserve">of service delivery costs on the assumption services </w:t>
      </w:r>
      <w:r w:rsidR="00167267">
        <w:t>are deliver</w:t>
      </w:r>
      <w:r>
        <w:t>ed</w:t>
      </w:r>
      <w:r w:rsidR="00167267">
        <w:t xml:space="preserve"> at </w:t>
      </w:r>
      <w:r>
        <w:t>the</w:t>
      </w:r>
      <w:r w:rsidR="00167267">
        <w:t xml:space="preserve"> average level of efficiency in comparable communities elsewhere in Australia. </w:t>
      </w:r>
    </w:p>
    <w:p w14:paraId="2E3AAEA5" w14:textId="77777777" w:rsidR="00DE6C96" w:rsidRDefault="00C41C4E" w:rsidP="00FF695E">
      <w:pPr>
        <w:pStyle w:val="CGCNumberedPara"/>
      </w:pPr>
      <w:r>
        <w:t>As in all other Commission inquiries, w</w:t>
      </w:r>
      <w:r w:rsidR="00167267">
        <w:t xml:space="preserve">e have assumed the average level of efficiency is reflected in the average amount spent by States, local government or comparable communities. However, an allowance has been included to recognise that </w:t>
      </w:r>
      <w:r w:rsidR="002D2A02">
        <w:t>some</w:t>
      </w:r>
      <w:r w:rsidR="00FF695E">
        <w:t xml:space="preserve"> costs incurred in delivering </w:t>
      </w:r>
      <w:r w:rsidR="004517EC">
        <w:t xml:space="preserve">administrative and regulatory </w:t>
      </w:r>
      <w:r w:rsidR="00FF695E">
        <w:t>services are independent of the size of the community. For example, all local governments have</w:t>
      </w:r>
      <w:r w:rsidR="00532269">
        <w:t xml:space="preserve"> a level of fixed costs to cover</w:t>
      </w:r>
      <w:r w:rsidR="00FF695E">
        <w:t xml:space="preserve"> </w:t>
      </w:r>
      <w:r w:rsidR="00FF695E" w:rsidRPr="00FF695E">
        <w:t xml:space="preserve">elected </w:t>
      </w:r>
      <w:r w:rsidR="00FF695E">
        <w:t>officials, general manager</w:t>
      </w:r>
      <w:r w:rsidR="00532269">
        <w:t>(s)</w:t>
      </w:r>
      <w:r w:rsidR="00FF695E">
        <w:t xml:space="preserve">, group managers and support staff </w:t>
      </w:r>
      <w:r w:rsidR="00FF695E">
        <w:lastRenderedPageBreak/>
        <w:t xml:space="preserve">providing corporate and financial services, </w:t>
      </w:r>
      <w:r w:rsidR="00FF695E" w:rsidRPr="00FF695E">
        <w:t>and other administrative functions</w:t>
      </w:r>
      <w:r w:rsidR="00F61B5D">
        <w:t xml:space="preserve">. </w:t>
      </w:r>
      <w:r w:rsidR="004517EC">
        <w:t>T</w:t>
      </w:r>
      <w:r>
        <w:t xml:space="preserve">he small size of the Norfolk community means </w:t>
      </w:r>
      <w:r w:rsidR="00EE1B07">
        <w:t xml:space="preserve">that </w:t>
      </w:r>
      <w:r>
        <w:t>the per capita cost of those services is higher than the average</w:t>
      </w:r>
      <w:r w:rsidR="00167267">
        <w:t>.</w:t>
      </w:r>
    </w:p>
    <w:p w14:paraId="1C4AC8A9" w14:textId="77777777" w:rsidR="00D4225E" w:rsidRDefault="00D4225E" w:rsidP="00D4225E">
      <w:pPr>
        <w:pStyle w:val="Heading3"/>
      </w:pPr>
      <w:bookmarkStart w:id="216" w:name="_Toc16854915"/>
      <w:bookmarkStart w:id="217" w:name="_Toc17105378"/>
      <w:bookmarkStart w:id="218" w:name="_Toc17105430"/>
      <w:bookmarkStart w:id="219" w:name="_Toc17105586"/>
      <w:bookmarkStart w:id="220" w:name="_Toc17380455"/>
      <w:bookmarkStart w:id="221" w:name="_Toc19262901"/>
      <w:bookmarkStart w:id="222" w:name="_Toc23847446"/>
      <w:r>
        <w:t>Other Issues</w:t>
      </w:r>
      <w:bookmarkEnd w:id="216"/>
      <w:bookmarkEnd w:id="217"/>
      <w:bookmarkEnd w:id="218"/>
      <w:bookmarkEnd w:id="219"/>
      <w:bookmarkEnd w:id="220"/>
      <w:bookmarkEnd w:id="221"/>
      <w:bookmarkEnd w:id="222"/>
    </w:p>
    <w:p w14:paraId="7C00B144" w14:textId="77777777" w:rsidR="002D35D2" w:rsidRDefault="002D35D2" w:rsidP="0047573A">
      <w:pPr>
        <w:pStyle w:val="Heading4"/>
      </w:pPr>
      <w:bookmarkStart w:id="223" w:name="_Toc16854916"/>
      <w:bookmarkStart w:id="224" w:name="_Toc17105379"/>
      <w:bookmarkStart w:id="225" w:name="_Toc17105431"/>
      <w:bookmarkStart w:id="226" w:name="_Toc17105587"/>
      <w:bookmarkStart w:id="227" w:name="_Toc17380456"/>
      <w:bookmarkStart w:id="228" w:name="_Toc19262902"/>
      <w:bookmarkStart w:id="229" w:name="_Toc23847447"/>
      <w:r>
        <w:t>Service delivery arrangements</w:t>
      </w:r>
      <w:bookmarkEnd w:id="223"/>
      <w:bookmarkEnd w:id="224"/>
      <w:bookmarkEnd w:id="225"/>
      <w:bookmarkEnd w:id="226"/>
      <w:bookmarkEnd w:id="227"/>
      <w:bookmarkEnd w:id="228"/>
      <w:bookmarkEnd w:id="229"/>
    </w:p>
    <w:p w14:paraId="419D6E8C" w14:textId="77777777" w:rsidR="002D35D2" w:rsidRDefault="002D35D2" w:rsidP="002D35D2">
      <w:pPr>
        <w:pStyle w:val="CGCNumberedPara"/>
      </w:pPr>
      <w:r>
        <w:t>Under the current arrangements for service delivery on Norfolk Island:</w:t>
      </w:r>
    </w:p>
    <w:p w14:paraId="4FA6B99D" w14:textId="77777777" w:rsidR="002D35D2" w:rsidRDefault="002D35D2" w:rsidP="002D35D2">
      <w:pPr>
        <w:pStyle w:val="CGCBulletlist"/>
      </w:pPr>
      <w:r>
        <w:t>Commonwealth-type activities are delivered on Norfolk Island by Australian Government agencies responsible for them in the rest of Australia</w:t>
      </w:r>
    </w:p>
    <w:p w14:paraId="4A2BA42F" w14:textId="77777777" w:rsidR="002D35D2" w:rsidRDefault="008F4885" w:rsidP="002D35D2">
      <w:pPr>
        <w:pStyle w:val="CGCBulletlist"/>
      </w:pPr>
      <w:r>
        <w:t>The Department</w:t>
      </w:r>
      <w:r w:rsidR="002D35D2">
        <w:t xml:space="preserve"> has responsibility for State-type services. It has set up a number of service delivery agreements whereby it funds the services but they are delivered by a mix of </w:t>
      </w:r>
      <w:r w:rsidR="00030D19" w:rsidRPr="005F464A">
        <w:t xml:space="preserve">mainland based </w:t>
      </w:r>
      <w:r w:rsidR="00D15A32">
        <w:t>and on-Island service providers</w:t>
      </w:r>
    </w:p>
    <w:p w14:paraId="07468B59" w14:textId="77777777" w:rsidR="002D35D2" w:rsidRDefault="00FB1E57" w:rsidP="002D35D2">
      <w:pPr>
        <w:pStyle w:val="CGCBulletlist"/>
      </w:pPr>
      <w:r>
        <w:t>NIRC</w:t>
      </w:r>
      <w:r w:rsidR="002D35D2">
        <w:t xml:space="preserve"> </w:t>
      </w:r>
      <w:r w:rsidR="00030D19">
        <w:t xml:space="preserve">is responsible for local government-type activities, but also provides some services that are normally Commonwealth or State activities (such as </w:t>
      </w:r>
      <w:r w:rsidR="006A776A">
        <w:t>telecommunications and electricity)</w:t>
      </w:r>
      <w:r w:rsidR="00F61B5D">
        <w:t xml:space="preserve">. </w:t>
      </w:r>
      <w:r w:rsidR="00455DAB">
        <w:t>Some State-type services are provided by NIRC under contract from the Commonwealth.</w:t>
      </w:r>
    </w:p>
    <w:p w14:paraId="385C9ADE" w14:textId="77777777" w:rsidR="00030D19" w:rsidRPr="00030D19" w:rsidRDefault="00030D19" w:rsidP="002D35D2">
      <w:pPr>
        <w:pStyle w:val="CGCNumberedPara"/>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t>Further discussion of the governance and administrative arrangements is in Chapter 2 and a diagram presenting an overview of which governments and agencies are responsible for delivering services is in Attachment A.</w:t>
      </w:r>
    </w:p>
    <w:bookmarkEnd w:id="214"/>
    <w:bookmarkEnd w:id="215"/>
    <w:p w14:paraId="53ADFFB4" w14:textId="77777777" w:rsidR="002C2C1C" w:rsidRDefault="009D25DE" w:rsidP="002C2C1C">
      <w:pPr>
        <w:pStyle w:val="CGCNumberedPara"/>
      </w:pPr>
      <w:r>
        <w:t xml:space="preserve">The </w:t>
      </w:r>
      <w:r w:rsidR="00C849DE">
        <w:t>T</w:t>
      </w:r>
      <w:r w:rsidR="006107EE">
        <w:t xml:space="preserve">erms of </w:t>
      </w:r>
      <w:r w:rsidR="00C849DE">
        <w:t>R</w:t>
      </w:r>
      <w:r w:rsidR="006107EE">
        <w:t>eference asked</w:t>
      </w:r>
      <w:r w:rsidR="006A776A">
        <w:t xml:space="preserve"> us to consider S</w:t>
      </w:r>
      <w:r>
        <w:t>tate and local government</w:t>
      </w:r>
      <w:r w:rsidR="006A776A">
        <w:t>-</w:t>
      </w:r>
      <w:r>
        <w:t xml:space="preserve">type functions including legacy </w:t>
      </w:r>
      <w:r w:rsidR="004517EC">
        <w:t>S</w:t>
      </w:r>
      <w:r>
        <w:t>tate-type government business enterprises</w:t>
      </w:r>
      <w:r w:rsidR="005C4017">
        <w:t>.</w:t>
      </w:r>
    </w:p>
    <w:p w14:paraId="55377A0D" w14:textId="77777777" w:rsidR="006A776A" w:rsidRDefault="006A776A" w:rsidP="002C2C1C">
      <w:pPr>
        <w:pStyle w:val="CGCNumberedPara"/>
      </w:pPr>
      <w:r>
        <w:t>Consequently, o</w:t>
      </w:r>
      <w:r w:rsidR="002C2C1C" w:rsidRPr="0005064B">
        <w:t xml:space="preserve">ur assessments </w:t>
      </w:r>
      <w:r>
        <w:t xml:space="preserve">excluded </w:t>
      </w:r>
      <w:r w:rsidR="002C2C1C" w:rsidRPr="0005064B">
        <w:t xml:space="preserve">Commonwealth </w:t>
      </w:r>
      <w:r w:rsidR="00FE224F">
        <w:t xml:space="preserve">services and revenues. </w:t>
      </w:r>
      <w:r w:rsidR="002C2C1C" w:rsidRPr="0005064B">
        <w:t xml:space="preserve">This includes spending </w:t>
      </w:r>
      <w:r>
        <w:t xml:space="preserve">and revenues associated with programs such as </w:t>
      </w:r>
      <w:r w:rsidR="002C2C1C" w:rsidRPr="0005064B">
        <w:t>the Medical Benefits Scheme</w:t>
      </w:r>
      <w:r w:rsidR="00BD38E7">
        <w:t xml:space="preserve"> (MBS)</w:t>
      </w:r>
      <w:r w:rsidR="002C2C1C" w:rsidRPr="0005064B">
        <w:t>, Pharmaceutical Benefits Scheme</w:t>
      </w:r>
      <w:r w:rsidR="00BD38E7">
        <w:t xml:space="preserve"> (PBS)</w:t>
      </w:r>
      <w:r>
        <w:t>,</w:t>
      </w:r>
      <w:r w:rsidR="002C2C1C" w:rsidRPr="0005064B">
        <w:t xml:space="preserve"> income support payments</w:t>
      </w:r>
      <w:r w:rsidR="00DB5752">
        <w:t xml:space="preserve"> and </w:t>
      </w:r>
      <w:r>
        <w:t>Commonwealth</w:t>
      </w:r>
      <w:r w:rsidR="00DB5752">
        <w:t xml:space="preserve"> taxes</w:t>
      </w:r>
      <w:r w:rsidR="002C2C1C" w:rsidRPr="0005064B">
        <w:t xml:space="preserve">. </w:t>
      </w:r>
      <w:r w:rsidR="008C7B71">
        <w:t xml:space="preserve">In the case of </w:t>
      </w:r>
      <w:r w:rsidR="008C7B71" w:rsidRPr="0005064B">
        <w:t xml:space="preserve">the National Disability Insurance </w:t>
      </w:r>
      <w:r w:rsidR="008C7B71">
        <w:t>Scheme</w:t>
      </w:r>
      <w:r w:rsidR="00BD38E7">
        <w:t xml:space="preserve"> (NDIS)</w:t>
      </w:r>
      <w:r w:rsidR="008C7B71" w:rsidRPr="0005064B">
        <w:t>,</w:t>
      </w:r>
      <w:r w:rsidR="008C7B71">
        <w:t xml:space="preserve"> we excluded expenses incurred by the Commonwealth in delivering services but we have included the amounts States contribute towards the </w:t>
      </w:r>
      <w:r w:rsidR="007039D0">
        <w:t>scheme.</w:t>
      </w:r>
    </w:p>
    <w:p w14:paraId="4C522082" w14:textId="77777777" w:rsidR="006B0EAE" w:rsidRDefault="002C2C1C" w:rsidP="002C2C1C">
      <w:pPr>
        <w:pStyle w:val="CGCNumberedPara"/>
      </w:pPr>
      <w:r w:rsidRPr="0005064B">
        <w:t xml:space="preserve">We also </w:t>
      </w:r>
      <w:r w:rsidR="006A776A">
        <w:t xml:space="preserve">excluded revenues and expenses related to </w:t>
      </w:r>
      <w:r w:rsidR="006B0EAE">
        <w:t xml:space="preserve">activities on Norfolk Island where the </w:t>
      </w:r>
      <w:r w:rsidR="00DB5752">
        <w:t xml:space="preserve">Commonwealth </w:t>
      </w:r>
      <w:r w:rsidR="006B0EAE">
        <w:t>has accepted the responsibility</w:t>
      </w:r>
      <w:r w:rsidR="00F61B5D">
        <w:t xml:space="preserve">. </w:t>
      </w:r>
      <w:r w:rsidR="006B0EAE">
        <w:t xml:space="preserve">These include </w:t>
      </w:r>
      <w:r w:rsidRPr="0005064B">
        <w:t>the Kingston and Arthur’s Vale Historic A</w:t>
      </w:r>
      <w:r w:rsidR="00FE224F">
        <w:t xml:space="preserve">rea </w:t>
      </w:r>
      <w:r w:rsidR="006C5EB1">
        <w:t xml:space="preserve">(KAVHA) </w:t>
      </w:r>
      <w:r w:rsidR="00FE224F">
        <w:t>World Heritage site, the</w:t>
      </w:r>
      <w:r w:rsidRPr="0005064B">
        <w:t xml:space="preserve"> National Park</w:t>
      </w:r>
      <w:r w:rsidR="00DB5752">
        <w:t>,</w:t>
      </w:r>
      <w:r w:rsidR="00FE224F">
        <w:t xml:space="preserve"> </w:t>
      </w:r>
      <w:r w:rsidR="00BC0418">
        <w:t xml:space="preserve">passenger airline </w:t>
      </w:r>
      <w:r w:rsidR="006E25AB">
        <w:t>underwriting,</w:t>
      </w:r>
      <w:r w:rsidR="008E5AF6">
        <w:t xml:space="preserve"> air freight </w:t>
      </w:r>
      <w:r w:rsidR="006E25AB">
        <w:t>subsidies</w:t>
      </w:r>
      <w:r w:rsidR="00BC0418">
        <w:t xml:space="preserve"> </w:t>
      </w:r>
      <w:r w:rsidR="008E5AF6">
        <w:t xml:space="preserve">and </w:t>
      </w:r>
      <w:r w:rsidR="00DB5752">
        <w:t>m</w:t>
      </w:r>
      <w:r w:rsidR="00760B8F">
        <w:t>ajor capital works</w:t>
      </w:r>
      <w:r w:rsidR="006B0EAE">
        <w:t xml:space="preserve">, such as </w:t>
      </w:r>
      <w:r w:rsidR="00760B8F">
        <w:t xml:space="preserve">airport runway </w:t>
      </w:r>
      <w:r w:rsidR="008E5AF6">
        <w:t xml:space="preserve">repaving </w:t>
      </w:r>
      <w:r w:rsidR="00760B8F">
        <w:t xml:space="preserve">and </w:t>
      </w:r>
      <w:r w:rsidR="006B0EAE">
        <w:t xml:space="preserve">jetty upgrades. </w:t>
      </w:r>
    </w:p>
    <w:p w14:paraId="05B608A0" w14:textId="77777777" w:rsidR="002C2C1C" w:rsidRDefault="00DB5752" w:rsidP="002C2C1C">
      <w:pPr>
        <w:pStyle w:val="CGCNumberedPara"/>
      </w:pPr>
      <w:r>
        <w:t xml:space="preserve">The activities of Norfolk Island </w:t>
      </w:r>
      <w:r w:rsidR="00064F3E">
        <w:t>Telecom</w:t>
      </w:r>
      <w:r>
        <w:t xml:space="preserve"> </w:t>
      </w:r>
      <w:r w:rsidR="006B0EAE">
        <w:t>we</w:t>
      </w:r>
      <w:r>
        <w:t>re also excluded from our ana</w:t>
      </w:r>
      <w:r w:rsidR="00654CA9">
        <w:t xml:space="preserve">lysis because telecommunications are </w:t>
      </w:r>
      <w:r>
        <w:t>a Commonwealth</w:t>
      </w:r>
      <w:r w:rsidR="005C4017">
        <w:t xml:space="preserve"> responsibility</w:t>
      </w:r>
      <w:r>
        <w:t>.</w:t>
      </w:r>
    </w:p>
    <w:p w14:paraId="33759D18" w14:textId="77777777" w:rsidR="00354341" w:rsidRPr="0005064B" w:rsidRDefault="00354341" w:rsidP="002C2C1C">
      <w:pPr>
        <w:pStyle w:val="CGCNumberedPara"/>
      </w:pPr>
      <w:r>
        <w:t xml:space="preserve">In those cases where </w:t>
      </w:r>
      <w:r w:rsidR="00145FD1">
        <w:t>NIRC</w:t>
      </w:r>
      <w:r>
        <w:t xml:space="preserve"> provides services that are normally a State service (the main example is electricity generation) we included the relevant revenues and </w:t>
      </w:r>
      <w:r>
        <w:lastRenderedPageBreak/>
        <w:t xml:space="preserve">expenses in our analysis of State-type matters and excluded them from the local government analyses. We also treated some tourism promotion expenses incurred by </w:t>
      </w:r>
      <w:r w:rsidR="00145FD1">
        <w:t>NIRC</w:t>
      </w:r>
      <w:r>
        <w:t xml:space="preserve"> as State-type expenses because responsibility for tourism is normally split between State and local governments</w:t>
      </w:r>
      <w:r w:rsidR="00F61B5D">
        <w:t xml:space="preserve">. </w:t>
      </w:r>
    </w:p>
    <w:p w14:paraId="421879AF" w14:textId="77777777" w:rsidR="002C2C1C" w:rsidRPr="002C2C1C" w:rsidRDefault="002C2C1C" w:rsidP="00AC41B2">
      <w:pPr>
        <w:pStyle w:val="Heading4"/>
        <w:rPr>
          <w:i/>
        </w:rPr>
      </w:pPr>
      <w:bookmarkStart w:id="230" w:name="_Toc16854917"/>
      <w:bookmarkStart w:id="231" w:name="_Toc17105380"/>
      <w:bookmarkStart w:id="232" w:name="_Toc17105432"/>
      <w:bookmarkStart w:id="233" w:name="_Toc17105588"/>
      <w:bookmarkStart w:id="234" w:name="_Toc17380457"/>
      <w:bookmarkStart w:id="235" w:name="_Toc19262903"/>
      <w:bookmarkStart w:id="236" w:name="_Toc23847448"/>
      <w:r>
        <w:t>Functional classification</w:t>
      </w:r>
      <w:r w:rsidR="00D4225E">
        <w:t xml:space="preserve"> of expenses</w:t>
      </w:r>
      <w:bookmarkEnd w:id="230"/>
      <w:bookmarkEnd w:id="231"/>
      <w:bookmarkEnd w:id="232"/>
      <w:bookmarkEnd w:id="233"/>
      <w:bookmarkEnd w:id="234"/>
      <w:bookmarkEnd w:id="235"/>
      <w:bookmarkEnd w:id="236"/>
    </w:p>
    <w:p w14:paraId="400111DB" w14:textId="77777777" w:rsidR="00B72B05" w:rsidRDefault="00F11B31" w:rsidP="00B72B05">
      <w:pPr>
        <w:pStyle w:val="CGCNumberedPara"/>
      </w:pPr>
      <w:r>
        <w:t>T</w:t>
      </w:r>
      <w:r w:rsidR="00CC4ACD">
        <w:t xml:space="preserve">he </w:t>
      </w:r>
      <w:r w:rsidR="00C849DE">
        <w:t>T</w:t>
      </w:r>
      <w:r w:rsidR="00AC41B2">
        <w:t xml:space="preserve">erms of </w:t>
      </w:r>
      <w:r w:rsidR="00C849DE">
        <w:t>R</w:t>
      </w:r>
      <w:r w:rsidR="00AC41B2">
        <w:t xml:space="preserve">eference </w:t>
      </w:r>
      <w:r w:rsidR="00CC4ACD">
        <w:t>ask</w:t>
      </w:r>
      <w:r w:rsidR="00C0115A">
        <w:t xml:space="preserve"> </w:t>
      </w:r>
      <w:r w:rsidR="00AC41B2">
        <w:t xml:space="preserve">us to provide </w:t>
      </w:r>
      <w:r w:rsidR="00CC4ACD">
        <w:t xml:space="preserve">a breakdown </w:t>
      </w:r>
      <w:r w:rsidR="00AC41B2">
        <w:t xml:space="preserve">by expense categories </w:t>
      </w:r>
      <w:r w:rsidR="00CC4ACD">
        <w:t xml:space="preserve">of </w:t>
      </w:r>
      <w:r w:rsidR="00AC41B2">
        <w:t>State</w:t>
      </w:r>
      <w:r w:rsidR="004517EC">
        <w:noBreakHyphen/>
      </w:r>
      <w:r w:rsidR="00AC41B2">
        <w:t xml:space="preserve">type </w:t>
      </w:r>
      <w:r w:rsidR="00CC4ACD">
        <w:t>services</w:t>
      </w:r>
      <w:r w:rsidR="00AC41B2">
        <w:t xml:space="preserve">, local government-type services and legacy State-type government business </w:t>
      </w:r>
      <w:r w:rsidR="009B7DD7">
        <w:t xml:space="preserve">enterprises (see </w:t>
      </w:r>
      <w:r w:rsidR="00AC41B2">
        <w:t>Attachment B</w:t>
      </w:r>
      <w:r w:rsidR="009B7DD7">
        <w:t>)</w:t>
      </w:r>
      <w:r w:rsidR="00AC41B2">
        <w:t>.</w:t>
      </w:r>
    </w:p>
    <w:p w14:paraId="0416CBE3" w14:textId="77777777" w:rsidR="00F863A8" w:rsidRDefault="00F863A8" w:rsidP="00B72B05">
      <w:pPr>
        <w:pStyle w:val="CGCNumberedPara"/>
      </w:pPr>
      <w:r>
        <w:t>To prepare those details, we used th</w:t>
      </w:r>
      <w:r w:rsidR="00CC4ACD">
        <w:t xml:space="preserve">e </w:t>
      </w:r>
      <w:r>
        <w:t>same breakdown of S</w:t>
      </w:r>
      <w:r w:rsidR="00CC4ACD">
        <w:t xml:space="preserve">tate-type government services </w:t>
      </w:r>
      <w:r>
        <w:t>as the Commission uses in its inquiries into State finances</w:t>
      </w:r>
      <w:r w:rsidR="007D0B40">
        <w:t xml:space="preserve">, which is based on the </w:t>
      </w:r>
      <w:r w:rsidR="00B97E35">
        <w:t>GFS</w:t>
      </w:r>
      <w:r w:rsidR="00CC4ACD">
        <w:t xml:space="preserve"> Classification of Functions of Government — Australia</w:t>
      </w:r>
      <w:r w:rsidR="007A3530">
        <w:t xml:space="preserve"> (COFOG-A)</w:t>
      </w:r>
      <w:r w:rsidR="00CC4ACD">
        <w:t xml:space="preserve"> </w:t>
      </w:r>
      <w:r>
        <w:t xml:space="preserve">prepared by the </w:t>
      </w:r>
      <w:r w:rsidR="003945DD">
        <w:t>ABS</w:t>
      </w:r>
      <w:r>
        <w:t>.</w:t>
      </w:r>
      <w:r w:rsidR="00CC4ACD">
        <w:t xml:space="preserve"> </w:t>
      </w:r>
      <w:r w:rsidR="003945DD">
        <w:t>The classification of local government activities was also based on the ABS classification.</w:t>
      </w:r>
    </w:p>
    <w:p w14:paraId="79988852" w14:textId="77777777" w:rsidR="007D0B40" w:rsidRDefault="00F863A8" w:rsidP="003945DD">
      <w:pPr>
        <w:pStyle w:val="CGCBulletlist"/>
      </w:pPr>
      <w:r>
        <w:t>S</w:t>
      </w:r>
      <w:r w:rsidR="00BE44F6">
        <w:t xml:space="preserve">tate </w:t>
      </w:r>
      <w:r w:rsidR="007D0B40">
        <w:t xml:space="preserve">services </w:t>
      </w:r>
      <w:r w:rsidR="003945DD">
        <w:t>we</w:t>
      </w:r>
      <w:r>
        <w:t xml:space="preserve">re classified </w:t>
      </w:r>
      <w:r w:rsidR="007D0B40">
        <w:t xml:space="preserve">into 11 functional groups: Schools, </w:t>
      </w:r>
      <w:r w:rsidR="000236A9">
        <w:t>Post-secondary education</w:t>
      </w:r>
      <w:r w:rsidR="007D0B40">
        <w:t xml:space="preserve">, Health, Welfare, Housing, Justice, Services to communities, Roads, Transport, Services to industry and Other expenses. </w:t>
      </w:r>
      <w:r w:rsidR="0047573A">
        <w:t>Many of</w:t>
      </w:r>
      <w:r w:rsidR="007D0B40">
        <w:t xml:space="preserve"> th</w:t>
      </w:r>
      <w:r>
        <w:t>o</w:t>
      </w:r>
      <w:r w:rsidR="007D0B40">
        <w:t>se function</w:t>
      </w:r>
      <w:r>
        <w:t xml:space="preserve">al groups </w:t>
      </w:r>
      <w:r w:rsidR="003945DD">
        <w:t>we</w:t>
      </w:r>
      <w:r w:rsidR="0047573A">
        <w:t xml:space="preserve">re </w:t>
      </w:r>
      <w:r w:rsidR="00F11B31">
        <w:t>split into sub-functions to</w:t>
      </w:r>
      <w:r w:rsidR="00BA6C10">
        <w:t xml:space="preserve"> facilitate the assessments</w:t>
      </w:r>
      <w:r w:rsidR="0047573A">
        <w:t xml:space="preserve">. For example, </w:t>
      </w:r>
      <w:r w:rsidR="004517EC">
        <w:t>health services were sp</w:t>
      </w:r>
      <w:r w:rsidR="006107EE">
        <w:t xml:space="preserve">lit into hospital services (on </w:t>
      </w:r>
      <w:r w:rsidR="004517EC">
        <w:t xml:space="preserve">and off-island), patient transport and community health. </w:t>
      </w:r>
    </w:p>
    <w:p w14:paraId="6BB2AF37" w14:textId="77777777" w:rsidR="003945DD" w:rsidRDefault="003945DD" w:rsidP="003945DD">
      <w:pPr>
        <w:pStyle w:val="CGCBulletlist"/>
      </w:pPr>
      <w:r>
        <w:t xml:space="preserve">Local government services were classified into </w:t>
      </w:r>
      <w:r w:rsidR="004517EC">
        <w:t xml:space="preserve">11 </w:t>
      </w:r>
      <w:r>
        <w:t>functional groups: General administration; Health, housing and welfare; Law, order and public safety; Planning and community amenities; Environmental protection; Recreation and culture</w:t>
      </w:r>
      <w:r w:rsidR="003640DB">
        <w:t>; Tourism;</w:t>
      </w:r>
      <w:r>
        <w:t xml:space="preserve"> Roads</w:t>
      </w:r>
      <w:r w:rsidR="003640DB">
        <w:t xml:space="preserve"> and bridges;</w:t>
      </w:r>
      <w:r>
        <w:t xml:space="preserve"> Depreciation; </w:t>
      </w:r>
      <w:r w:rsidR="003640DB">
        <w:t xml:space="preserve">Debt charges </w:t>
      </w:r>
      <w:r>
        <w:t>and Other expenses</w:t>
      </w:r>
      <w:r w:rsidR="00F61B5D">
        <w:t xml:space="preserve">. </w:t>
      </w:r>
    </w:p>
    <w:p w14:paraId="40F8D3E1" w14:textId="77777777" w:rsidR="004C009E" w:rsidRPr="004C009E" w:rsidRDefault="00F6227F" w:rsidP="009A3060">
      <w:pPr>
        <w:pStyle w:val="Heading4"/>
        <w:rPr>
          <w:i/>
        </w:rPr>
      </w:pPr>
      <w:bookmarkStart w:id="237" w:name="_Toc16854918"/>
      <w:bookmarkStart w:id="238" w:name="_Toc17105381"/>
      <w:bookmarkStart w:id="239" w:name="_Toc17105433"/>
      <w:bookmarkStart w:id="240" w:name="_Toc17105589"/>
      <w:bookmarkStart w:id="241" w:name="_Toc17380458"/>
      <w:bookmarkStart w:id="242" w:name="_Toc19262904"/>
      <w:bookmarkStart w:id="243" w:name="_Toc23847449"/>
      <w:r>
        <w:t xml:space="preserve">Government </w:t>
      </w:r>
      <w:r w:rsidR="009A3060">
        <w:t>b</w:t>
      </w:r>
      <w:r>
        <w:t xml:space="preserve">usiness </w:t>
      </w:r>
      <w:r w:rsidR="009A3060">
        <w:t>e</w:t>
      </w:r>
      <w:r>
        <w:t>nterprises</w:t>
      </w:r>
      <w:bookmarkEnd w:id="237"/>
      <w:bookmarkEnd w:id="238"/>
      <w:bookmarkEnd w:id="239"/>
      <w:bookmarkEnd w:id="240"/>
      <w:bookmarkEnd w:id="241"/>
      <w:bookmarkEnd w:id="242"/>
      <w:bookmarkEnd w:id="243"/>
    </w:p>
    <w:p w14:paraId="24E5452B" w14:textId="77777777" w:rsidR="009A3060" w:rsidRDefault="00145FD1" w:rsidP="00477324">
      <w:pPr>
        <w:pStyle w:val="CGCNumberedPara"/>
      </w:pPr>
      <w:r>
        <w:t xml:space="preserve">NIRC </w:t>
      </w:r>
      <w:r w:rsidR="009A3060">
        <w:t xml:space="preserve">provides many services for which fees and charges are made and which may, therefore, be operated in business-like ways. These include Norfolk </w:t>
      </w:r>
      <w:r w:rsidR="00C73D95">
        <w:t xml:space="preserve">Island </w:t>
      </w:r>
      <w:r w:rsidR="009A3060">
        <w:t>Telecom, electricity generation and distribution, the airport, waste management</w:t>
      </w:r>
      <w:r w:rsidR="003640DB">
        <w:t xml:space="preserve"> and</w:t>
      </w:r>
      <w:r w:rsidR="009A3060">
        <w:t xml:space="preserve"> </w:t>
      </w:r>
      <w:r w:rsidR="003640DB">
        <w:t>sewerage</w:t>
      </w:r>
      <w:r w:rsidR="009A3060">
        <w:t xml:space="preserve">. </w:t>
      </w:r>
    </w:p>
    <w:p w14:paraId="0A9B41B7" w14:textId="77777777" w:rsidR="00CD549E" w:rsidRDefault="009A3060" w:rsidP="00477324">
      <w:pPr>
        <w:pStyle w:val="CGCNumberedPara"/>
      </w:pPr>
      <w:r>
        <w:t xml:space="preserve">As noted earlier, we have treated Norfolk Telecom as </w:t>
      </w:r>
      <w:r w:rsidR="00AB5172">
        <w:t xml:space="preserve">a </w:t>
      </w:r>
      <w:r>
        <w:t>Commonwealth activit</w:t>
      </w:r>
      <w:r w:rsidR="00AB5172">
        <w:t>y</w:t>
      </w:r>
      <w:r>
        <w:t xml:space="preserve"> and excluded related revenues and </w:t>
      </w:r>
      <w:r w:rsidR="00CD549E">
        <w:t xml:space="preserve">expenses from our assessments. </w:t>
      </w:r>
    </w:p>
    <w:p w14:paraId="0134BAB6" w14:textId="77777777" w:rsidR="00C3256D" w:rsidRDefault="004C009E" w:rsidP="00477324">
      <w:pPr>
        <w:pStyle w:val="CGCNumberedPara"/>
      </w:pPr>
      <w:r>
        <w:t xml:space="preserve">The </w:t>
      </w:r>
      <w:r w:rsidR="00CD549E">
        <w:t xml:space="preserve">electricity generation and distribution </w:t>
      </w:r>
      <w:r w:rsidR="00C73D95">
        <w:t xml:space="preserve">and wastewater </w:t>
      </w:r>
      <w:r w:rsidR="00CD549E">
        <w:t xml:space="preserve">activities have been treated as State-type activities. </w:t>
      </w:r>
      <w:r w:rsidR="00215D35">
        <w:t xml:space="preserve">However, the Commission does not make detailed assessments of electricity </w:t>
      </w:r>
      <w:r w:rsidR="00C73D95">
        <w:t xml:space="preserve">or wastewater </w:t>
      </w:r>
      <w:r w:rsidR="00215D35">
        <w:t xml:space="preserve">undertakings in its inquiries into State finances because </w:t>
      </w:r>
      <w:r w:rsidR="004D3071">
        <w:t xml:space="preserve">there are large variations between the States in the extent to which they have privatised and </w:t>
      </w:r>
      <w:r w:rsidR="00CD549E">
        <w:t xml:space="preserve">limited information </w:t>
      </w:r>
      <w:r w:rsidR="00215D35">
        <w:t>is available</w:t>
      </w:r>
      <w:r w:rsidR="00F61B5D">
        <w:t xml:space="preserve">. </w:t>
      </w:r>
      <w:r w:rsidR="004D3071">
        <w:t xml:space="preserve">It is, however, common </w:t>
      </w:r>
      <w:r w:rsidR="00215D35">
        <w:t xml:space="preserve">for </w:t>
      </w:r>
      <w:r w:rsidR="004D3071">
        <w:t xml:space="preserve">States to provide subsidies for electricity services in remote </w:t>
      </w:r>
      <w:r w:rsidR="00AB5172">
        <w:t>areas that</w:t>
      </w:r>
      <w:r w:rsidR="004D3071">
        <w:t xml:space="preserve"> are not connected to the main electricity grid</w:t>
      </w:r>
      <w:r w:rsidR="00C73D95">
        <w:t xml:space="preserve"> and for wastewater services in small isolated </w:t>
      </w:r>
      <w:r w:rsidR="00C73D95">
        <w:lastRenderedPageBreak/>
        <w:t>communities</w:t>
      </w:r>
      <w:r w:rsidR="00F61B5D">
        <w:t xml:space="preserve">. </w:t>
      </w:r>
      <w:r w:rsidR="004D3071">
        <w:t xml:space="preserve">Those subsidies </w:t>
      </w:r>
      <w:r w:rsidR="00186D0C">
        <w:t>we</w:t>
      </w:r>
      <w:r w:rsidR="004D3071">
        <w:t>re taken into account in assessing State financial capacities and we adopted a similar approach in this inquiry</w:t>
      </w:r>
      <w:r w:rsidR="00F61B5D">
        <w:t xml:space="preserve">. </w:t>
      </w:r>
      <w:r w:rsidR="004D3071">
        <w:t>Further details of that assessment are in Attachment</w:t>
      </w:r>
      <w:r w:rsidR="00215D35">
        <w:t xml:space="preserve"> E on State </w:t>
      </w:r>
      <w:r w:rsidR="009B7DD7">
        <w:t xml:space="preserve">Government </w:t>
      </w:r>
      <w:r w:rsidR="00215D35">
        <w:t>services</w:t>
      </w:r>
      <w:r w:rsidR="008C0386">
        <w:t>.</w:t>
      </w:r>
    </w:p>
    <w:p w14:paraId="5EEB988E" w14:textId="77777777" w:rsidR="00871E3F" w:rsidRDefault="00215D35" w:rsidP="00477324">
      <w:pPr>
        <w:pStyle w:val="CGCNumberedPara"/>
      </w:pPr>
      <w:r>
        <w:t xml:space="preserve">We treated the other business-like activities on Norfolk </w:t>
      </w:r>
      <w:r w:rsidR="00871E3F">
        <w:t xml:space="preserve">Island as local government activities. </w:t>
      </w:r>
      <w:r w:rsidR="00AB5172">
        <w:t xml:space="preserve">We assessed the small positive net operating result for the airport </w:t>
      </w:r>
      <w:r w:rsidR="005904F9">
        <w:t xml:space="preserve">and liquor bond </w:t>
      </w:r>
      <w:r w:rsidR="00AB5172">
        <w:t xml:space="preserve">as </w:t>
      </w:r>
      <w:r w:rsidR="00145FD1">
        <w:t>NIRC</w:t>
      </w:r>
      <w:r w:rsidR="00AB5172">
        <w:t xml:space="preserve"> revenue. </w:t>
      </w:r>
      <w:r w:rsidR="00BA4A48">
        <w:t xml:space="preserve">For the other local government </w:t>
      </w:r>
      <w:r w:rsidR="00C3298F">
        <w:t>business enterprises</w:t>
      </w:r>
      <w:r w:rsidR="00BA4A48">
        <w:t xml:space="preserve"> we assessed their revenues and expenses separately</w:t>
      </w:r>
      <w:r w:rsidR="00F61B5D">
        <w:t xml:space="preserve">. </w:t>
      </w:r>
      <w:r w:rsidR="00BA4A48">
        <w:t xml:space="preserve">Attachment F discusses our assessment methods for these activities. </w:t>
      </w:r>
    </w:p>
    <w:p w14:paraId="0F486186" w14:textId="77777777" w:rsidR="00B72B05" w:rsidRDefault="00EA3B47" w:rsidP="00B72B05">
      <w:pPr>
        <w:pStyle w:val="Heading4"/>
      </w:pPr>
      <w:bookmarkStart w:id="244" w:name="_Toc14687931"/>
      <w:bookmarkStart w:id="245" w:name="_Toc14688032"/>
      <w:bookmarkStart w:id="246" w:name="_Toc16854919"/>
      <w:bookmarkStart w:id="247" w:name="_Toc17105382"/>
      <w:bookmarkStart w:id="248" w:name="_Toc17105434"/>
      <w:bookmarkStart w:id="249" w:name="_Toc17105590"/>
      <w:bookmarkStart w:id="250" w:name="_Toc17380459"/>
      <w:bookmarkStart w:id="251" w:name="_Toc19262905"/>
      <w:bookmarkStart w:id="252" w:name="_Toc23847450"/>
      <w:r>
        <w:t>I</w:t>
      </w:r>
      <w:r w:rsidR="00B72B05">
        <w:t>nfrastructure costs</w:t>
      </w:r>
      <w:bookmarkEnd w:id="244"/>
      <w:bookmarkEnd w:id="245"/>
      <w:bookmarkEnd w:id="246"/>
      <w:bookmarkEnd w:id="247"/>
      <w:bookmarkEnd w:id="248"/>
      <w:bookmarkEnd w:id="249"/>
      <w:bookmarkEnd w:id="250"/>
      <w:bookmarkEnd w:id="251"/>
      <w:bookmarkEnd w:id="252"/>
    </w:p>
    <w:p w14:paraId="66D1F9C4" w14:textId="77777777" w:rsidR="005C60F7" w:rsidRDefault="00230DAE" w:rsidP="00477324">
      <w:pPr>
        <w:pStyle w:val="CGCNumberedPara"/>
      </w:pPr>
      <w:r>
        <w:t xml:space="preserve">The </w:t>
      </w:r>
      <w:r w:rsidR="00C849DE">
        <w:t>T</w:t>
      </w:r>
      <w:r w:rsidR="00BF0CFF">
        <w:t xml:space="preserve">erms of </w:t>
      </w:r>
      <w:r w:rsidR="00C849DE">
        <w:t>R</w:t>
      </w:r>
      <w:r w:rsidR="00F163FA">
        <w:t xml:space="preserve">eference </w:t>
      </w:r>
      <w:r w:rsidR="005C60F7">
        <w:t>ask</w:t>
      </w:r>
      <w:r w:rsidR="00F163FA">
        <w:t>s</w:t>
      </w:r>
      <w:r w:rsidR="005C60F7">
        <w:t xml:space="preserve"> for an estimate of the annual expenditure on </w:t>
      </w:r>
      <w:r w:rsidR="00420A3F">
        <w:t xml:space="preserve">infrastructure associated </w:t>
      </w:r>
      <w:r w:rsidR="00F163FA">
        <w:t>with the delivery of S</w:t>
      </w:r>
      <w:r w:rsidR="00420A3F">
        <w:t>tate</w:t>
      </w:r>
      <w:r w:rsidR="00F163FA">
        <w:t xml:space="preserve"> and local government-type services and legacy S</w:t>
      </w:r>
      <w:r w:rsidR="00420A3F">
        <w:t xml:space="preserve">tate-type </w:t>
      </w:r>
      <w:r w:rsidR="00F163FA">
        <w:t>government business undertakings</w:t>
      </w:r>
      <w:r w:rsidR="00420A3F">
        <w:t xml:space="preserve">. </w:t>
      </w:r>
      <w:r w:rsidR="003E7215">
        <w:t>Th</w:t>
      </w:r>
      <w:r w:rsidR="00F163FA">
        <w:t xml:space="preserve">at </w:t>
      </w:r>
      <w:r w:rsidR="003E7215">
        <w:t>e</w:t>
      </w:r>
      <w:r w:rsidR="00F163FA">
        <w:t>stimate was to be based on an assumption that the Island had</w:t>
      </w:r>
      <w:r w:rsidR="003E7215">
        <w:t xml:space="preserve"> the average per capita infrastructure at the beginning of the year. </w:t>
      </w:r>
      <w:r w:rsidR="00C0115A">
        <w:t>This</w:t>
      </w:r>
      <w:r w:rsidR="005C60F7">
        <w:t xml:space="preserve"> assumption means we </w:t>
      </w:r>
      <w:r w:rsidR="00F163FA">
        <w:t>we</w:t>
      </w:r>
      <w:r w:rsidR="005C60F7">
        <w:t>re not required to estim</w:t>
      </w:r>
      <w:r w:rsidR="003E7215">
        <w:t>ate any infrastructure backlogs for the Island, which would be a significant task that is not normally part of the C</w:t>
      </w:r>
      <w:r w:rsidR="00F163FA">
        <w:t>ommission’s</w:t>
      </w:r>
      <w:r w:rsidR="003E7215">
        <w:t xml:space="preserve"> remit. </w:t>
      </w:r>
    </w:p>
    <w:p w14:paraId="2067B4DD" w14:textId="77777777" w:rsidR="00B57946" w:rsidRDefault="00B57946" w:rsidP="00B21D49">
      <w:pPr>
        <w:pStyle w:val="CGCNumberedPara"/>
      </w:pPr>
      <w:r>
        <w:t>Capital spending can be thought of as consisting of spending to replace or renew existing assets and investment in additional infrastructure and assets. The Commission makes assessments of both components in its State financing inquiries.</w:t>
      </w:r>
    </w:p>
    <w:p w14:paraId="459241E6" w14:textId="77777777" w:rsidR="00B57946" w:rsidRDefault="00B57946" w:rsidP="00B57946">
      <w:pPr>
        <w:pStyle w:val="CGCNumberedPara"/>
      </w:pPr>
      <w:r>
        <w:t>We attempted to apply the Commission’s existing methods for estimating State investment in additional infrastructure to Norfolk Island</w:t>
      </w:r>
      <w:r w:rsidR="00F61B5D">
        <w:t xml:space="preserve">. </w:t>
      </w:r>
      <w:r>
        <w:t xml:space="preserve">However, it did not produce plausible outcomes. This was predominantly because most investment in additional infrastructure and assets is driven by population growth and/or is intended to </w:t>
      </w:r>
      <w:r w:rsidR="00BA4A48">
        <w:t>recognise costs associated with major transport infrastructure such as State roads and public transit including railways</w:t>
      </w:r>
      <w:r>
        <w:t>. Those drivers of investment do not apply to Norfolk Island</w:t>
      </w:r>
      <w:r w:rsidR="00F61B5D">
        <w:t xml:space="preserve">. </w:t>
      </w:r>
    </w:p>
    <w:p w14:paraId="16F6F690" w14:textId="77777777" w:rsidR="00B57946" w:rsidRDefault="00B57946" w:rsidP="00B57946">
      <w:pPr>
        <w:pStyle w:val="CGCNumberedPara"/>
      </w:pPr>
      <w:r>
        <w:t xml:space="preserve">It has not been possible to derive other methods for assessing the investment in additional State and local government type infrastructure on Norfolk </w:t>
      </w:r>
      <w:r w:rsidR="005904F9">
        <w:t xml:space="preserve">Island </w:t>
      </w:r>
      <w:r>
        <w:t>consistent with any such investment in comparable communities</w:t>
      </w:r>
      <w:r w:rsidR="00F61B5D">
        <w:t xml:space="preserve">. </w:t>
      </w:r>
    </w:p>
    <w:p w14:paraId="1B5DBC45" w14:textId="77777777" w:rsidR="007117CE" w:rsidRDefault="00B57946" w:rsidP="00B21D49">
      <w:pPr>
        <w:pStyle w:val="CGCNumberedPara"/>
        <w:sectPr w:rsidR="007117CE" w:rsidSect="00A343B6">
          <w:footerReference w:type="first" r:id="rId16"/>
          <w:pgSz w:w="11899" w:h="16838" w:code="9"/>
          <w:pgMar w:top="1701" w:right="1474" w:bottom="1701" w:left="1474" w:header="709" w:footer="709" w:gutter="0"/>
          <w:pgNumType w:start="1"/>
          <w:cols w:space="708"/>
          <w:titlePg/>
          <w:docGrid w:linePitch="299"/>
        </w:sectPr>
      </w:pPr>
      <w:r>
        <w:t xml:space="preserve">We were, however, </w:t>
      </w:r>
      <w:r w:rsidR="00F163FA">
        <w:t>able to make estimates of depreciation expenses related to State and local government-type assets</w:t>
      </w:r>
      <w:r w:rsidR="00F61B5D">
        <w:t xml:space="preserve">. </w:t>
      </w:r>
      <w:r w:rsidR="00F163FA">
        <w:t>Th</w:t>
      </w:r>
      <w:r w:rsidR="0001463E">
        <w:t>ose</w:t>
      </w:r>
      <w:r w:rsidR="00F163FA">
        <w:t xml:space="preserve"> expense</w:t>
      </w:r>
      <w:r w:rsidR="0001463E">
        <w:t>s</w:t>
      </w:r>
      <w:r w:rsidR="00F163FA">
        <w:t xml:space="preserve"> may be thought of as equivalent to </w:t>
      </w:r>
      <w:r w:rsidR="0001463E">
        <w:t xml:space="preserve">a stream of funds for </w:t>
      </w:r>
      <w:r w:rsidR="00F163FA">
        <w:t>capital spending to replace or renew existing assets</w:t>
      </w:r>
      <w:r w:rsidR="00F61B5D">
        <w:t xml:space="preserve">. </w:t>
      </w:r>
      <w:r w:rsidR="00064F3E">
        <w:t xml:space="preserve">Chapter 3 discusses this issue further. The depreciation </w:t>
      </w:r>
      <w:r w:rsidR="00F163FA">
        <w:t>assessments are discussed in Attachment</w:t>
      </w:r>
      <w:r w:rsidR="00942CA4">
        <w:t>s E and F</w:t>
      </w:r>
      <w:r w:rsidR="00001720">
        <w:t>.</w:t>
      </w:r>
    </w:p>
    <w:p w14:paraId="760C6141" w14:textId="77777777" w:rsidR="007117CE" w:rsidRDefault="00942CA4" w:rsidP="001E4105">
      <w:pPr>
        <w:pStyle w:val="Heading2"/>
      </w:pPr>
      <w:bookmarkStart w:id="253" w:name="_Toc16854920"/>
      <w:bookmarkStart w:id="254" w:name="_Toc17105383"/>
      <w:bookmarkStart w:id="255" w:name="_Toc17105435"/>
      <w:bookmarkStart w:id="256" w:name="_Toc17105591"/>
      <w:bookmarkStart w:id="257" w:name="_Toc19262906"/>
      <w:bookmarkStart w:id="258" w:name="_Toc23847451"/>
      <w:r>
        <w:lastRenderedPageBreak/>
        <w:t>2</w:t>
      </w:r>
      <w:r w:rsidR="009E175D">
        <w:tab/>
      </w:r>
      <w:bookmarkEnd w:id="253"/>
      <w:bookmarkEnd w:id="254"/>
      <w:bookmarkEnd w:id="255"/>
      <w:bookmarkEnd w:id="256"/>
      <w:bookmarkEnd w:id="257"/>
      <w:r w:rsidR="009E175D">
        <w:t>Unique circumstances of Norfolk Island</w:t>
      </w:r>
      <w:bookmarkEnd w:id="258"/>
    </w:p>
    <w:p w14:paraId="53FBF1AC" w14:textId="77777777" w:rsidR="007117CE" w:rsidRDefault="007117CE" w:rsidP="007117CE">
      <w:pPr>
        <w:pStyle w:val="Heading3"/>
      </w:pPr>
      <w:bookmarkStart w:id="259" w:name="_Toc16854921"/>
      <w:bookmarkStart w:id="260" w:name="_Toc17105384"/>
      <w:bookmarkStart w:id="261" w:name="_Toc17105436"/>
      <w:bookmarkStart w:id="262" w:name="_Toc17105592"/>
      <w:bookmarkStart w:id="263" w:name="_Toc17380460"/>
      <w:bookmarkStart w:id="264" w:name="_Toc19262907"/>
      <w:bookmarkStart w:id="265" w:name="_Toc23847452"/>
      <w:r>
        <w:t>I</w:t>
      </w:r>
      <w:bookmarkEnd w:id="259"/>
      <w:bookmarkEnd w:id="260"/>
      <w:bookmarkEnd w:id="261"/>
      <w:bookmarkEnd w:id="262"/>
      <w:bookmarkEnd w:id="263"/>
      <w:bookmarkEnd w:id="264"/>
      <w:r w:rsidR="00F43845">
        <w:t>ntroduction</w:t>
      </w:r>
      <w:bookmarkEnd w:id="265"/>
    </w:p>
    <w:p w14:paraId="03734574" w14:textId="77777777" w:rsidR="007117CE" w:rsidRDefault="007117CE" w:rsidP="001E4105">
      <w:pPr>
        <w:pStyle w:val="CGCNumberedPara"/>
      </w:pPr>
      <w:r>
        <w:t xml:space="preserve">The </w:t>
      </w:r>
      <w:r w:rsidR="00C849DE">
        <w:t>T</w:t>
      </w:r>
      <w:r>
        <w:t xml:space="preserve">erms of </w:t>
      </w:r>
      <w:r w:rsidR="00C849DE">
        <w:t>R</w:t>
      </w:r>
      <w:r>
        <w:t>eference for this inquiry ask us to estimate:</w:t>
      </w:r>
    </w:p>
    <w:p w14:paraId="783C312E" w14:textId="77777777" w:rsidR="007117CE" w:rsidRDefault="007117CE" w:rsidP="007117CE">
      <w:pPr>
        <w:pStyle w:val="CGCBulletlist"/>
      </w:pPr>
      <w:r>
        <w:t xml:space="preserve">the annual expenses, including infrastructure costs, required to provide State-type government services, local government services and support for legacy State-type government business enterprises on Norfolk Island, taking into account the circumstances of Norfolk Island </w:t>
      </w:r>
    </w:p>
    <w:p w14:paraId="38379AD6" w14:textId="77777777" w:rsidR="007117CE" w:rsidRDefault="007117CE" w:rsidP="007117CE">
      <w:pPr>
        <w:pStyle w:val="CGCBulletlist"/>
      </w:pPr>
      <w:r>
        <w:t xml:space="preserve">the capacity of Norfolk Island to raise revenue from a comparable range </w:t>
      </w:r>
      <w:r w:rsidR="007039D0">
        <w:t>of taxes and charges levied by S</w:t>
      </w:r>
      <w:r>
        <w:t>tate and local governments</w:t>
      </w:r>
      <w:r w:rsidR="00F61B5D">
        <w:t xml:space="preserve">. </w:t>
      </w:r>
    </w:p>
    <w:p w14:paraId="483BD796" w14:textId="77777777" w:rsidR="007117CE" w:rsidRDefault="007117CE" w:rsidP="007117CE">
      <w:pPr>
        <w:pStyle w:val="CGCNumberedPara"/>
      </w:pPr>
      <w:r>
        <w:t xml:space="preserve">As in the 2006 and 2011 Commission inquiries into Norfolk Island finances, we have interpreted ‘the circumstances of Norfolk Island’ as the characteristics of </w:t>
      </w:r>
      <w:r w:rsidR="00E31BFB">
        <w:t>Norfolk I</w:t>
      </w:r>
      <w:r>
        <w:t>sland, its people or community</w:t>
      </w:r>
      <w:r w:rsidR="006F5620">
        <w:t>,</w:t>
      </w:r>
      <w:r>
        <w:t xml:space="preserve"> which would:</w:t>
      </w:r>
    </w:p>
    <w:p w14:paraId="3ACA7926" w14:textId="77777777" w:rsidR="007117CE" w:rsidRDefault="007117CE" w:rsidP="007117CE">
      <w:pPr>
        <w:pStyle w:val="CGCBulletlist"/>
      </w:pPr>
      <w:r>
        <w:t>increase or reduce the cost of delivering similar services, compared to the cost in a comparable community elsewhere in Australia</w:t>
      </w:r>
    </w:p>
    <w:p w14:paraId="0496709D" w14:textId="77777777" w:rsidR="007117CE" w:rsidRDefault="007117CE" w:rsidP="007117CE">
      <w:pPr>
        <w:pStyle w:val="CGCBulletlist"/>
      </w:pPr>
      <w:r>
        <w:t>vary the revenue that could be collected from comparable revenue policies.</w:t>
      </w:r>
    </w:p>
    <w:p w14:paraId="1A6AE74B" w14:textId="77777777" w:rsidR="007117CE" w:rsidRDefault="007117CE" w:rsidP="007117CE">
      <w:pPr>
        <w:pStyle w:val="CGCNumberedPara"/>
      </w:pPr>
      <w:r>
        <w:t>Characteristics that make Norfolk Island different from many other Australian communities include:</w:t>
      </w:r>
    </w:p>
    <w:p w14:paraId="1237DAD3" w14:textId="77777777" w:rsidR="007117CE" w:rsidRDefault="007117CE" w:rsidP="007117CE">
      <w:pPr>
        <w:pStyle w:val="CGCBulletlist"/>
      </w:pPr>
      <w:r>
        <w:t>its location including its remoteness, isolation and island status</w:t>
      </w:r>
    </w:p>
    <w:p w14:paraId="03D29B6F" w14:textId="77777777" w:rsidR="007117CE" w:rsidRDefault="007117CE" w:rsidP="007117CE">
      <w:pPr>
        <w:pStyle w:val="CGCBulletlist"/>
      </w:pPr>
      <w:r>
        <w:t>its economy, including its narrow economic base with a strong reliance on tourism, the size of the potential tax bases, the number of tourists on the Island at any one time and its wage levels</w:t>
      </w:r>
    </w:p>
    <w:p w14:paraId="41A1AF71" w14:textId="77777777" w:rsidR="007117CE" w:rsidRDefault="007117CE" w:rsidP="007117CE">
      <w:pPr>
        <w:pStyle w:val="CGCBulletlist"/>
      </w:pPr>
      <w:r>
        <w:t>its small size, which means many services are less able to achieve economies of scale</w:t>
      </w:r>
    </w:p>
    <w:p w14:paraId="72D44BC7" w14:textId="77777777" w:rsidR="007117CE" w:rsidRDefault="007117CE" w:rsidP="007117CE">
      <w:pPr>
        <w:pStyle w:val="CGCBulletlist"/>
      </w:pPr>
      <w:r>
        <w:t>its population characteristics including a relatively small working age population and a relatively large elderly population</w:t>
      </w:r>
    </w:p>
    <w:p w14:paraId="556C074E" w14:textId="77777777" w:rsidR="007117CE" w:rsidRDefault="007117CE" w:rsidP="007117CE">
      <w:pPr>
        <w:pStyle w:val="CGCBulletlist"/>
      </w:pPr>
      <w:r>
        <w:t xml:space="preserve">its governance arrangements, which result in the need for special arrangements for the delivery of State-type services. </w:t>
      </w:r>
    </w:p>
    <w:p w14:paraId="2C611879" w14:textId="77777777" w:rsidR="007117CE" w:rsidRDefault="007117CE" w:rsidP="007117CE">
      <w:pPr>
        <w:pStyle w:val="CGCNumberedPara"/>
      </w:pPr>
      <w:r>
        <w:t>It is important to note</w:t>
      </w:r>
      <w:r w:rsidR="00457774">
        <w:t xml:space="preserve"> that</w:t>
      </w:r>
      <w:r>
        <w:t xml:space="preserve"> the circumstances of </w:t>
      </w:r>
      <w:r w:rsidR="00673CEE">
        <w:t>Norfolk Island</w:t>
      </w:r>
      <w:r>
        <w:t xml:space="preserve"> we recognised are its inherent characteristics which affect what it will cost to deliver services and the revenues which could be raised. Differences between </w:t>
      </w:r>
      <w:r w:rsidR="00307355">
        <w:t>Norfolk Island</w:t>
      </w:r>
      <w:r>
        <w:t xml:space="preserve"> and comparable communities arising from policy choices </w:t>
      </w:r>
      <w:r w:rsidR="00457774">
        <w:t xml:space="preserve">are </w:t>
      </w:r>
      <w:r>
        <w:t>not</w:t>
      </w:r>
      <w:r w:rsidR="007039D0">
        <w:t xml:space="preserve"> treated as </w:t>
      </w:r>
      <w:r w:rsidR="008056F0">
        <w:t>unique circumstances</w:t>
      </w:r>
      <w:r>
        <w:t xml:space="preserve">. </w:t>
      </w:r>
    </w:p>
    <w:p w14:paraId="23F4AB55" w14:textId="77777777" w:rsidR="00F163FA" w:rsidRDefault="007117CE" w:rsidP="007117CE">
      <w:pPr>
        <w:pStyle w:val="CGCNumberedPara"/>
      </w:pPr>
      <w:r>
        <w:t>This chapter sets out our understanding of these circumstances. It identifies how they might cause the costs of delivering comparable services on Norfolk Island, or its revenue raising capacity, to differ from those of comparable communities.</w:t>
      </w:r>
    </w:p>
    <w:p w14:paraId="7C5D9964" w14:textId="77777777" w:rsidR="007117CE" w:rsidRDefault="00F43845" w:rsidP="007117CE">
      <w:pPr>
        <w:pStyle w:val="Heading3"/>
      </w:pPr>
      <w:bookmarkStart w:id="266" w:name="_Toc23847453"/>
      <w:r>
        <w:lastRenderedPageBreak/>
        <w:t>Location</w:t>
      </w:r>
      <w:bookmarkEnd w:id="266"/>
    </w:p>
    <w:p w14:paraId="2DD29667" w14:textId="77777777" w:rsidR="007117CE" w:rsidRDefault="007117CE" w:rsidP="007117CE">
      <w:pPr>
        <w:pStyle w:val="CGCNumberedPara"/>
      </w:pPr>
      <w:r>
        <w:t>Norfolk Island is located in the South Pacific Ocean, 1</w:t>
      </w:r>
      <w:r w:rsidR="003F45A8">
        <w:t> </w:t>
      </w:r>
      <w:r>
        <w:t xml:space="preserve">500 kilometres from the eastern Australian coast. It is </w:t>
      </w:r>
      <w:r w:rsidR="004C6680">
        <w:t>about</w:t>
      </w:r>
      <w:r>
        <w:t xml:space="preserve"> two hours flying time from Brisbane and two and a half </w:t>
      </w:r>
      <w:r w:rsidR="005904F9">
        <w:t xml:space="preserve">hours </w:t>
      </w:r>
      <w:r>
        <w:t xml:space="preserve">from Sydney, the nearest major cities. </w:t>
      </w:r>
    </w:p>
    <w:p w14:paraId="02E0B7AD" w14:textId="77777777" w:rsidR="007117CE" w:rsidRDefault="007117CE" w:rsidP="007117CE">
      <w:pPr>
        <w:pStyle w:val="CGCNumberedPara"/>
      </w:pPr>
      <w:r>
        <w:t>While there are communities in the rest of Australia which are long distances from major cities, they are not islands, except</w:t>
      </w:r>
      <w:r w:rsidR="00186D0C">
        <w:t xml:space="preserve"> for</w:t>
      </w:r>
      <w:r>
        <w:t xml:space="preserve"> Christmas Island and the Cocos (Keeling) Islands. Similarly, while there are island communities</w:t>
      </w:r>
      <w:r w:rsidR="00186D0C">
        <w:t>,</w:t>
      </w:r>
      <w:r>
        <w:t xml:space="preserve"> they are usually closer to the mainland</w:t>
      </w:r>
      <w:r w:rsidR="00F61B5D">
        <w:t xml:space="preserve">. </w:t>
      </w:r>
    </w:p>
    <w:p w14:paraId="01F31B8D" w14:textId="77777777" w:rsidR="007117CE" w:rsidRDefault="007117CE" w:rsidP="00F36C50">
      <w:pPr>
        <w:pStyle w:val="CGCNumberedPara"/>
      </w:pPr>
      <w:r>
        <w:t xml:space="preserve">These observations imply </w:t>
      </w:r>
      <w:r w:rsidR="004C6680">
        <w:t xml:space="preserve">that </w:t>
      </w:r>
      <w:r>
        <w:t>few other communities are fully comparable with Norfolk Island</w:t>
      </w:r>
      <w:r w:rsidR="00F61B5D">
        <w:t xml:space="preserve">. </w:t>
      </w:r>
      <w:r>
        <w:t>However, our concept of comparable communities does not rely on full comparability. Instead, we identified the costs in communities or regions where the major features are comparable with those on Norfolk Island and made adjustments to better recognise any other circumstances of Norfolk Island</w:t>
      </w:r>
      <w:r w:rsidR="00F61B5D">
        <w:t xml:space="preserve">. </w:t>
      </w:r>
      <w:r>
        <w:t>Further explanations of the processes adopted are in the following parts of this chapter</w:t>
      </w:r>
      <w:r w:rsidR="00F61B5D">
        <w:t xml:space="preserve">. </w:t>
      </w:r>
    </w:p>
    <w:p w14:paraId="6674B070" w14:textId="77777777" w:rsidR="007117CE" w:rsidRDefault="007117CE" w:rsidP="007117CE">
      <w:pPr>
        <w:pStyle w:val="Heading4"/>
      </w:pPr>
      <w:bookmarkStart w:id="267" w:name="_Toc16854923"/>
      <w:bookmarkStart w:id="268" w:name="_Toc17105386"/>
      <w:bookmarkStart w:id="269" w:name="_Toc17105438"/>
      <w:bookmarkStart w:id="270" w:name="_Toc17105594"/>
      <w:bookmarkStart w:id="271" w:name="_Toc17380462"/>
      <w:bookmarkStart w:id="272" w:name="_Toc19262909"/>
      <w:bookmarkStart w:id="273" w:name="_Toc23847454"/>
      <w:r>
        <w:t>Remoteness and service delivery scale</w:t>
      </w:r>
      <w:bookmarkEnd w:id="267"/>
      <w:bookmarkEnd w:id="268"/>
      <w:bookmarkEnd w:id="269"/>
      <w:bookmarkEnd w:id="270"/>
      <w:bookmarkEnd w:id="271"/>
      <w:bookmarkEnd w:id="272"/>
      <w:bookmarkEnd w:id="273"/>
      <w:r>
        <w:t xml:space="preserve"> </w:t>
      </w:r>
    </w:p>
    <w:p w14:paraId="25A19CB7" w14:textId="77777777" w:rsidR="007117CE" w:rsidRDefault="007117CE" w:rsidP="007117CE">
      <w:pPr>
        <w:pStyle w:val="CGCNumberedPara"/>
      </w:pPr>
      <w:r>
        <w:t>The costs of providing government services are strongly influenced by the remoteness of the location where they are provided, which can increase the cost of freight, fuel and electricity, communications, staff travel, training and recruitment. Per capita costs may also be affected by the need to deliver services in small communities because the major features of the service are broadly similar to those for larger communities</w:t>
      </w:r>
      <w:r w:rsidR="00186D0C">
        <w:t>,</w:t>
      </w:r>
      <w:r>
        <w:t xml:space="preserve"> but the costs are spread over few</w:t>
      </w:r>
      <w:r w:rsidR="002B7EEB">
        <w:t>er</w:t>
      </w:r>
      <w:r>
        <w:t xml:space="preserve"> people. </w:t>
      </w:r>
    </w:p>
    <w:p w14:paraId="4405D71F" w14:textId="77777777" w:rsidR="007117CE" w:rsidRDefault="007117CE" w:rsidP="007117CE">
      <w:pPr>
        <w:pStyle w:val="CGCNumberedPara"/>
      </w:pPr>
      <w:r>
        <w:t xml:space="preserve">We have allowed for the cost impact of remoteness and community size (or service delivery scale) </w:t>
      </w:r>
      <w:r w:rsidR="00C3298F">
        <w:t xml:space="preserve">in </w:t>
      </w:r>
      <w:r>
        <w:t>several ways, depending on the service or revenue under consideration and the available data.</w:t>
      </w:r>
    </w:p>
    <w:p w14:paraId="2F1A9468" w14:textId="77777777" w:rsidR="007117CE" w:rsidRDefault="007117CE" w:rsidP="007117CE">
      <w:pPr>
        <w:pStyle w:val="CGCNumberedPara"/>
      </w:pPr>
      <w:r>
        <w:t>In some cases, such as community health services, data collected for the Commission’s work on State finances provides estimates of the average costs of providing services in very remote regions</w:t>
      </w:r>
      <w:r w:rsidR="00F61B5D">
        <w:t xml:space="preserve">. </w:t>
      </w:r>
      <w:r>
        <w:t>Such data provided a base cost estimate which was adjusted to reflect the effects of other relevant features such as the small size of the community</w:t>
      </w:r>
      <w:r w:rsidR="00F61B5D">
        <w:t xml:space="preserve">. </w:t>
      </w:r>
    </w:p>
    <w:p w14:paraId="29BC32F3" w14:textId="77777777" w:rsidR="007117CE" w:rsidRDefault="007117CE" w:rsidP="007117CE">
      <w:pPr>
        <w:pStyle w:val="CGCNumberedPara"/>
      </w:pPr>
      <w:r>
        <w:t xml:space="preserve">In other cases, State average per capita costs were used as the base and allowances were made for the impact on those costs of remoteness, the level of activity on Norfolk Island and other relevant features of the </w:t>
      </w:r>
      <w:r w:rsidR="00C3298F">
        <w:t>Island’s</w:t>
      </w:r>
      <w:r>
        <w:t xml:space="preserve"> population, such as its age distribution or socio-economic status</w:t>
      </w:r>
      <w:r w:rsidR="00F61B5D">
        <w:t xml:space="preserve">. </w:t>
      </w:r>
      <w:r>
        <w:t xml:space="preserve">In the case of schools, average costs per student were the base and they were adjusted for remoteness (average costs were increased by 55%), school size (average costs were increased by 9%) and student characteristics which generally affect costs (costs for students in the bottom quintile </w:t>
      </w:r>
      <w:r>
        <w:lastRenderedPageBreak/>
        <w:t>of the Index of Community Socio-Educational Advantage</w:t>
      </w:r>
      <w:r w:rsidR="000A1EBF">
        <w:t xml:space="preserve"> (ICSEA)</w:t>
      </w:r>
      <w:r w:rsidR="00D36229">
        <w:t xml:space="preserve"> </w:t>
      </w:r>
      <w:r w:rsidR="00D36229">
        <w:rPr>
          <w:rStyle w:val="FootnoteReference"/>
        </w:rPr>
        <w:footnoteReference w:id="3"/>
      </w:r>
      <w:r>
        <w:t xml:space="preserve"> were increased by 66%)</w:t>
      </w:r>
      <w:r w:rsidR="00F61B5D">
        <w:t xml:space="preserve">. </w:t>
      </w:r>
    </w:p>
    <w:p w14:paraId="33FB4D99" w14:textId="77777777" w:rsidR="007117CE" w:rsidRDefault="007117CE" w:rsidP="007117CE">
      <w:pPr>
        <w:pStyle w:val="CGCNumberedPara"/>
      </w:pPr>
      <w:r>
        <w:t>Again, the size of the allowances for remoteness (or regional costs) and the higher costs often faced when delivering services in small communities (called service delivery scale) have been based on data and analysis from the Commission’s work on State finances.</w:t>
      </w:r>
    </w:p>
    <w:p w14:paraId="4ADCBEB3" w14:textId="39616F77" w:rsidR="007117CE" w:rsidRDefault="007117CE" w:rsidP="007117CE">
      <w:pPr>
        <w:pStyle w:val="CGCNumberedPara"/>
      </w:pPr>
      <w:r>
        <w:fldChar w:fldCharType="begin"/>
      </w:r>
      <w:r>
        <w:instrText xml:space="preserve"> REF _Ref16852054 \h </w:instrText>
      </w:r>
      <w:r>
        <w:fldChar w:fldCharType="separate"/>
      </w:r>
      <w:r w:rsidR="00DE7AA1">
        <w:t xml:space="preserve">Table </w:t>
      </w:r>
      <w:r w:rsidR="00DE7AA1">
        <w:rPr>
          <w:noProof/>
        </w:rPr>
        <w:t>2</w:t>
      </w:r>
      <w:r>
        <w:fldChar w:fldCharType="end"/>
      </w:r>
      <w:r>
        <w:t xml:space="preserve"> </w:t>
      </w:r>
      <w:r w:rsidRPr="007117CE">
        <w:t>provides details of the percentage allowances applied to average per capita costs for most expense categories to recognise the effects of remoteness (or regional costs) and service delivery scale</w:t>
      </w:r>
      <w:r w:rsidR="00696906">
        <w:t xml:space="preserve"> (small community size)</w:t>
      </w:r>
      <w:r w:rsidR="00F61B5D">
        <w:t xml:space="preserve">. </w:t>
      </w:r>
    </w:p>
    <w:p w14:paraId="118CA3E2" w14:textId="636EAC41" w:rsidR="00F163FA" w:rsidRDefault="007117CE" w:rsidP="007117CE">
      <w:pPr>
        <w:pStyle w:val="Caption"/>
      </w:pPr>
      <w:bookmarkStart w:id="274" w:name="_Ref16852054"/>
      <w:r>
        <w:t xml:space="preserve">Table </w:t>
      </w:r>
      <w:r w:rsidR="00150A14">
        <w:fldChar w:fldCharType="begin"/>
      </w:r>
      <w:r w:rsidR="00150A14">
        <w:instrText xml:space="preserve"> SEQ Table \* ARABIC </w:instrText>
      </w:r>
      <w:r w:rsidR="00150A14">
        <w:fldChar w:fldCharType="separate"/>
      </w:r>
      <w:r w:rsidR="00DE7AA1">
        <w:rPr>
          <w:noProof/>
        </w:rPr>
        <w:t>2</w:t>
      </w:r>
      <w:r w:rsidR="00150A14">
        <w:rPr>
          <w:noProof/>
        </w:rPr>
        <w:fldChar w:fldCharType="end"/>
      </w:r>
      <w:bookmarkEnd w:id="274"/>
      <w:r w:rsidRPr="007117CE">
        <w:tab/>
        <w:t>Allowances for remoteness and service delivery scale</w:t>
      </w:r>
    </w:p>
    <w:tbl>
      <w:tblPr>
        <w:tblW w:w="8920" w:type="dxa"/>
        <w:tblLook w:val="04A0" w:firstRow="1" w:lastRow="0" w:firstColumn="1" w:lastColumn="0" w:noHBand="0" w:noVBand="1"/>
      </w:tblPr>
      <w:tblGrid>
        <w:gridCol w:w="2860"/>
        <w:gridCol w:w="6060"/>
      </w:tblGrid>
      <w:tr w:rsidR="007117CE" w:rsidRPr="009439C9" w14:paraId="5B058162" w14:textId="77777777" w:rsidTr="00477324">
        <w:trPr>
          <w:trHeight w:val="375"/>
        </w:trPr>
        <w:tc>
          <w:tcPr>
            <w:tcW w:w="2860" w:type="dxa"/>
            <w:tcBorders>
              <w:top w:val="single" w:sz="4" w:space="0" w:color="auto"/>
              <w:left w:val="nil"/>
              <w:bottom w:val="single" w:sz="4" w:space="0" w:color="auto"/>
              <w:right w:val="nil"/>
            </w:tcBorders>
            <w:shd w:val="clear" w:color="auto" w:fill="auto"/>
            <w:noWrap/>
            <w:vAlign w:val="center"/>
            <w:hideMark/>
          </w:tcPr>
          <w:p w14:paraId="5B77DA2F" w14:textId="77777777" w:rsidR="007117CE" w:rsidRPr="009439C9" w:rsidRDefault="007117CE" w:rsidP="00477324">
            <w:pPr>
              <w:spacing w:after="0" w:line="240" w:lineRule="auto"/>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Expense category</w:t>
            </w:r>
          </w:p>
        </w:tc>
        <w:tc>
          <w:tcPr>
            <w:tcW w:w="6060" w:type="dxa"/>
            <w:tcBorders>
              <w:top w:val="single" w:sz="4" w:space="0" w:color="auto"/>
              <w:left w:val="nil"/>
              <w:bottom w:val="single" w:sz="4" w:space="0" w:color="auto"/>
              <w:right w:val="nil"/>
            </w:tcBorders>
            <w:shd w:val="clear" w:color="auto" w:fill="auto"/>
            <w:noWrap/>
            <w:vAlign w:val="center"/>
            <w:hideMark/>
          </w:tcPr>
          <w:p w14:paraId="1FFA290C" w14:textId="77777777" w:rsidR="007117CE" w:rsidRPr="009439C9" w:rsidRDefault="007117CE" w:rsidP="00477324">
            <w:pPr>
              <w:spacing w:after="0" w:line="240" w:lineRule="auto"/>
              <w:jc w:val="right"/>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Very remote</w:t>
            </w:r>
            <w:r w:rsidR="00696906">
              <w:rPr>
                <w:rFonts w:ascii="Calibri" w:eastAsia="Times New Roman" w:hAnsi="Calibri" w:cs="Calibri"/>
                <w:color w:val="000000"/>
                <w:sz w:val="20"/>
                <w:szCs w:val="20"/>
                <w:lang w:eastAsia="en-AU"/>
              </w:rPr>
              <w:t xml:space="preserve">, small </w:t>
            </w:r>
            <w:r w:rsidRPr="009439C9">
              <w:rPr>
                <w:rFonts w:ascii="Calibri" w:eastAsia="Times New Roman" w:hAnsi="Calibri" w:cs="Calibri"/>
                <w:color w:val="000000"/>
                <w:sz w:val="20"/>
                <w:szCs w:val="20"/>
                <w:lang w:eastAsia="en-AU"/>
              </w:rPr>
              <w:t>community a</w:t>
            </w:r>
            <w:r>
              <w:rPr>
                <w:rFonts w:ascii="Calibri" w:eastAsia="Times New Roman" w:hAnsi="Calibri" w:cs="Calibri"/>
                <w:color w:val="000000"/>
                <w:sz w:val="20"/>
                <w:szCs w:val="20"/>
                <w:lang w:eastAsia="en-AU"/>
              </w:rPr>
              <w:t>llowances</w:t>
            </w:r>
          </w:p>
        </w:tc>
      </w:tr>
      <w:tr w:rsidR="007117CE" w:rsidRPr="009439C9" w14:paraId="6104C12F" w14:textId="77777777" w:rsidTr="00477324">
        <w:trPr>
          <w:trHeight w:val="315"/>
        </w:trPr>
        <w:tc>
          <w:tcPr>
            <w:tcW w:w="2860" w:type="dxa"/>
            <w:tcBorders>
              <w:top w:val="nil"/>
              <w:left w:val="nil"/>
              <w:bottom w:val="nil"/>
              <w:right w:val="nil"/>
            </w:tcBorders>
            <w:shd w:val="clear" w:color="auto" w:fill="auto"/>
            <w:noWrap/>
            <w:vAlign w:val="bottom"/>
            <w:hideMark/>
          </w:tcPr>
          <w:p w14:paraId="7D416623" w14:textId="77777777" w:rsidR="007117CE" w:rsidRPr="009439C9" w:rsidRDefault="007117CE" w:rsidP="00477324">
            <w:pPr>
              <w:spacing w:after="0" w:line="240" w:lineRule="auto"/>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Cat</w:t>
            </w:r>
            <w:r>
              <w:rPr>
                <w:rFonts w:ascii="Calibri" w:eastAsia="Times New Roman" w:hAnsi="Calibri" w:cs="Calibri"/>
                <w:color w:val="000000"/>
                <w:sz w:val="20"/>
                <w:szCs w:val="20"/>
                <w:lang w:eastAsia="en-AU"/>
              </w:rPr>
              <w:t>e</w:t>
            </w:r>
            <w:r w:rsidRPr="009439C9">
              <w:rPr>
                <w:rFonts w:ascii="Calibri" w:eastAsia="Times New Roman" w:hAnsi="Calibri" w:cs="Calibri"/>
                <w:color w:val="000000"/>
                <w:sz w:val="20"/>
                <w:szCs w:val="20"/>
                <w:lang w:eastAsia="en-AU"/>
              </w:rPr>
              <w:t>gory specific a</w:t>
            </w:r>
            <w:r>
              <w:rPr>
                <w:rFonts w:ascii="Calibri" w:eastAsia="Times New Roman" w:hAnsi="Calibri" w:cs="Calibri"/>
                <w:color w:val="000000"/>
                <w:sz w:val="20"/>
                <w:szCs w:val="20"/>
                <w:lang w:eastAsia="en-AU"/>
              </w:rPr>
              <w:t>llowances</w:t>
            </w:r>
            <w:r w:rsidRPr="009439C9">
              <w:rPr>
                <w:rFonts w:ascii="Calibri" w:eastAsia="Times New Roman" w:hAnsi="Calibri" w:cs="Calibri"/>
                <w:color w:val="000000"/>
                <w:sz w:val="20"/>
                <w:szCs w:val="20"/>
                <w:lang w:eastAsia="en-AU"/>
              </w:rPr>
              <w:t xml:space="preserve"> </w:t>
            </w:r>
          </w:p>
        </w:tc>
        <w:tc>
          <w:tcPr>
            <w:tcW w:w="6060" w:type="dxa"/>
            <w:tcBorders>
              <w:top w:val="single" w:sz="4" w:space="0" w:color="auto"/>
              <w:left w:val="nil"/>
              <w:bottom w:val="nil"/>
              <w:right w:val="nil"/>
            </w:tcBorders>
            <w:shd w:val="clear" w:color="auto" w:fill="auto"/>
            <w:noWrap/>
            <w:vAlign w:val="bottom"/>
            <w:hideMark/>
          </w:tcPr>
          <w:p w14:paraId="50F84F3D" w14:textId="77777777" w:rsidR="007117CE" w:rsidRPr="009439C9" w:rsidRDefault="007117CE" w:rsidP="00477324">
            <w:pPr>
              <w:spacing w:after="0" w:line="240" w:lineRule="auto"/>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 </w:t>
            </w:r>
          </w:p>
        </w:tc>
      </w:tr>
      <w:tr w:rsidR="007117CE" w:rsidRPr="009439C9" w14:paraId="10F05C67" w14:textId="77777777" w:rsidTr="00477324">
        <w:trPr>
          <w:trHeight w:val="315"/>
        </w:trPr>
        <w:tc>
          <w:tcPr>
            <w:tcW w:w="2860" w:type="dxa"/>
            <w:tcBorders>
              <w:top w:val="nil"/>
              <w:left w:val="nil"/>
              <w:bottom w:val="nil"/>
              <w:right w:val="nil"/>
            </w:tcBorders>
            <w:shd w:val="clear" w:color="auto" w:fill="auto"/>
            <w:noWrap/>
            <w:vAlign w:val="bottom"/>
            <w:hideMark/>
          </w:tcPr>
          <w:p w14:paraId="0E7402BE" w14:textId="77777777" w:rsidR="007117CE" w:rsidRPr="009439C9" w:rsidRDefault="007117CE" w:rsidP="00477324">
            <w:pPr>
              <w:spacing w:after="0" w:line="240" w:lineRule="auto"/>
              <w:ind w:firstLineChars="100" w:firstLine="200"/>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 xml:space="preserve">Schools </w:t>
            </w:r>
          </w:p>
        </w:tc>
        <w:tc>
          <w:tcPr>
            <w:tcW w:w="6060" w:type="dxa"/>
            <w:tcBorders>
              <w:top w:val="nil"/>
              <w:left w:val="nil"/>
              <w:bottom w:val="nil"/>
              <w:right w:val="nil"/>
            </w:tcBorders>
            <w:shd w:val="clear" w:color="auto" w:fill="auto"/>
            <w:noWrap/>
            <w:vAlign w:val="bottom"/>
            <w:hideMark/>
          </w:tcPr>
          <w:p w14:paraId="1399DE43" w14:textId="77777777" w:rsidR="007117CE" w:rsidRPr="009439C9" w:rsidRDefault="007117CE" w:rsidP="00477324">
            <w:pPr>
              <w:spacing w:after="0" w:line="240" w:lineRule="auto"/>
              <w:ind w:firstLineChars="100" w:firstLine="200"/>
              <w:rPr>
                <w:rFonts w:ascii="Calibri" w:eastAsia="Times New Roman" w:hAnsi="Calibri" w:cs="Calibri"/>
                <w:color w:val="000000"/>
                <w:sz w:val="20"/>
                <w:szCs w:val="20"/>
                <w:lang w:eastAsia="en-AU"/>
              </w:rPr>
            </w:pPr>
          </w:p>
        </w:tc>
      </w:tr>
      <w:tr w:rsidR="007117CE" w:rsidRPr="009439C9" w14:paraId="439A72C2" w14:textId="77777777" w:rsidTr="00477324">
        <w:trPr>
          <w:trHeight w:val="315"/>
        </w:trPr>
        <w:tc>
          <w:tcPr>
            <w:tcW w:w="2860" w:type="dxa"/>
            <w:tcBorders>
              <w:top w:val="nil"/>
              <w:left w:val="nil"/>
              <w:bottom w:val="nil"/>
              <w:right w:val="nil"/>
            </w:tcBorders>
            <w:shd w:val="clear" w:color="auto" w:fill="auto"/>
            <w:noWrap/>
            <w:vAlign w:val="bottom"/>
            <w:hideMark/>
          </w:tcPr>
          <w:p w14:paraId="70158766" w14:textId="77777777" w:rsidR="007117CE" w:rsidRPr="009439C9" w:rsidRDefault="007117CE" w:rsidP="00477324">
            <w:pPr>
              <w:spacing w:after="0" w:line="240" w:lineRule="auto"/>
              <w:ind w:firstLineChars="200" w:firstLine="400"/>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Regional costs</w:t>
            </w:r>
          </w:p>
        </w:tc>
        <w:tc>
          <w:tcPr>
            <w:tcW w:w="6060" w:type="dxa"/>
            <w:tcBorders>
              <w:top w:val="nil"/>
              <w:left w:val="nil"/>
              <w:bottom w:val="nil"/>
              <w:right w:val="nil"/>
            </w:tcBorders>
            <w:shd w:val="clear" w:color="auto" w:fill="auto"/>
            <w:noWrap/>
            <w:vAlign w:val="bottom"/>
            <w:hideMark/>
          </w:tcPr>
          <w:p w14:paraId="04F845CD" w14:textId="77777777" w:rsidR="007117CE" w:rsidRPr="009439C9" w:rsidRDefault="007117CE" w:rsidP="00477324">
            <w:pPr>
              <w:spacing w:after="0" w:line="240" w:lineRule="auto"/>
              <w:jc w:val="right"/>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1.55</w:t>
            </w:r>
          </w:p>
        </w:tc>
      </w:tr>
      <w:tr w:rsidR="007117CE" w:rsidRPr="009439C9" w14:paraId="798DE8C4" w14:textId="77777777" w:rsidTr="00477324">
        <w:trPr>
          <w:trHeight w:val="315"/>
        </w:trPr>
        <w:tc>
          <w:tcPr>
            <w:tcW w:w="2860" w:type="dxa"/>
            <w:tcBorders>
              <w:top w:val="nil"/>
              <w:left w:val="nil"/>
              <w:bottom w:val="nil"/>
              <w:right w:val="nil"/>
            </w:tcBorders>
            <w:shd w:val="clear" w:color="auto" w:fill="auto"/>
            <w:noWrap/>
            <w:vAlign w:val="bottom"/>
            <w:hideMark/>
          </w:tcPr>
          <w:p w14:paraId="1731598A" w14:textId="77777777" w:rsidR="007117CE" w:rsidRPr="009439C9" w:rsidRDefault="007117CE" w:rsidP="00477324">
            <w:pPr>
              <w:spacing w:after="0" w:line="240" w:lineRule="auto"/>
              <w:ind w:firstLineChars="200" w:firstLine="400"/>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Service delivery scale</w:t>
            </w:r>
          </w:p>
        </w:tc>
        <w:tc>
          <w:tcPr>
            <w:tcW w:w="6060" w:type="dxa"/>
            <w:tcBorders>
              <w:top w:val="nil"/>
              <w:left w:val="nil"/>
              <w:bottom w:val="nil"/>
              <w:right w:val="nil"/>
            </w:tcBorders>
            <w:shd w:val="clear" w:color="auto" w:fill="auto"/>
            <w:noWrap/>
            <w:vAlign w:val="bottom"/>
            <w:hideMark/>
          </w:tcPr>
          <w:p w14:paraId="5B44CD89" w14:textId="77777777" w:rsidR="007117CE" w:rsidRPr="009439C9" w:rsidRDefault="007117CE" w:rsidP="00477324">
            <w:pPr>
              <w:spacing w:after="0" w:line="240" w:lineRule="auto"/>
              <w:jc w:val="right"/>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1.09</w:t>
            </w:r>
          </w:p>
        </w:tc>
      </w:tr>
      <w:tr w:rsidR="007117CE" w:rsidRPr="009439C9" w14:paraId="76AA76D6" w14:textId="77777777" w:rsidTr="00477324">
        <w:trPr>
          <w:trHeight w:val="315"/>
        </w:trPr>
        <w:tc>
          <w:tcPr>
            <w:tcW w:w="2860" w:type="dxa"/>
            <w:tcBorders>
              <w:top w:val="nil"/>
              <w:left w:val="nil"/>
              <w:bottom w:val="nil"/>
              <w:right w:val="nil"/>
            </w:tcBorders>
            <w:shd w:val="clear" w:color="auto" w:fill="auto"/>
            <w:noWrap/>
            <w:vAlign w:val="bottom"/>
            <w:hideMark/>
          </w:tcPr>
          <w:p w14:paraId="5427ABE6" w14:textId="77777777" w:rsidR="007117CE" w:rsidRPr="009439C9" w:rsidRDefault="007117CE" w:rsidP="00477324">
            <w:pPr>
              <w:spacing w:after="0" w:line="240" w:lineRule="auto"/>
              <w:ind w:firstLineChars="100" w:firstLine="200"/>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Post-secondary (a)</w:t>
            </w:r>
          </w:p>
        </w:tc>
        <w:tc>
          <w:tcPr>
            <w:tcW w:w="6060" w:type="dxa"/>
            <w:tcBorders>
              <w:top w:val="nil"/>
              <w:left w:val="nil"/>
              <w:bottom w:val="nil"/>
              <w:right w:val="nil"/>
            </w:tcBorders>
            <w:shd w:val="clear" w:color="auto" w:fill="auto"/>
            <w:noWrap/>
            <w:vAlign w:val="bottom"/>
            <w:hideMark/>
          </w:tcPr>
          <w:p w14:paraId="10FA8AC6" w14:textId="77777777" w:rsidR="007117CE" w:rsidRPr="009439C9" w:rsidRDefault="007117CE" w:rsidP="00477324">
            <w:pPr>
              <w:spacing w:after="0" w:line="240" w:lineRule="auto"/>
              <w:jc w:val="right"/>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1.87</w:t>
            </w:r>
          </w:p>
        </w:tc>
      </w:tr>
      <w:tr w:rsidR="007117CE" w:rsidRPr="009439C9" w14:paraId="144DB5EA" w14:textId="77777777" w:rsidTr="00477324">
        <w:trPr>
          <w:trHeight w:val="315"/>
        </w:trPr>
        <w:tc>
          <w:tcPr>
            <w:tcW w:w="2860" w:type="dxa"/>
            <w:tcBorders>
              <w:top w:val="nil"/>
              <w:left w:val="nil"/>
              <w:bottom w:val="nil"/>
              <w:right w:val="nil"/>
            </w:tcBorders>
            <w:shd w:val="clear" w:color="auto" w:fill="auto"/>
            <w:noWrap/>
            <w:vAlign w:val="bottom"/>
            <w:hideMark/>
          </w:tcPr>
          <w:p w14:paraId="049DF6B1" w14:textId="77777777" w:rsidR="007117CE" w:rsidRPr="009439C9" w:rsidRDefault="007117CE" w:rsidP="00477324">
            <w:pPr>
              <w:spacing w:after="0" w:line="240" w:lineRule="auto"/>
              <w:ind w:firstLineChars="100" w:firstLine="200"/>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 xml:space="preserve">Hospitals </w:t>
            </w:r>
          </w:p>
        </w:tc>
        <w:tc>
          <w:tcPr>
            <w:tcW w:w="6060" w:type="dxa"/>
            <w:tcBorders>
              <w:top w:val="nil"/>
              <w:left w:val="nil"/>
              <w:bottom w:val="nil"/>
              <w:right w:val="nil"/>
            </w:tcBorders>
            <w:shd w:val="clear" w:color="auto" w:fill="auto"/>
            <w:noWrap/>
            <w:vAlign w:val="bottom"/>
            <w:hideMark/>
          </w:tcPr>
          <w:p w14:paraId="3B0D9D06" w14:textId="77777777" w:rsidR="007117CE" w:rsidRPr="009439C9" w:rsidRDefault="007117CE" w:rsidP="00477324">
            <w:pPr>
              <w:spacing w:after="0" w:line="240" w:lineRule="auto"/>
              <w:ind w:firstLineChars="100" w:firstLine="200"/>
              <w:rPr>
                <w:rFonts w:ascii="Calibri" w:eastAsia="Times New Roman" w:hAnsi="Calibri" w:cs="Calibri"/>
                <w:color w:val="000000"/>
                <w:sz w:val="20"/>
                <w:szCs w:val="20"/>
                <w:lang w:eastAsia="en-AU"/>
              </w:rPr>
            </w:pPr>
          </w:p>
        </w:tc>
      </w:tr>
      <w:tr w:rsidR="007117CE" w:rsidRPr="009439C9" w14:paraId="22D92CFF" w14:textId="77777777" w:rsidTr="00477324">
        <w:trPr>
          <w:trHeight w:val="315"/>
        </w:trPr>
        <w:tc>
          <w:tcPr>
            <w:tcW w:w="2860" w:type="dxa"/>
            <w:tcBorders>
              <w:top w:val="nil"/>
              <w:left w:val="nil"/>
              <w:bottom w:val="nil"/>
              <w:right w:val="nil"/>
            </w:tcBorders>
            <w:shd w:val="clear" w:color="auto" w:fill="auto"/>
            <w:noWrap/>
            <w:vAlign w:val="bottom"/>
            <w:hideMark/>
          </w:tcPr>
          <w:p w14:paraId="04489778" w14:textId="77777777" w:rsidR="007117CE" w:rsidRPr="009439C9" w:rsidRDefault="007117CE" w:rsidP="00477324">
            <w:pPr>
              <w:spacing w:after="0" w:line="240" w:lineRule="auto"/>
              <w:ind w:firstLineChars="200" w:firstLine="400"/>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Regional costs</w:t>
            </w:r>
          </w:p>
        </w:tc>
        <w:tc>
          <w:tcPr>
            <w:tcW w:w="6060" w:type="dxa"/>
            <w:tcBorders>
              <w:top w:val="nil"/>
              <w:left w:val="nil"/>
              <w:bottom w:val="nil"/>
              <w:right w:val="nil"/>
            </w:tcBorders>
            <w:shd w:val="clear" w:color="auto" w:fill="auto"/>
            <w:noWrap/>
            <w:vAlign w:val="bottom"/>
            <w:hideMark/>
          </w:tcPr>
          <w:p w14:paraId="6FE798AE" w14:textId="77777777" w:rsidR="007117CE" w:rsidRPr="009439C9" w:rsidRDefault="007117CE" w:rsidP="00477324">
            <w:pPr>
              <w:spacing w:after="0" w:line="240" w:lineRule="auto"/>
              <w:jc w:val="right"/>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1.12</w:t>
            </w:r>
          </w:p>
        </w:tc>
      </w:tr>
      <w:tr w:rsidR="007117CE" w:rsidRPr="009439C9" w14:paraId="1AF3BC3E" w14:textId="77777777" w:rsidTr="00477324">
        <w:trPr>
          <w:trHeight w:val="315"/>
        </w:trPr>
        <w:tc>
          <w:tcPr>
            <w:tcW w:w="2860" w:type="dxa"/>
            <w:tcBorders>
              <w:top w:val="nil"/>
              <w:left w:val="nil"/>
              <w:bottom w:val="nil"/>
              <w:right w:val="nil"/>
            </w:tcBorders>
            <w:shd w:val="clear" w:color="auto" w:fill="auto"/>
            <w:noWrap/>
            <w:vAlign w:val="bottom"/>
            <w:hideMark/>
          </w:tcPr>
          <w:p w14:paraId="009FE7C4" w14:textId="77777777" w:rsidR="007117CE" w:rsidRPr="009439C9" w:rsidRDefault="007117CE" w:rsidP="00477324">
            <w:pPr>
              <w:spacing w:after="0" w:line="240" w:lineRule="auto"/>
              <w:ind w:firstLineChars="200" w:firstLine="400"/>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Service delivery scale</w:t>
            </w:r>
          </w:p>
        </w:tc>
        <w:tc>
          <w:tcPr>
            <w:tcW w:w="6060" w:type="dxa"/>
            <w:tcBorders>
              <w:top w:val="nil"/>
              <w:left w:val="nil"/>
              <w:bottom w:val="nil"/>
              <w:right w:val="nil"/>
            </w:tcBorders>
            <w:shd w:val="clear" w:color="auto" w:fill="auto"/>
            <w:noWrap/>
            <w:vAlign w:val="bottom"/>
            <w:hideMark/>
          </w:tcPr>
          <w:p w14:paraId="118AF55D" w14:textId="77777777" w:rsidR="007117CE" w:rsidRPr="009439C9" w:rsidRDefault="007117CE" w:rsidP="00477324">
            <w:pPr>
              <w:spacing w:after="0" w:line="240" w:lineRule="auto"/>
              <w:jc w:val="right"/>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1.73</w:t>
            </w:r>
          </w:p>
        </w:tc>
      </w:tr>
      <w:tr w:rsidR="007117CE" w:rsidRPr="009439C9" w14:paraId="7B198802" w14:textId="77777777" w:rsidTr="00477324">
        <w:trPr>
          <w:trHeight w:val="315"/>
        </w:trPr>
        <w:tc>
          <w:tcPr>
            <w:tcW w:w="2860" w:type="dxa"/>
            <w:tcBorders>
              <w:top w:val="nil"/>
              <w:left w:val="nil"/>
              <w:bottom w:val="nil"/>
              <w:right w:val="nil"/>
            </w:tcBorders>
            <w:shd w:val="clear" w:color="auto" w:fill="auto"/>
            <w:noWrap/>
            <w:vAlign w:val="bottom"/>
            <w:hideMark/>
          </w:tcPr>
          <w:p w14:paraId="13895222" w14:textId="77777777" w:rsidR="007117CE" w:rsidRPr="009439C9" w:rsidRDefault="007117CE" w:rsidP="00477324">
            <w:pPr>
              <w:spacing w:after="0" w:line="240" w:lineRule="auto"/>
              <w:ind w:firstLineChars="100" w:firstLine="200"/>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Courts (a)</w:t>
            </w:r>
          </w:p>
        </w:tc>
        <w:tc>
          <w:tcPr>
            <w:tcW w:w="6060" w:type="dxa"/>
            <w:tcBorders>
              <w:top w:val="nil"/>
              <w:left w:val="nil"/>
              <w:bottom w:val="nil"/>
              <w:right w:val="nil"/>
            </w:tcBorders>
            <w:shd w:val="clear" w:color="auto" w:fill="auto"/>
            <w:noWrap/>
            <w:vAlign w:val="bottom"/>
            <w:hideMark/>
          </w:tcPr>
          <w:p w14:paraId="162095A5" w14:textId="77777777" w:rsidR="007117CE" w:rsidRPr="009439C9" w:rsidRDefault="007117CE" w:rsidP="00477324">
            <w:pPr>
              <w:spacing w:after="0" w:line="240" w:lineRule="auto"/>
              <w:jc w:val="right"/>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1.10</w:t>
            </w:r>
          </w:p>
        </w:tc>
      </w:tr>
      <w:tr w:rsidR="007117CE" w:rsidRPr="009439C9" w14:paraId="41292229" w14:textId="77777777" w:rsidTr="00477324">
        <w:trPr>
          <w:trHeight w:val="315"/>
        </w:trPr>
        <w:tc>
          <w:tcPr>
            <w:tcW w:w="2860" w:type="dxa"/>
            <w:tcBorders>
              <w:top w:val="nil"/>
              <w:left w:val="nil"/>
              <w:bottom w:val="nil"/>
              <w:right w:val="nil"/>
            </w:tcBorders>
            <w:shd w:val="clear" w:color="auto" w:fill="auto"/>
            <w:noWrap/>
            <w:vAlign w:val="bottom"/>
            <w:hideMark/>
          </w:tcPr>
          <w:p w14:paraId="1D83AB9A" w14:textId="7ECE3989" w:rsidR="007117CE" w:rsidRPr="009439C9" w:rsidRDefault="007117CE" w:rsidP="001A7B72">
            <w:pPr>
              <w:spacing w:after="0" w:line="240" w:lineRule="auto"/>
              <w:ind w:firstLineChars="100" w:firstLine="200"/>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Wastewater (</w:t>
            </w:r>
            <w:r w:rsidR="001A7B72">
              <w:rPr>
                <w:rFonts w:ascii="Calibri" w:eastAsia="Times New Roman" w:hAnsi="Calibri" w:cs="Calibri"/>
                <w:color w:val="000000"/>
                <w:sz w:val="20"/>
                <w:szCs w:val="20"/>
                <w:lang w:eastAsia="en-AU"/>
              </w:rPr>
              <w:t>a</w:t>
            </w:r>
            <w:r w:rsidRPr="009439C9">
              <w:rPr>
                <w:rFonts w:ascii="Calibri" w:eastAsia="Times New Roman" w:hAnsi="Calibri" w:cs="Calibri"/>
                <w:color w:val="000000"/>
                <w:sz w:val="20"/>
                <w:szCs w:val="20"/>
                <w:lang w:eastAsia="en-AU"/>
              </w:rPr>
              <w:t>)</w:t>
            </w:r>
          </w:p>
        </w:tc>
        <w:tc>
          <w:tcPr>
            <w:tcW w:w="6060" w:type="dxa"/>
            <w:tcBorders>
              <w:top w:val="nil"/>
              <w:left w:val="nil"/>
              <w:bottom w:val="nil"/>
              <w:right w:val="nil"/>
            </w:tcBorders>
            <w:shd w:val="clear" w:color="auto" w:fill="auto"/>
            <w:noWrap/>
            <w:vAlign w:val="bottom"/>
            <w:hideMark/>
          </w:tcPr>
          <w:p w14:paraId="5F5B0058" w14:textId="77777777" w:rsidR="007117CE" w:rsidRPr="009439C9" w:rsidRDefault="007117CE" w:rsidP="00477324">
            <w:pPr>
              <w:spacing w:after="0" w:line="240" w:lineRule="auto"/>
              <w:jc w:val="right"/>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2.62</w:t>
            </w:r>
          </w:p>
        </w:tc>
      </w:tr>
      <w:tr w:rsidR="007117CE" w:rsidRPr="009439C9" w14:paraId="2522F68B" w14:textId="77777777" w:rsidTr="00477324">
        <w:trPr>
          <w:trHeight w:val="315"/>
        </w:trPr>
        <w:tc>
          <w:tcPr>
            <w:tcW w:w="2860" w:type="dxa"/>
            <w:tcBorders>
              <w:top w:val="nil"/>
              <w:left w:val="nil"/>
              <w:bottom w:val="nil"/>
              <w:right w:val="nil"/>
            </w:tcBorders>
            <w:shd w:val="clear" w:color="auto" w:fill="auto"/>
            <w:noWrap/>
            <w:vAlign w:val="bottom"/>
            <w:hideMark/>
          </w:tcPr>
          <w:p w14:paraId="621051D7" w14:textId="0A904C33" w:rsidR="007117CE" w:rsidRPr="009439C9" w:rsidRDefault="007117CE" w:rsidP="001A7B72">
            <w:pPr>
              <w:spacing w:after="0" w:line="240" w:lineRule="auto"/>
              <w:ind w:firstLineChars="100" w:firstLine="200"/>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Construction costs (</w:t>
            </w:r>
            <w:r w:rsidR="001A7B72">
              <w:rPr>
                <w:rFonts w:ascii="Calibri" w:eastAsia="Times New Roman" w:hAnsi="Calibri" w:cs="Calibri"/>
                <w:color w:val="000000"/>
                <w:sz w:val="20"/>
                <w:szCs w:val="20"/>
                <w:lang w:eastAsia="en-AU"/>
              </w:rPr>
              <w:t>a</w:t>
            </w:r>
            <w:r w:rsidRPr="009439C9">
              <w:rPr>
                <w:rFonts w:ascii="Calibri" w:eastAsia="Times New Roman" w:hAnsi="Calibri" w:cs="Calibri"/>
                <w:color w:val="000000"/>
                <w:sz w:val="20"/>
                <w:szCs w:val="20"/>
                <w:lang w:eastAsia="en-AU"/>
              </w:rPr>
              <w:t>)</w:t>
            </w:r>
          </w:p>
        </w:tc>
        <w:tc>
          <w:tcPr>
            <w:tcW w:w="6060" w:type="dxa"/>
            <w:tcBorders>
              <w:top w:val="nil"/>
              <w:left w:val="nil"/>
              <w:bottom w:val="nil"/>
              <w:right w:val="nil"/>
            </w:tcBorders>
            <w:shd w:val="clear" w:color="auto" w:fill="auto"/>
            <w:noWrap/>
            <w:vAlign w:val="bottom"/>
            <w:hideMark/>
          </w:tcPr>
          <w:p w14:paraId="272081DE" w14:textId="77777777" w:rsidR="007117CE" w:rsidRPr="009439C9" w:rsidRDefault="007117CE" w:rsidP="00477324">
            <w:pPr>
              <w:spacing w:after="0" w:line="240" w:lineRule="auto"/>
              <w:jc w:val="right"/>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1.54</w:t>
            </w:r>
          </w:p>
        </w:tc>
      </w:tr>
      <w:tr w:rsidR="007117CE" w:rsidRPr="009439C9" w14:paraId="2EB01FA9" w14:textId="77777777" w:rsidTr="00477324">
        <w:trPr>
          <w:trHeight w:val="315"/>
        </w:trPr>
        <w:tc>
          <w:tcPr>
            <w:tcW w:w="2860" w:type="dxa"/>
            <w:tcBorders>
              <w:top w:val="nil"/>
              <w:left w:val="nil"/>
              <w:bottom w:val="single" w:sz="4" w:space="0" w:color="auto"/>
              <w:right w:val="nil"/>
            </w:tcBorders>
            <w:shd w:val="clear" w:color="auto" w:fill="auto"/>
            <w:noWrap/>
            <w:vAlign w:val="bottom"/>
            <w:hideMark/>
          </w:tcPr>
          <w:p w14:paraId="4959049E" w14:textId="77777777" w:rsidR="007117CE" w:rsidRPr="009439C9" w:rsidRDefault="007117CE" w:rsidP="00477324">
            <w:pPr>
              <w:spacing w:after="0" w:line="240" w:lineRule="auto"/>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General adjustment (b)</w:t>
            </w:r>
          </w:p>
        </w:tc>
        <w:tc>
          <w:tcPr>
            <w:tcW w:w="6060" w:type="dxa"/>
            <w:tcBorders>
              <w:top w:val="nil"/>
              <w:left w:val="nil"/>
              <w:bottom w:val="single" w:sz="4" w:space="0" w:color="auto"/>
              <w:right w:val="nil"/>
            </w:tcBorders>
            <w:shd w:val="clear" w:color="auto" w:fill="auto"/>
            <w:noWrap/>
            <w:vAlign w:val="bottom"/>
            <w:hideMark/>
          </w:tcPr>
          <w:p w14:paraId="7712FE3B" w14:textId="77777777" w:rsidR="007117CE" w:rsidRPr="009439C9" w:rsidRDefault="007117CE" w:rsidP="00477324">
            <w:pPr>
              <w:spacing w:after="0" w:line="240" w:lineRule="auto"/>
              <w:jc w:val="right"/>
              <w:rPr>
                <w:rFonts w:ascii="Calibri" w:eastAsia="Times New Roman" w:hAnsi="Calibri" w:cs="Calibri"/>
                <w:color w:val="000000"/>
                <w:sz w:val="20"/>
                <w:szCs w:val="20"/>
                <w:lang w:eastAsia="en-AU"/>
              </w:rPr>
            </w:pPr>
            <w:r w:rsidRPr="009439C9">
              <w:rPr>
                <w:rFonts w:ascii="Calibri" w:eastAsia="Times New Roman" w:hAnsi="Calibri" w:cs="Calibri"/>
                <w:color w:val="000000"/>
                <w:sz w:val="20"/>
                <w:szCs w:val="20"/>
                <w:lang w:eastAsia="en-AU"/>
              </w:rPr>
              <w:t>1.34</w:t>
            </w:r>
          </w:p>
        </w:tc>
      </w:tr>
    </w:tbl>
    <w:p w14:paraId="35BB648C" w14:textId="77777777" w:rsidR="007117CE" w:rsidRDefault="007117CE" w:rsidP="00B42144">
      <w:pPr>
        <w:pStyle w:val="CGCTableFootnote"/>
      </w:pPr>
      <w:r>
        <w:t xml:space="preserve">(a) </w:t>
      </w:r>
      <w:r>
        <w:tab/>
        <w:t>Combines the effects of remoteness and service deliver</w:t>
      </w:r>
      <w:r w:rsidR="007766F3">
        <w:t>y</w:t>
      </w:r>
      <w:r>
        <w:t xml:space="preserve"> scale.</w:t>
      </w:r>
    </w:p>
    <w:p w14:paraId="710D13A4" w14:textId="77777777" w:rsidR="007117CE" w:rsidRDefault="007117CE" w:rsidP="00B42144">
      <w:pPr>
        <w:pStyle w:val="CGCTableFootnote"/>
      </w:pPr>
      <w:r>
        <w:t xml:space="preserve">(b) </w:t>
      </w:r>
      <w:r>
        <w:tab/>
        <w:t>This adjustment was applied to most services not specifically mentioned in the table. It covers the effects of remoteness only.</w:t>
      </w:r>
    </w:p>
    <w:p w14:paraId="1DB7710B" w14:textId="77777777" w:rsidR="007117CE" w:rsidRPr="007117CE" w:rsidRDefault="007117CE" w:rsidP="00B42144">
      <w:pPr>
        <w:pStyle w:val="CGCTableFootnote"/>
      </w:pPr>
      <w:r>
        <w:t>Source:</w:t>
      </w:r>
      <w:r>
        <w:tab/>
        <w:t>Commission calculation for the 2020 Review.</w:t>
      </w:r>
    </w:p>
    <w:p w14:paraId="21786D38" w14:textId="77777777" w:rsidR="007117CE" w:rsidRDefault="007117CE" w:rsidP="007117CE">
      <w:pPr>
        <w:pStyle w:val="CGCNumberedPara"/>
      </w:pPr>
      <w:r>
        <w:t>These remoteness and service delivery scale allowances were not made for services where the per capita costs for King Island were used as the base</w:t>
      </w:r>
      <w:r w:rsidR="00F61B5D">
        <w:t xml:space="preserve">. </w:t>
      </w:r>
      <w:r>
        <w:t xml:space="preserve">We considered the King Island costs already included the effects of remoteness, the need to deliver services for a small community and many of the effects of an island. </w:t>
      </w:r>
    </w:p>
    <w:p w14:paraId="2402B5FE" w14:textId="77777777" w:rsidR="007117CE" w:rsidRDefault="007117CE" w:rsidP="007117CE">
      <w:pPr>
        <w:pStyle w:val="Heading4"/>
      </w:pPr>
      <w:bookmarkStart w:id="275" w:name="_Toc16854924"/>
      <w:bookmarkStart w:id="276" w:name="_Toc17105387"/>
      <w:bookmarkStart w:id="277" w:name="_Toc17105439"/>
      <w:bookmarkStart w:id="278" w:name="_Toc17105595"/>
      <w:bookmarkStart w:id="279" w:name="_Toc17380463"/>
      <w:bookmarkStart w:id="280" w:name="_Toc19262910"/>
      <w:bookmarkStart w:id="281" w:name="_Toc23847455"/>
      <w:r>
        <w:t>Isolation</w:t>
      </w:r>
      <w:bookmarkEnd w:id="275"/>
      <w:bookmarkEnd w:id="276"/>
      <w:bookmarkEnd w:id="277"/>
      <w:bookmarkEnd w:id="278"/>
      <w:bookmarkEnd w:id="279"/>
      <w:bookmarkEnd w:id="280"/>
      <w:bookmarkEnd w:id="281"/>
      <w:r>
        <w:t xml:space="preserve"> </w:t>
      </w:r>
    </w:p>
    <w:p w14:paraId="170C910A" w14:textId="77777777" w:rsidR="007117CE" w:rsidRDefault="007117CE" w:rsidP="007117CE">
      <w:pPr>
        <w:pStyle w:val="CGCNumberedPara"/>
      </w:pPr>
      <w:r>
        <w:t>Our inclusion of allowances for remoteness and service delivery scale provide the best estimates of the costs of providing services in small very remote communities. However, Norfolk Island is not just very remote</w:t>
      </w:r>
      <w:r w:rsidR="00C962AE">
        <w:t xml:space="preserve"> but</w:t>
      </w:r>
      <w:r>
        <w:t xml:space="preserve"> is</w:t>
      </w:r>
      <w:r w:rsidR="00C962AE">
        <w:t xml:space="preserve"> also</w:t>
      </w:r>
      <w:r>
        <w:t xml:space="preserve"> isolated</w:t>
      </w:r>
      <w:r w:rsidR="00F61B5D">
        <w:t xml:space="preserve">. </w:t>
      </w:r>
      <w:r>
        <w:t xml:space="preserve">That isolated </w:t>
      </w:r>
      <w:r>
        <w:lastRenderedPageBreak/>
        <w:t>island status has some implications for the costs of services over and above those of a small very remote community on the mainland</w:t>
      </w:r>
      <w:r w:rsidR="00F61B5D">
        <w:t xml:space="preserve">. </w:t>
      </w:r>
    </w:p>
    <w:p w14:paraId="5824F636" w14:textId="77777777" w:rsidR="007117CE" w:rsidRDefault="007117CE" w:rsidP="007117CE">
      <w:pPr>
        <w:pStyle w:val="CGCNumberedPara"/>
      </w:pPr>
      <w:r>
        <w:t xml:space="preserve">Implications of the isolated island nature of Norfolk </w:t>
      </w:r>
      <w:r w:rsidR="00C3298F">
        <w:t xml:space="preserve">Island </w:t>
      </w:r>
      <w:r>
        <w:t>include:</w:t>
      </w:r>
    </w:p>
    <w:p w14:paraId="1D065DB2" w14:textId="77777777" w:rsidR="007117CE" w:rsidRDefault="007117CE" w:rsidP="007117CE">
      <w:pPr>
        <w:pStyle w:val="CGCBulletlist"/>
      </w:pPr>
      <w:r>
        <w:t xml:space="preserve">it </w:t>
      </w:r>
      <w:r w:rsidRPr="00D15864">
        <w:t xml:space="preserve">relies almost exclusively on air services for </w:t>
      </w:r>
      <w:r>
        <w:t xml:space="preserve">the </w:t>
      </w:r>
      <w:r w:rsidRPr="00D15864">
        <w:t>movement of people</w:t>
      </w:r>
      <w:r>
        <w:t xml:space="preserve"> and some freight</w:t>
      </w:r>
      <w:r w:rsidRPr="00D15864">
        <w:t xml:space="preserve"> to and from its shores</w:t>
      </w:r>
    </w:p>
    <w:p w14:paraId="1845349B" w14:textId="77777777" w:rsidR="007117CE" w:rsidRDefault="007117CE" w:rsidP="007117CE">
      <w:pPr>
        <w:pStyle w:val="CGCBulletlist"/>
      </w:pPr>
      <w:r>
        <w:t>the limited number of flights to and from the mainland mean</w:t>
      </w:r>
      <w:r w:rsidR="007039D0">
        <w:t>s</w:t>
      </w:r>
      <w:r>
        <w:t xml:space="preserve"> trips by </w:t>
      </w:r>
      <w:r w:rsidR="00D15CFF">
        <w:t xml:space="preserve">community members, the private sector, visitors and service delivery </w:t>
      </w:r>
      <w:r>
        <w:t>staff can be longer than their business otherwise requires</w:t>
      </w:r>
    </w:p>
    <w:p w14:paraId="31FFE7F7" w14:textId="77777777" w:rsidR="007117CE" w:rsidRDefault="007117CE" w:rsidP="007117CE">
      <w:pPr>
        <w:pStyle w:val="CGCBulletlist"/>
      </w:pPr>
      <w:r>
        <w:t xml:space="preserve">most freight must be moved by sea rather than by road and since </w:t>
      </w:r>
      <w:r w:rsidRPr="00D15864">
        <w:t>Norfolk Island has no deep water harbour</w:t>
      </w:r>
      <w:r w:rsidR="00C3298F">
        <w:t>,</w:t>
      </w:r>
      <w:r w:rsidRPr="00D15864">
        <w:t xml:space="preserve"> a lighterage service </w:t>
      </w:r>
      <w:r>
        <w:t xml:space="preserve">must be used </w:t>
      </w:r>
      <w:r w:rsidRPr="00D15864">
        <w:t xml:space="preserve">to </w:t>
      </w:r>
      <w:r>
        <w:t xml:space="preserve">move freight and </w:t>
      </w:r>
      <w:r w:rsidRPr="00D15864">
        <w:t xml:space="preserve">equipment from </w:t>
      </w:r>
      <w:r>
        <w:t xml:space="preserve">the </w:t>
      </w:r>
      <w:r w:rsidR="00C3298F">
        <w:t xml:space="preserve">ships to </w:t>
      </w:r>
      <w:r w:rsidR="00BF0CFF">
        <w:t>its</w:t>
      </w:r>
      <w:r>
        <w:t xml:space="preserve"> </w:t>
      </w:r>
      <w:r w:rsidRPr="00D15864">
        <w:t xml:space="preserve">jetties </w:t>
      </w:r>
    </w:p>
    <w:p w14:paraId="4172B769" w14:textId="77777777" w:rsidR="007117CE" w:rsidRDefault="007117CE" w:rsidP="007117CE">
      <w:pPr>
        <w:pStyle w:val="CGCBulletlist"/>
      </w:pPr>
      <w:r>
        <w:t xml:space="preserve">service providers on Norfolk are unable to access cost savings arising from the sharing of facilities and systems with neighbouring service providers </w:t>
      </w:r>
    </w:p>
    <w:p w14:paraId="68F31853" w14:textId="77777777" w:rsidR="002C6C13" w:rsidRDefault="007117CE" w:rsidP="007117CE">
      <w:pPr>
        <w:pStyle w:val="CGCBulletlist"/>
      </w:pPr>
      <w:r>
        <w:t xml:space="preserve">the longer response times involved in getting back-up and emergency services to Norfolk Island may require the Island to have levels of facilities and equipment which are over and above those in remote </w:t>
      </w:r>
      <w:r w:rsidR="00BF0CFF">
        <w:t xml:space="preserve">and very remote </w:t>
      </w:r>
      <w:r>
        <w:t>mainland communities</w:t>
      </w:r>
    </w:p>
    <w:p w14:paraId="50F9188B" w14:textId="77777777" w:rsidR="007117CE" w:rsidRDefault="002C6C13" w:rsidP="002C6C13">
      <w:pPr>
        <w:pStyle w:val="CGCBulletlist"/>
      </w:pPr>
      <w:r>
        <w:t>A high level of emergency management coordination required to ensure the Island is prepared for any emergency situation</w:t>
      </w:r>
      <w:r w:rsidR="00075A3A">
        <w:t>, in comparison to regions where resourcing and emergency services are more readily accessible</w:t>
      </w:r>
      <w:r w:rsidR="007117CE">
        <w:t xml:space="preserve">. </w:t>
      </w:r>
    </w:p>
    <w:p w14:paraId="7F2F7804" w14:textId="77777777" w:rsidR="007117CE" w:rsidRDefault="007117CE" w:rsidP="007117CE">
      <w:pPr>
        <w:pStyle w:val="CGCNumberedPara"/>
      </w:pPr>
      <w:r>
        <w:t xml:space="preserve">A study done for </w:t>
      </w:r>
      <w:r w:rsidR="008F4885">
        <w:t>the Department</w:t>
      </w:r>
      <w:r>
        <w:t xml:space="preserve"> by KPMG</w:t>
      </w:r>
      <w:r w:rsidR="001E0115">
        <w:t>,</w:t>
      </w:r>
      <w:r>
        <w:rPr>
          <w:rStyle w:val="FootnoteReference"/>
        </w:rPr>
        <w:footnoteReference w:id="4"/>
      </w:r>
      <w:r w:rsidR="00876C3C">
        <w:t xml:space="preserve"> a consultancy,</w:t>
      </w:r>
      <w:r>
        <w:t xml:space="preserve"> also concluded the isolation of Norfolk Island led to extra costs for staff travel</w:t>
      </w:r>
      <w:r w:rsidR="00C3298F">
        <w:t>,</w:t>
      </w:r>
      <w:r>
        <w:t xml:space="preserve"> recruitment and retention, freight and lost efficiencies arising from the inability to share resources and services with neighbouring councils</w:t>
      </w:r>
      <w:r w:rsidR="00F61B5D">
        <w:t xml:space="preserve">. </w:t>
      </w:r>
    </w:p>
    <w:p w14:paraId="5B1C2464" w14:textId="77777777" w:rsidR="007117CE" w:rsidRDefault="007117CE" w:rsidP="007117CE">
      <w:pPr>
        <w:pStyle w:val="CGCNumberedPara"/>
      </w:pPr>
      <w:r>
        <w:t>In the 2006 and 2011 Norfolk Inquiries, allowances were made for the effects of those influences by applying a 5% isolation allowance to the base costs for most services. That allowance was based on an analysis of the extent to which transport, travel, communication and equipment costs were increased by the Island’s isolation. A reduced allowance was made when King Island or Northern Territory costs were used as the base because those costs include</w:t>
      </w:r>
      <w:r w:rsidR="00E759DD">
        <w:t>d</w:t>
      </w:r>
      <w:r>
        <w:t xml:space="preserve"> some isolation costs.</w:t>
      </w:r>
    </w:p>
    <w:p w14:paraId="61AD02BE" w14:textId="77777777" w:rsidR="007117CE" w:rsidRDefault="007117CE" w:rsidP="007117CE">
      <w:pPr>
        <w:pStyle w:val="CGCNumberedPara"/>
      </w:pPr>
      <w:r>
        <w:t>Similar data were not available for the current inquiry</w:t>
      </w:r>
      <w:r w:rsidR="00F61B5D">
        <w:t xml:space="preserve">. </w:t>
      </w:r>
      <w:r>
        <w:t>We, therefore, decided to apply the same 5% allowance in cases where Australian average per capita costs were used as the base</w:t>
      </w:r>
      <w:r w:rsidR="00E759DD">
        <w:t>,</w:t>
      </w:r>
      <w:r>
        <w:t xml:space="preserve"> and to apply a 2.5% allowance when King Island costs were the base.</w:t>
      </w:r>
    </w:p>
    <w:p w14:paraId="454F1AE0" w14:textId="77777777" w:rsidR="007117CE" w:rsidRDefault="00592CAD" w:rsidP="007117CE">
      <w:pPr>
        <w:pStyle w:val="CGCNumberedPara"/>
      </w:pPr>
      <w:r>
        <w:t>The K</w:t>
      </w:r>
      <w:r w:rsidR="007117CE">
        <w:t xml:space="preserve">PMG report also said the </w:t>
      </w:r>
      <w:r>
        <w:t>F</w:t>
      </w:r>
      <w:r w:rsidR="007117CE">
        <w:t xml:space="preserve">inancial </w:t>
      </w:r>
      <w:r>
        <w:t>A</w:t>
      </w:r>
      <w:r w:rsidR="007117CE">
        <w:t xml:space="preserve">ssistance </w:t>
      </w:r>
      <w:r>
        <w:t>G</w:t>
      </w:r>
      <w:r w:rsidR="007117CE">
        <w:t xml:space="preserve">rants </w:t>
      </w:r>
      <w:r>
        <w:t xml:space="preserve">(FAGs) </w:t>
      </w:r>
      <w:r w:rsidR="007117CE">
        <w:t>recommended by the New South Wales Local Government Grants Commission were understated because they did not fully capture the higher costs of some services on Norfolk Island</w:t>
      </w:r>
      <w:r w:rsidR="00F61B5D">
        <w:t>.</w:t>
      </w:r>
      <w:r w:rsidR="00CD72D5">
        <w:t xml:space="preserve"> </w:t>
      </w:r>
      <w:r w:rsidR="007117CE">
        <w:lastRenderedPageBreak/>
        <w:t>Services specifically mentioned by KPMG were airport services, fire and emergency services, planning and building services, tourism support and waste management</w:t>
      </w:r>
      <w:r w:rsidR="00F61B5D">
        <w:t xml:space="preserve">. </w:t>
      </w:r>
    </w:p>
    <w:p w14:paraId="06C6D3C7" w14:textId="77777777" w:rsidR="007117CE" w:rsidRDefault="007117CE" w:rsidP="007117CE">
      <w:pPr>
        <w:pStyle w:val="CGCNumberedPara"/>
      </w:pPr>
      <w:r>
        <w:t>We considered most of the issues raised by KPMG were addressed by our assessment methods</w:t>
      </w:r>
      <w:r w:rsidR="00F61B5D">
        <w:t xml:space="preserve">. </w:t>
      </w:r>
      <w:r>
        <w:t xml:space="preserve">Specifically, our use of either </w:t>
      </w:r>
      <w:r w:rsidR="00E759DD">
        <w:t>very remote, non</w:t>
      </w:r>
      <w:r w:rsidR="00E759DD">
        <w:noBreakHyphen/>
      </w:r>
      <w:r w:rsidR="00CB0792" w:rsidRPr="00CB0792">
        <w:t xml:space="preserve"> </w:t>
      </w:r>
      <w:r w:rsidR="00CB0792">
        <w:t xml:space="preserve">Aboriginal or Torres Strait Islander </w:t>
      </w:r>
      <w:r w:rsidR="00E759DD">
        <w:t>community costs</w:t>
      </w:r>
      <w:r>
        <w:t xml:space="preserve"> or King Island per capita costs as the base</w:t>
      </w:r>
      <w:r w:rsidR="00E759DD">
        <w:t>,</w:t>
      </w:r>
      <w:r>
        <w:t xml:space="preserve"> and the inclusion of allowances for </w:t>
      </w:r>
      <w:r w:rsidR="00E759DD">
        <w:t>isolation, captures</w:t>
      </w:r>
      <w:r>
        <w:t xml:space="preserve"> most of the higher costs on Norfolk Island</w:t>
      </w:r>
      <w:r w:rsidR="00F61B5D">
        <w:t xml:space="preserve">. </w:t>
      </w:r>
      <w:r>
        <w:t>The exception is the case of waste management where we included an extra isolation allowance of $200</w:t>
      </w:r>
      <w:r w:rsidR="00D41FEE">
        <w:t> </w:t>
      </w:r>
      <w:r>
        <w:t>000 to reflect the higher costs on Norfolk Island due to the need to upgrade its waste management and sanitation processes. That allowance is similar to those in the grants recommended for Christmas Island and Cocos (Keeling) Islands by the Western Australian Local Government Grants Commission</w:t>
      </w:r>
      <w:r w:rsidR="00F61B5D">
        <w:t xml:space="preserve">. </w:t>
      </w:r>
      <w:r>
        <w:t xml:space="preserve">This issue is discussed further in Attachment </w:t>
      </w:r>
      <w:r w:rsidR="00E759DD">
        <w:t xml:space="preserve">F </w:t>
      </w:r>
      <w:r>
        <w:t>– Local Government services</w:t>
      </w:r>
      <w:r w:rsidR="00F61B5D">
        <w:t xml:space="preserve">. </w:t>
      </w:r>
    </w:p>
    <w:p w14:paraId="14B728F3" w14:textId="77777777" w:rsidR="00E759DD" w:rsidRDefault="00E759DD" w:rsidP="000009F2">
      <w:pPr>
        <w:pStyle w:val="Heading4"/>
      </w:pPr>
      <w:bookmarkStart w:id="282" w:name="_Toc16854925"/>
      <w:bookmarkStart w:id="283" w:name="_Toc17105388"/>
      <w:bookmarkStart w:id="284" w:name="_Toc17105440"/>
      <w:bookmarkStart w:id="285" w:name="_Toc17105596"/>
      <w:bookmarkStart w:id="286" w:name="_Toc17380464"/>
      <w:bookmarkStart w:id="287" w:name="_Toc19262911"/>
      <w:bookmarkStart w:id="288" w:name="_Toc23847456"/>
      <w:r>
        <w:t>Other effects of remoteness and isolation</w:t>
      </w:r>
      <w:bookmarkEnd w:id="282"/>
      <w:bookmarkEnd w:id="283"/>
      <w:bookmarkEnd w:id="284"/>
      <w:bookmarkEnd w:id="285"/>
      <w:bookmarkEnd w:id="286"/>
      <w:bookmarkEnd w:id="287"/>
      <w:bookmarkEnd w:id="288"/>
    </w:p>
    <w:p w14:paraId="51AAB9D5" w14:textId="77777777" w:rsidR="00E759DD" w:rsidRPr="000009F2" w:rsidRDefault="00E759DD" w:rsidP="000009F2">
      <w:pPr>
        <w:pStyle w:val="CGCNumberedPara"/>
      </w:pPr>
      <w:r w:rsidRPr="000009F2">
        <w:t xml:space="preserve">The remoteness of the Island also </w:t>
      </w:r>
      <w:r w:rsidR="00C3298F">
        <w:t>affects</w:t>
      </w:r>
      <w:r w:rsidRPr="000009F2">
        <w:t xml:space="preserve"> other aspects of service provision.</w:t>
      </w:r>
    </w:p>
    <w:p w14:paraId="1DA80C21" w14:textId="77777777" w:rsidR="00FF4C54" w:rsidRPr="00C718D6" w:rsidRDefault="000009F2" w:rsidP="00C718D6">
      <w:pPr>
        <w:pStyle w:val="Heading5"/>
      </w:pPr>
      <w:r w:rsidRPr="00C718D6">
        <w:rPr>
          <w:rStyle w:val="Heading6Char"/>
          <w:b/>
          <w:i/>
          <w:iCs w:val="0"/>
        </w:rPr>
        <w:t>High cost of electricity for consumers.</w:t>
      </w:r>
      <w:r w:rsidRPr="00C718D6">
        <w:t xml:space="preserve"> </w:t>
      </w:r>
    </w:p>
    <w:p w14:paraId="52E6091B" w14:textId="77777777" w:rsidR="00E759DD" w:rsidRDefault="00E759DD" w:rsidP="000009F2">
      <w:pPr>
        <w:pStyle w:val="CGCNumberedPara"/>
      </w:pPr>
      <w:r>
        <w:t xml:space="preserve">The cost of generating electricity is high on Norfolk Island because a stand-alone diesel plant is used. The cost of importing the fuel required to run the generators is high and there is a high level of in-built redundancy. The high costs are recognised in the assessment of electricity subsidies in Attachment </w:t>
      </w:r>
      <w:r w:rsidR="000009F2">
        <w:t>E</w:t>
      </w:r>
      <w:r>
        <w:t xml:space="preserve">. </w:t>
      </w:r>
    </w:p>
    <w:p w14:paraId="5DF836B6" w14:textId="77777777" w:rsidR="00111A5D" w:rsidRPr="00C718D6" w:rsidRDefault="000009F2" w:rsidP="00C718D6">
      <w:pPr>
        <w:pStyle w:val="Heading5"/>
      </w:pPr>
      <w:r w:rsidRPr="00C718D6">
        <w:rPr>
          <w:rStyle w:val="Heading6Char"/>
          <w:b/>
          <w:i/>
          <w:iCs w:val="0"/>
        </w:rPr>
        <w:t>Waste management.</w:t>
      </w:r>
      <w:r w:rsidRPr="00C718D6">
        <w:t xml:space="preserve"> </w:t>
      </w:r>
    </w:p>
    <w:p w14:paraId="1657BF28" w14:textId="77777777" w:rsidR="00E759DD" w:rsidRDefault="00E759DD" w:rsidP="000009F2">
      <w:pPr>
        <w:pStyle w:val="CGCNumberedPara"/>
      </w:pPr>
      <w:r>
        <w:t xml:space="preserve">Being a small island creates </w:t>
      </w:r>
      <w:r w:rsidR="00A05704">
        <w:t>unique</w:t>
      </w:r>
      <w:r>
        <w:t xml:space="preserve"> </w:t>
      </w:r>
      <w:r w:rsidR="00A05704">
        <w:t>challenges</w:t>
      </w:r>
      <w:r>
        <w:t xml:space="preserve"> for waste disposal. Waste management regimes need to meet the requirements of</w:t>
      </w:r>
      <w:r w:rsidR="006A4BCB">
        <w:t xml:space="preserve"> waste management best practice, Marine Parks requirements and</w:t>
      </w:r>
      <w:r>
        <w:t xml:space="preserve"> international treaties and protocols for the prevention of sea pollution. This issue is discussed above and in Attachment</w:t>
      </w:r>
      <w:r w:rsidR="000009F2">
        <w:t xml:space="preserve"> F</w:t>
      </w:r>
      <w:r>
        <w:t>.</w:t>
      </w:r>
    </w:p>
    <w:p w14:paraId="3F4D2F9B" w14:textId="77777777" w:rsidR="00550556" w:rsidRPr="00C718D6" w:rsidRDefault="000009F2" w:rsidP="00C718D6">
      <w:pPr>
        <w:pStyle w:val="Heading5"/>
        <w:rPr>
          <w:rStyle w:val="Heading6Char"/>
          <w:b/>
          <w:i/>
          <w:iCs w:val="0"/>
        </w:rPr>
      </w:pPr>
      <w:r w:rsidRPr="00C718D6">
        <w:rPr>
          <w:rStyle w:val="Heading6Char"/>
          <w:b/>
          <w:i/>
          <w:iCs w:val="0"/>
        </w:rPr>
        <w:t>Access to tertiary medical services.</w:t>
      </w:r>
    </w:p>
    <w:p w14:paraId="0F28317E" w14:textId="77777777" w:rsidR="00E759DD" w:rsidRDefault="00E759DD" w:rsidP="000009F2">
      <w:pPr>
        <w:pStyle w:val="CGCNumberedPara"/>
      </w:pPr>
      <w:r>
        <w:t xml:space="preserve">Medical services on </w:t>
      </w:r>
      <w:r w:rsidR="00C3298F">
        <w:t>the Island</w:t>
      </w:r>
      <w:r>
        <w:t xml:space="preserve"> are delivered through the Norfolk Island Health and Residential Aged Care Service</w:t>
      </w:r>
      <w:r w:rsidR="005A3B75">
        <w:t xml:space="preserve"> (NIHRACS</w:t>
      </w:r>
      <w:r w:rsidR="007A5C98">
        <w:t xml:space="preserve"> – a multi-purpose service</w:t>
      </w:r>
      <w:r w:rsidR="005A3B75">
        <w:t>)</w:t>
      </w:r>
      <w:r>
        <w:t>. Residents travel to Sydney</w:t>
      </w:r>
      <w:r w:rsidR="006A4BCB">
        <w:t>,</w:t>
      </w:r>
      <w:r w:rsidR="00325F82">
        <w:t xml:space="preserve"> Brisbane</w:t>
      </w:r>
      <w:r w:rsidR="006A4BCB">
        <w:t xml:space="preserve"> and sometimes Auckland</w:t>
      </w:r>
      <w:r>
        <w:t xml:space="preserve"> for most major surgery and other high level specialist care. The cost of treating Norfolk residents in </w:t>
      </w:r>
      <w:r w:rsidR="00325F82">
        <w:t>mainland</w:t>
      </w:r>
      <w:r>
        <w:t xml:space="preserve"> hospitals and associated travel is recognised in our health assessment.</w:t>
      </w:r>
    </w:p>
    <w:p w14:paraId="13FF5CA2" w14:textId="77777777" w:rsidR="00E759DD" w:rsidRDefault="00F43845" w:rsidP="000009F2">
      <w:pPr>
        <w:pStyle w:val="Heading3"/>
      </w:pPr>
      <w:bookmarkStart w:id="289" w:name="_Toc23847457"/>
      <w:r>
        <w:t>Economy</w:t>
      </w:r>
      <w:bookmarkEnd w:id="289"/>
    </w:p>
    <w:p w14:paraId="46916C9F" w14:textId="77777777" w:rsidR="00E759DD" w:rsidRDefault="00E759DD" w:rsidP="00E759DD">
      <w:pPr>
        <w:pStyle w:val="CGCNumberedPara"/>
      </w:pPr>
      <w:r>
        <w:t xml:space="preserve">The characteristics of the Norfolk Island’s economy affect its tax bases and its costs of delivering services. </w:t>
      </w:r>
    </w:p>
    <w:p w14:paraId="5400EB53" w14:textId="77777777" w:rsidR="00E759DD" w:rsidRDefault="00E759DD" w:rsidP="000009F2">
      <w:pPr>
        <w:pStyle w:val="Heading4"/>
      </w:pPr>
      <w:bookmarkStart w:id="290" w:name="_Toc16854927"/>
      <w:bookmarkStart w:id="291" w:name="_Toc17105390"/>
      <w:bookmarkStart w:id="292" w:name="_Toc17105442"/>
      <w:bookmarkStart w:id="293" w:name="_Toc17105598"/>
      <w:bookmarkStart w:id="294" w:name="_Toc17380466"/>
      <w:bookmarkStart w:id="295" w:name="_Toc19262913"/>
      <w:bookmarkStart w:id="296" w:name="_Toc23847458"/>
      <w:r>
        <w:lastRenderedPageBreak/>
        <w:t>Tax bases</w:t>
      </w:r>
      <w:bookmarkEnd w:id="290"/>
      <w:bookmarkEnd w:id="291"/>
      <w:bookmarkEnd w:id="292"/>
      <w:bookmarkEnd w:id="293"/>
      <w:bookmarkEnd w:id="294"/>
      <w:bookmarkEnd w:id="295"/>
      <w:bookmarkEnd w:id="296"/>
    </w:p>
    <w:p w14:paraId="4250A7A5" w14:textId="77777777" w:rsidR="00666D10" w:rsidRDefault="00E759DD" w:rsidP="00E759DD">
      <w:pPr>
        <w:pStyle w:val="CGCNumberedPara"/>
      </w:pPr>
      <w:r>
        <w:t>The Norfolk Island tax bases reflect its economic circumstances</w:t>
      </w:r>
      <w:r w:rsidR="00F2622D">
        <w:t>, particularly a much less diversified economy than States have</w:t>
      </w:r>
      <w:r>
        <w:t xml:space="preserve">. </w:t>
      </w:r>
      <w:r w:rsidR="00F2622D">
        <w:t>T</w:t>
      </w:r>
      <w:r>
        <w:t xml:space="preserve">ourism to Norfolk </w:t>
      </w:r>
      <w:r w:rsidR="00F2622D">
        <w:t>Island</w:t>
      </w:r>
      <w:r w:rsidR="000011E0">
        <w:t xml:space="preserve"> is the key industry. As m</w:t>
      </w:r>
      <w:r w:rsidR="00F2622D">
        <w:t>easured by visitor numbers,</w:t>
      </w:r>
      <w:r w:rsidR="000011E0">
        <w:t xml:space="preserve"> tourism expanded after 2016, however</w:t>
      </w:r>
      <w:r w:rsidR="00F2622D">
        <w:t xml:space="preserve"> remains below its pre Global Financial Crisis peak (see table </w:t>
      </w:r>
      <w:r w:rsidR="005C1342">
        <w:t>3</w:t>
      </w:r>
      <w:r w:rsidR="00F2622D">
        <w:t xml:space="preserve">). The Commission’s estimates of land </w:t>
      </w:r>
      <w:r>
        <w:t>values</w:t>
      </w:r>
      <w:r w:rsidR="00666D10">
        <w:t xml:space="preserve"> and turnover</w:t>
      </w:r>
      <w:r>
        <w:t xml:space="preserve"> </w:t>
      </w:r>
      <w:r w:rsidR="00F2622D">
        <w:t xml:space="preserve">are lower than in the 2011 and 2006 inquiries, although </w:t>
      </w:r>
      <w:r w:rsidR="00666D10">
        <w:t>these earlier amounts re</w:t>
      </w:r>
      <w:r w:rsidR="001F15FF">
        <w:t>lied on estimated land values that were perhaps overstated. In contrast, t</w:t>
      </w:r>
      <w:r w:rsidR="00666D10">
        <w:t xml:space="preserve">his inquiry relies on more recent land valuations by the Norfolk Island Valuer-General. This inquiry therefore shows a lower </w:t>
      </w:r>
      <w:r>
        <w:t>capacity to raise revenue from land tax, stamp duty on conveyances and municipal rates</w:t>
      </w:r>
      <w:r w:rsidR="00F61B5D">
        <w:t>.</w:t>
      </w:r>
      <w:r w:rsidR="005E6D31">
        <w:t xml:space="preserve"> </w:t>
      </w:r>
    </w:p>
    <w:p w14:paraId="2B3C2C46" w14:textId="77777777" w:rsidR="000011E0" w:rsidRDefault="000011E0" w:rsidP="00E759DD">
      <w:pPr>
        <w:pStyle w:val="CGCNumberedPara"/>
      </w:pPr>
      <w:r>
        <w:t xml:space="preserve">Before July 2016, Norfolk Island collected and retained a 12.5% </w:t>
      </w:r>
      <w:r w:rsidR="00452BD5">
        <w:t>Value-Added Tax (ie, a G</w:t>
      </w:r>
      <w:r>
        <w:t>oods and Servi</w:t>
      </w:r>
      <w:r w:rsidR="00452BD5">
        <w:t xml:space="preserve">ces Tax - </w:t>
      </w:r>
      <w:r>
        <w:t xml:space="preserve">GST). Thereafter, the Commonwealth </w:t>
      </w:r>
      <w:r w:rsidR="00452BD5">
        <w:t xml:space="preserve">has </w:t>
      </w:r>
      <w:r>
        <w:t>provided direct funding of a larger size for State and Commonwealth services, although the NIRC no longer has access to a GST</w:t>
      </w:r>
      <w:r w:rsidR="00E5494A">
        <w:t>-type</w:t>
      </w:r>
      <w:r w:rsidR="0063017A">
        <w:t xml:space="preserve"> tax</w:t>
      </w:r>
      <w:r>
        <w:t xml:space="preserve"> base. </w:t>
      </w:r>
    </w:p>
    <w:p w14:paraId="3E7B5046" w14:textId="77777777" w:rsidR="00E759DD" w:rsidRDefault="00E759DD" w:rsidP="000009F2">
      <w:pPr>
        <w:pStyle w:val="Heading4"/>
      </w:pPr>
      <w:bookmarkStart w:id="297" w:name="_Toc16854928"/>
      <w:bookmarkStart w:id="298" w:name="_Toc17105391"/>
      <w:bookmarkStart w:id="299" w:name="_Toc17105443"/>
      <w:bookmarkStart w:id="300" w:name="_Toc17105599"/>
      <w:bookmarkStart w:id="301" w:name="_Toc17380467"/>
      <w:bookmarkStart w:id="302" w:name="_Toc19262914"/>
      <w:bookmarkStart w:id="303" w:name="_Toc23847459"/>
      <w:r>
        <w:t>Service delivery</w:t>
      </w:r>
      <w:bookmarkEnd w:id="297"/>
      <w:bookmarkEnd w:id="298"/>
      <w:bookmarkEnd w:id="299"/>
      <w:bookmarkEnd w:id="300"/>
      <w:bookmarkEnd w:id="301"/>
      <w:bookmarkEnd w:id="302"/>
      <w:bookmarkEnd w:id="303"/>
    </w:p>
    <w:p w14:paraId="1BC354EA" w14:textId="77777777" w:rsidR="00550556" w:rsidRPr="00C718D6" w:rsidRDefault="00E759DD" w:rsidP="00C718D6">
      <w:pPr>
        <w:pStyle w:val="Heading5"/>
        <w:rPr>
          <w:rStyle w:val="Heading6Char"/>
          <w:b/>
          <w:i/>
          <w:iCs w:val="0"/>
        </w:rPr>
      </w:pPr>
      <w:r w:rsidRPr="00C718D6">
        <w:rPr>
          <w:rStyle w:val="Heading6Char"/>
          <w:b/>
          <w:i/>
          <w:iCs w:val="0"/>
        </w:rPr>
        <w:t>Tourism</w:t>
      </w:r>
    </w:p>
    <w:p w14:paraId="2F9D536D" w14:textId="77777777" w:rsidR="00E759DD" w:rsidRDefault="00E759DD" w:rsidP="00E759DD">
      <w:pPr>
        <w:pStyle w:val="CGCNumberedPara"/>
      </w:pPr>
      <w:r>
        <w:t>Tourism is the dominant industry on Norfolk Island</w:t>
      </w:r>
      <w:r w:rsidR="00F61B5D">
        <w:t xml:space="preserve">. </w:t>
      </w:r>
      <w:r>
        <w:t>The KPMG report</w:t>
      </w:r>
      <w:r w:rsidR="0067377F">
        <w:t xml:space="preserve">, </w:t>
      </w:r>
      <w:r w:rsidR="0067377F" w:rsidRPr="005D4775">
        <w:rPr>
          <w:i/>
        </w:rPr>
        <w:t>Analysis of Remote Island Disadvantages – Norfolk Island</w:t>
      </w:r>
      <w:r w:rsidR="0067377F">
        <w:t xml:space="preserve"> (December 2017),</w:t>
      </w:r>
      <w:r>
        <w:t xml:space="preserve"> noted 60% of </w:t>
      </w:r>
      <w:r w:rsidR="00C3298F">
        <w:t>the Island</w:t>
      </w:r>
      <w:r>
        <w:t>’s economy depended on tourism and 41% of its gross product was attributable to tourism, compared with 3% for New South Wales</w:t>
      </w:r>
      <w:r w:rsidR="00F61B5D">
        <w:t xml:space="preserve">. </w:t>
      </w:r>
      <w:r>
        <w:t xml:space="preserve">(These data are dated as economic surveys and related data collections have not been conducted since around 2010.)  </w:t>
      </w:r>
    </w:p>
    <w:p w14:paraId="41963BD6" w14:textId="77777777" w:rsidR="00E759DD" w:rsidRDefault="00E759DD" w:rsidP="00E759DD">
      <w:pPr>
        <w:pStyle w:val="CGCNumberedPara"/>
      </w:pPr>
      <w:r>
        <w:t>Tourism has two implications for Norfolk Island</w:t>
      </w:r>
      <w:r w:rsidR="008E0DE7">
        <w:t>’s</w:t>
      </w:r>
      <w:r>
        <w:t xml:space="preserve"> finances:</w:t>
      </w:r>
    </w:p>
    <w:p w14:paraId="3B826645" w14:textId="77777777" w:rsidR="00E759DD" w:rsidRDefault="00E759DD" w:rsidP="000009F2">
      <w:pPr>
        <w:pStyle w:val="CGCBulletlist"/>
      </w:pPr>
      <w:r>
        <w:t>substantial funding is required to promote and develop the industry and to provide advice and guidance for tourists on the Island</w:t>
      </w:r>
    </w:p>
    <w:p w14:paraId="149A43A1" w14:textId="77777777" w:rsidR="00E759DD" w:rsidRDefault="00E759DD" w:rsidP="000009F2">
      <w:pPr>
        <w:pStyle w:val="CGCBulletlist"/>
      </w:pPr>
      <w:r>
        <w:t xml:space="preserve">tourists increase the use of some services on the Island above that of the resident population and hence increase the costs of providing those services and may increase the capacity to recover some costs. </w:t>
      </w:r>
    </w:p>
    <w:p w14:paraId="7D2133CD" w14:textId="77777777" w:rsidR="00E759DD" w:rsidRPr="000009F2" w:rsidRDefault="00E759DD" w:rsidP="000009F2">
      <w:pPr>
        <w:pStyle w:val="CGCNumberedPara"/>
      </w:pPr>
      <w:r w:rsidRPr="000009F2">
        <w:t xml:space="preserve">The first of these impacts is recognised in our assessments of State and local government tourism expenses. This issue is discussed in Attachment </w:t>
      </w:r>
      <w:r w:rsidR="000009F2">
        <w:t>E</w:t>
      </w:r>
      <w:r w:rsidRPr="000009F2">
        <w:t xml:space="preserve">. </w:t>
      </w:r>
    </w:p>
    <w:p w14:paraId="7DCD4823" w14:textId="77777777" w:rsidR="00E759DD" w:rsidRDefault="00E759DD" w:rsidP="000009F2">
      <w:pPr>
        <w:pStyle w:val="CGCNumberedPara"/>
      </w:pPr>
      <w:r w:rsidRPr="000009F2">
        <w:t>The impact of tourists on service use and revenue raising capacity has been treated as a Norfolk Island special circumstance in some of our assessments</w:t>
      </w:r>
      <w:r w:rsidR="00F61B5D">
        <w:t xml:space="preserve">. </w:t>
      </w:r>
    </w:p>
    <w:p w14:paraId="475572E8" w14:textId="01DB4634" w:rsidR="000009F2" w:rsidRPr="000009F2" w:rsidRDefault="000009F2" w:rsidP="000009F2">
      <w:pPr>
        <w:pStyle w:val="CGCNumberedPara"/>
      </w:pPr>
      <w:r w:rsidRPr="000009F2">
        <w:t>Details of the number of visitors to Norfolk Island in recent years are in</w:t>
      </w:r>
      <w:r>
        <w:t xml:space="preserve"> </w:t>
      </w:r>
      <w:r>
        <w:fldChar w:fldCharType="begin"/>
      </w:r>
      <w:r>
        <w:instrText xml:space="preserve"> REF _Ref16853238 \h </w:instrText>
      </w:r>
      <w:r>
        <w:fldChar w:fldCharType="separate"/>
      </w:r>
      <w:r w:rsidR="00DE7AA1">
        <w:t xml:space="preserve">Table </w:t>
      </w:r>
      <w:r w:rsidR="00DE7AA1">
        <w:rPr>
          <w:noProof/>
        </w:rPr>
        <w:t>3</w:t>
      </w:r>
      <w:r>
        <w:fldChar w:fldCharType="end"/>
      </w:r>
      <w:r w:rsidRPr="000009F2">
        <w:t>.</w:t>
      </w:r>
    </w:p>
    <w:p w14:paraId="3426026D" w14:textId="722D72C5" w:rsidR="000009F2" w:rsidRDefault="000009F2" w:rsidP="000009F2">
      <w:pPr>
        <w:pStyle w:val="Caption"/>
      </w:pPr>
      <w:bookmarkStart w:id="304" w:name="_Ref16853238"/>
      <w:r>
        <w:lastRenderedPageBreak/>
        <w:t xml:space="preserve">Table </w:t>
      </w:r>
      <w:r w:rsidR="00150A14">
        <w:fldChar w:fldCharType="begin"/>
      </w:r>
      <w:r w:rsidR="00150A14">
        <w:instrText xml:space="preserve"> SEQ Table \* ARABIC </w:instrText>
      </w:r>
      <w:r w:rsidR="00150A14">
        <w:fldChar w:fldCharType="separate"/>
      </w:r>
      <w:r w:rsidR="00DE7AA1">
        <w:rPr>
          <w:noProof/>
        </w:rPr>
        <w:t>3</w:t>
      </w:r>
      <w:r w:rsidR="00150A14">
        <w:rPr>
          <w:noProof/>
        </w:rPr>
        <w:fldChar w:fldCharType="end"/>
      </w:r>
      <w:bookmarkEnd w:id="304"/>
      <w:r w:rsidRPr="000009F2">
        <w:tab/>
        <w:t>Norfolk Island Visitor numbers 2007-08 to 2017-18</w:t>
      </w:r>
    </w:p>
    <w:tbl>
      <w:tblPr>
        <w:tblW w:w="4874" w:type="pct"/>
        <w:tblLayout w:type="fixed"/>
        <w:tblCellMar>
          <w:left w:w="0" w:type="dxa"/>
          <w:right w:w="0" w:type="dxa"/>
        </w:tblCellMar>
        <w:tblLook w:val="0000" w:firstRow="0" w:lastRow="0" w:firstColumn="0" w:lastColumn="0" w:noHBand="0" w:noVBand="0"/>
      </w:tblPr>
      <w:tblGrid>
        <w:gridCol w:w="4019"/>
        <w:gridCol w:w="4706"/>
      </w:tblGrid>
      <w:tr w:rsidR="000009F2" w:rsidRPr="00C47C34" w14:paraId="3C28CCCC" w14:textId="77777777" w:rsidTr="00477324">
        <w:tc>
          <w:tcPr>
            <w:tcW w:w="2303" w:type="pct"/>
            <w:tcBorders>
              <w:top w:val="single" w:sz="6" w:space="0" w:color="auto"/>
              <w:bottom w:val="single" w:sz="6" w:space="0" w:color="auto"/>
            </w:tcBorders>
            <w:vAlign w:val="center"/>
          </w:tcPr>
          <w:p w14:paraId="3137E8C3" w14:textId="77777777" w:rsidR="000009F2" w:rsidRPr="00C47C34" w:rsidRDefault="00AE2E7B" w:rsidP="00AE2E7B">
            <w:pPr>
              <w:pStyle w:val="TableColHeadings"/>
              <w:ind w:left="193" w:hanging="142"/>
              <w:jc w:val="left"/>
              <w:rPr>
                <w:rFonts w:cstheme="minorHAnsi"/>
              </w:rPr>
            </w:pPr>
            <w:r>
              <w:rPr>
                <w:rFonts w:cstheme="minorHAnsi"/>
              </w:rPr>
              <w:t>Financial y</w:t>
            </w:r>
            <w:r w:rsidR="00744C0E">
              <w:rPr>
                <w:rFonts w:cstheme="minorHAnsi"/>
              </w:rPr>
              <w:t>ear</w:t>
            </w:r>
          </w:p>
        </w:tc>
        <w:tc>
          <w:tcPr>
            <w:tcW w:w="2697" w:type="pct"/>
            <w:tcBorders>
              <w:top w:val="single" w:sz="6" w:space="0" w:color="auto"/>
              <w:bottom w:val="single" w:sz="6" w:space="0" w:color="auto"/>
            </w:tcBorders>
            <w:vAlign w:val="center"/>
          </w:tcPr>
          <w:p w14:paraId="48E96086" w14:textId="77777777" w:rsidR="000009F2" w:rsidRPr="00C47C34" w:rsidRDefault="000009F2" w:rsidP="00477324">
            <w:pPr>
              <w:pStyle w:val="TableColHeadings"/>
              <w:rPr>
                <w:rFonts w:cstheme="minorHAnsi"/>
              </w:rPr>
            </w:pPr>
            <w:r w:rsidRPr="00C47C34">
              <w:rPr>
                <w:rFonts w:cstheme="minorHAnsi"/>
              </w:rPr>
              <w:t>Total visitors</w:t>
            </w:r>
          </w:p>
        </w:tc>
      </w:tr>
      <w:tr w:rsidR="000009F2" w:rsidRPr="00C47C34" w14:paraId="0C14F78A" w14:textId="77777777" w:rsidTr="00477324">
        <w:tc>
          <w:tcPr>
            <w:tcW w:w="2303" w:type="pct"/>
            <w:tcMar>
              <w:top w:w="0" w:type="dxa"/>
              <w:bottom w:w="0" w:type="dxa"/>
            </w:tcMar>
            <w:vAlign w:val="bottom"/>
          </w:tcPr>
          <w:p w14:paraId="044578F7" w14:textId="77777777" w:rsidR="000009F2" w:rsidRPr="00C47C34" w:rsidRDefault="000009F2" w:rsidP="00477324">
            <w:pPr>
              <w:pStyle w:val="TableRowUnits"/>
              <w:ind w:left="193" w:hanging="142"/>
              <w:rPr>
                <w:rFonts w:cstheme="minorHAnsi"/>
              </w:rPr>
            </w:pPr>
          </w:p>
        </w:tc>
        <w:tc>
          <w:tcPr>
            <w:tcW w:w="2697" w:type="pct"/>
            <w:tcMar>
              <w:top w:w="0" w:type="dxa"/>
              <w:bottom w:w="0" w:type="dxa"/>
            </w:tcMar>
            <w:vAlign w:val="bottom"/>
          </w:tcPr>
          <w:p w14:paraId="783E60D0" w14:textId="77777777" w:rsidR="000009F2" w:rsidRPr="00C47C34" w:rsidRDefault="000009F2" w:rsidP="00477324">
            <w:pPr>
              <w:pStyle w:val="TableRowUnits"/>
              <w:rPr>
                <w:rFonts w:cstheme="minorHAnsi"/>
              </w:rPr>
            </w:pPr>
            <w:r w:rsidRPr="00C47C34">
              <w:rPr>
                <w:rFonts w:cstheme="minorHAnsi"/>
              </w:rPr>
              <w:t>Persons</w:t>
            </w:r>
          </w:p>
        </w:tc>
      </w:tr>
      <w:tr w:rsidR="000009F2" w:rsidRPr="00C47C34" w14:paraId="5A1D6992" w14:textId="77777777" w:rsidTr="00477324">
        <w:trPr>
          <w:trHeight w:val="312"/>
        </w:trPr>
        <w:tc>
          <w:tcPr>
            <w:tcW w:w="2303" w:type="pct"/>
            <w:vAlign w:val="bottom"/>
          </w:tcPr>
          <w:p w14:paraId="1B6912DF" w14:textId="77777777" w:rsidR="000009F2" w:rsidRPr="00C47C34" w:rsidRDefault="000009F2" w:rsidP="00477324">
            <w:pPr>
              <w:pStyle w:val="CGCTableStub"/>
              <w:ind w:left="193" w:hanging="142"/>
              <w:rPr>
                <w:rFonts w:cstheme="minorHAnsi"/>
              </w:rPr>
            </w:pPr>
            <w:r w:rsidRPr="00C47C34">
              <w:rPr>
                <w:rFonts w:cstheme="minorHAnsi"/>
              </w:rPr>
              <w:t>2007-08</w:t>
            </w:r>
          </w:p>
        </w:tc>
        <w:tc>
          <w:tcPr>
            <w:tcW w:w="2697" w:type="pct"/>
            <w:vAlign w:val="bottom"/>
          </w:tcPr>
          <w:p w14:paraId="2905AF28" w14:textId="77777777" w:rsidR="000009F2" w:rsidRPr="00C47C34" w:rsidRDefault="000009F2" w:rsidP="00477324">
            <w:pPr>
              <w:pStyle w:val="TableRowNormal"/>
              <w:rPr>
                <w:rFonts w:cstheme="minorHAnsi"/>
              </w:rPr>
            </w:pPr>
            <w:r w:rsidRPr="00C47C34">
              <w:rPr>
                <w:rFonts w:cstheme="minorHAnsi"/>
              </w:rPr>
              <w:t>35 399</w:t>
            </w:r>
          </w:p>
        </w:tc>
      </w:tr>
      <w:tr w:rsidR="000009F2" w:rsidRPr="00C47C34" w14:paraId="38C80797" w14:textId="77777777" w:rsidTr="00477324">
        <w:trPr>
          <w:trHeight w:val="312"/>
        </w:trPr>
        <w:tc>
          <w:tcPr>
            <w:tcW w:w="2303" w:type="pct"/>
            <w:vAlign w:val="bottom"/>
          </w:tcPr>
          <w:p w14:paraId="3567F04A" w14:textId="77777777" w:rsidR="000009F2" w:rsidRPr="00C47C34" w:rsidRDefault="000009F2" w:rsidP="00477324">
            <w:pPr>
              <w:pStyle w:val="CGCTableStub"/>
              <w:ind w:left="193" w:hanging="142"/>
              <w:rPr>
                <w:rFonts w:cstheme="minorHAnsi"/>
              </w:rPr>
            </w:pPr>
            <w:r w:rsidRPr="00C47C34">
              <w:rPr>
                <w:rFonts w:cstheme="minorHAnsi"/>
              </w:rPr>
              <w:t>2008-09</w:t>
            </w:r>
          </w:p>
        </w:tc>
        <w:tc>
          <w:tcPr>
            <w:tcW w:w="2697" w:type="pct"/>
            <w:vAlign w:val="bottom"/>
          </w:tcPr>
          <w:p w14:paraId="6F7A1016" w14:textId="77777777" w:rsidR="000009F2" w:rsidRPr="00C47C34" w:rsidRDefault="000009F2" w:rsidP="00477324">
            <w:pPr>
              <w:pStyle w:val="TableRowNormal"/>
              <w:rPr>
                <w:rFonts w:cstheme="minorHAnsi"/>
              </w:rPr>
            </w:pPr>
            <w:r w:rsidRPr="00C47C34">
              <w:rPr>
                <w:rFonts w:cstheme="minorHAnsi"/>
              </w:rPr>
              <w:t>29 450</w:t>
            </w:r>
          </w:p>
        </w:tc>
      </w:tr>
      <w:tr w:rsidR="000009F2" w:rsidRPr="00C47C34" w14:paraId="5258B0F7" w14:textId="77777777" w:rsidTr="00477324">
        <w:trPr>
          <w:trHeight w:val="312"/>
        </w:trPr>
        <w:tc>
          <w:tcPr>
            <w:tcW w:w="2303" w:type="pct"/>
            <w:vAlign w:val="bottom"/>
          </w:tcPr>
          <w:p w14:paraId="6CD7FF66" w14:textId="77777777" w:rsidR="000009F2" w:rsidRPr="00C47C34" w:rsidRDefault="000009F2" w:rsidP="00477324">
            <w:pPr>
              <w:pStyle w:val="CGCTableStub"/>
              <w:ind w:left="193" w:hanging="142"/>
              <w:rPr>
                <w:rFonts w:cstheme="minorHAnsi"/>
              </w:rPr>
            </w:pPr>
            <w:r w:rsidRPr="00C47C34">
              <w:rPr>
                <w:rFonts w:cstheme="minorHAnsi"/>
              </w:rPr>
              <w:t>2009-10</w:t>
            </w:r>
          </w:p>
        </w:tc>
        <w:tc>
          <w:tcPr>
            <w:tcW w:w="2697" w:type="pct"/>
            <w:vAlign w:val="bottom"/>
          </w:tcPr>
          <w:p w14:paraId="356DDA33" w14:textId="77777777" w:rsidR="000009F2" w:rsidRPr="00C47C34" w:rsidRDefault="000009F2" w:rsidP="00477324">
            <w:pPr>
              <w:pStyle w:val="TableRowNormal"/>
              <w:rPr>
                <w:rFonts w:cstheme="minorHAnsi"/>
              </w:rPr>
            </w:pPr>
            <w:r w:rsidRPr="00C47C34">
              <w:rPr>
                <w:rFonts w:cstheme="minorHAnsi"/>
              </w:rPr>
              <w:t>26 339</w:t>
            </w:r>
          </w:p>
        </w:tc>
      </w:tr>
      <w:tr w:rsidR="000009F2" w:rsidRPr="00C47C34" w14:paraId="1B8E9F10" w14:textId="77777777" w:rsidTr="00477324">
        <w:trPr>
          <w:trHeight w:val="312"/>
        </w:trPr>
        <w:tc>
          <w:tcPr>
            <w:tcW w:w="2303" w:type="pct"/>
            <w:vAlign w:val="bottom"/>
          </w:tcPr>
          <w:p w14:paraId="2F89D6C9" w14:textId="77777777" w:rsidR="000009F2" w:rsidRPr="00C47C34" w:rsidRDefault="000009F2" w:rsidP="00477324">
            <w:pPr>
              <w:pStyle w:val="CGCTableStub"/>
              <w:ind w:left="193" w:hanging="142"/>
              <w:rPr>
                <w:rFonts w:cstheme="minorHAnsi"/>
              </w:rPr>
            </w:pPr>
            <w:r w:rsidRPr="00C47C34">
              <w:rPr>
                <w:rFonts w:cstheme="minorHAnsi"/>
              </w:rPr>
              <w:t>2010-11</w:t>
            </w:r>
          </w:p>
        </w:tc>
        <w:tc>
          <w:tcPr>
            <w:tcW w:w="2697" w:type="pct"/>
            <w:vAlign w:val="bottom"/>
          </w:tcPr>
          <w:p w14:paraId="5601BBCE" w14:textId="77777777" w:rsidR="000009F2" w:rsidRPr="00C47C34" w:rsidRDefault="000009F2" w:rsidP="00477324">
            <w:pPr>
              <w:pStyle w:val="TableRowNormal"/>
              <w:rPr>
                <w:rFonts w:cstheme="minorHAnsi"/>
              </w:rPr>
            </w:pPr>
            <w:r w:rsidRPr="00C47C34">
              <w:rPr>
                <w:rFonts w:cstheme="minorHAnsi"/>
              </w:rPr>
              <w:t>24 268</w:t>
            </w:r>
          </w:p>
        </w:tc>
      </w:tr>
      <w:tr w:rsidR="000009F2" w:rsidRPr="00C47C34" w14:paraId="2744A2AA" w14:textId="77777777" w:rsidTr="00477324">
        <w:trPr>
          <w:trHeight w:val="312"/>
        </w:trPr>
        <w:tc>
          <w:tcPr>
            <w:tcW w:w="2303" w:type="pct"/>
            <w:vAlign w:val="bottom"/>
          </w:tcPr>
          <w:p w14:paraId="4978D864" w14:textId="77777777" w:rsidR="000009F2" w:rsidRPr="00C47C34" w:rsidRDefault="000009F2" w:rsidP="00477324">
            <w:pPr>
              <w:pStyle w:val="CGCTableStub"/>
              <w:ind w:left="193" w:hanging="142"/>
              <w:rPr>
                <w:rFonts w:cstheme="minorHAnsi"/>
              </w:rPr>
            </w:pPr>
            <w:r w:rsidRPr="00C47C34">
              <w:rPr>
                <w:rFonts w:cstheme="minorHAnsi"/>
              </w:rPr>
              <w:t>2011-12</w:t>
            </w:r>
          </w:p>
        </w:tc>
        <w:tc>
          <w:tcPr>
            <w:tcW w:w="2697" w:type="pct"/>
            <w:vAlign w:val="bottom"/>
          </w:tcPr>
          <w:p w14:paraId="3C125B48" w14:textId="77777777" w:rsidR="000009F2" w:rsidRPr="00C47C34" w:rsidRDefault="000009F2" w:rsidP="00477324">
            <w:pPr>
              <w:pStyle w:val="TableRowNormal"/>
              <w:rPr>
                <w:rFonts w:cstheme="minorHAnsi"/>
              </w:rPr>
            </w:pPr>
            <w:r w:rsidRPr="00C47C34">
              <w:rPr>
                <w:rFonts w:cstheme="minorHAnsi"/>
              </w:rPr>
              <w:t>25 133</w:t>
            </w:r>
          </w:p>
        </w:tc>
      </w:tr>
      <w:tr w:rsidR="000009F2" w:rsidRPr="00C47C34" w14:paraId="738CA660" w14:textId="77777777" w:rsidTr="00477324">
        <w:trPr>
          <w:trHeight w:val="312"/>
        </w:trPr>
        <w:tc>
          <w:tcPr>
            <w:tcW w:w="2303" w:type="pct"/>
            <w:vAlign w:val="bottom"/>
          </w:tcPr>
          <w:p w14:paraId="0F210E81" w14:textId="77777777" w:rsidR="000009F2" w:rsidRPr="00C47C34" w:rsidRDefault="000009F2" w:rsidP="00477324">
            <w:pPr>
              <w:pStyle w:val="CGCTableStub"/>
              <w:ind w:left="193" w:hanging="142"/>
              <w:rPr>
                <w:rFonts w:cstheme="minorHAnsi"/>
              </w:rPr>
            </w:pPr>
            <w:r w:rsidRPr="00C47C34">
              <w:rPr>
                <w:rFonts w:cstheme="minorHAnsi"/>
              </w:rPr>
              <w:t>2012-13</w:t>
            </w:r>
          </w:p>
        </w:tc>
        <w:tc>
          <w:tcPr>
            <w:tcW w:w="2697" w:type="pct"/>
            <w:vAlign w:val="bottom"/>
          </w:tcPr>
          <w:p w14:paraId="02362DEE" w14:textId="77777777" w:rsidR="000009F2" w:rsidRPr="00C47C34" w:rsidRDefault="000009F2" w:rsidP="00477324">
            <w:pPr>
              <w:pStyle w:val="TableRowNormal"/>
              <w:rPr>
                <w:rFonts w:cstheme="minorHAnsi"/>
              </w:rPr>
            </w:pPr>
            <w:r w:rsidRPr="00C47C34">
              <w:rPr>
                <w:rFonts w:cstheme="minorHAnsi"/>
              </w:rPr>
              <w:t>22 684</w:t>
            </w:r>
          </w:p>
        </w:tc>
      </w:tr>
      <w:tr w:rsidR="000009F2" w:rsidRPr="00C47C34" w14:paraId="393989D9" w14:textId="77777777" w:rsidTr="00477324">
        <w:trPr>
          <w:trHeight w:val="312"/>
        </w:trPr>
        <w:tc>
          <w:tcPr>
            <w:tcW w:w="2303" w:type="pct"/>
            <w:vAlign w:val="bottom"/>
          </w:tcPr>
          <w:p w14:paraId="75D7A371" w14:textId="77777777" w:rsidR="000009F2" w:rsidRPr="00C47C34" w:rsidRDefault="000009F2" w:rsidP="00477324">
            <w:pPr>
              <w:pStyle w:val="CGCTableStub"/>
              <w:ind w:left="193" w:hanging="142"/>
              <w:rPr>
                <w:rFonts w:cstheme="minorHAnsi"/>
              </w:rPr>
            </w:pPr>
            <w:r w:rsidRPr="00C47C34">
              <w:rPr>
                <w:rFonts w:cstheme="minorHAnsi"/>
              </w:rPr>
              <w:t>2013-14</w:t>
            </w:r>
          </w:p>
        </w:tc>
        <w:tc>
          <w:tcPr>
            <w:tcW w:w="2697" w:type="pct"/>
            <w:vAlign w:val="bottom"/>
          </w:tcPr>
          <w:p w14:paraId="6CA60C7A" w14:textId="77777777" w:rsidR="000009F2" w:rsidRPr="00C47C34" w:rsidRDefault="000009F2" w:rsidP="00477324">
            <w:pPr>
              <w:pStyle w:val="TableRowNormal"/>
              <w:rPr>
                <w:rFonts w:cstheme="minorHAnsi"/>
              </w:rPr>
            </w:pPr>
            <w:r w:rsidRPr="00C47C34">
              <w:rPr>
                <w:rFonts w:cstheme="minorHAnsi"/>
              </w:rPr>
              <w:t>24 731</w:t>
            </w:r>
          </w:p>
        </w:tc>
      </w:tr>
      <w:tr w:rsidR="000009F2" w:rsidRPr="00C47C34" w14:paraId="376F0413" w14:textId="77777777" w:rsidTr="00477324">
        <w:trPr>
          <w:trHeight w:val="312"/>
        </w:trPr>
        <w:tc>
          <w:tcPr>
            <w:tcW w:w="2303" w:type="pct"/>
            <w:vAlign w:val="bottom"/>
          </w:tcPr>
          <w:p w14:paraId="6F6A2877" w14:textId="77777777" w:rsidR="000009F2" w:rsidRPr="00C47C34" w:rsidRDefault="000009F2" w:rsidP="00477324">
            <w:pPr>
              <w:pStyle w:val="CGCTableStub"/>
              <w:ind w:left="193" w:hanging="142"/>
              <w:rPr>
                <w:rFonts w:cstheme="minorHAnsi"/>
              </w:rPr>
            </w:pPr>
            <w:r w:rsidRPr="00C47C34">
              <w:rPr>
                <w:rFonts w:cstheme="minorHAnsi"/>
              </w:rPr>
              <w:t>2014-15</w:t>
            </w:r>
          </w:p>
        </w:tc>
        <w:tc>
          <w:tcPr>
            <w:tcW w:w="2697" w:type="pct"/>
            <w:vAlign w:val="bottom"/>
          </w:tcPr>
          <w:p w14:paraId="569F46E1" w14:textId="77777777" w:rsidR="000009F2" w:rsidRPr="00C47C34" w:rsidRDefault="000009F2" w:rsidP="00477324">
            <w:pPr>
              <w:pStyle w:val="TableRowNormal"/>
              <w:rPr>
                <w:rFonts w:cstheme="minorHAnsi"/>
              </w:rPr>
            </w:pPr>
            <w:r w:rsidRPr="00C47C34">
              <w:rPr>
                <w:rFonts w:cstheme="minorHAnsi"/>
              </w:rPr>
              <w:t>26 660</w:t>
            </w:r>
          </w:p>
        </w:tc>
      </w:tr>
      <w:tr w:rsidR="000009F2" w:rsidRPr="00C47C34" w14:paraId="7FE2A5A7" w14:textId="77777777" w:rsidTr="00477324">
        <w:trPr>
          <w:trHeight w:val="312"/>
        </w:trPr>
        <w:tc>
          <w:tcPr>
            <w:tcW w:w="2303" w:type="pct"/>
            <w:vAlign w:val="bottom"/>
          </w:tcPr>
          <w:p w14:paraId="38FC1AAE" w14:textId="77777777" w:rsidR="000009F2" w:rsidRPr="00C47C34" w:rsidRDefault="000009F2" w:rsidP="00477324">
            <w:pPr>
              <w:pStyle w:val="CGCTableStub"/>
              <w:ind w:left="193" w:hanging="142"/>
              <w:rPr>
                <w:rFonts w:cstheme="minorHAnsi"/>
              </w:rPr>
            </w:pPr>
            <w:r w:rsidRPr="00C47C34">
              <w:rPr>
                <w:rFonts w:cstheme="minorHAnsi"/>
              </w:rPr>
              <w:t>2015-16</w:t>
            </w:r>
          </w:p>
        </w:tc>
        <w:tc>
          <w:tcPr>
            <w:tcW w:w="2697" w:type="pct"/>
            <w:vAlign w:val="bottom"/>
          </w:tcPr>
          <w:p w14:paraId="3A984D84" w14:textId="77777777" w:rsidR="000009F2" w:rsidRPr="00C47C34" w:rsidRDefault="000009F2" w:rsidP="00477324">
            <w:pPr>
              <w:pStyle w:val="TableRowNormal"/>
              <w:rPr>
                <w:rFonts w:cstheme="minorHAnsi"/>
              </w:rPr>
            </w:pPr>
            <w:r w:rsidRPr="00C47C34">
              <w:rPr>
                <w:rFonts w:cstheme="minorHAnsi"/>
              </w:rPr>
              <w:t>26 602</w:t>
            </w:r>
          </w:p>
        </w:tc>
      </w:tr>
      <w:tr w:rsidR="000009F2" w:rsidRPr="00C47C34" w14:paraId="561626D6" w14:textId="77777777" w:rsidTr="00477324">
        <w:trPr>
          <w:trHeight w:val="312"/>
        </w:trPr>
        <w:tc>
          <w:tcPr>
            <w:tcW w:w="2303" w:type="pct"/>
            <w:vAlign w:val="bottom"/>
          </w:tcPr>
          <w:p w14:paraId="34F9FCAB" w14:textId="77777777" w:rsidR="000009F2" w:rsidRPr="00C47C34" w:rsidRDefault="000009F2" w:rsidP="00477324">
            <w:pPr>
              <w:pStyle w:val="CGCTableStub"/>
              <w:ind w:left="193" w:hanging="142"/>
              <w:rPr>
                <w:rFonts w:cstheme="minorHAnsi"/>
              </w:rPr>
            </w:pPr>
            <w:r w:rsidRPr="00C47C34">
              <w:rPr>
                <w:rFonts w:cstheme="minorHAnsi"/>
              </w:rPr>
              <w:t>2016-17</w:t>
            </w:r>
          </w:p>
        </w:tc>
        <w:tc>
          <w:tcPr>
            <w:tcW w:w="2697" w:type="pct"/>
            <w:vAlign w:val="bottom"/>
          </w:tcPr>
          <w:p w14:paraId="755EEF7B" w14:textId="77777777" w:rsidR="000009F2" w:rsidRPr="00C47C34" w:rsidRDefault="000009F2" w:rsidP="00477324">
            <w:pPr>
              <w:pStyle w:val="TableRowNormal"/>
              <w:rPr>
                <w:rFonts w:cstheme="minorHAnsi"/>
              </w:rPr>
            </w:pPr>
            <w:r w:rsidRPr="00C47C34">
              <w:rPr>
                <w:rFonts w:cstheme="minorHAnsi"/>
              </w:rPr>
              <w:t>29 732</w:t>
            </w:r>
          </w:p>
        </w:tc>
      </w:tr>
      <w:tr w:rsidR="000009F2" w:rsidRPr="00C47C34" w14:paraId="101E979F" w14:textId="77777777" w:rsidTr="00477324">
        <w:trPr>
          <w:trHeight w:val="312"/>
        </w:trPr>
        <w:tc>
          <w:tcPr>
            <w:tcW w:w="2303" w:type="pct"/>
            <w:tcBorders>
              <w:bottom w:val="single" w:sz="6" w:space="0" w:color="auto"/>
            </w:tcBorders>
            <w:vAlign w:val="bottom"/>
          </w:tcPr>
          <w:p w14:paraId="2ADCC1FA" w14:textId="77777777" w:rsidR="000009F2" w:rsidRPr="00C47C34" w:rsidRDefault="000009F2" w:rsidP="00477324">
            <w:pPr>
              <w:pStyle w:val="CGCTableStub"/>
              <w:ind w:left="193" w:hanging="142"/>
              <w:rPr>
                <w:rFonts w:cstheme="minorHAnsi"/>
              </w:rPr>
            </w:pPr>
            <w:r w:rsidRPr="00C47C34">
              <w:rPr>
                <w:rFonts w:cstheme="minorHAnsi"/>
              </w:rPr>
              <w:t>2017-18</w:t>
            </w:r>
          </w:p>
        </w:tc>
        <w:tc>
          <w:tcPr>
            <w:tcW w:w="2697" w:type="pct"/>
            <w:tcBorders>
              <w:bottom w:val="single" w:sz="6" w:space="0" w:color="auto"/>
            </w:tcBorders>
            <w:vAlign w:val="bottom"/>
          </w:tcPr>
          <w:p w14:paraId="720A4C50" w14:textId="77777777" w:rsidR="000009F2" w:rsidRPr="00C47C34" w:rsidRDefault="000009F2" w:rsidP="00477324">
            <w:pPr>
              <w:pStyle w:val="TableRowNormal"/>
              <w:rPr>
                <w:rFonts w:cstheme="minorHAnsi"/>
              </w:rPr>
            </w:pPr>
            <w:r w:rsidRPr="00C47C34">
              <w:rPr>
                <w:rFonts w:cstheme="minorHAnsi"/>
              </w:rPr>
              <w:t>28 363</w:t>
            </w:r>
          </w:p>
        </w:tc>
      </w:tr>
    </w:tbl>
    <w:p w14:paraId="00AB5A4D" w14:textId="77777777" w:rsidR="000009F2" w:rsidRDefault="000009F2" w:rsidP="00B42144">
      <w:pPr>
        <w:pStyle w:val="CGCTableFootnote"/>
      </w:pPr>
      <w:r w:rsidRPr="000009F2">
        <w:t>Source:</w:t>
      </w:r>
      <w:r w:rsidRPr="000009F2">
        <w:tab/>
        <w:t>Norfolk Island inbound passenger statistics July 2011 (provided for 2011 Report) and Norfolk Island Regional Council, Annual Report for 2017-18, page 49.</w:t>
      </w:r>
    </w:p>
    <w:p w14:paraId="48B3DD8A" w14:textId="55E82D56" w:rsidR="001B4F43" w:rsidRDefault="001B4F43" w:rsidP="001B4F43">
      <w:pPr>
        <w:pStyle w:val="CGCNumberedPara"/>
      </w:pPr>
      <w:r>
        <w:fldChar w:fldCharType="begin"/>
      </w:r>
      <w:r>
        <w:instrText xml:space="preserve"> REF _Ref16853357 \h </w:instrText>
      </w:r>
      <w:r>
        <w:fldChar w:fldCharType="separate"/>
      </w:r>
      <w:r w:rsidR="00DE7AA1">
        <w:t xml:space="preserve">Table </w:t>
      </w:r>
      <w:r w:rsidR="00DE7AA1">
        <w:rPr>
          <w:noProof/>
        </w:rPr>
        <w:t>4</w:t>
      </w:r>
      <w:r>
        <w:fldChar w:fldCharType="end"/>
      </w:r>
      <w:r>
        <w:t xml:space="preserve"> </w:t>
      </w:r>
      <w:r w:rsidRPr="000009F2">
        <w:t>shows the average daily number of tourists on Norfolk Island in 2017</w:t>
      </w:r>
      <w:r w:rsidR="005C1342">
        <w:noBreakHyphen/>
      </w:r>
      <w:r w:rsidRPr="000009F2">
        <w:t xml:space="preserve">18 increased the ‘on-island’ population above the ordinarily resident population by </w:t>
      </w:r>
      <w:r>
        <w:t xml:space="preserve">610 people or </w:t>
      </w:r>
      <w:r w:rsidRPr="000009F2">
        <w:t>34.7%. In the rest of Australia, international tourists represented about 3</w:t>
      </w:r>
      <w:r>
        <w:t>.0</w:t>
      </w:r>
      <w:r w:rsidRPr="000009F2">
        <w:t xml:space="preserve">% of the population. This large differential was considered to have a material impact on Norfolk Island expenses for services such as the </w:t>
      </w:r>
      <w:r w:rsidR="00456082">
        <w:t>health</w:t>
      </w:r>
      <w:r w:rsidRPr="000009F2">
        <w:t>, roads,</w:t>
      </w:r>
      <w:r w:rsidR="00E30F7F">
        <w:t xml:space="preserve"> water, waste management,</w:t>
      </w:r>
      <w:r w:rsidRPr="000009F2">
        <w:t xml:space="preserve"> culture and recreation facilities</w:t>
      </w:r>
      <w:r>
        <w:t xml:space="preserve">. </w:t>
      </w:r>
      <w:r w:rsidRPr="000009F2">
        <w:t>In some other cases, we considered the additional costs attributable to the higher number of tourists were offset by higher revenues collected from user charges imposed on tourist accommodation operators</w:t>
      </w:r>
      <w:r>
        <w:t xml:space="preserve"> and, so, an allowance was unnecessary</w:t>
      </w:r>
      <w:r w:rsidRPr="000009F2">
        <w:t xml:space="preserve">. In the case of electricity services, the method used to derive assessed expenses for electricity subsidies (see Attachment </w:t>
      </w:r>
      <w:r>
        <w:t>E</w:t>
      </w:r>
      <w:r w:rsidRPr="000009F2">
        <w:t>)</w:t>
      </w:r>
      <w:r>
        <w:t xml:space="preserve"> meant </w:t>
      </w:r>
      <w:r w:rsidRPr="000009F2">
        <w:t xml:space="preserve">an allowance for the impact of tourists was unnecessary. </w:t>
      </w:r>
    </w:p>
    <w:p w14:paraId="3746DF5C" w14:textId="1936A248" w:rsidR="00167267" w:rsidRDefault="000009F2" w:rsidP="000009F2">
      <w:pPr>
        <w:pStyle w:val="Caption"/>
      </w:pPr>
      <w:bookmarkStart w:id="305" w:name="_Ref16853357"/>
      <w:r>
        <w:t xml:space="preserve">Table </w:t>
      </w:r>
      <w:r w:rsidR="00150A14">
        <w:fldChar w:fldCharType="begin"/>
      </w:r>
      <w:r w:rsidR="00150A14">
        <w:instrText xml:space="preserve"> SEQ Table \* ARABIC </w:instrText>
      </w:r>
      <w:r w:rsidR="00150A14">
        <w:fldChar w:fldCharType="separate"/>
      </w:r>
      <w:r w:rsidR="00DE7AA1">
        <w:rPr>
          <w:noProof/>
        </w:rPr>
        <w:t>4</w:t>
      </w:r>
      <w:r w:rsidR="00150A14">
        <w:rPr>
          <w:noProof/>
        </w:rPr>
        <w:fldChar w:fldCharType="end"/>
      </w:r>
      <w:bookmarkEnd w:id="305"/>
      <w:r w:rsidRPr="000009F2">
        <w:tab/>
        <w:t>Ratio of visitors to resident population, Norfolk Island and Australia</w:t>
      </w:r>
    </w:p>
    <w:tbl>
      <w:tblPr>
        <w:tblW w:w="5000" w:type="pct"/>
        <w:tblCellMar>
          <w:left w:w="85" w:type="dxa"/>
          <w:right w:w="85" w:type="dxa"/>
        </w:tblCellMar>
        <w:tblLook w:val="0000" w:firstRow="0" w:lastRow="0" w:firstColumn="0" w:lastColumn="0" w:noHBand="0" w:noVBand="0"/>
      </w:tblPr>
      <w:tblGrid>
        <w:gridCol w:w="3290"/>
        <w:gridCol w:w="1574"/>
        <w:gridCol w:w="1287"/>
        <w:gridCol w:w="1497"/>
        <w:gridCol w:w="1303"/>
      </w:tblGrid>
      <w:tr w:rsidR="000009F2" w:rsidRPr="00480A1E" w14:paraId="24168EDC" w14:textId="77777777" w:rsidTr="000009F2">
        <w:trPr>
          <w:trHeight w:val="232"/>
        </w:trPr>
        <w:tc>
          <w:tcPr>
            <w:tcW w:w="1838" w:type="pct"/>
            <w:tcBorders>
              <w:top w:val="single" w:sz="6" w:space="0" w:color="auto"/>
            </w:tcBorders>
            <w:vAlign w:val="bottom"/>
          </w:tcPr>
          <w:p w14:paraId="34F3A4C3" w14:textId="77777777" w:rsidR="000009F2" w:rsidRPr="00C47C34" w:rsidRDefault="000009F2" w:rsidP="00477324">
            <w:pPr>
              <w:pStyle w:val="TableColHeadings"/>
              <w:jc w:val="left"/>
              <w:rPr>
                <w:rFonts w:cstheme="minorHAnsi"/>
              </w:rPr>
            </w:pPr>
          </w:p>
        </w:tc>
        <w:tc>
          <w:tcPr>
            <w:tcW w:w="1598" w:type="pct"/>
            <w:gridSpan w:val="2"/>
            <w:tcBorders>
              <w:top w:val="single" w:sz="6" w:space="0" w:color="auto"/>
              <w:bottom w:val="single" w:sz="4" w:space="0" w:color="auto"/>
            </w:tcBorders>
            <w:vAlign w:val="center"/>
          </w:tcPr>
          <w:p w14:paraId="0204AC9A" w14:textId="77777777" w:rsidR="000009F2" w:rsidRPr="00C47C34" w:rsidRDefault="000009F2" w:rsidP="00477324">
            <w:pPr>
              <w:pStyle w:val="TableColHeadings"/>
              <w:jc w:val="center"/>
              <w:rPr>
                <w:rFonts w:cstheme="minorHAnsi"/>
              </w:rPr>
            </w:pPr>
            <w:r w:rsidRPr="00C47C34">
              <w:rPr>
                <w:rFonts w:cstheme="minorHAnsi"/>
              </w:rPr>
              <w:t>2009-10</w:t>
            </w:r>
          </w:p>
        </w:tc>
        <w:tc>
          <w:tcPr>
            <w:tcW w:w="1564" w:type="pct"/>
            <w:gridSpan w:val="2"/>
            <w:tcBorders>
              <w:top w:val="single" w:sz="6" w:space="0" w:color="auto"/>
              <w:bottom w:val="single" w:sz="4" w:space="0" w:color="auto"/>
            </w:tcBorders>
            <w:vAlign w:val="center"/>
          </w:tcPr>
          <w:p w14:paraId="085E48AB" w14:textId="77777777" w:rsidR="000009F2" w:rsidRPr="00C47C34" w:rsidRDefault="000009F2" w:rsidP="00477324">
            <w:pPr>
              <w:pStyle w:val="TableColHeadings"/>
              <w:jc w:val="center"/>
              <w:rPr>
                <w:rFonts w:cstheme="minorHAnsi"/>
              </w:rPr>
            </w:pPr>
            <w:r w:rsidRPr="00C47C34">
              <w:rPr>
                <w:rFonts w:cstheme="minorHAnsi"/>
              </w:rPr>
              <w:t>2017-18</w:t>
            </w:r>
          </w:p>
        </w:tc>
      </w:tr>
      <w:tr w:rsidR="000009F2" w:rsidRPr="00480A1E" w14:paraId="332CE0B8" w14:textId="77777777" w:rsidTr="000009F2">
        <w:tc>
          <w:tcPr>
            <w:tcW w:w="1838" w:type="pct"/>
            <w:tcBorders>
              <w:bottom w:val="single" w:sz="4" w:space="0" w:color="auto"/>
            </w:tcBorders>
            <w:vAlign w:val="bottom"/>
          </w:tcPr>
          <w:p w14:paraId="10734404" w14:textId="77777777" w:rsidR="000009F2" w:rsidRPr="00C47C34" w:rsidRDefault="000009F2" w:rsidP="00477324">
            <w:pPr>
              <w:pStyle w:val="CGCTableStub"/>
              <w:tabs>
                <w:tab w:val="left" w:pos="142"/>
                <w:tab w:val="left" w:pos="425"/>
                <w:tab w:val="left" w:pos="709"/>
                <w:tab w:val="left" w:pos="851"/>
              </w:tabs>
              <w:ind w:left="142" w:hanging="142"/>
              <w:rPr>
                <w:rFonts w:cstheme="minorHAnsi"/>
              </w:rPr>
            </w:pPr>
          </w:p>
        </w:tc>
        <w:tc>
          <w:tcPr>
            <w:tcW w:w="879" w:type="pct"/>
            <w:tcBorders>
              <w:top w:val="single" w:sz="4" w:space="0" w:color="auto"/>
              <w:bottom w:val="single" w:sz="4" w:space="0" w:color="auto"/>
            </w:tcBorders>
            <w:vAlign w:val="bottom"/>
          </w:tcPr>
          <w:p w14:paraId="3104F73A" w14:textId="77777777" w:rsidR="000009F2" w:rsidRPr="00C47C34" w:rsidRDefault="000009F2" w:rsidP="00477324">
            <w:pPr>
              <w:pStyle w:val="TableRowNormal"/>
              <w:ind w:left="0" w:firstLine="0"/>
              <w:rPr>
                <w:rFonts w:cstheme="minorHAnsi"/>
              </w:rPr>
            </w:pPr>
            <w:r w:rsidRPr="00C47C34">
              <w:rPr>
                <w:rFonts w:cstheme="minorHAnsi"/>
              </w:rPr>
              <w:t>Norfolk Island</w:t>
            </w:r>
          </w:p>
        </w:tc>
        <w:tc>
          <w:tcPr>
            <w:tcW w:w="719" w:type="pct"/>
            <w:tcBorders>
              <w:top w:val="single" w:sz="4" w:space="0" w:color="auto"/>
              <w:bottom w:val="single" w:sz="4" w:space="0" w:color="auto"/>
            </w:tcBorders>
            <w:vAlign w:val="bottom"/>
          </w:tcPr>
          <w:p w14:paraId="268D3CE2" w14:textId="77777777" w:rsidR="000009F2" w:rsidRPr="00C47C34" w:rsidRDefault="000009F2" w:rsidP="00477324">
            <w:pPr>
              <w:pStyle w:val="TableRowNormal"/>
              <w:ind w:left="0" w:firstLine="0"/>
              <w:rPr>
                <w:rFonts w:cstheme="minorHAnsi"/>
              </w:rPr>
            </w:pPr>
            <w:r w:rsidRPr="00C47C34">
              <w:rPr>
                <w:rFonts w:cstheme="minorHAnsi"/>
              </w:rPr>
              <w:t>Australia</w:t>
            </w:r>
          </w:p>
        </w:tc>
        <w:tc>
          <w:tcPr>
            <w:tcW w:w="836" w:type="pct"/>
            <w:tcBorders>
              <w:top w:val="single" w:sz="4" w:space="0" w:color="auto"/>
              <w:bottom w:val="single" w:sz="4" w:space="0" w:color="auto"/>
            </w:tcBorders>
            <w:vAlign w:val="bottom"/>
          </w:tcPr>
          <w:p w14:paraId="13656CE7" w14:textId="77777777" w:rsidR="000009F2" w:rsidRPr="00C47C34" w:rsidRDefault="000009F2" w:rsidP="00477324">
            <w:pPr>
              <w:pStyle w:val="TableRowNormal"/>
              <w:ind w:left="0" w:firstLine="0"/>
              <w:rPr>
                <w:rFonts w:cstheme="minorHAnsi"/>
              </w:rPr>
            </w:pPr>
            <w:r w:rsidRPr="00C47C34">
              <w:rPr>
                <w:rFonts w:cstheme="minorHAnsi"/>
              </w:rPr>
              <w:t>Norfolk Island</w:t>
            </w:r>
          </w:p>
        </w:tc>
        <w:tc>
          <w:tcPr>
            <w:tcW w:w="728" w:type="pct"/>
            <w:tcBorders>
              <w:top w:val="single" w:sz="4" w:space="0" w:color="auto"/>
              <w:bottom w:val="single" w:sz="4" w:space="0" w:color="auto"/>
            </w:tcBorders>
            <w:vAlign w:val="bottom"/>
          </w:tcPr>
          <w:p w14:paraId="350F9DFE" w14:textId="77777777" w:rsidR="000009F2" w:rsidRPr="00C47C34" w:rsidRDefault="000009F2" w:rsidP="00477324">
            <w:pPr>
              <w:pStyle w:val="TableRowNormal"/>
              <w:ind w:left="0" w:firstLine="0"/>
              <w:rPr>
                <w:rFonts w:cstheme="minorHAnsi"/>
              </w:rPr>
            </w:pPr>
            <w:r w:rsidRPr="00C47C34">
              <w:rPr>
                <w:rFonts w:cstheme="minorHAnsi"/>
              </w:rPr>
              <w:t>Australia</w:t>
            </w:r>
          </w:p>
        </w:tc>
      </w:tr>
      <w:tr w:rsidR="000009F2" w:rsidRPr="00480A1E" w14:paraId="50C2E80E" w14:textId="77777777" w:rsidTr="000009F2">
        <w:tc>
          <w:tcPr>
            <w:tcW w:w="1838" w:type="pct"/>
            <w:tcBorders>
              <w:top w:val="single" w:sz="4" w:space="0" w:color="auto"/>
            </w:tcBorders>
            <w:vAlign w:val="bottom"/>
          </w:tcPr>
          <w:p w14:paraId="5BB5C0F5" w14:textId="77777777" w:rsidR="000009F2" w:rsidRPr="00C47C34" w:rsidRDefault="000009F2" w:rsidP="00477324">
            <w:pPr>
              <w:pStyle w:val="CGCTableStub"/>
              <w:tabs>
                <w:tab w:val="left" w:pos="142"/>
                <w:tab w:val="left" w:pos="425"/>
                <w:tab w:val="left" w:pos="709"/>
                <w:tab w:val="left" w:pos="851"/>
              </w:tabs>
              <w:ind w:left="142" w:hanging="142"/>
              <w:rPr>
                <w:rFonts w:cstheme="minorHAnsi"/>
              </w:rPr>
            </w:pPr>
            <w:r w:rsidRPr="00C47C34">
              <w:rPr>
                <w:rFonts w:cstheme="minorHAnsi"/>
              </w:rPr>
              <w:t>Average visitor population</w:t>
            </w:r>
          </w:p>
        </w:tc>
        <w:tc>
          <w:tcPr>
            <w:tcW w:w="879" w:type="pct"/>
            <w:tcBorders>
              <w:top w:val="single" w:sz="4" w:space="0" w:color="auto"/>
            </w:tcBorders>
            <w:vAlign w:val="bottom"/>
          </w:tcPr>
          <w:p w14:paraId="66B84B7C" w14:textId="77777777" w:rsidR="000009F2" w:rsidRPr="00C47C34" w:rsidRDefault="000009F2" w:rsidP="00477324">
            <w:pPr>
              <w:pStyle w:val="TableRowNormal"/>
              <w:ind w:left="0" w:firstLine="0"/>
              <w:rPr>
                <w:rFonts w:cstheme="minorHAnsi"/>
              </w:rPr>
            </w:pPr>
            <w:r w:rsidRPr="00C47C34">
              <w:rPr>
                <w:rFonts w:cstheme="minorHAnsi"/>
              </w:rPr>
              <w:t>501</w:t>
            </w:r>
          </w:p>
        </w:tc>
        <w:tc>
          <w:tcPr>
            <w:tcW w:w="719" w:type="pct"/>
            <w:tcBorders>
              <w:top w:val="single" w:sz="4" w:space="0" w:color="auto"/>
            </w:tcBorders>
            <w:vAlign w:val="bottom"/>
          </w:tcPr>
          <w:p w14:paraId="4734B95A" w14:textId="77777777" w:rsidR="000009F2" w:rsidRPr="00C47C34" w:rsidRDefault="000009F2" w:rsidP="00477324">
            <w:pPr>
              <w:pStyle w:val="TableRowNormal"/>
              <w:ind w:left="0" w:firstLine="0"/>
              <w:rPr>
                <w:rFonts w:cstheme="minorHAnsi"/>
              </w:rPr>
            </w:pPr>
            <w:r w:rsidRPr="00C47C34">
              <w:rPr>
                <w:rFonts w:cstheme="minorHAnsi"/>
              </w:rPr>
              <w:t>500 485</w:t>
            </w:r>
          </w:p>
        </w:tc>
        <w:tc>
          <w:tcPr>
            <w:tcW w:w="836" w:type="pct"/>
            <w:tcBorders>
              <w:top w:val="single" w:sz="4" w:space="0" w:color="auto"/>
            </w:tcBorders>
            <w:vAlign w:val="bottom"/>
          </w:tcPr>
          <w:p w14:paraId="4CB77B59" w14:textId="77777777" w:rsidR="000009F2" w:rsidRPr="00C47C34" w:rsidRDefault="000009F2" w:rsidP="00477324">
            <w:pPr>
              <w:pStyle w:val="TableRowNormal"/>
              <w:ind w:left="0" w:firstLine="0"/>
              <w:rPr>
                <w:rFonts w:cstheme="minorHAnsi"/>
              </w:rPr>
            </w:pPr>
            <w:r w:rsidRPr="00C47C34">
              <w:rPr>
                <w:rFonts w:cstheme="minorHAnsi"/>
              </w:rPr>
              <w:t>610</w:t>
            </w:r>
          </w:p>
        </w:tc>
        <w:tc>
          <w:tcPr>
            <w:tcW w:w="728" w:type="pct"/>
            <w:tcBorders>
              <w:top w:val="single" w:sz="4" w:space="0" w:color="auto"/>
            </w:tcBorders>
            <w:vAlign w:val="bottom"/>
          </w:tcPr>
          <w:p w14:paraId="3603F460" w14:textId="77777777" w:rsidR="000009F2" w:rsidRPr="00C47C34" w:rsidRDefault="000009F2" w:rsidP="00477324">
            <w:pPr>
              <w:pStyle w:val="TableRowNormal"/>
              <w:ind w:left="0" w:firstLine="0"/>
              <w:rPr>
                <w:rFonts w:cstheme="minorHAnsi"/>
              </w:rPr>
            </w:pPr>
            <w:r w:rsidRPr="00C47C34">
              <w:rPr>
                <w:rFonts w:cstheme="minorHAnsi"/>
              </w:rPr>
              <w:t>738 839</w:t>
            </w:r>
          </w:p>
        </w:tc>
      </w:tr>
      <w:tr w:rsidR="000009F2" w:rsidRPr="00480A1E" w14:paraId="16743942" w14:textId="77777777" w:rsidTr="000009F2">
        <w:tc>
          <w:tcPr>
            <w:tcW w:w="1838" w:type="pct"/>
            <w:vAlign w:val="bottom"/>
          </w:tcPr>
          <w:p w14:paraId="604D517A" w14:textId="77777777" w:rsidR="000009F2" w:rsidRPr="00C47C34" w:rsidRDefault="000009F2" w:rsidP="00477324">
            <w:pPr>
              <w:pStyle w:val="CGCTableStub"/>
              <w:tabs>
                <w:tab w:val="left" w:pos="142"/>
                <w:tab w:val="left" w:pos="425"/>
                <w:tab w:val="left" w:pos="709"/>
                <w:tab w:val="left" w:pos="851"/>
              </w:tabs>
              <w:ind w:left="142" w:hanging="142"/>
              <w:rPr>
                <w:rFonts w:cstheme="minorHAnsi"/>
              </w:rPr>
            </w:pPr>
            <w:r w:rsidRPr="00C47C34">
              <w:rPr>
                <w:rFonts w:cstheme="minorHAnsi"/>
              </w:rPr>
              <w:t>Resident population</w:t>
            </w:r>
          </w:p>
        </w:tc>
        <w:tc>
          <w:tcPr>
            <w:tcW w:w="879" w:type="pct"/>
            <w:vAlign w:val="bottom"/>
          </w:tcPr>
          <w:p w14:paraId="113BA0D8" w14:textId="77777777" w:rsidR="000009F2" w:rsidRPr="00C47C34" w:rsidRDefault="000009F2" w:rsidP="00477324">
            <w:pPr>
              <w:pStyle w:val="TableRowNormal"/>
              <w:ind w:left="0" w:firstLine="0"/>
              <w:rPr>
                <w:rFonts w:cstheme="minorHAnsi"/>
              </w:rPr>
            </w:pPr>
            <w:r w:rsidRPr="00C47C34">
              <w:rPr>
                <w:rFonts w:cstheme="minorHAnsi"/>
              </w:rPr>
              <w:t>1817</w:t>
            </w:r>
          </w:p>
        </w:tc>
        <w:tc>
          <w:tcPr>
            <w:tcW w:w="719" w:type="pct"/>
            <w:vAlign w:val="bottom"/>
          </w:tcPr>
          <w:p w14:paraId="37964B0C" w14:textId="77777777" w:rsidR="000009F2" w:rsidRPr="00C47C34" w:rsidRDefault="000009F2" w:rsidP="00477324">
            <w:pPr>
              <w:pStyle w:val="TableRowNormal"/>
              <w:ind w:left="0" w:firstLine="0"/>
              <w:rPr>
                <w:rFonts w:cstheme="minorHAnsi"/>
              </w:rPr>
            </w:pPr>
            <w:r w:rsidRPr="00C47C34">
              <w:rPr>
                <w:rFonts w:cstheme="minorHAnsi"/>
              </w:rPr>
              <w:t>22 152 984</w:t>
            </w:r>
          </w:p>
        </w:tc>
        <w:tc>
          <w:tcPr>
            <w:tcW w:w="836" w:type="pct"/>
            <w:vAlign w:val="bottom"/>
          </w:tcPr>
          <w:p w14:paraId="1BC9D744" w14:textId="77777777" w:rsidR="000009F2" w:rsidRPr="00C47C34" w:rsidRDefault="000009F2" w:rsidP="00477324">
            <w:pPr>
              <w:pStyle w:val="TableRowNormal"/>
              <w:ind w:left="0" w:firstLine="0"/>
              <w:rPr>
                <w:rFonts w:cstheme="minorHAnsi"/>
              </w:rPr>
            </w:pPr>
            <w:r w:rsidRPr="00C47C34">
              <w:rPr>
                <w:rFonts w:cstheme="minorHAnsi"/>
              </w:rPr>
              <w:t>1756</w:t>
            </w:r>
          </w:p>
        </w:tc>
        <w:tc>
          <w:tcPr>
            <w:tcW w:w="728" w:type="pct"/>
            <w:vAlign w:val="bottom"/>
          </w:tcPr>
          <w:p w14:paraId="2953FF41" w14:textId="77777777" w:rsidR="000009F2" w:rsidRPr="00C47C34" w:rsidRDefault="000009F2" w:rsidP="00477324">
            <w:pPr>
              <w:pStyle w:val="TableRowNormal"/>
              <w:ind w:left="0" w:firstLine="0"/>
              <w:rPr>
                <w:rFonts w:cstheme="minorHAnsi"/>
              </w:rPr>
            </w:pPr>
            <w:r w:rsidRPr="00C47C34">
              <w:rPr>
                <w:rFonts w:cstheme="minorHAnsi"/>
              </w:rPr>
              <w:t>24 770 469</w:t>
            </w:r>
          </w:p>
        </w:tc>
      </w:tr>
      <w:tr w:rsidR="000009F2" w:rsidRPr="00480A1E" w14:paraId="69A5DAF9" w14:textId="77777777" w:rsidTr="000009F2">
        <w:tc>
          <w:tcPr>
            <w:tcW w:w="1838" w:type="pct"/>
            <w:tcBorders>
              <w:bottom w:val="single" w:sz="6" w:space="0" w:color="auto"/>
            </w:tcBorders>
            <w:vAlign w:val="bottom"/>
          </w:tcPr>
          <w:p w14:paraId="03C547E3" w14:textId="77777777" w:rsidR="000009F2" w:rsidRPr="00C47C34" w:rsidRDefault="000009F2" w:rsidP="00477324">
            <w:pPr>
              <w:pStyle w:val="CGCTableStub"/>
              <w:tabs>
                <w:tab w:val="left" w:pos="142"/>
                <w:tab w:val="left" w:pos="425"/>
                <w:tab w:val="left" w:pos="709"/>
                <w:tab w:val="left" w:pos="851"/>
              </w:tabs>
              <w:ind w:left="142" w:hanging="142"/>
              <w:rPr>
                <w:rFonts w:cstheme="minorHAnsi"/>
              </w:rPr>
            </w:pPr>
            <w:r w:rsidRPr="00C47C34">
              <w:rPr>
                <w:rFonts w:cstheme="minorHAnsi"/>
              </w:rPr>
              <w:t>Ratio of tourists to total population</w:t>
            </w:r>
          </w:p>
        </w:tc>
        <w:tc>
          <w:tcPr>
            <w:tcW w:w="879" w:type="pct"/>
            <w:tcBorders>
              <w:bottom w:val="single" w:sz="6" w:space="0" w:color="auto"/>
            </w:tcBorders>
            <w:vAlign w:val="bottom"/>
          </w:tcPr>
          <w:p w14:paraId="426377B4" w14:textId="77777777" w:rsidR="000009F2" w:rsidRPr="00C47C34" w:rsidRDefault="000009F2" w:rsidP="00477324">
            <w:pPr>
              <w:pStyle w:val="TableRowNormal"/>
              <w:ind w:left="0" w:firstLine="0"/>
              <w:rPr>
                <w:rFonts w:cstheme="minorHAnsi"/>
              </w:rPr>
            </w:pPr>
            <w:r w:rsidRPr="00C47C34">
              <w:rPr>
                <w:rFonts w:cstheme="minorHAnsi"/>
              </w:rPr>
              <w:t>0.276</w:t>
            </w:r>
          </w:p>
        </w:tc>
        <w:tc>
          <w:tcPr>
            <w:tcW w:w="719" w:type="pct"/>
            <w:tcBorders>
              <w:bottom w:val="single" w:sz="6" w:space="0" w:color="auto"/>
            </w:tcBorders>
            <w:vAlign w:val="bottom"/>
          </w:tcPr>
          <w:p w14:paraId="7CF3FC9E" w14:textId="77777777" w:rsidR="000009F2" w:rsidRPr="00C47C34" w:rsidRDefault="000009F2" w:rsidP="00477324">
            <w:pPr>
              <w:pStyle w:val="TableRowNormal"/>
              <w:ind w:left="0" w:firstLine="0"/>
              <w:rPr>
                <w:rFonts w:cstheme="minorHAnsi"/>
              </w:rPr>
            </w:pPr>
            <w:r w:rsidRPr="00C47C34">
              <w:rPr>
                <w:rFonts w:cstheme="minorHAnsi"/>
              </w:rPr>
              <w:t>0.023</w:t>
            </w:r>
          </w:p>
        </w:tc>
        <w:tc>
          <w:tcPr>
            <w:tcW w:w="836" w:type="pct"/>
            <w:tcBorders>
              <w:bottom w:val="single" w:sz="6" w:space="0" w:color="auto"/>
            </w:tcBorders>
            <w:vAlign w:val="bottom"/>
          </w:tcPr>
          <w:p w14:paraId="372F3D7F" w14:textId="77777777" w:rsidR="000009F2" w:rsidRPr="00C47C34" w:rsidRDefault="000009F2" w:rsidP="00477324">
            <w:pPr>
              <w:pStyle w:val="TableRowNormal"/>
              <w:ind w:left="0" w:firstLine="0"/>
              <w:rPr>
                <w:rFonts w:cstheme="minorHAnsi"/>
              </w:rPr>
            </w:pPr>
            <w:r w:rsidRPr="00C47C34">
              <w:rPr>
                <w:rFonts w:cstheme="minorHAnsi"/>
              </w:rPr>
              <w:t>0.347</w:t>
            </w:r>
          </w:p>
        </w:tc>
        <w:tc>
          <w:tcPr>
            <w:tcW w:w="728" w:type="pct"/>
            <w:tcBorders>
              <w:bottom w:val="single" w:sz="6" w:space="0" w:color="auto"/>
            </w:tcBorders>
            <w:vAlign w:val="bottom"/>
          </w:tcPr>
          <w:p w14:paraId="2A5713F8" w14:textId="77777777" w:rsidR="000009F2" w:rsidRPr="00C47C34" w:rsidRDefault="000009F2" w:rsidP="00C2342F">
            <w:pPr>
              <w:pStyle w:val="TableRowNormal"/>
              <w:ind w:left="0" w:firstLine="0"/>
              <w:rPr>
                <w:rFonts w:cstheme="minorHAnsi"/>
              </w:rPr>
            </w:pPr>
            <w:r w:rsidRPr="00C47C34">
              <w:rPr>
                <w:rFonts w:cstheme="minorHAnsi"/>
              </w:rPr>
              <w:t>0.03</w:t>
            </w:r>
          </w:p>
        </w:tc>
      </w:tr>
    </w:tbl>
    <w:p w14:paraId="1ACE600C" w14:textId="77777777" w:rsidR="000009F2" w:rsidRDefault="000009F2" w:rsidP="00B42144">
      <w:pPr>
        <w:pStyle w:val="CGCTableFootnote"/>
      </w:pPr>
      <w:r>
        <w:t>Note:</w:t>
      </w:r>
      <w:r>
        <w:tab/>
        <w:t>Average visitor population was calculated by reference to the number of visitors to Norfolk Island and their estimated average length of stay</w:t>
      </w:r>
      <w:r w:rsidR="00084015">
        <w:t xml:space="preserve"> (about 7 days)</w:t>
      </w:r>
      <w:r>
        <w:t>.</w:t>
      </w:r>
    </w:p>
    <w:p w14:paraId="7A475AD0" w14:textId="77777777" w:rsidR="000009F2" w:rsidRDefault="000009F2" w:rsidP="00C2342F">
      <w:pPr>
        <w:pStyle w:val="CGCTableFootnote"/>
      </w:pPr>
      <w:r>
        <w:t>Source:</w:t>
      </w:r>
      <w:r>
        <w:tab/>
        <w:t xml:space="preserve">Norfolk Island </w:t>
      </w:r>
      <w:r w:rsidR="00C343EA">
        <w:t>R</w:t>
      </w:r>
      <w:r>
        <w:t xml:space="preserve">egional </w:t>
      </w:r>
      <w:r w:rsidR="00C343EA">
        <w:t>C</w:t>
      </w:r>
      <w:r>
        <w:t xml:space="preserve">ouncil, 2017-18 report, Total visitor numbers </w:t>
      </w:r>
      <w:r w:rsidR="00C2342F">
        <w:t>–</w:t>
      </w:r>
      <w:r>
        <w:t xml:space="preserve"> monthly statistics, page 50; Tourism Research Australia, Visitor, Nights and average stay, </w:t>
      </w:r>
      <w:r w:rsidR="007039D0">
        <w:t>f</w:t>
      </w:r>
      <w:r>
        <w:t>or years ending June 20</w:t>
      </w:r>
      <w:r w:rsidR="007039D0">
        <w:t>10</w:t>
      </w:r>
      <w:r>
        <w:t xml:space="preserve"> to year ending June 2018.</w:t>
      </w:r>
    </w:p>
    <w:p w14:paraId="1E73CF15" w14:textId="77777777" w:rsidR="000009F2" w:rsidRDefault="003C641E" w:rsidP="000009F2">
      <w:pPr>
        <w:pStyle w:val="CGCNumberedPara"/>
      </w:pPr>
      <w:r>
        <w:lastRenderedPageBreak/>
        <w:t>As in the 2011 i</w:t>
      </w:r>
      <w:r w:rsidR="000009F2">
        <w:t>nquiry, the allowance for the impact of tourists has been based on the ratio of total population (including tourists) to resident population on Norfolk</w:t>
      </w:r>
      <w:r w:rsidR="007756F3">
        <w:t xml:space="preserve"> Island</w:t>
      </w:r>
      <w:r w:rsidR="000009F2">
        <w:t xml:space="preserve"> relative to the similar ratio for</w:t>
      </w:r>
      <w:r w:rsidR="007756F3">
        <w:t xml:space="preserve"> the rest of</w:t>
      </w:r>
      <w:r w:rsidR="000009F2">
        <w:t xml:space="preserve"> Australia. That ratio was halved to reflect an assumption that tourists used Island services at half the rate of residents</w:t>
      </w:r>
      <w:r w:rsidR="00F61B5D">
        <w:t xml:space="preserve">. </w:t>
      </w:r>
      <w:r w:rsidR="000009F2">
        <w:t>This allowance implied a 16% increase to the base costs</w:t>
      </w:r>
      <w:r w:rsidR="00F61B5D">
        <w:t xml:space="preserve">. </w:t>
      </w:r>
      <w:r w:rsidR="000009F2">
        <w:t>This allowance is higher than the 13% allowance as</w:t>
      </w:r>
      <w:r>
        <w:t>sessed for 2009-10 in the 2011 i</w:t>
      </w:r>
      <w:r w:rsidR="000009F2">
        <w:t xml:space="preserve">nquiry due to an increase in tourist numbers on Norfolk Island and a fall in the Island’s resident population. </w:t>
      </w:r>
    </w:p>
    <w:p w14:paraId="5BDC134C" w14:textId="77777777" w:rsidR="00550556" w:rsidRPr="00C718D6" w:rsidRDefault="000009F2" w:rsidP="00C718D6">
      <w:pPr>
        <w:pStyle w:val="Heading5"/>
        <w:rPr>
          <w:rStyle w:val="Heading6Char"/>
          <w:b/>
          <w:i/>
          <w:iCs w:val="0"/>
        </w:rPr>
      </w:pPr>
      <w:r w:rsidRPr="00C718D6">
        <w:rPr>
          <w:rStyle w:val="Heading6Char"/>
          <w:b/>
          <w:i/>
          <w:iCs w:val="0"/>
        </w:rPr>
        <w:t>Wage levels</w:t>
      </w:r>
    </w:p>
    <w:p w14:paraId="24DD2D11" w14:textId="77777777" w:rsidR="000009F2" w:rsidRDefault="000009F2" w:rsidP="000009F2">
      <w:pPr>
        <w:pStyle w:val="CGCNumberedPara"/>
      </w:pPr>
      <w:r>
        <w:t xml:space="preserve">At the time of the 2011 </w:t>
      </w:r>
      <w:r w:rsidR="003C641E">
        <w:t>i</w:t>
      </w:r>
      <w:r>
        <w:t>nquiry, wage levels for many people on Norfolk Island were low. Wages in many areas of the public sector were said to be about 70% of levels</w:t>
      </w:r>
      <w:r w:rsidR="007756F3">
        <w:t xml:space="preserve"> in other Australian jurisdictions</w:t>
      </w:r>
      <w:r w:rsidR="00F61B5D">
        <w:t xml:space="preserve">. </w:t>
      </w:r>
      <w:r>
        <w:t xml:space="preserve">In the hospitality sector, wages tended to be in the lower part of </w:t>
      </w:r>
      <w:r w:rsidR="007756F3">
        <w:t>this</w:t>
      </w:r>
      <w:r>
        <w:t xml:space="preserve"> range. Those low wage levels were said to partly reflect the </w:t>
      </w:r>
      <w:r w:rsidR="00B42144">
        <w:t>tax-free</w:t>
      </w:r>
      <w:r>
        <w:t xml:space="preserve"> status of most Island incomes (at that time, income tax was not payable on incomes earned on the Island)</w:t>
      </w:r>
      <w:r w:rsidR="00057C83">
        <w:t>.</w:t>
      </w:r>
      <w:r>
        <w:t xml:space="preserve"> However, staff of mainland service providers, such as teaching staff, continued to be subject to their mainland conditions of employment, including wage levels. </w:t>
      </w:r>
    </w:p>
    <w:p w14:paraId="5416B293" w14:textId="77777777" w:rsidR="000009F2" w:rsidRDefault="000009F2" w:rsidP="000009F2">
      <w:pPr>
        <w:pStyle w:val="CGCNumberedPara"/>
      </w:pPr>
      <w:r>
        <w:t>The generally lower wages for many Island-based staff were reflected in the assesse</w:t>
      </w:r>
      <w:r w:rsidR="003C641E">
        <w:t>d expenses derived in the 2011 i</w:t>
      </w:r>
      <w:r>
        <w:t xml:space="preserve">nquiry. </w:t>
      </w:r>
    </w:p>
    <w:p w14:paraId="05CDA399" w14:textId="77777777" w:rsidR="000009F2" w:rsidRDefault="000009F2" w:rsidP="000009F2">
      <w:pPr>
        <w:pStyle w:val="CGCNumberedPara"/>
      </w:pPr>
      <w:r>
        <w:t xml:space="preserve">Circumstances have changed following the changes in governance and administrative arrangements introduced in July 2016 which saw </w:t>
      </w:r>
      <w:r w:rsidR="007756F3">
        <w:t xml:space="preserve">Commonwealth </w:t>
      </w:r>
      <w:r>
        <w:t>and/or New South Wales legislation extended to Norfolk Island</w:t>
      </w:r>
      <w:r w:rsidR="00F61B5D">
        <w:t xml:space="preserve">. </w:t>
      </w:r>
      <w:r>
        <w:t>The changes included the introd</w:t>
      </w:r>
      <w:r w:rsidR="003A6629">
        <w:t xml:space="preserve">uction of income tax, </w:t>
      </w:r>
      <w:r>
        <w:t>Medicare levy</w:t>
      </w:r>
      <w:r w:rsidR="003A6629">
        <w:t xml:space="preserve"> an</w:t>
      </w:r>
      <w:r w:rsidR="00356534">
        <w:t>d the associated surcharge</w:t>
      </w:r>
      <w:r>
        <w:t xml:space="preserve">, the application of social security, health and aged care arrangements, and the phasing in of the </w:t>
      </w:r>
      <w:r w:rsidRPr="00B67DE1">
        <w:rPr>
          <w:i/>
        </w:rPr>
        <w:t>Fair</w:t>
      </w:r>
      <w:r w:rsidR="00057C83">
        <w:rPr>
          <w:i/>
        </w:rPr>
        <w:t> Work Act </w:t>
      </w:r>
      <w:r w:rsidRPr="00B67DE1">
        <w:rPr>
          <w:i/>
        </w:rPr>
        <w:t>2009</w:t>
      </w:r>
      <w:r>
        <w:t xml:space="preserve"> and superannuation guarantee provisions. </w:t>
      </w:r>
    </w:p>
    <w:p w14:paraId="3D09D12A" w14:textId="77777777" w:rsidR="000009F2" w:rsidRDefault="000009F2" w:rsidP="000009F2">
      <w:pPr>
        <w:pStyle w:val="CGCNumberedPara"/>
      </w:pPr>
      <w:r>
        <w:t xml:space="preserve">Among the many implications of those changes has been an increase in wages payable on the Island. For example, the phasing in of the </w:t>
      </w:r>
      <w:r w:rsidRPr="00FA116D">
        <w:rPr>
          <w:i/>
        </w:rPr>
        <w:t>Fair Work Act</w:t>
      </w:r>
      <w:r>
        <w:t xml:space="preserve"> required minimum wages on Norfolk to be 85% of levels</w:t>
      </w:r>
      <w:r w:rsidR="00416139">
        <w:t xml:space="preserve"> in other </w:t>
      </w:r>
      <w:r w:rsidR="00FA116D">
        <w:t>jurisdictions from July 2017</w:t>
      </w:r>
      <w:r>
        <w:t xml:space="preserve"> and equal to </w:t>
      </w:r>
      <w:r w:rsidR="00416139">
        <w:t xml:space="preserve">these </w:t>
      </w:r>
      <w:r>
        <w:t>levels from July 201</w:t>
      </w:r>
      <w:r w:rsidR="00FA116D">
        <w:t>8</w:t>
      </w:r>
      <w:r>
        <w:t xml:space="preserve"> However, information we received indicated many employees on the Island, were</w:t>
      </w:r>
      <w:r w:rsidR="00B67DE1">
        <w:t xml:space="preserve"> initially</w:t>
      </w:r>
      <w:r>
        <w:t xml:space="preserve"> paid </w:t>
      </w:r>
      <w:r w:rsidR="00C3298F">
        <w:t>more than the minimum</w:t>
      </w:r>
      <w:r w:rsidR="00FA116D">
        <w:t>.</w:t>
      </w:r>
      <w:r w:rsidR="00F61B5D">
        <w:t xml:space="preserve"> </w:t>
      </w:r>
    </w:p>
    <w:p w14:paraId="3CAA1505" w14:textId="77777777" w:rsidR="000009F2" w:rsidRDefault="000009F2" w:rsidP="00725C69">
      <w:pPr>
        <w:pStyle w:val="CGCNumberedPara"/>
      </w:pPr>
      <w:r>
        <w:t xml:space="preserve">The changes introduced in July 2016 also resulted in the Commonwealth taking responsibility for the provision of State-type services to Norfolk Island. While the service delivery arrangements are still evolving, </w:t>
      </w:r>
      <w:r w:rsidR="00366FA1">
        <w:t xml:space="preserve">mainland-based service providers, </w:t>
      </w:r>
      <w:r w:rsidR="00145FD1">
        <w:t xml:space="preserve">NIRC </w:t>
      </w:r>
      <w:r w:rsidR="00366FA1">
        <w:t>or other Island-based providers (particularly the Norfolk Island Health and Residential Aged Care Service</w:t>
      </w:r>
      <w:r w:rsidR="00AB049A">
        <w:t xml:space="preserve"> </w:t>
      </w:r>
      <w:r w:rsidR="00725C69">
        <w:t>–</w:t>
      </w:r>
      <w:r w:rsidR="00AB049A">
        <w:t xml:space="preserve"> NIHRACS</w:t>
      </w:r>
      <w:r w:rsidR="00366FA1">
        <w:t>) deliver State-type services</w:t>
      </w:r>
      <w:r>
        <w:t xml:space="preserve"> under service delivery agreements. Many of the staff needed to provide those services are recruited from the rest of Australia and paid </w:t>
      </w:r>
      <w:r w:rsidR="00C80E58">
        <w:t>in line with this level of</w:t>
      </w:r>
      <w:r w:rsidR="00BA6EFA">
        <w:t xml:space="preserve"> compensation</w:t>
      </w:r>
      <w:r w:rsidR="00F61B5D">
        <w:t xml:space="preserve">. </w:t>
      </w:r>
    </w:p>
    <w:p w14:paraId="63F535B5" w14:textId="77777777" w:rsidR="000009F2" w:rsidRPr="000275B5" w:rsidRDefault="000009F2" w:rsidP="000009F2">
      <w:pPr>
        <w:pStyle w:val="CGCNumberedPara"/>
      </w:pPr>
      <w:r w:rsidRPr="000275B5">
        <w:t>This background indicates wage levels on Norfolk Island in 2017-18 were comparable with those payable under</w:t>
      </w:r>
      <w:r w:rsidR="00C80E58">
        <w:t xml:space="preserve"> </w:t>
      </w:r>
      <w:r w:rsidRPr="000275B5">
        <w:t>provisions</w:t>
      </w:r>
      <w:r w:rsidR="00C80E58">
        <w:t xml:space="preserve"> in the rest of Australia</w:t>
      </w:r>
      <w:r w:rsidRPr="000275B5">
        <w:t xml:space="preserve">, except for </w:t>
      </w:r>
      <w:r w:rsidRPr="000275B5">
        <w:lastRenderedPageBreak/>
        <w:t>superannuation contributions</w:t>
      </w:r>
      <w:r w:rsidR="00F61B5D" w:rsidRPr="000275B5">
        <w:t xml:space="preserve">. </w:t>
      </w:r>
      <w:r w:rsidRPr="000275B5">
        <w:t xml:space="preserve">Specifically, we </w:t>
      </w:r>
      <w:r w:rsidR="00145FD1" w:rsidRPr="000275B5">
        <w:t xml:space="preserve">note </w:t>
      </w:r>
      <w:r w:rsidR="00257FE9">
        <w:t xml:space="preserve">the </w:t>
      </w:r>
      <w:r w:rsidR="00145FD1" w:rsidRPr="000275B5">
        <w:t xml:space="preserve">NIRC </w:t>
      </w:r>
      <w:r w:rsidRPr="000275B5">
        <w:t>e</w:t>
      </w:r>
      <w:r w:rsidR="00AE2E7B">
        <w:t>nterprise agreement indicates that NIRC</w:t>
      </w:r>
      <w:r w:rsidRPr="000275B5">
        <w:t xml:space="preserve"> was making superannuation contributions of 5.5% of wages on behalf of its employees when the agreement was signed in late 2017-18</w:t>
      </w:r>
      <w:r w:rsidR="00F61B5D" w:rsidRPr="000275B5">
        <w:t xml:space="preserve">. </w:t>
      </w:r>
      <w:r w:rsidR="000275B5">
        <w:t>This</w:t>
      </w:r>
      <w:r w:rsidRPr="000275B5">
        <w:t xml:space="preserve"> rate compares with the 9.5% contribution</w:t>
      </w:r>
      <w:r w:rsidR="00C3298F" w:rsidRPr="000275B5">
        <w:t xml:space="preserve"> rate</w:t>
      </w:r>
      <w:r w:rsidRPr="000275B5">
        <w:t xml:space="preserve"> in the rest of Australia</w:t>
      </w:r>
      <w:r w:rsidR="00F61B5D" w:rsidRPr="000275B5">
        <w:t xml:space="preserve">. </w:t>
      </w:r>
    </w:p>
    <w:p w14:paraId="511A593D" w14:textId="77777777" w:rsidR="002277E0" w:rsidRDefault="000009F2" w:rsidP="000009F2">
      <w:pPr>
        <w:pStyle w:val="CGCNumberedPara"/>
      </w:pPr>
      <w:r>
        <w:t>We have, therefore, made a small downward adjustment to the 2017-18 assessed expenses for local government services provided by</w:t>
      </w:r>
      <w:r w:rsidR="001C799A">
        <w:t xml:space="preserve"> NIRC</w:t>
      </w:r>
      <w:r w:rsidR="00F61B5D">
        <w:t xml:space="preserve">. </w:t>
      </w:r>
      <w:r>
        <w:t>That adjustment reduced assessed employee expenses for local government se</w:t>
      </w:r>
      <w:r w:rsidR="00B42144">
        <w:t>rvices by 3.7%</w:t>
      </w:r>
      <w:r>
        <w:t>.</w:t>
      </w:r>
      <w:r w:rsidR="00B42144">
        <w:rPr>
          <w:rStyle w:val="FootnoteReference"/>
        </w:rPr>
        <w:footnoteReference w:id="5"/>
      </w:r>
    </w:p>
    <w:p w14:paraId="7ADE55FE" w14:textId="77777777" w:rsidR="000009F2" w:rsidRDefault="000009F2" w:rsidP="000009F2">
      <w:pPr>
        <w:pStyle w:val="CGCNumberedPara"/>
      </w:pPr>
      <w:r>
        <w:t>No adjustment was made in the calculation of assessed expenses for State</w:t>
      </w:r>
      <w:r w:rsidR="00B42144">
        <w:noBreakHyphen/>
      </w:r>
      <w:r>
        <w:t>type services because it appears mainland levels of wages and superannuation are paid to the vast majority of staff providing those services</w:t>
      </w:r>
      <w:r w:rsidR="00F61B5D">
        <w:t xml:space="preserve">. </w:t>
      </w:r>
      <w:r>
        <w:t xml:space="preserve"> </w:t>
      </w:r>
    </w:p>
    <w:p w14:paraId="3E95F380" w14:textId="77777777" w:rsidR="00B42144" w:rsidRDefault="00B42144" w:rsidP="00B42144">
      <w:pPr>
        <w:pStyle w:val="Heading3"/>
      </w:pPr>
      <w:bookmarkStart w:id="306" w:name="_Toc16854929"/>
      <w:bookmarkStart w:id="307" w:name="_Toc17105392"/>
      <w:bookmarkStart w:id="308" w:name="_Toc17105444"/>
      <w:bookmarkStart w:id="309" w:name="_Toc17105600"/>
      <w:bookmarkStart w:id="310" w:name="_Toc17380468"/>
      <w:bookmarkStart w:id="311" w:name="_Toc19262915"/>
      <w:bookmarkStart w:id="312" w:name="_Toc23847460"/>
      <w:r>
        <w:t>Population issues</w:t>
      </w:r>
      <w:bookmarkEnd w:id="306"/>
      <w:bookmarkEnd w:id="307"/>
      <w:bookmarkEnd w:id="308"/>
      <w:bookmarkEnd w:id="309"/>
      <w:bookmarkEnd w:id="310"/>
      <w:bookmarkEnd w:id="311"/>
      <w:bookmarkEnd w:id="312"/>
    </w:p>
    <w:p w14:paraId="19AB43A7" w14:textId="77777777" w:rsidR="00B42144" w:rsidRDefault="00B42144" w:rsidP="00B42144">
      <w:pPr>
        <w:pStyle w:val="CGCNumberedPara"/>
      </w:pPr>
      <w:r>
        <w:t>Aspects of Norfolk Island’s population that need</w:t>
      </w:r>
      <w:r w:rsidR="00323168">
        <w:t>ed</w:t>
      </w:r>
      <w:r>
        <w:t xml:space="preserve"> to be addressed in an assessment of its financial capacity are:</w:t>
      </w:r>
    </w:p>
    <w:p w14:paraId="5A4F2273" w14:textId="77777777" w:rsidR="00B42144" w:rsidRDefault="00B42144" w:rsidP="00B42144">
      <w:pPr>
        <w:pStyle w:val="CGCBulletlist"/>
      </w:pPr>
      <w:r>
        <w:t>its size</w:t>
      </w:r>
    </w:p>
    <w:p w14:paraId="28E98C3E" w14:textId="77777777" w:rsidR="00B42144" w:rsidRDefault="00B42144" w:rsidP="00B42144">
      <w:pPr>
        <w:pStyle w:val="CGCBulletlist"/>
      </w:pPr>
      <w:r>
        <w:t xml:space="preserve">the characteristics that increase or reduce the demand </w:t>
      </w:r>
      <w:r w:rsidR="00793936">
        <w:t xml:space="preserve">for services – age distribution, </w:t>
      </w:r>
      <w:r>
        <w:t>socio-economic status</w:t>
      </w:r>
      <w:r w:rsidR="00793936">
        <w:t xml:space="preserve"> and variable climatic conditions (such as </w:t>
      </w:r>
      <w:r w:rsidR="006338A7">
        <w:t xml:space="preserve">the </w:t>
      </w:r>
      <w:r w:rsidR="00793936">
        <w:t>recent drought conditions</w:t>
      </w:r>
      <w:r w:rsidR="00C2526B">
        <w:t xml:space="preserve"> affecting the Island</w:t>
      </w:r>
      <w:r w:rsidR="00793936">
        <w:t>)</w:t>
      </w:r>
      <w:r>
        <w:t>.</w:t>
      </w:r>
    </w:p>
    <w:p w14:paraId="22B5E0AB" w14:textId="77777777" w:rsidR="00550556" w:rsidRPr="00C718D6" w:rsidRDefault="00B42144" w:rsidP="00C718D6">
      <w:pPr>
        <w:pStyle w:val="Heading4"/>
        <w:rPr>
          <w:rStyle w:val="Heading6Char"/>
          <w:b/>
          <w:i w:val="0"/>
          <w:iCs/>
          <w:sz w:val="32"/>
        </w:rPr>
      </w:pPr>
      <w:bookmarkStart w:id="313" w:name="_Toc19262916"/>
      <w:bookmarkStart w:id="314" w:name="_Toc23847461"/>
      <w:r w:rsidRPr="00C718D6">
        <w:rPr>
          <w:rStyle w:val="Heading6Char"/>
          <w:b/>
          <w:i w:val="0"/>
          <w:iCs/>
          <w:sz w:val="32"/>
        </w:rPr>
        <w:t>Population size</w:t>
      </w:r>
      <w:bookmarkEnd w:id="313"/>
      <w:bookmarkEnd w:id="314"/>
    </w:p>
    <w:p w14:paraId="3678D82A" w14:textId="77777777" w:rsidR="00B42144" w:rsidRDefault="00B42144" w:rsidP="00B42144">
      <w:pPr>
        <w:pStyle w:val="CGCNumberedPara"/>
      </w:pPr>
      <w:r>
        <w:t>The ordinarily resident population of Norfolk Island is small and has declined since</w:t>
      </w:r>
      <w:r w:rsidR="00524AF9">
        <w:t xml:space="preserve"> its peak in 2001 when it was 2 </w:t>
      </w:r>
      <w:r>
        <w:t>037.</w:t>
      </w:r>
      <w:r w:rsidR="003C0D3D">
        <w:t xml:space="preserve"> 2016 Census data shows the Norfolk Island population as 1 748.</w:t>
      </w:r>
      <w:r>
        <w:t xml:space="preserve"> The Australian Bureau of Statistics has estimated the 2017-18 Norfolk </w:t>
      </w:r>
      <w:r w:rsidR="005A53B2">
        <w:t xml:space="preserve">population </w:t>
      </w:r>
      <w:r w:rsidR="00524AF9">
        <w:t>as 1 </w:t>
      </w:r>
      <w:r>
        <w:t>756</w:t>
      </w:r>
      <w:r w:rsidR="00F61B5D">
        <w:t xml:space="preserve">. </w:t>
      </w:r>
    </w:p>
    <w:p w14:paraId="55098724" w14:textId="77777777" w:rsidR="00550556" w:rsidRPr="00550556" w:rsidRDefault="00B42144" w:rsidP="00550556">
      <w:pPr>
        <w:pStyle w:val="Heading4"/>
        <w:rPr>
          <w:rStyle w:val="Heading6Char"/>
          <w:b/>
          <w:i w:val="0"/>
          <w:iCs/>
          <w:sz w:val="32"/>
        </w:rPr>
      </w:pPr>
      <w:bookmarkStart w:id="315" w:name="_Toc19262917"/>
      <w:bookmarkStart w:id="316" w:name="_Toc23847462"/>
      <w:r w:rsidRPr="00550556">
        <w:rPr>
          <w:rStyle w:val="Heading6Char"/>
          <w:b/>
          <w:i w:val="0"/>
          <w:iCs/>
          <w:sz w:val="32"/>
        </w:rPr>
        <w:t>Age distribution</w:t>
      </w:r>
      <w:bookmarkEnd w:id="315"/>
      <w:bookmarkEnd w:id="316"/>
    </w:p>
    <w:p w14:paraId="69925FA5" w14:textId="1EEC2128" w:rsidR="00B42144" w:rsidRDefault="00B42144" w:rsidP="00B42144">
      <w:pPr>
        <w:pStyle w:val="CGCNumberedPara"/>
      </w:pPr>
      <w:r>
        <w:t>Norfolk Island’s population is older on average than the combined population in the rest of Australia</w:t>
      </w:r>
      <w:r w:rsidR="00F61B5D">
        <w:t xml:space="preserve">. </w:t>
      </w:r>
      <w:r>
        <w:fldChar w:fldCharType="begin"/>
      </w:r>
      <w:r>
        <w:instrText xml:space="preserve"> REF _Ref16853877 \h </w:instrText>
      </w:r>
      <w:r>
        <w:fldChar w:fldCharType="separate"/>
      </w:r>
      <w:r w:rsidR="00DE7AA1">
        <w:t xml:space="preserve">Figure </w:t>
      </w:r>
      <w:r w:rsidR="00DE7AA1">
        <w:rPr>
          <w:noProof/>
        </w:rPr>
        <w:t>1</w:t>
      </w:r>
      <w:r>
        <w:fldChar w:fldCharType="end"/>
      </w:r>
      <w:r>
        <w:t xml:space="preserve"> shows </w:t>
      </w:r>
      <w:r w:rsidR="00C032C3">
        <w:t xml:space="preserve">that </w:t>
      </w:r>
      <w:r>
        <w:t>the proportion of the population in all age groups above 45 years on Norfolk Island is higher than that in the rest of Australia. Conversely, the proportion of the Norfolk population in the 20 to 35 years age groups is well below that in the rest of Australia.</w:t>
      </w:r>
    </w:p>
    <w:p w14:paraId="2F6C288A" w14:textId="77777777" w:rsidR="00F968BA" w:rsidRDefault="00F968BA" w:rsidP="00F968BA">
      <w:pPr>
        <w:pStyle w:val="CGCNumberedPara"/>
      </w:pPr>
      <w:r>
        <w:lastRenderedPageBreak/>
        <w:t xml:space="preserve">The relatively high </w:t>
      </w:r>
      <w:r w:rsidRPr="00D15864">
        <w:t xml:space="preserve">number of people aged </w:t>
      </w:r>
      <w:r w:rsidR="008B79CF">
        <w:t xml:space="preserve">over 65 </w:t>
      </w:r>
      <w:r w:rsidR="007A5C98">
        <w:t xml:space="preserve">years </w:t>
      </w:r>
      <w:r w:rsidR="008B79CF">
        <w:t>on Norfolk Island (24.4</w:t>
      </w:r>
      <w:r>
        <w:t>% of its population compared with 15.7% in the rest of Australia) increases its requirement for some services, including health, other services for the aged and rates concessions</w:t>
      </w:r>
      <w:r w:rsidR="00F61B5D">
        <w:t xml:space="preserve">. </w:t>
      </w:r>
      <w:r>
        <w:t xml:space="preserve">On the other hand, the relatively low number of young people reduces its requirement for some services, such as family and child welfare. These differences between the age profile of the populations of Norfolk Island and the rest of Australia are taken into account in the derivation of the relevant assessed expenses (see Attachment </w:t>
      </w:r>
      <w:r w:rsidR="00DE7BE2">
        <w:t>E</w:t>
      </w:r>
      <w:r>
        <w:t>).</w:t>
      </w:r>
    </w:p>
    <w:p w14:paraId="635C09AD" w14:textId="33AE392A" w:rsidR="00B42144" w:rsidRDefault="00B42144" w:rsidP="00B42144">
      <w:pPr>
        <w:pStyle w:val="Caption"/>
      </w:pPr>
      <w:bookmarkStart w:id="317" w:name="_Ref16853877"/>
      <w:r>
        <w:t xml:space="preserve">Figure </w:t>
      </w:r>
      <w:r w:rsidR="00150A14">
        <w:fldChar w:fldCharType="begin"/>
      </w:r>
      <w:r w:rsidR="00150A14">
        <w:instrText xml:space="preserve"> SEQ Figure \* ARABIC </w:instrText>
      </w:r>
      <w:r w:rsidR="00150A14">
        <w:fldChar w:fldCharType="separate"/>
      </w:r>
      <w:r w:rsidR="00DE7AA1">
        <w:rPr>
          <w:noProof/>
        </w:rPr>
        <w:t>1</w:t>
      </w:r>
      <w:r w:rsidR="00150A14">
        <w:rPr>
          <w:noProof/>
        </w:rPr>
        <w:fldChar w:fldCharType="end"/>
      </w:r>
      <w:bookmarkEnd w:id="317"/>
      <w:r w:rsidRPr="00B42144">
        <w:tab/>
        <w:t>Australia and Norfolk Island population by age grouping, 2016 Census</w:t>
      </w:r>
    </w:p>
    <w:p w14:paraId="5CEC1FFE" w14:textId="77777777" w:rsidR="00B42144" w:rsidRDefault="00B42144" w:rsidP="00B42144">
      <w:r>
        <w:rPr>
          <w:noProof/>
          <w:lang w:eastAsia="en-AU"/>
        </w:rPr>
        <w:drawing>
          <wp:inline distT="0" distB="0" distL="0" distR="0" wp14:anchorId="726AC572" wp14:editId="0525A738">
            <wp:extent cx="5652000" cy="3564000"/>
            <wp:effectExtent l="0" t="0" r="635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942D8F" w14:textId="77777777" w:rsidR="00B42144" w:rsidRDefault="00B42144" w:rsidP="00B42144">
      <w:pPr>
        <w:pStyle w:val="CGCTableFootnote"/>
      </w:pPr>
      <w:r w:rsidRPr="00B42144">
        <w:t>Source:</w:t>
      </w:r>
      <w:r w:rsidRPr="00B42144">
        <w:tab/>
        <w:t>Australian Bureau of Statistics, QuickStats, 2016 Census.</w:t>
      </w:r>
    </w:p>
    <w:p w14:paraId="74A4C26E" w14:textId="77777777" w:rsidR="00954474" w:rsidRPr="00B21668" w:rsidRDefault="00B42144" w:rsidP="00954474">
      <w:pPr>
        <w:pStyle w:val="Heading4"/>
      </w:pPr>
      <w:bookmarkStart w:id="318" w:name="_Toc19262918"/>
      <w:bookmarkStart w:id="319" w:name="_Toc23847463"/>
      <w:r w:rsidRPr="00B21668">
        <w:t>Socio-economic status</w:t>
      </w:r>
      <w:bookmarkEnd w:id="318"/>
      <w:bookmarkEnd w:id="319"/>
    </w:p>
    <w:p w14:paraId="6FC3DCFC" w14:textId="77777777" w:rsidR="00B42144" w:rsidRDefault="00B42144" w:rsidP="00B42144">
      <w:pPr>
        <w:pStyle w:val="CGCNumberedPara"/>
      </w:pPr>
      <w:r>
        <w:t xml:space="preserve">Expenditure required to provide </w:t>
      </w:r>
      <w:r w:rsidR="000236A9">
        <w:t xml:space="preserve">some services, such as schools, post-secondary </w:t>
      </w:r>
      <w:r>
        <w:t>education, community health services, welfare and public housing, is affected by the socio-economic status of the population</w:t>
      </w:r>
      <w:r w:rsidR="00F61B5D">
        <w:t xml:space="preserve">. </w:t>
      </w:r>
    </w:p>
    <w:p w14:paraId="4801A675" w14:textId="77777777" w:rsidR="00B42144" w:rsidRPr="00AC6CBF" w:rsidRDefault="00B42144" w:rsidP="00B42144">
      <w:pPr>
        <w:pStyle w:val="CGCNumberedPara"/>
      </w:pPr>
      <w:r>
        <w:rPr>
          <w:rStyle w:val="Heading6Char"/>
          <w:rFonts w:eastAsiaTheme="minorHAnsi" w:cs="Times New Roman"/>
          <w:b w:val="0"/>
          <w:i w:val="0"/>
          <w:iCs w:val="0"/>
          <w:color w:val="auto"/>
          <w:sz w:val="24"/>
        </w:rPr>
        <w:t xml:space="preserve">However, those effects are relatively small because the socio-economic status of the </w:t>
      </w:r>
      <w:r w:rsidR="00C3298F">
        <w:rPr>
          <w:rStyle w:val="Heading6Char"/>
          <w:rFonts w:eastAsiaTheme="minorHAnsi" w:cs="Times New Roman"/>
          <w:b w:val="0"/>
          <w:i w:val="0"/>
          <w:iCs w:val="0"/>
          <w:color w:val="auto"/>
          <w:sz w:val="24"/>
        </w:rPr>
        <w:t>Island’s</w:t>
      </w:r>
      <w:r>
        <w:rPr>
          <w:rStyle w:val="Heading6Char"/>
          <w:rFonts w:eastAsiaTheme="minorHAnsi" w:cs="Times New Roman"/>
          <w:b w:val="0"/>
          <w:i w:val="0"/>
          <w:iCs w:val="0"/>
          <w:color w:val="auto"/>
          <w:sz w:val="24"/>
        </w:rPr>
        <w:t xml:space="preserve"> population is close to t</w:t>
      </w:r>
      <w:r w:rsidR="00806C02">
        <w:rPr>
          <w:rStyle w:val="Heading6Char"/>
          <w:rFonts w:eastAsiaTheme="minorHAnsi" w:cs="Times New Roman"/>
          <w:b w:val="0"/>
          <w:i w:val="0"/>
          <w:iCs w:val="0"/>
          <w:color w:val="auto"/>
          <w:sz w:val="24"/>
        </w:rPr>
        <w:t>he Australian average. Norfolk Island’s</w:t>
      </w:r>
      <w:r>
        <w:rPr>
          <w:rStyle w:val="Heading6Char"/>
          <w:rFonts w:eastAsiaTheme="minorHAnsi" w:cs="Times New Roman"/>
          <w:b w:val="0"/>
          <w:i w:val="0"/>
          <w:iCs w:val="0"/>
          <w:color w:val="auto"/>
          <w:sz w:val="24"/>
        </w:rPr>
        <w:t xml:space="preserve"> </w:t>
      </w:r>
      <w:r w:rsidR="00806C02">
        <w:rPr>
          <w:rStyle w:val="Heading6Char"/>
          <w:rFonts w:eastAsiaTheme="minorHAnsi" w:cs="Times New Roman"/>
          <w:b w:val="0"/>
          <w:i w:val="0"/>
          <w:iCs w:val="0"/>
          <w:color w:val="auto"/>
          <w:sz w:val="24"/>
        </w:rPr>
        <w:t>I</w:t>
      </w:r>
      <w:r>
        <w:rPr>
          <w:rStyle w:val="Heading6Char"/>
          <w:rFonts w:eastAsiaTheme="minorHAnsi" w:cs="Times New Roman"/>
          <w:b w:val="0"/>
          <w:i w:val="0"/>
          <w:iCs w:val="0"/>
          <w:color w:val="auto"/>
          <w:sz w:val="24"/>
        </w:rPr>
        <w:t xml:space="preserve">ndex of </w:t>
      </w:r>
      <w:r w:rsidR="00806C02">
        <w:rPr>
          <w:rStyle w:val="Heading6Char"/>
          <w:rFonts w:eastAsiaTheme="minorHAnsi" w:cs="Times New Roman"/>
          <w:b w:val="0"/>
          <w:i w:val="0"/>
          <w:iCs w:val="0"/>
          <w:color w:val="auto"/>
          <w:sz w:val="24"/>
        </w:rPr>
        <w:t>C</w:t>
      </w:r>
      <w:r>
        <w:rPr>
          <w:rStyle w:val="Heading6Char"/>
          <w:rFonts w:eastAsiaTheme="minorHAnsi" w:cs="Times New Roman"/>
          <w:b w:val="0"/>
          <w:i w:val="0"/>
          <w:iCs w:val="0"/>
          <w:color w:val="auto"/>
          <w:sz w:val="24"/>
        </w:rPr>
        <w:t xml:space="preserve">ommunity </w:t>
      </w:r>
      <w:r w:rsidR="00806C02">
        <w:rPr>
          <w:rStyle w:val="Heading6Char"/>
          <w:rFonts w:eastAsiaTheme="minorHAnsi" w:cs="Times New Roman"/>
          <w:b w:val="0"/>
          <w:i w:val="0"/>
          <w:iCs w:val="0"/>
          <w:color w:val="auto"/>
          <w:sz w:val="24"/>
        </w:rPr>
        <w:t>S</w:t>
      </w:r>
      <w:r>
        <w:rPr>
          <w:rStyle w:val="Heading6Char"/>
          <w:rFonts w:eastAsiaTheme="minorHAnsi" w:cs="Times New Roman"/>
          <w:b w:val="0"/>
          <w:i w:val="0"/>
          <w:iCs w:val="0"/>
          <w:color w:val="auto"/>
          <w:sz w:val="24"/>
        </w:rPr>
        <w:t>ocio-</w:t>
      </w:r>
      <w:r w:rsidR="00806C02">
        <w:rPr>
          <w:rStyle w:val="Heading6Char"/>
          <w:rFonts w:eastAsiaTheme="minorHAnsi" w:cs="Times New Roman"/>
          <w:b w:val="0"/>
          <w:i w:val="0"/>
          <w:iCs w:val="0"/>
          <w:color w:val="auto"/>
          <w:sz w:val="24"/>
        </w:rPr>
        <w:t>E</w:t>
      </w:r>
      <w:r>
        <w:rPr>
          <w:rStyle w:val="Heading6Char"/>
          <w:rFonts w:eastAsiaTheme="minorHAnsi" w:cs="Times New Roman"/>
          <w:b w:val="0"/>
          <w:i w:val="0"/>
          <w:iCs w:val="0"/>
          <w:color w:val="auto"/>
          <w:sz w:val="24"/>
        </w:rPr>
        <w:t xml:space="preserve">ducational </w:t>
      </w:r>
      <w:r w:rsidR="00806C02">
        <w:rPr>
          <w:rStyle w:val="Heading6Char"/>
          <w:rFonts w:eastAsiaTheme="minorHAnsi" w:cs="Times New Roman"/>
          <w:b w:val="0"/>
          <w:i w:val="0"/>
          <w:iCs w:val="0"/>
          <w:color w:val="auto"/>
          <w:sz w:val="24"/>
        </w:rPr>
        <w:t>A</w:t>
      </w:r>
      <w:r>
        <w:rPr>
          <w:rStyle w:val="Heading6Char"/>
          <w:rFonts w:eastAsiaTheme="minorHAnsi" w:cs="Times New Roman"/>
          <w:b w:val="0"/>
          <w:i w:val="0"/>
          <w:iCs w:val="0"/>
          <w:color w:val="auto"/>
          <w:sz w:val="24"/>
        </w:rPr>
        <w:t xml:space="preserve">dvantage </w:t>
      </w:r>
      <w:r w:rsidR="00806C02">
        <w:rPr>
          <w:rStyle w:val="Heading6Char"/>
          <w:rFonts w:eastAsiaTheme="minorHAnsi" w:cs="Times New Roman"/>
          <w:b w:val="0"/>
          <w:i w:val="0"/>
          <w:iCs w:val="0"/>
          <w:color w:val="auto"/>
          <w:sz w:val="24"/>
        </w:rPr>
        <w:t xml:space="preserve">(ICSEA) </w:t>
      </w:r>
      <w:r>
        <w:rPr>
          <w:rStyle w:val="Heading6Char"/>
          <w:rFonts w:eastAsiaTheme="minorHAnsi" w:cs="Times New Roman"/>
          <w:b w:val="0"/>
          <w:i w:val="0"/>
          <w:iCs w:val="0"/>
          <w:color w:val="auto"/>
          <w:sz w:val="24"/>
        </w:rPr>
        <w:t>was 1</w:t>
      </w:r>
      <w:r w:rsidR="005A53B2">
        <w:rPr>
          <w:rStyle w:val="Heading6Char"/>
          <w:rFonts w:eastAsiaTheme="minorHAnsi" w:cs="Times New Roman"/>
          <w:b w:val="0"/>
          <w:i w:val="0"/>
          <w:iCs w:val="0"/>
          <w:color w:val="auto"/>
          <w:sz w:val="24"/>
        </w:rPr>
        <w:t xml:space="preserve"> </w:t>
      </w:r>
      <w:r>
        <w:rPr>
          <w:rStyle w:val="Heading6Char"/>
          <w:rFonts w:eastAsiaTheme="minorHAnsi" w:cs="Times New Roman"/>
          <w:b w:val="0"/>
          <w:i w:val="0"/>
          <w:iCs w:val="0"/>
          <w:color w:val="auto"/>
          <w:sz w:val="24"/>
        </w:rPr>
        <w:t xml:space="preserve">005 and its </w:t>
      </w:r>
      <w:r w:rsidR="00806C02">
        <w:rPr>
          <w:rStyle w:val="Heading6Char"/>
          <w:rFonts w:eastAsiaTheme="minorHAnsi" w:cs="Times New Roman"/>
          <w:b w:val="0"/>
          <w:i w:val="0"/>
          <w:iCs w:val="0"/>
          <w:color w:val="auto"/>
          <w:sz w:val="24"/>
        </w:rPr>
        <w:t>S</w:t>
      </w:r>
      <w:r>
        <w:rPr>
          <w:rStyle w:val="Heading6Char"/>
          <w:rFonts w:eastAsiaTheme="minorHAnsi" w:cs="Times New Roman"/>
          <w:b w:val="0"/>
          <w:i w:val="0"/>
          <w:iCs w:val="0"/>
          <w:color w:val="auto"/>
          <w:sz w:val="24"/>
        </w:rPr>
        <w:t>ocio-</w:t>
      </w:r>
      <w:r w:rsidR="00806C02">
        <w:rPr>
          <w:rStyle w:val="Heading6Char"/>
          <w:rFonts w:eastAsiaTheme="minorHAnsi" w:cs="Times New Roman"/>
          <w:b w:val="0"/>
          <w:i w:val="0"/>
          <w:iCs w:val="0"/>
          <w:color w:val="auto"/>
          <w:sz w:val="24"/>
        </w:rPr>
        <w:t>E</w:t>
      </w:r>
      <w:r>
        <w:rPr>
          <w:rStyle w:val="Heading6Char"/>
          <w:rFonts w:eastAsiaTheme="minorHAnsi" w:cs="Times New Roman"/>
          <w:b w:val="0"/>
          <w:i w:val="0"/>
          <w:iCs w:val="0"/>
          <w:color w:val="auto"/>
          <w:sz w:val="24"/>
        </w:rPr>
        <w:t xml:space="preserve">conomic </w:t>
      </w:r>
      <w:r w:rsidR="00806C02">
        <w:rPr>
          <w:rStyle w:val="Heading6Char"/>
          <w:rFonts w:eastAsiaTheme="minorHAnsi" w:cs="Times New Roman"/>
          <w:b w:val="0"/>
          <w:i w:val="0"/>
          <w:iCs w:val="0"/>
          <w:color w:val="auto"/>
          <w:sz w:val="24"/>
        </w:rPr>
        <w:t>I</w:t>
      </w:r>
      <w:r>
        <w:rPr>
          <w:rStyle w:val="Heading6Char"/>
          <w:rFonts w:eastAsiaTheme="minorHAnsi" w:cs="Times New Roman"/>
          <w:b w:val="0"/>
          <w:i w:val="0"/>
          <w:iCs w:val="0"/>
          <w:color w:val="auto"/>
          <w:sz w:val="24"/>
        </w:rPr>
        <w:t xml:space="preserve">ndex for </w:t>
      </w:r>
      <w:r w:rsidR="00806C02">
        <w:rPr>
          <w:rStyle w:val="Heading6Char"/>
          <w:rFonts w:eastAsiaTheme="minorHAnsi" w:cs="Times New Roman"/>
          <w:b w:val="0"/>
          <w:i w:val="0"/>
          <w:iCs w:val="0"/>
          <w:color w:val="auto"/>
          <w:sz w:val="24"/>
        </w:rPr>
        <w:t>A</w:t>
      </w:r>
      <w:r>
        <w:rPr>
          <w:rStyle w:val="Heading6Char"/>
          <w:rFonts w:eastAsiaTheme="minorHAnsi" w:cs="Times New Roman"/>
          <w:b w:val="0"/>
          <w:i w:val="0"/>
          <w:iCs w:val="0"/>
          <w:color w:val="auto"/>
          <w:sz w:val="24"/>
        </w:rPr>
        <w:t xml:space="preserve">reas </w:t>
      </w:r>
      <w:r w:rsidR="00806C02">
        <w:rPr>
          <w:rStyle w:val="Heading6Char"/>
          <w:rFonts w:eastAsiaTheme="minorHAnsi" w:cs="Times New Roman"/>
          <w:b w:val="0"/>
          <w:i w:val="0"/>
          <w:iCs w:val="0"/>
          <w:color w:val="auto"/>
          <w:sz w:val="24"/>
        </w:rPr>
        <w:t xml:space="preserve">(SEIFA) </w:t>
      </w:r>
      <w:r>
        <w:rPr>
          <w:rStyle w:val="Heading6Char"/>
          <w:rFonts w:eastAsiaTheme="minorHAnsi" w:cs="Times New Roman"/>
          <w:b w:val="0"/>
          <w:i w:val="0"/>
          <w:iCs w:val="0"/>
          <w:color w:val="auto"/>
          <w:sz w:val="24"/>
        </w:rPr>
        <w:t>was 1</w:t>
      </w:r>
      <w:r w:rsidR="005A53B2">
        <w:rPr>
          <w:rStyle w:val="Heading6Char"/>
          <w:rFonts w:eastAsiaTheme="minorHAnsi" w:cs="Times New Roman"/>
          <w:b w:val="0"/>
          <w:i w:val="0"/>
          <w:iCs w:val="0"/>
          <w:color w:val="auto"/>
          <w:sz w:val="24"/>
        </w:rPr>
        <w:t> </w:t>
      </w:r>
      <w:r>
        <w:rPr>
          <w:rStyle w:val="Heading6Char"/>
          <w:rFonts w:eastAsiaTheme="minorHAnsi" w:cs="Times New Roman"/>
          <w:b w:val="0"/>
          <w:i w:val="0"/>
          <w:iCs w:val="0"/>
          <w:color w:val="auto"/>
          <w:sz w:val="24"/>
        </w:rPr>
        <w:t xml:space="preserve">010, both of which are only </w:t>
      </w:r>
      <w:r w:rsidR="00D70433">
        <w:rPr>
          <w:rStyle w:val="Heading6Char"/>
          <w:rFonts w:eastAsiaTheme="minorHAnsi" w:cs="Times New Roman"/>
          <w:b w:val="0"/>
          <w:i w:val="0"/>
          <w:iCs w:val="0"/>
          <w:color w:val="auto"/>
          <w:sz w:val="24"/>
        </w:rPr>
        <w:t>slightly above the Australian average</w:t>
      </w:r>
      <w:r>
        <w:rPr>
          <w:rStyle w:val="Heading6Char"/>
          <w:rFonts w:eastAsiaTheme="minorHAnsi" w:cs="Times New Roman"/>
          <w:b w:val="0"/>
          <w:i w:val="0"/>
          <w:iCs w:val="0"/>
          <w:color w:val="auto"/>
          <w:sz w:val="24"/>
        </w:rPr>
        <w:t xml:space="preserve"> of 1</w:t>
      </w:r>
      <w:r w:rsidR="00B415A5">
        <w:rPr>
          <w:rStyle w:val="Heading6Char"/>
          <w:rFonts w:eastAsiaTheme="minorHAnsi" w:cs="Times New Roman"/>
          <w:b w:val="0"/>
          <w:i w:val="0"/>
          <w:iCs w:val="0"/>
          <w:color w:val="auto"/>
          <w:sz w:val="24"/>
        </w:rPr>
        <w:t> </w:t>
      </w:r>
      <w:r>
        <w:rPr>
          <w:rStyle w:val="Heading6Char"/>
          <w:rFonts w:eastAsiaTheme="minorHAnsi" w:cs="Times New Roman"/>
          <w:b w:val="0"/>
          <w:i w:val="0"/>
          <w:iCs w:val="0"/>
          <w:color w:val="auto"/>
          <w:sz w:val="24"/>
        </w:rPr>
        <w:t xml:space="preserve">000. </w:t>
      </w:r>
    </w:p>
    <w:p w14:paraId="025BBA8A" w14:textId="77777777" w:rsidR="003B5095" w:rsidRPr="00B21668" w:rsidRDefault="00B42144" w:rsidP="00B21668">
      <w:pPr>
        <w:pStyle w:val="Heading4"/>
      </w:pPr>
      <w:bookmarkStart w:id="320" w:name="_Toc19262919"/>
      <w:bookmarkStart w:id="321" w:name="_Toc23847464"/>
      <w:r w:rsidRPr="00B21668">
        <w:lastRenderedPageBreak/>
        <w:t>Community and culture</w:t>
      </w:r>
      <w:bookmarkEnd w:id="320"/>
      <w:bookmarkEnd w:id="321"/>
    </w:p>
    <w:p w14:paraId="140FE00E" w14:textId="77777777" w:rsidR="00B42144" w:rsidRDefault="00B42144" w:rsidP="00B42144">
      <w:pPr>
        <w:pStyle w:val="CGCNumberedPara"/>
      </w:pPr>
      <w:r w:rsidRPr="00D15864">
        <w:t>Descend</w:t>
      </w:r>
      <w:r>
        <w:t>a</w:t>
      </w:r>
      <w:r w:rsidR="00AD54AA">
        <w:t>nts of the Bounty m</w:t>
      </w:r>
      <w:r w:rsidRPr="00D15864">
        <w:t>utineers</w:t>
      </w:r>
      <w:r>
        <w:t xml:space="preserve"> and others</w:t>
      </w:r>
      <w:r w:rsidRPr="00D15864">
        <w:t xml:space="preserve"> who relocated from Pitcairn Island to Norfolk Island in 1856 </w:t>
      </w:r>
      <w:r>
        <w:t>are</w:t>
      </w:r>
      <w:r w:rsidRPr="00F7178C">
        <w:t xml:space="preserve"> </w:t>
      </w:r>
      <w:r>
        <w:t xml:space="preserve">a </w:t>
      </w:r>
      <w:r w:rsidR="00AD54AA">
        <w:t>significant</w:t>
      </w:r>
      <w:r>
        <w:t xml:space="preserve"> part of the Norfolk </w:t>
      </w:r>
      <w:r w:rsidR="00C3298F">
        <w:t xml:space="preserve">Island </w:t>
      </w:r>
      <w:r>
        <w:t xml:space="preserve">population. </w:t>
      </w:r>
      <w:r w:rsidRPr="00D15864">
        <w:t xml:space="preserve">This group, and its history, influences the culture on the Island in various ways, including through certain </w:t>
      </w:r>
      <w:r w:rsidR="00B35276">
        <w:t>cultural norms that are generally</w:t>
      </w:r>
      <w:r w:rsidRPr="00D15864">
        <w:t xml:space="preserve"> describe</w:t>
      </w:r>
      <w:r w:rsidR="008F771D">
        <w:t xml:space="preserve">d as ‘the Norfolk Way’, </w:t>
      </w:r>
      <w:r w:rsidR="00B35276">
        <w:t xml:space="preserve">the </w:t>
      </w:r>
      <w:r w:rsidR="008F771D">
        <w:t>use of the</w:t>
      </w:r>
      <w:r w:rsidRPr="00D15864">
        <w:t xml:space="preserve"> </w:t>
      </w:r>
      <w:r w:rsidR="00AD54AA">
        <w:t>Nor</w:t>
      </w:r>
      <w:r w:rsidR="006C3650">
        <w:t>f</w:t>
      </w:r>
      <w:r w:rsidR="00AD54AA">
        <w:t>’k</w:t>
      </w:r>
      <w:r w:rsidRPr="00D15864">
        <w:t xml:space="preserve"> language and the holding of cu</w:t>
      </w:r>
      <w:r w:rsidR="00B35276">
        <w:t xml:space="preserve">ltural ceremonies recalling its </w:t>
      </w:r>
      <w:r w:rsidRPr="00D15864">
        <w:t xml:space="preserve">history. </w:t>
      </w:r>
    </w:p>
    <w:p w14:paraId="40133B1A" w14:textId="77777777" w:rsidR="00B42144" w:rsidRPr="00D15864" w:rsidRDefault="00B42144" w:rsidP="00B42144">
      <w:pPr>
        <w:pStyle w:val="CGCNumberedPara"/>
      </w:pPr>
      <w:r>
        <w:t xml:space="preserve">In the previous Norfolk </w:t>
      </w:r>
      <w:r w:rsidR="00C3298F">
        <w:t xml:space="preserve">Island </w:t>
      </w:r>
      <w:r>
        <w:t>inquiries, the Commission carefully considered whether the unique community and culture of the Island should be reflected in the estimates of assessed revenues and expenses.</w:t>
      </w:r>
      <w:r w:rsidR="000E321D">
        <w:t xml:space="preserve"> The Commissio</w:t>
      </w:r>
      <w:r w:rsidR="007608E5">
        <w:t>n acknowledges that the Norfolk </w:t>
      </w:r>
      <w:r w:rsidR="000E321D">
        <w:t xml:space="preserve">Island context and culture is unique, and we have </w:t>
      </w:r>
      <w:r w:rsidR="004A5E23">
        <w:t>considered this</w:t>
      </w:r>
      <w:r w:rsidR="000E321D">
        <w:t xml:space="preserve"> across a range of assessments of expenses. </w:t>
      </w:r>
      <w:r w:rsidR="004A5E23">
        <w:t xml:space="preserve">The Commission has, in particular, attempted to recognise the specific governance and service delivery arrangements on Norfolk Island through its assessments. </w:t>
      </w:r>
      <w:r w:rsidR="008E2064">
        <w:t xml:space="preserve">While there are no major fiscal implications for service delivery, the Commission has accounted for </w:t>
      </w:r>
      <w:r w:rsidR="00475048">
        <w:t xml:space="preserve">the unique </w:t>
      </w:r>
      <w:r w:rsidR="008E2064">
        <w:t xml:space="preserve">tourism, culture and recreation </w:t>
      </w:r>
      <w:r w:rsidR="00475048">
        <w:t xml:space="preserve">needs </w:t>
      </w:r>
      <w:r w:rsidR="008E2064">
        <w:t>in its assessment</w:t>
      </w:r>
      <w:r w:rsidR="00A12664">
        <w:t>s</w:t>
      </w:r>
      <w:r w:rsidR="008E2064">
        <w:t xml:space="preserve"> (see relevant areas of the report). </w:t>
      </w:r>
    </w:p>
    <w:p w14:paraId="3CCF1FE6" w14:textId="77777777" w:rsidR="00B42144" w:rsidRDefault="00B42144" w:rsidP="00B42144">
      <w:pPr>
        <w:pStyle w:val="Heading3"/>
      </w:pPr>
      <w:bookmarkStart w:id="322" w:name="_Toc16854930"/>
      <w:bookmarkStart w:id="323" w:name="_Toc17105393"/>
      <w:bookmarkStart w:id="324" w:name="_Toc17105445"/>
      <w:bookmarkStart w:id="325" w:name="_Toc17105601"/>
      <w:bookmarkStart w:id="326" w:name="_Toc17380469"/>
      <w:bookmarkStart w:id="327" w:name="_Toc19262920"/>
      <w:bookmarkStart w:id="328" w:name="_Toc23847465"/>
      <w:r>
        <w:t>Governance and service delivery arrangements</w:t>
      </w:r>
      <w:bookmarkEnd w:id="322"/>
      <w:bookmarkEnd w:id="323"/>
      <w:bookmarkEnd w:id="324"/>
      <w:bookmarkEnd w:id="325"/>
      <w:bookmarkEnd w:id="326"/>
      <w:bookmarkEnd w:id="327"/>
      <w:bookmarkEnd w:id="328"/>
    </w:p>
    <w:p w14:paraId="71079105" w14:textId="77777777" w:rsidR="00B42144" w:rsidRDefault="00B42144" w:rsidP="00B42144">
      <w:pPr>
        <w:pStyle w:val="CGCNumberedPara"/>
      </w:pPr>
      <w:r>
        <w:t xml:space="preserve">The introduction of the </w:t>
      </w:r>
      <w:r w:rsidRPr="00FC1129">
        <w:rPr>
          <w:i/>
        </w:rPr>
        <w:t>Norfolk Island Legislation Amendment Act 2015</w:t>
      </w:r>
      <w:r w:rsidR="00FC1129">
        <w:t>,</w:t>
      </w:r>
      <w:r>
        <w:t xml:space="preserve"> and related Acts</w:t>
      </w:r>
      <w:r w:rsidR="00FC1129">
        <w:t>,</w:t>
      </w:r>
      <w:r>
        <w:t xml:space="preserve"> provided for the Australian Government to take responsibility for funding and delivering Commonwealth and State-type services to Norfolk Island. </w:t>
      </w:r>
    </w:p>
    <w:p w14:paraId="4A535E2F" w14:textId="1DA1C2C2" w:rsidR="00B42144" w:rsidRDefault="00B42144" w:rsidP="00B42144">
      <w:pPr>
        <w:pStyle w:val="CGCNumberedPara"/>
      </w:pPr>
      <w:r>
        <w:t xml:space="preserve">Australian Government agencies responsible for Commonwealth-type services, such as the Department of Health, the Department of Human Services and Parks Australia, are responsible for delivering their services and programs on Norfolk Island. </w:t>
      </w:r>
      <w:r w:rsidR="008F4885">
        <w:t>The Department</w:t>
      </w:r>
      <w:r>
        <w:t xml:space="preserve"> has responsibility for State-type services.</w:t>
      </w:r>
    </w:p>
    <w:p w14:paraId="7B51042B" w14:textId="77777777" w:rsidR="00B42144" w:rsidRDefault="00B42144" w:rsidP="00B42144">
      <w:pPr>
        <w:pStyle w:val="CGCNumberedPara"/>
      </w:pPr>
      <w:r>
        <w:t xml:space="preserve">The legislation also provided for the creation of </w:t>
      </w:r>
      <w:r w:rsidR="00B84D73">
        <w:t xml:space="preserve">NIRC </w:t>
      </w:r>
      <w:r>
        <w:t>with the revenue raising and service delivery powers of a local government in New South Wales. Like other local governments, it receives local government financial assistance and local roads grants from the Commonwealth</w:t>
      </w:r>
      <w:r w:rsidR="00F61B5D">
        <w:t xml:space="preserve">. </w:t>
      </w:r>
    </w:p>
    <w:p w14:paraId="6E19D051" w14:textId="77777777" w:rsidR="00B42144" w:rsidRPr="00B42144" w:rsidRDefault="00B42144" w:rsidP="00B42144">
      <w:pPr>
        <w:pStyle w:val="Heading4"/>
      </w:pPr>
      <w:bookmarkStart w:id="329" w:name="_Toc16854931"/>
      <w:bookmarkStart w:id="330" w:name="_Toc17105394"/>
      <w:bookmarkStart w:id="331" w:name="_Toc17105446"/>
      <w:bookmarkStart w:id="332" w:name="_Toc17105602"/>
      <w:bookmarkStart w:id="333" w:name="_Toc17380470"/>
      <w:bookmarkStart w:id="334" w:name="_Toc19262921"/>
      <w:bookmarkStart w:id="335" w:name="_Toc23847466"/>
      <w:r w:rsidRPr="00B42144">
        <w:t>Service delivery arrangements</w:t>
      </w:r>
      <w:bookmarkEnd w:id="329"/>
      <w:bookmarkEnd w:id="330"/>
      <w:bookmarkEnd w:id="331"/>
      <w:bookmarkEnd w:id="332"/>
      <w:bookmarkEnd w:id="333"/>
      <w:bookmarkEnd w:id="334"/>
      <w:bookmarkEnd w:id="335"/>
    </w:p>
    <w:p w14:paraId="6F59A670" w14:textId="77777777" w:rsidR="00B42144" w:rsidRDefault="00B42144" w:rsidP="00B42144">
      <w:pPr>
        <w:pStyle w:val="CGCNumberedPara"/>
      </w:pPr>
      <w:r>
        <w:t>While the service delivery arrangements are still evolving, mainland based service providers (such as the New South Wales Department of Education and</w:t>
      </w:r>
      <w:r w:rsidR="00890550">
        <w:t xml:space="preserve"> Ministry of</w:t>
      </w:r>
      <w:r>
        <w:t xml:space="preserve"> Health and the Australian Federal Police), </w:t>
      </w:r>
      <w:r w:rsidR="00B84D73">
        <w:t xml:space="preserve">NIRC </w:t>
      </w:r>
      <w:r>
        <w:t xml:space="preserve">or other Island-based providers (particularly </w:t>
      </w:r>
      <w:r w:rsidR="00965D0A">
        <w:t>NIHRACS</w:t>
      </w:r>
      <w:r>
        <w:t>) deliver State-type services under servi</w:t>
      </w:r>
      <w:r w:rsidR="00480118">
        <w:t xml:space="preserve">ce delivery agreements with </w:t>
      </w:r>
      <w:r w:rsidR="008F4885">
        <w:t>the Department</w:t>
      </w:r>
      <w:r w:rsidR="00F61B5D">
        <w:t xml:space="preserve">. </w:t>
      </w:r>
    </w:p>
    <w:p w14:paraId="5D530FFF" w14:textId="77777777" w:rsidR="00B42144" w:rsidRDefault="006C6024" w:rsidP="00B42144">
      <w:pPr>
        <w:pStyle w:val="CGCNumberedPara"/>
      </w:pPr>
      <w:r>
        <w:t>T</w:t>
      </w:r>
      <w:r w:rsidR="008F4885">
        <w:t>he Department</w:t>
      </w:r>
      <w:r w:rsidR="00480118">
        <w:t xml:space="preserve"> </w:t>
      </w:r>
      <w:r w:rsidR="00B42144">
        <w:t>is not the service provider</w:t>
      </w:r>
      <w:r>
        <w:t>, however</w:t>
      </w:r>
      <w:r w:rsidR="00F61B5D">
        <w:t xml:space="preserve"> </w:t>
      </w:r>
      <w:r>
        <w:t xml:space="preserve">plays </w:t>
      </w:r>
      <w:r w:rsidR="005D05C2">
        <w:t>a preeminent</w:t>
      </w:r>
      <w:r>
        <w:t xml:space="preserve"> role of </w:t>
      </w:r>
      <w:r w:rsidR="00B42144">
        <w:t>p</w:t>
      </w:r>
      <w:r>
        <w:t xml:space="preserve">olicy adviser, </w:t>
      </w:r>
      <w:r w:rsidR="00B42144">
        <w:t>service funder</w:t>
      </w:r>
      <w:r>
        <w:t xml:space="preserve"> and advocate in Norfolk Island in its liaising with other </w:t>
      </w:r>
      <w:r>
        <w:lastRenderedPageBreak/>
        <w:t>Australian Government agencies</w:t>
      </w:r>
      <w:r w:rsidR="00F61B5D">
        <w:t xml:space="preserve">. </w:t>
      </w:r>
      <w:r w:rsidR="00B42144">
        <w:t>These service funding and delivery arrangements result in a greater level of costs associated with contract negotiation, supervision and reporting</w:t>
      </w:r>
      <w:r w:rsidR="00F61B5D">
        <w:t xml:space="preserve">. </w:t>
      </w:r>
      <w:r w:rsidR="008F4885">
        <w:t>The Department</w:t>
      </w:r>
      <w:r w:rsidR="00B42144">
        <w:t xml:space="preserve"> and the contracted service providers incur such costs</w:t>
      </w:r>
      <w:r w:rsidR="00F61B5D">
        <w:t xml:space="preserve">. </w:t>
      </w:r>
    </w:p>
    <w:p w14:paraId="56998679" w14:textId="77777777" w:rsidR="00B42144" w:rsidRDefault="00B42144" w:rsidP="00B42144">
      <w:pPr>
        <w:pStyle w:val="CGCNumberedPara"/>
      </w:pPr>
      <w:r>
        <w:t>Our calculations of assessed expenses include allowances for such extra administrative costs</w:t>
      </w:r>
      <w:r w:rsidR="00F61B5D">
        <w:t xml:space="preserve">. </w:t>
      </w:r>
      <w:r>
        <w:t xml:space="preserve">Information from </w:t>
      </w:r>
      <w:r w:rsidR="00682F3F">
        <w:t xml:space="preserve">purchasing and contract administration </w:t>
      </w:r>
      <w:r w:rsidR="00C3298F">
        <w:t xml:space="preserve">guidelines produced by the </w:t>
      </w:r>
      <w:r>
        <w:t>New South Wales and Western Australia Treasury and Finance department</w:t>
      </w:r>
      <w:r w:rsidR="00C3298F">
        <w:t>s</w:t>
      </w:r>
      <w:r>
        <w:t xml:space="preserve"> indicate </w:t>
      </w:r>
      <w:r w:rsidR="000E2A5C">
        <w:t xml:space="preserve">that typical </w:t>
      </w:r>
      <w:r>
        <w:t>contract administration costs would be between 10% and 20% of contractor costs.</w:t>
      </w:r>
    </w:p>
    <w:p w14:paraId="5AC8ABD1" w14:textId="77777777" w:rsidR="00B42144" w:rsidRDefault="00B42144" w:rsidP="00B42144">
      <w:pPr>
        <w:pStyle w:val="CGCNumberedPara"/>
      </w:pPr>
      <w:r>
        <w:t>We have applied a contract administration allowance of 10% in estimating assessed expenses of State type services performed under service delivery agreements</w:t>
      </w:r>
      <w:r w:rsidR="00F61B5D">
        <w:t xml:space="preserve">. </w:t>
      </w:r>
      <w:r>
        <w:t>We used the lower point of the State range of costs as many State contracts would be more complex</w:t>
      </w:r>
      <w:r w:rsidR="000E2A5C">
        <w:t xml:space="preserve"> to oversee and monitor</w:t>
      </w:r>
      <w:r>
        <w:t xml:space="preserve"> than those for Norfolk Island services</w:t>
      </w:r>
      <w:r w:rsidR="00F61B5D">
        <w:t xml:space="preserve">. </w:t>
      </w:r>
    </w:p>
    <w:p w14:paraId="5F74654A" w14:textId="77777777" w:rsidR="00D84A8B" w:rsidRDefault="00D84A8B" w:rsidP="00D84A8B">
      <w:pPr>
        <w:pStyle w:val="Heading4"/>
      </w:pPr>
      <w:bookmarkStart w:id="336" w:name="_Toc16854932"/>
      <w:bookmarkStart w:id="337" w:name="_Toc17105395"/>
      <w:bookmarkStart w:id="338" w:name="_Toc17105447"/>
      <w:bookmarkStart w:id="339" w:name="_Toc17105603"/>
      <w:bookmarkStart w:id="340" w:name="_Toc17380471"/>
      <w:bookmarkStart w:id="341" w:name="_Toc19262922"/>
      <w:bookmarkStart w:id="342" w:name="_Toc23847467"/>
      <w:r>
        <w:t>Grants to local governments</w:t>
      </w:r>
      <w:bookmarkEnd w:id="336"/>
      <w:bookmarkEnd w:id="337"/>
      <w:bookmarkEnd w:id="338"/>
      <w:bookmarkEnd w:id="339"/>
      <w:bookmarkEnd w:id="340"/>
      <w:bookmarkEnd w:id="341"/>
      <w:bookmarkEnd w:id="342"/>
    </w:p>
    <w:p w14:paraId="0F5EA519" w14:textId="77777777" w:rsidR="00B42144" w:rsidRDefault="00B42144" w:rsidP="00D84A8B">
      <w:pPr>
        <w:pStyle w:val="CGCNumberedPara"/>
      </w:pPr>
      <w:r>
        <w:t xml:space="preserve">Local governments receive a variety of grants from the Commonwealth and their State governments. </w:t>
      </w:r>
    </w:p>
    <w:p w14:paraId="3CF0620F" w14:textId="77777777" w:rsidR="00DC49E4" w:rsidRDefault="00B42144" w:rsidP="00D84A8B">
      <w:pPr>
        <w:pStyle w:val="CGCNumberedPara"/>
      </w:pPr>
      <w:r>
        <w:t xml:space="preserve">The annual general purpose </w:t>
      </w:r>
      <w:r w:rsidR="00DC3E2D">
        <w:t>FAGs</w:t>
      </w:r>
      <w:r>
        <w:t xml:space="preserve"> and local roads grants from the Commonwealth are the largest single source of grant revenue for local governments</w:t>
      </w:r>
      <w:r w:rsidR="00F61B5D">
        <w:t xml:space="preserve">. </w:t>
      </w:r>
      <w:r>
        <w:t>They represented 37% of grant revenue received by local governments in the States in 2017-18</w:t>
      </w:r>
      <w:r w:rsidR="00F61B5D">
        <w:t>.</w:t>
      </w:r>
    </w:p>
    <w:p w14:paraId="6CEEB935" w14:textId="77777777" w:rsidR="00B42144" w:rsidRDefault="00F14DC2" w:rsidP="00F772F5">
      <w:pPr>
        <w:pStyle w:val="CGCNumberedPara"/>
      </w:pPr>
      <w:r>
        <w:t>For councils in the States, t</w:t>
      </w:r>
      <w:r w:rsidR="00DE7BE2">
        <w:t xml:space="preserve">he local government </w:t>
      </w:r>
      <w:r w:rsidR="00B42144">
        <w:t>financial assistance grant process</w:t>
      </w:r>
      <w:r w:rsidR="00DE7BE2">
        <w:t xml:space="preserve"> consist</w:t>
      </w:r>
      <w:r>
        <w:t>s</w:t>
      </w:r>
      <w:r w:rsidR="00DE7BE2">
        <w:t xml:space="preserve"> of two basic steps. First</w:t>
      </w:r>
      <w:r w:rsidR="00B42144">
        <w:t xml:space="preserve">, </w:t>
      </w:r>
      <w:r w:rsidR="00616E9E">
        <w:t>each State receives</w:t>
      </w:r>
      <w:r w:rsidR="00DE7BE2">
        <w:t xml:space="preserve"> the same per capita amount. Second,</w:t>
      </w:r>
      <w:r w:rsidR="00B42144">
        <w:t xml:space="preserve"> </w:t>
      </w:r>
      <w:r w:rsidR="00DD6646">
        <w:t>each</w:t>
      </w:r>
      <w:r w:rsidR="00B42144">
        <w:t xml:space="preserve"> State’s local government grants commission allocates </w:t>
      </w:r>
      <w:r w:rsidR="00DE7BE2">
        <w:t xml:space="preserve">that amount </w:t>
      </w:r>
      <w:r w:rsidR="00B42144">
        <w:t>among the State’s local governments</w:t>
      </w:r>
      <w:r w:rsidR="00F61B5D">
        <w:t xml:space="preserve">. </w:t>
      </w:r>
      <w:r w:rsidR="00B42144">
        <w:t>The allocation of grants is intended to broadly equalise the financial capacities of the local governments in the State to provide services</w:t>
      </w:r>
      <w:r w:rsidR="00F61B5D">
        <w:t xml:space="preserve">. </w:t>
      </w:r>
      <w:r w:rsidR="00B42144">
        <w:t>The State local government grants commissions also allocate the local roads grants to individual councils</w:t>
      </w:r>
      <w:r w:rsidR="00F61B5D">
        <w:t xml:space="preserve">. </w:t>
      </w:r>
    </w:p>
    <w:p w14:paraId="1D440557" w14:textId="77777777" w:rsidR="00B42144" w:rsidRDefault="00B84D73" w:rsidP="00D84A8B">
      <w:pPr>
        <w:pStyle w:val="CGCNumberedPara"/>
      </w:pPr>
      <w:r>
        <w:t xml:space="preserve">NIRC </w:t>
      </w:r>
      <w:r w:rsidR="00B42144">
        <w:t xml:space="preserve">receives the equivalent </w:t>
      </w:r>
      <w:r w:rsidR="00F14DC2">
        <w:t xml:space="preserve">of </w:t>
      </w:r>
      <w:r w:rsidR="00B42144">
        <w:t>financial assistance and local roads grants from the Commonwealth. The size of those grants for 2017-18 was based on advice from the New South Wales Local Government Grants Commission</w:t>
      </w:r>
      <w:r w:rsidR="00F61B5D">
        <w:t xml:space="preserve">. </w:t>
      </w:r>
      <w:r w:rsidR="00B42144">
        <w:t xml:space="preserve">The </w:t>
      </w:r>
      <w:r w:rsidR="00F14DC2">
        <w:t xml:space="preserve">recommended </w:t>
      </w:r>
      <w:r w:rsidR="00B42144">
        <w:t>financial assistance grant was based on the average per capita amount for Brewarrina, a small rural agricultural council in New South Wales</w:t>
      </w:r>
      <w:r w:rsidR="00682F3F">
        <w:t>,</w:t>
      </w:r>
      <w:r w:rsidR="00B42144">
        <w:t xml:space="preserve"> and the local roads grant was based on processes used to determine those grants for councils in New South Wales</w:t>
      </w:r>
      <w:r w:rsidR="00FF1FAD">
        <w:t>, which mainly depends on the population and length of roads and bridges</w:t>
      </w:r>
      <w:r w:rsidR="00B42144">
        <w:t xml:space="preserve">. For 2018-19 and subsequent years, the </w:t>
      </w:r>
      <w:r w:rsidR="00DC3E2D">
        <w:t>FAGs</w:t>
      </w:r>
      <w:r w:rsidR="00B42144">
        <w:t xml:space="preserve"> for the </w:t>
      </w:r>
      <w:r>
        <w:t xml:space="preserve">NIRC </w:t>
      </w:r>
      <w:r w:rsidR="00B42144">
        <w:t>have been supplemented with amounts based on advice in the KPMG report on remote island disadvantages.</w:t>
      </w:r>
      <w:r w:rsidR="00D84A8B">
        <w:rPr>
          <w:rStyle w:val="FootnoteReference"/>
        </w:rPr>
        <w:footnoteReference w:id="6"/>
      </w:r>
      <w:r w:rsidR="00B42144">
        <w:t xml:space="preserve"> </w:t>
      </w:r>
    </w:p>
    <w:p w14:paraId="558DA169" w14:textId="77777777" w:rsidR="00B42144" w:rsidRDefault="00B42144" w:rsidP="00D84A8B">
      <w:pPr>
        <w:pStyle w:val="CGCNumberedPara"/>
      </w:pPr>
      <w:r>
        <w:t xml:space="preserve">Local governments in the States are also eligible to apply for a range of grants provided by the Commonwealth and also receive grants from their State government. </w:t>
      </w:r>
      <w:r>
        <w:lastRenderedPageBreak/>
        <w:t>The State grants cover a wide variety of purposes including community development</w:t>
      </w:r>
      <w:r w:rsidR="00D84A8B">
        <w:t>, community amenities, roads and other infrastructure</w:t>
      </w:r>
      <w:r w:rsidR="00F61B5D">
        <w:t xml:space="preserve">. </w:t>
      </w:r>
      <w:r w:rsidR="00B30070">
        <w:t xml:space="preserve">NIRC </w:t>
      </w:r>
      <w:r>
        <w:t>is eligible to apply for similar Commonwealth grants under the same conditions as other councils but does not currently receive the equivalent of State</w:t>
      </w:r>
      <w:r w:rsidR="00D84A8B">
        <w:noBreakHyphen/>
      </w:r>
      <w:r>
        <w:t>type grants to councils</w:t>
      </w:r>
      <w:r w:rsidR="00F61B5D">
        <w:t xml:space="preserve">. </w:t>
      </w:r>
    </w:p>
    <w:p w14:paraId="35762BF0" w14:textId="77777777" w:rsidR="00B42144" w:rsidRDefault="00B42144" w:rsidP="00D84A8B">
      <w:pPr>
        <w:pStyle w:val="CGCNumberedPara"/>
      </w:pPr>
      <w:r>
        <w:t xml:space="preserve">The amounts actually received by </w:t>
      </w:r>
      <w:r w:rsidR="00B30070">
        <w:t>NIRC</w:t>
      </w:r>
      <w:r>
        <w:t xml:space="preserve"> for Commonwealth </w:t>
      </w:r>
      <w:r w:rsidR="00DC3E2D">
        <w:t xml:space="preserve">FAGs </w:t>
      </w:r>
      <w:r>
        <w:t>to local governments, local roads grants and other specific purpose grants have been included in our assessed budget for local government activities</w:t>
      </w:r>
      <w:r w:rsidR="00F61B5D">
        <w:t xml:space="preserve">. </w:t>
      </w:r>
      <w:r>
        <w:t xml:space="preserve">This was because those amounts are </w:t>
      </w:r>
      <w:r w:rsidR="00D84A8B">
        <w:t>available to all councils to supplement own source revenue</w:t>
      </w:r>
      <w:r w:rsidR="00DE7BE2">
        <w:t xml:space="preserve"> and the amounts provided to </w:t>
      </w:r>
      <w:r w:rsidR="00B30070">
        <w:t xml:space="preserve">NIRC </w:t>
      </w:r>
      <w:r w:rsidR="00DE7BE2">
        <w:t>were based on external independent advice</w:t>
      </w:r>
      <w:r w:rsidR="00F61B5D">
        <w:t xml:space="preserve">. </w:t>
      </w:r>
    </w:p>
    <w:p w14:paraId="11805428" w14:textId="77777777" w:rsidR="00F246BF" w:rsidRDefault="00B42144" w:rsidP="00D84A8B">
      <w:pPr>
        <w:pStyle w:val="CGCNumberedPara"/>
        <w:sectPr w:rsidR="00F246BF" w:rsidSect="00A11128">
          <w:pgSz w:w="11899" w:h="16838" w:code="9"/>
          <w:pgMar w:top="1701" w:right="1474" w:bottom="1701" w:left="1474" w:header="709" w:footer="709" w:gutter="0"/>
          <w:cols w:space="708"/>
          <w:titlePg/>
          <w:docGrid w:linePitch="299"/>
        </w:sectPr>
      </w:pPr>
      <w:r>
        <w:t xml:space="preserve">In the case of State </w:t>
      </w:r>
      <w:r w:rsidR="00F14DC2">
        <w:t xml:space="preserve">specific purpose </w:t>
      </w:r>
      <w:r>
        <w:t xml:space="preserve">grants to local government, we have </w:t>
      </w:r>
      <w:r w:rsidR="00D84A8B">
        <w:t>assessed a notional grant for Norfolk Island based on the average grant to New South Wales councils</w:t>
      </w:r>
      <w:r>
        <w:t xml:space="preserve">. </w:t>
      </w:r>
      <w:r w:rsidR="00D84A8B">
        <w:t xml:space="preserve">The assessed grant is currently unfunded. </w:t>
      </w:r>
      <w:r>
        <w:t>This is discussed further in Attachment</w:t>
      </w:r>
      <w:r w:rsidR="00D84A8B">
        <w:t> </w:t>
      </w:r>
      <w:r w:rsidR="000C4B88">
        <w:t>D</w:t>
      </w:r>
      <w:r>
        <w:t>.</w:t>
      </w:r>
    </w:p>
    <w:p w14:paraId="03293E54" w14:textId="77777777" w:rsidR="00F246BF" w:rsidRPr="003E7C6A" w:rsidRDefault="009E175D" w:rsidP="00696906">
      <w:pPr>
        <w:pStyle w:val="Heading2"/>
        <w:ind w:left="567" w:hanging="567"/>
      </w:pPr>
      <w:bookmarkStart w:id="343" w:name="_Toc17105396"/>
      <w:bookmarkStart w:id="344" w:name="_Toc17105448"/>
      <w:bookmarkStart w:id="345" w:name="_Toc17105604"/>
      <w:bookmarkStart w:id="346" w:name="_Toc19262923"/>
      <w:bookmarkStart w:id="347" w:name="_Toc23847468"/>
      <w:r>
        <w:lastRenderedPageBreak/>
        <w:t>3</w:t>
      </w:r>
      <w:r>
        <w:tab/>
      </w:r>
      <w:r w:rsidR="00F246BF">
        <w:t>Assessed expenses, revenues and financing requirement</w:t>
      </w:r>
      <w:bookmarkEnd w:id="343"/>
      <w:bookmarkEnd w:id="344"/>
      <w:bookmarkEnd w:id="345"/>
      <w:bookmarkEnd w:id="346"/>
      <w:bookmarkEnd w:id="347"/>
    </w:p>
    <w:p w14:paraId="6048CE0B" w14:textId="77777777" w:rsidR="00F246BF" w:rsidRDefault="00F246BF" w:rsidP="001E4105">
      <w:pPr>
        <w:pStyle w:val="CGCNumberedPara"/>
      </w:pPr>
      <w:r>
        <w:t>This chapter brings together the assessed expenses and assessed revenue for State and local government type functions</w:t>
      </w:r>
      <w:r w:rsidR="00682F3F">
        <w:t xml:space="preserve"> on Norfolk Island</w:t>
      </w:r>
      <w:r w:rsidR="003B4CC2">
        <w:t>. It</w:t>
      </w:r>
      <w:r>
        <w:t xml:space="preserve"> respond</w:t>
      </w:r>
      <w:r w:rsidR="003B4CC2">
        <w:t>s</w:t>
      </w:r>
      <w:r>
        <w:t xml:space="preserve"> to the </w:t>
      </w:r>
      <w:r w:rsidR="00D974B2">
        <w:t>T</w:t>
      </w:r>
      <w:r>
        <w:t xml:space="preserve">erms of </w:t>
      </w:r>
      <w:r w:rsidR="00D974B2">
        <w:t>R</w:t>
      </w:r>
      <w:r>
        <w:t>eference seeking information about:</w:t>
      </w:r>
    </w:p>
    <w:p w14:paraId="6415584F" w14:textId="77777777" w:rsidR="00F246BF" w:rsidRDefault="00F246BF" w:rsidP="00F246BF">
      <w:pPr>
        <w:pStyle w:val="CGCBulletlist"/>
        <w:tabs>
          <w:tab w:val="clear" w:pos="927"/>
        </w:tabs>
        <w:ind w:left="1134" w:hanging="567"/>
      </w:pPr>
      <w:r>
        <w:t xml:space="preserve">the annual expenditure, including infrastructure costs, required to provide State-type government services, local government services and support for legacy State-type government business enterprises, with reference to the services available in comparable communities </w:t>
      </w:r>
    </w:p>
    <w:p w14:paraId="21E9B727" w14:textId="77777777" w:rsidR="00F246BF" w:rsidRDefault="00F246BF" w:rsidP="00F246BF">
      <w:pPr>
        <w:pStyle w:val="CGCBulletlist"/>
        <w:tabs>
          <w:tab w:val="clear" w:pos="927"/>
        </w:tabs>
        <w:ind w:left="1134" w:hanging="567"/>
      </w:pPr>
      <w:r>
        <w:t>the capacity of Norfolk Island to raise revenue from a comparable range of taxes and charges levied by State and local governments, assuming Norfolk Island makes the average Australian revenue raising effort.</w:t>
      </w:r>
    </w:p>
    <w:p w14:paraId="1E240E97" w14:textId="77777777" w:rsidR="00F246BF" w:rsidRDefault="00F246BF" w:rsidP="00F246BF">
      <w:pPr>
        <w:pStyle w:val="CGCNumberedPara"/>
        <w:numPr>
          <w:ilvl w:val="1"/>
          <w:numId w:val="3"/>
        </w:numPr>
        <w:tabs>
          <w:tab w:val="clear" w:pos="567"/>
        </w:tabs>
      </w:pPr>
      <w:r>
        <w:t>This chapter draws on the approach</w:t>
      </w:r>
      <w:r w:rsidR="00477324">
        <w:t>es</w:t>
      </w:r>
      <w:r>
        <w:t xml:space="preserve"> and results contained in:</w:t>
      </w:r>
    </w:p>
    <w:p w14:paraId="68506BE7" w14:textId="77777777" w:rsidR="00F246BF" w:rsidRDefault="00F246BF" w:rsidP="00F246BF">
      <w:pPr>
        <w:pStyle w:val="CGCBulletlist"/>
        <w:tabs>
          <w:tab w:val="clear" w:pos="927"/>
        </w:tabs>
        <w:ind w:left="1134" w:hanging="567"/>
      </w:pPr>
      <w:r>
        <w:t>Attachment B: Actual revenue and expenses</w:t>
      </w:r>
    </w:p>
    <w:p w14:paraId="70486DD5" w14:textId="77777777" w:rsidR="00F246BF" w:rsidRDefault="00F246BF" w:rsidP="00F246BF">
      <w:pPr>
        <w:pStyle w:val="CGCBulletlist"/>
        <w:tabs>
          <w:tab w:val="clear" w:pos="927"/>
        </w:tabs>
        <w:ind w:left="1134" w:hanging="567"/>
      </w:pPr>
      <w:r>
        <w:t>Attachment C: State taxes and charges</w:t>
      </w:r>
    </w:p>
    <w:p w14:paraId="25AA7A51" w14:textId="77777777" w:rsidR="00F246BF" w:rsidRDefault="00F246BF" w:rsidP="00F246BF">
      <w:pPr>
        <w:pStyle w:val="CGCBulletlist"/>
        <w:tabs>
          <w:tab w:val="clear" w:pos="927"/>
        </w:tabs>
        <w:ind w:left="1134" w:hanging="567"/>
      </w:pPr>
      <w:r>
        <w:t>Attachment D: Local Government taxes and charges</w:t>
      </w:r>
    </w:p>
    <w:p w14:paraId="18234BAC" w14:textId="77777777" w:rsidR="00F246BF" w:rsidRDefault="00F246BF" w:rsidP="00F246BF">
      <w:pPr>
        <w:pStyle w:val="CGCBulletlist"/>
        <w:tabs>
          <w:tab w:val="clear" w:pos="927"/>
        </w:tabs>
        <w:ind w:left="1134" w:hanging="567"/>
      </w:pPr>
      <w:r>
        <w:t xml:space="preserve">Attachment E: </w:t>
      </w:r>
      <w:r w:rsidR="00DB01BA">
        <w:t xml:space="preserve">State services </w:t>
      </w:r>
    </w:p>
    <w:p w14:paraId="1D1ABB96" w14:textId="77777777" w:rsidR="00F246BF" w:rsidRDefault="00F246BF" w:rsidP="00F246BF">
      <w:pPr>
        <w:pStyle w:val="CGCBulletlist"/>
        <w:tabs>
          <w:tab w:val="clear" w:pos="927"/>
        </w:tabs>
        <w:ind w:left="1134" w:hanging="567"/>
      </w:pPr>
      <w:r>
        <w:t>Attachment F:</w:t>
      </w:r>
      <w:r w:rsidR="00DB01BA" w:rsidRPr="00DB01BA">
        <w:t xml:space="preserve"> </w:t>
      </w:r>
      <w:r w:rsidR="00DB01BA">
        <w:t>Local Government services</w:t>
      </w:r>
    </w:p>
    <w:p w14:paraId="259B2284" w14:textId="77777777" w:rsidR="00F246BF" w:rsidRDefault="00F246BF" w:rsidP="00F246BF">
      <w:pPr>
        <w:pStyle w:val="CGCNumberedPara"/>
        <w:numPr>
          <w:ilvl w:val="1"/>
          <w:numId w:val="3"/>
        </w:numPr>
        <w:tabs>
          <w:tab w:val="clear" w:pos="567"/>
        </w:tabs>
      </w:pPr>
      <w:r>
        <w:t xml:space="preserve">As with State inquiries and the earlier Norfolk Island inquiries, the results in no way imply how Norfolk Island should be raising revenues or delivering services. </w:t>
      </w:r>
      <w:r w:rsidR="00682F3F">
        <w:t>Rather, assessed expenses show how much it would cost to deliver services on the Island of a comparative nature to those enjoyed by comparable communities in the States. Likewise, assessed revenue shows how much revenue would be raised if State and local government revenue raising policies were applied on Norfolk Island.</w:t>
      </w:r>
    </w:p>
    <w:p w14:paraId="4B87DE32" w14:textId="77777777" w:rsidR="00F246BF" w:rsidRDefault="00F246BF" w:rsidP="00AA5B1E">
      <w:pPr>
        <w:pStyle w:val="Heading3"/>
      </w:pPr>
      <w:bookmarkStart w:id="348" w:name="_Toc17105397"/>
      <w:bookmarkStart w:id="349" w:name="_Toc17105449"/>
      <w:bookmarkStart w:id="350" w:name="_Toc17105605"/>
      <w:bookmarkStart w:id="351" w:name="_Toc17380472"/>
      <w:bookmarkStart w:id="352" w:name="_Toc19262924"/>
      <w:bookmarkStart w:id="353" w:name="_Toc23847469"/>
      <w:r>
        <w:t>Assessed State-type revenue</w:t>
      </w:r>
      <w:bookmarkEnd w:id="348"/>
      <w:bookmarkEnd w:id="349"/>
      <w:bookmarkEnd w:id="350"/>
      <w:bookmarkEnd w:id="351"/>
      <w:bookmarkEnd w:id="352"/>
      <w:bookmarkEnd w:id="353"/>
    </w:p>
    <w:p w14:paraId="3663FF81" w14:textId="77777777" w:rsidR="00F246BF" w:rsidRPr="003A17A9" w:rsidRDefault="00F246BF" w:rsidP="00F246BF">
      <w:pPr>
        <w:pStyle w:val="CGCNumberedPara"/>
        <w:numPr>
          <w:ilvl w:val="1"/>
          <w:numId w:val="3"/>
        </w:numPr>
        <w:tabs>
          <w:tab w:val="clear" w:pos="567"/>
        </w:tabs>
      </w:pPr>
      <w:r w:rsidRPr="00A638C6">
        <w:t xml:space="preserve">The major State revenues are derived from payroll tax, land tax, </w:t>
      </w:r>
      <w:r>
        <w:t xml:space="preserve">stamp duty on conveyances, </w:t>
      </w:r>
      <w:r w:rsidRPr="00A638C6">
        <w:t xml:space="preserve">insurance tax, motor </w:t>
      </w:r>
      <w:r>
        <w:t xml:space="preserve">tax, </w:t>
      </w:r>
      <w:r w:rsidRPr="00A638C6">
        <w:t>mining royalties</w:t>
      </w:r>
      <w:r>
        <w:t>, gambling tax and other revenue</w:t>
      </w:r>
      <w:r w:rsidRPr="00A638C6">
        <w:t xml:space="preserve">. </w:t>
      </w:r>
      <w:r w:rsidR="00477324">
        <w:t>We</w:t>
      </w:r>
      <w:r>
        <w:t xml:space="preserve"> estimated </w:t>
      </w:r>
      <w:r w:rsidRPr="003A17A9">
        <w:t xml:space="preserve">the capacity of Norfolk Island to </w:t>
      </w:r>
      <w:r>
        <w:t>raise revenue from</w:t>
      </w:r>
      <w:r w:rsidRPr="003A17A9">
        <w:t xml:space="preserve"> </w:t>
      </w:r>
      <w:r>
        <w:t xml:space="preserve">each of these </w:t>
      </w:r>
      <w:r w:rsidR="00477324">
        <w:t>State</w:t>
      </w:r>
      <w:r w:rsidRPr="003A17A9">
        <w:t xml:space="preserve">-type taxes </w:t>
      </w:r>
      <w:r>
        <w:t xml:space="preserve">and charges </w:t>
      </w:r>
      <w:r w:rsidRPr="003A17A9">
        <w:t xml:space="preserve">using a </w:t>
      </w:r>
      <w:r w:rsidR="00477324" w:rsidRPr="003A17A9">
        <w:t>tax-by-tax</w:t>
      </w:r>
      <w:r w:rsidRPr="003A17A9">
        <w:t xml:space="preserve"> approach.</w:t>
      </w:r>
      <w:r>
        <w:t xml:space="preserve"> Details of the calculations are in Attachment C. </w:t>
      </w:r>
    </w:p>
    <w:p w14:paraId="354DBB73" w14:textId="66A17C8B" w:rsidR="00F246BF" w:rsidRDefault="00BF3913" w:rsidP="00F246BF">
      <w:pPr>
        <w:pStyle w:val="CGCNumberedPara"/>
        <w:numPr>
          <w:ilvl w:val="1"/>
          <w:numId w:val="3"/>
        </w:numPr>
        <w:tabs>
          <w:tab w:val="left" w:pos="567"/>
          <w:tab w:val="num" w:pos="1134"/>
        </w:tabs>
      </w:pPr>
      <w:r>
        <w:fldChar w:fldCharType="begin"/>
      </w:r>
      <w:r>
        <w:instrText xml:space="preserve"> REF _Ref16936464 \h </w:instrText>
      </w:r>
      <w:r>
        <w:fldChar w:fldCharType="separate"/>
      </w:r>
      <w:r w:rsidR="00DE7AA1">
        <w:t xml:space="preserve">Table </w:t>
      </w:r>
      <w:r w:rsidR="00DE7AA1">
        <w:rPr>
          <w:noProof/>
        </w:rPr>
        <w:t>5</w:t>
      </w:r>
      <w:r>
        <w:fldChar w:fldCharType="end"/>
      </w:r>
      <w:r w:rsidR="00F246BF">
        <w:t xml:space="preserve"> summar</w:t>
      </w:r>
      <w:r w:rsidR="003B4CC2">
        <w:t>ises</w:t>
      </w:r>
      <w:r w:rsidR="00F246BF">
        <w:t xml:space="preserve"> our estimates of the State-type revenues that could have been raised on Norfolk Island in 2017-18 if the average revenue raising policies of the States had been applied</w:t>
      </w:r>
      <w:r w:rsidR="00477324">
        <w:t>. It shows</w:t>
      </w:r>
      <w:r w:rsidR="00731E4D">
        <w:t xml:space="preserve"> assessed revenues of $3.2 million</w:t>
      </w:r>
      <w:r w:rsidR="00F246BF">
        <w:t xml:space="preserve"> or </w:t>
      </w:r>
      <w:r w:rsidR="00F246BF">
        <w:lastRenderedPageBreak/>
        <w:t>$1 824 per</w:t>
      </w:r>
      <w:r w:rsidR="00731E4D">
        <w:t> </w:t>
      </w:r>
      <w:r w:rsidR="00F246BF">
        <w:t>capita in 2017-18</w:t>
      </w:r>
      <w:r w:rsidR="006E6F44">
        <w:t>, which compares with the actual collections of $2</w:t>
      </w:r>
      <w:r w:rsidR="002B03DA">
        <w:t>.3 million or $1 </w:t>
      </w:r>
      <w:r w:rsidR="006E6F44">
        <w:t xml:space="preserve">335 per capita. All the actual State-type revenues collected on Norfolk Island were collected </w:t>
      </w:r>
      <w:r w:rsidR="00B30070">
        <w:t>by NIRC</w:t>
      </w:r>
      <w:r w:rsidR="00C34038">
        <w:t xml:space="preserve"> and revenue was applied to offset expenses</w:t>
      </w:r>
      <w:r w:rsidR="006E6F44">
        <w:t>, as part of the serv</w:t>
      </w:r>
      <w:r w:rsidR="00480118">
        <w:t xml:space="preserve">ice delivery agreements with </w:t>
      </w:r>
      <w:r w:rsidR="008F4885">
        <w:t>the Department</w:t>
      </w:r>
      <w:r w:rsidR="00F246BF">
        <w:t xml:space="preserve">. </w:t>
      </w:r>
    </w:p>
    <w:p w14:paraId="021CFE7A" w14:textId="149E1FD2" w:rsidR="00F246BF" w:rsidRPr="004A3628" w:rsidRDefault="00696906" w:rsidP="00BF3913">
      <w:pPr>
        <w:pStyle w:val="Caption"/>
      </w:pPr>
      <w:bookmarkStart w:id="354" w:name="_Ref16936464"/>
      <w:r>
        <w:t xml:space="preserve">Table </w:t>
      </w:r>
      <w:r w:rsidR="00150A14">
        <w:fldChar w:fldCharType="begin"/>
      </w:r>
      <w:r w:rsidR="00150A14">
        <w:instrText xml:space="preserve"> SEQ Table \* ARABIC </w:instrText>
      </w:r>
      <w:r w:rsidR="00150A14">
        <w:fldChar w:fldCharType="separate"/>
      </w:r>
      <w:r w:rsidR="00DE7AA1">
        <w:rPr>
          <w:noProof/>
        </w:rPr>
        <w:t>5</w:t>
      </w:r>
      <w:r w:rsidR="00150A14">
        <w:rPr>
          <w:noProof/>
        </w:rPr>
        <w:fldChar w:fldCharType="end"/>
      </w:r>
      <w:bookmarkEnd w:id="354"/>
      <w:r w:rsidR="00F246BF" w:rsidRPr="004A3628">
        <w:tab/>
        <w:t>State-type revenue, 2017-18 – summary</w:t>
      </w:r>
    </w:p>
    <w:tbl>
      <w:tblPr>
        <w:tblW w:w="8960" w:type="dxa"/>
        <w:tblLook w:val="04A0" w:firstRow="1" w:lastRow="0" w:firstColumn="1" w:lastColumn="0" w:noHBand="0" w:noVBand="1"/>
      </w:tblPr>
      <w:tblGrid>
        <w:gridCol w:w="2860"/>
        <w:gridCol w:w="1220"/>
        <w:gridCol w:w="1220"/>
        <w:gridCol w:w="1220"/>
        <w:gridCol w:w="1220"/>
        <w:gridCol w:w="1220"/>
      </w:tblGrid>
      <w:tr w:rsidR="00154784" w:rsidRPr="00154784" w14:paraId="1D8E21BB" w14:textId="77777777" w:rsidTr="00154784">
        <w:trPr>
          <w:trHeight w:val="315"/>
        </w:trPr>
        <w:tc>
          <w:tcPr>
            <w:tcW w:w="2860" w:type="dxa"/>
            <w:vMerge w:val="restart"/>
            <w:tcBorders>
              <w:top w:val="single" w:sz="4" w:space="0" w:color="auto"/>
              <w:left w:val="nil"/>
              <w:bottom w:val="single" w:sz="4" w:space="0" w:color="000000"/>
              <w:right w:val="nil"/>
            </w:tcBorders>
            <w:shd w:val="clear" w:color="auto" w:fill="auto"/>
            <w:vAlign w:val="center"/>
            <w:hideMark/>
          </w:tcPr>
          <w:p w14:paraId="2D5B3DAD"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w:t>
            </w:r>
          </w:p>
        </w:tc>
        <w:tc>
          <w:tcPr>
            <w:tcW w:w="1220" w:type="dxa"/>
            <w:vMerge w:val="restart"/>
            <w:tcBorders>
              <w:top w:val="single" w:sz="4" w:space="0" w:color="auto"/>
              <w:left w:val="nil"/>
              <w:bottom w:val="single" w:sz="4" w:space="0" w:color="000000"/>
              <w:right w:val="nil"/>
            </w:tcBorders>
            <w:shd w:val="clear" w:color="auto" w:fill="auto"/>
            <w:noWrap/>
            <w:vAlign w:val="center"/>
            <w:hideMark/>
          </w:tcPr>
          <w:p w14:paraId="2059E7E6"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State average</w:t>
            </w:r>
          </w:p>
        </w:tc>
        <w:tc>
          <w:tcPr>
            <w:tcW w:w="4880" w:type="dxa"/>
            <w:gridSpan w:val="4"/>
            <w:tcBorders>
              <w:top w:val="single" w:sz="4" w:space="0" w:color="auto"/>
              <w:left w:val="nil"/>
              <w:bottom w:val="single" w:sz="4" w:space="0" w:color="auto"/>
              <w:right w:val="nil"/>
            </w:tcBorders>
            <w:shd w:val="clear" w:color="auto" w:fill="auto"/>
            <w:noWrap/>
            <w:vAlign w:val="center"/>
            <w:hideMark/>
          </w:tcPr>
          <w:p w14:paraId="34222910"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Norfolk Island</w:t>
            </w:r>
          </w:p>
        </w:tc>
      </w:tr>
      <w:tr w:rsidR="00154784" w:rsidRPr="00154784" w14:paraId="42592A31" w14:textId="77777777" w:rsidTr="00154784">
        <w:trPr>
          <w:trHeight w:val="555"/>
        </w:trPr>
        <w:tc>
          <w:tcPr>
            <w:tcW w:w="2860" w:type="dxa"/>
            <w:vMerge/>
            <w:tcBorders>
              <w:top w:val="single" w:sz="4" w:space="0" w:color="auto"/>
              <w:left w:val="nil"/>
              <w:bottom w:val="single" w:sz="4" w:space="0" w:color="000000"/>
              <w:right w:val="nil"/>
            </w:tcBorders>
            <w:vAlign w:val="center"/>
            <w:hideMark/>
          </w:tcPr>
          <w:p w14:paraId="70B0D162"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p>
        </w:tc>
        <w:tc>
          <w:tcPr>
            <w:tcW w:w="1220" w:type="dxa"/>
            <w:vMerge/>
            <w:tcBorders>
              <w:top w:val="single" w:sz="4" w:space="0" w:color="auto"/>
              <w:left w:val="nil"/>
              <w:bottom w:val="single" w:sz="4" w:space="0" w:color="000000"/>
              <w:right w:val="nil"/>
            </w:tcBorders>
            <w:vAlign w:val="center"/>
            <w:hideMark/>
          </w:tcPr>
          <w:p w14:paraId="4A5D7D42"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9B331A"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Assessed</w:t>
            </w:r>
          </w:p>
        </w:tc>
        <w:tc>
          <w:tcPr>
            <w:tcW w:w="2440" w:type="dxa"/>
            <w:gridSpan w:val="2"/>
            <w:tcBorders>
              <w:top w:val="single" w:sz="4" w:space="0" w:color="auto"/>
              <w:left w:val="nil"/>
              <w:bottom w:val="single" w:sz="4" w:space="0" w:color="auto"/>
              <w:right w:val="nil"/>
            </w:tcBorders>
            <w:shd w:val="clear" w:color="auto" w:fill="auto"/>
            <w:noWrap/>
            <w:vAlign w:val="center"/>
            <w:hideMark/>
          </w:tcPr>
          <w:p w14:paraId="00045C64"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Actual</w:t>
            </w:r>
          </w:p>
        </w:tc>
      </w:tr>
      <w:tr w:rsidR="00154784" w:rsidRPr="00154784" w14:paraId="5AC0A0EA" w14:textId="77777777" w:rsidTr="00154784">
        <w:trPr>
          <w:trHeight w:val="259"/>
        </w:trPr>
        <w:tc>
          <w:tcPr>
            <w:tcW w:w="2860" w:type="dxa"/>
            <w:tcBorders>
              <w:top w:val="nil"/>
              <w:left w:val="nil"/>
              <w:bottom w:val="nil"/>
              <w:right w:val="nil"/>
            </w:tcBorders>
            <w:shd w:val="clear" w:color="auto" w:fill="auto"/>
            <w:vAlign w:val="center"/>
            <w:hideMark/>
          </w:tcPr>
          <w:p w14:paraId="71B466AD"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p>
        </w:tc>
        <w:tc>
          <w:tcPr>
            <w:tcW w:w="1220" w:type="dxa"/>
            <w:tcBorders>
              <w:top w:val="nil"/>
              <w:left w:val="nil"/>
              <w:bottom w:val="nil"/>
              <w:right w:val="single" w:sz="4" w:space="0" w:color="auto"/>
            </w:tcBorders>
            <w:shd w:val="clear" w:color="auto" w:fill="auto"/>
            <w:vAlign w:val="center"/>
            <w:hideMark/>
          </w:tcPr>
          <w:p w14:paraId="30D3F07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$pc</w:t>
            </w:r>
          </w:p>
        </w:tc>
        <w:tc>
          <w:tcPr>
            <w:tcW w:w="1220" w:type="dxa"/>
            <w:tcBorders>
              <w:top w:val="nil"/>
              <w:left w:val="nil"/>
              <w:bottom w:val="nil"/>
              <w:right w:val="nil"/>
            </w:tcBorders>
            <w:shd w:val="clear" w:color="auto" w:fill="auto"/>
            <w:vAlign w:val="center"/>
            <w:hideMark/>
          </w:tcPr>
          <w:p w14:paraId="4DBDA5C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$pc</w:t>
            </w:r>
          </w:p>
        </w:tc>
        <w:tc>
          <w:tcPr>
            <w:tcW w:w="1220" w:type="dxa"/>
            <w:tcBorders>
              <w:top w:val="nil"/>
              <w:left w:val="nil"/>
              <w:bottom w:val="nil"/>
              <w:right w:val="single" w:sz="4" w:space="0" w:color="auto"/>
            </w:tcBorders>
            <w:shd w:val="clear" w:color="auto" w:fill="auto"/>
            <w:vAlign w:val="center"/>
            <w:hideMark/>
          </w:tcPr>
          <w:p w14:paraId="7F8DB03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w:t>
            </w:r>
          </w:p>
        </w:tc>
        <w:tc>
          <w:tcPr>
            <w:tcW w:w="1220" w:type="dxa"/>
            <w:tcBorders>
              <w:top w:val="nil"/>
              <w:left w:val="nil"/>
              <w:bottom w:val="nil"/>
              <w:right w:val="nil"/>
            </w:tcBorders>
            <w:shd w:val="clear" w:color="auto" w:fill="auto"/>
            <w:vAlign w:val="center"/>
            <w:hideMark/>
          </w:tcPr>
          <w:p w14:paraId="79AEF20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$pc</w:t>
            </w:r>
          </w:p>
        </w:tc>
        <w:tc>
          <w:tcPr>
            <w:tcW w:w="1220" w:type="dxa"/>
            <w:tcBorders>
              <w:top w:val="nil"/>
              <w:left w:val="nil"/>
              <w:bottom w:val="nil"/>
              <w:right w:val="nil"/>
            </w:tcBorders>
            <w:shd w:val="clear" w:color="auto" w:fill="auto"/>
            <w:vAlign w:val="center"/>
            <w:hideMark/>
          </w:tcPr>
          <w:p w14:paraId="478880C3"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w:t>
            </w:r>
          </w:p>
        </w:tc>
      </w:tr>
      <w:tr w:rsidR="00154784" w:rsidRPr="00154784" w14:paraId="2A3ADF7A" w14:textId="77777777" w:rsidTr="00154784">
        <w:trPr>
          <w:trHeight w:val="315"/>
        </w:trPr>
        <w:tc>
          <w:tcPr>
            <w:tcW w:w="2860" w:type="dxa"/>
            <w:tcBorders>
              <w:top w:val="nil"/>
              <w:left w:val="nil"/>
              <w:bottom w:val="nil"/>
              <w:right w:val="nil"/>
            </w:tcBorders>
            <w:shd w:val="clear" w:color="auto" w:fill="auto"/>
            <w:vAlign w:val="center"/>
            <w:hideMark/>
          </w:tcPr>
          <w:p w14:paraId="2AEA1650"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Payroll tax</w:t>
            </w:r>
          </w:p>
        </w:tc>
        <w:tc>
          <w:tcPr>
            <w:tcW w:w="1220" w:type="dxa"/>
            <w:tcBorders>
              <w:top w:val="nil"/>
              <w:left w:val="nil"/>
              <w:bottom w:val="nil"/>
              <w:right w:val="single" w:sz="4" w:space="0" w:color="auto"/>
            </w:tcBorders>
            <w:shd w:val="clear" w:color="auto" w:fill="auto"/>
            <w:vAlign w:val="center"/>
            <w:hideMark/>
          </w:tcPr>
          <w:p w14:paraId="7166C4B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979</w:t>
            </w:r>
          </w:p>
        </w:tc>
        <w:tc>
          <w:tcPr>
            <w:tcW w:w="1220" w:type="dxa"/>
            <w:tcBorders>
              <w:top w:val="nil"/>
              <w:left w:val="nil"/>
              <w:bottom w:val="nil"/>
              <w:right w:val="nil"/>
            </w:tcBorders>
            <w:shd w:val="clear" w:color="auto" w:fill="auto"/>
            <w:vAlign w:val="center"/>
            <w:hideMark/>
          </w:tcPr>
          <w:p w14:paraId="0E958F8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17</w:t>
            </w:r>
          </w:p>
        </w:tc>
        <w:tc>
          <w:tcPr>
            <w:tcW w:w="1220" w:type="dxa"/>
            <w:tcBorders>
              <w:top w:val="nil"/>
              <w:left w:val="nil"/>
              <w:bottom w:val="nil"/>
              <w:right w:val="single" w:sz="4" w:space="0" w:color="auto"/>
            </w:tcBorders>
            <w:shd w:val="clear" w:color="auto" w:fill="auto"/>
            <w:vAlign w:val="center"/>
            <w:hideMark/>
          </w:tcPr>
          <w:p w14:paraId="1AAFE904"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29 230</w:t>
            </w:r>
          </w:p>
        </w:tc>
        <w:tc>
          <w:tcPr>
            <w:tcW w:w="1220" w:type="dxa"/>
            <w:tcBorders>
              <w:top w:val="nil"/>
              <w:left w:val="nil"/>
              <w:bottom w:val="nil"/>
              <w:right w:val="nil"/>
            </w:tcBorders>
            <w:shd w:val="clear" w:color="auto" w:fill="auto"/>
            <w:vAlign w:val="center"/>
            <w:hideMark/>
          </w:tcPr>
          <w:p w14:paraId="698AF00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vAlign w:val="center"/>
            <w:hideMark/>
          </w:tcPr>
          <w:p w14:paraId="12282C5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0BDECE01" w14:textId="77777777" w:rsidTr="00154784">
        <w:trPr>
          <w:trHeight w:val="315"/>
        </w:trPr>
        <w:tc>
          <w:tcPr>
            <w:tcW w:w="2860" w:type="dxa"/>
            <w:tcBorders>
              <w:top w:val="nil"/>
              <w:left w:val="nil"/>
              <w:bottom w:val="nil"/>
              <w:right w:val="nil"/>
            </w:tcBorders>
            <w:shd w:val="clear" w:color="auto" w:fill="auto"/>
            <w:vAlign w:val="center"/>
            <w:hideMark/>
          </w:tcPr>
          <w:p w14:paraId="2F9C102E"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Land tax</w:t>
            </w:r>
          </w:p>
        </w:tc>
        <w:tc>
          <w:tcPr>
            <w:tcW w:w="1220" w:type="dxa"/>
            <w:tcBorders>
              <w:top w:val="nil"/>
              <w:left w:val="nil"/>
              <w:bottom w:val="nil"/>
              <w:right w:val="single" w:sz="4" w:space="0" w:color="auto"/>
            </w:tcBorders>
            <w:shd w:val="clear" w:color="auto" w:fill="auto"/>
            <w:vAlign w:val="center"/>
            <w:hideMark/>
          </w:tcPr>
          <w:p w14:paraId="11258BC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363</w:t>
            </w:r>
          </w:p>
        </w:tc>
        <w:tc>
          <w:tcPr>
            <w:tcW w:w="1220" w:type="dxa"/>
            <w:tcBorders>
              <w:top w:val="nil"/>
              <w:left w:val="nil"/>
              <w:bottom w:val="nil"/>
              <w:right w:val="nil"/>
            </w:tcBorders>
            <w:shd w:val="clear" w:color="auto" w:fill="auto"/>
            <w:vAlign w:val="center"/>
            <w:hideMark/>
          </w:tcPr>
          <w:p w14:paraId="68702DA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33</w:t>
            </w:r>
          </w:p>
        </w:tc>
        <w:tc>
          <w:tcPr>
            <w:tcW w:w="1220" w:type="dxa"/>
            <w:tcBorders>
              <w:top w:val="nil"/>
              <w:left w:val="nil"/>
              <w:bottom w:val="nil"/>
              <w:right w:val="single" w:sz="4" w:space="0" w:color="auto"/>
            </w:tcBorders>
            <w:shd w:val="clear" w:color="auto" w:fill="auto"/>
            <w:vAlign w:val="center"/>
            <w:hideMark/>
          </w:tcPr>
          <w:p w14:paraId="329544A1"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57 796</w:t>
            </w:r>
          </w:p>
        </w:tc>
        <w:tc>
          <w:tcPr>
            <w:tcW w:w="1220" w:type="dxa"/>
            <w:tcBorders>
              <w:top w:val="nil"/>
              <w:left w:val="nil"/>
              <w:bottom w:val="nil"/>
              <w:right w:val="nil"/>
            </w:tcBorders>
            <w:shd w:val="clear" w:color="auto" w:fill="auto"/>
            <w:vAlign w:val="center"/>
            <w:hideMark/>
          </w:tcPr>
          <w:p w14:paraId="237694D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vAlign w:val="center"/>
            <w:hideMark/>
          </w:tcPr>
          <w:p w14:paraId="17394A2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4DE4996C" w14:textId="77777777" w:rsidTr="00154784">
        <w:trPr>
          <w:trHeight w:val="315"/>
        </w:trPr>
        <w:tc>
          <w:tcPr>
            <w:tcW w:w="2860" w:type="dxa"/>
            <w:tcBorders>
              <w:top w:val="nil"/>
              <w:left w:val="nil"/>
              <w:bottom w:val="nil"/>
              <w:right w:val="nil"/>
            </w:tcBorders>
            <w:shd w:val="clear" w:color="auto" w:fill="auto"/>
            <w:vAlign w:val="center"/>
            <w:hideMark/>
          </w:tcPr>
          <w:p w14:paraId="7D91BE4C"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Stamp duty on conveyances</w:t>
            </w:r>
          </w:p>
        </w:tc>
        <w:tc>
          <w:tcPr>
            <w:tcW w:w="1220" w:type="dxa"/>
            <w:tcBorders>
              <w:top w:val="nil"/>
              <w:left w:val="nil"/>
              <w:bottom w:val="nil"/>
              <w:right w:val="single" w:sz="4" w:space="0" w:color="auto"/>
            </w:tcBorders>
            <w:shd w:val="clear" w:color="auto" w:fill="auto"/>
            <w:vAlign w:val="center"/>
            <w:hideMark/>
          </w:tcPr>
          <w:p w14:paraId="5B3E63D1"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825</w:t>
            </w:r>
          </w:p>
        </w:tc>
        <w:tc>
          <w:tcPr>
            <w:tcW w:w="1220" w:type="dxa"/>
            <w:tcBorders>
              <w:top w:val="nil"/>
              <w:left w:val="nil"/>
              <w:bottom w:val="nil"/>
              <w:right w:val="nil"/>
            </w:tcBorders>
            <w:shd w:val="clear" w:color="auto" w:fill="auto"/>
            <w:vAlign w:val="center"/>
            <w:hideMark/>
          </w:tcPr>
          <w:p w14:paraId="03882CA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515</w:t>
            </w:r>
          </w:p>
        </w:tc>
        <w:tc>
          <w:tcPr>
            <w:tcW w:w="1220" w:type="dxa"/>
            <w:tcBorders>
              <w:top w:val="nil"/>
              <w:left w:val="nil"/>
              <w:bottom w:val="nil"/>
              <w:right w:val="single" w:sz="4" w:space="0" w:color="auto"/>
            </w:tcBorders>
            <w:shd w:val="clear" w:color="auto" w:fill="auto"/>
            <w:vAlign w:val="center"/>
            <w:hideMark/>
          </w:tcPr>
          <w:p w14:paraId="1A25F9C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903 809</w:t>
            </w:r>
          </w:p>
        </w:tc>
        <w:tc>
          <w:tcPr>
            <w:tcW w:w="1220" w:type="dxa"/>
            <w:tcBorders>
              <w:top w:val="nil"/>
              <w:left w:val="nil"/>
              <w:bottom w:val="nil"/>
              <w:right w:val="nil"/>
            </w:tcBorders>
            <w:shd w:val="clear" w:color="auto" w:fill="auto"/>
            <w:vAlign w:val="center"/>
            <w:hideMark/>
          </w:tcPr>
          <w:p w14:paraId="3DED265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495</w:t>
            </w:r>
          </w:p>
        </w:tc>
        <w:tc>
          <w:tcPr>
            <w:tcW w:w="1220" w:type="dxa"/>
            <w:tcBorders>
              <w:top w:val="nil"/>
              <w:left w:val="nil"/>
              <w:bottom w:val="nil"/>
              <w:right w:val="nil"/>
            </w:tcBorders>
            <w:shd w:val="clear" w:color="auto" w:fill="auto"/>
            <w:vAlign w:val="center"/>
            <w:hideMark/>
          </w:tcPr>
          <w:p w14:paraId="4DE46431"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868 640</w:t>
            </w:r>
          </w:p>
        </w:tc>
      </w:tr>
      <w:tr w:rsidR="00154784" w:rsidRPr="00154784" w14:paraId="411713A2" w14:textId="77777777" w:rsidTr="00154784">
        <w:trPr>
          <w:trHeight w:val="315"/>
        </w:trPr>
        <w:tc>
          <w:tcPr>
            <w:tcW w:w="2860" w:type="dxa"/>
            <w:tcBorders>
              <w:top w:val="nil"/>
              <w:left w:val="nil"/>
              <w:bottom w:val="nil"/>
              <w:right w:val="nil"/>
            </w:tcBorders>
            <w:shd w:val="clear" w:color="auto" w:fill="auto"/>
            <w:vAlign w:val="center"/>
            <w:hideMark/>
          </w:tcPr>
          <w:p w14:paraId="55DE941B"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Insurance tax</w:t>
            </w:r>
          </w:p>
        </w:tc>
        <w:tc>
          <w:tcPr>
            <w:tcW w:w="1220" w:type="dxa"/>
            <w:tcBorders>
              <w:top w:val="nil"/>
              <w:left w:val="nil"/>
              <w:bottom w:val="nil"/>
              <w:right w:val="single" w:sz="4" w:space="0" w:color="auto"/>
            </w:tcBorders>
            <w:shd w:val="clear" w:color="auto" w:fill="auto"/>
            <w:vAlign w:val="center"/>
            <w:hideMark/>
          </w:tcPr>
          <w:p w14:paraId="56E4C1C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214</w:t>
            </w:r>
          </w:p>
        </w:tc>
        <w:tc>
          <w:tcPr>
            <w:tcW w:w="1220" w:type="dxa"/>
            <w:tcBorders>
              <w:top w:val="nil"/>
              <w:left w:val="nil"/>
              <w:bottom w:val="nil"/>
              <w:right w:val="nil"/>
            </w:tcBorders>
            <w:shd w:val="clear" w:color="auto" w:fill="auto"/>
            <w:vAlign w:val="center"/>
            <w:hideMark/>
          </w:tcPr>
          <w:p w14:paraId="20EAAD5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184</w:t>
            </w:r>
          </w:p>
        </w:tc>
        <w:tc>
          <w:tcPr>
            <w:tcW w:w="1220" w:type="dxa"/>
            <w:tcBorders>
              <w:top w:val="nil"/>
              <w:left w:val="nil"/>
              <w:bottom w:val="nil"/>
              <w:right w:val="single" w:sz="4" w:space="0" w:color="auto"/>
            </w:tcBorders>
            <w:shd w:val="clear" w:color="auto" w:fill="auto"/>
            <w:vAlign w:val="center"/>
            <w:hideMark/>
          </w:tcPr>
          <w:p w14:paraId="66087F0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322 793</w:t>
            </w:r>
          </w:p>
        </w:tc>
        <w:tc>
          <w:tcPr>
            <w:tcW w:w="1220" w:type="dxa"/>
            <w:tcBorders>
              <w:top w:val="nil"/>
              <w:left w:val="nil"/>
              <w:bottom w:val="nil"/>
              <w:right w:val="nil"/>
            </w:tcBorders>
            <w:shd w:val="clear" w:color="auto" w:fill="auto"/>
            <w:vAlign w:val="center"/>
            <w:hideMark/>
          </w:tcPr>
          <w:p w14:paraId="6EFD1D21"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vAlign w:val="center"/>
            <w:hideMark/>
          </w:tcPr>
          <w:p w14:paraId="7F537E0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18742B24" w14:textId="77777777" w:rsidTr="00154784">
        <w:trPr>
          <w:trHeight w:val="315"/>
        </w:trPr>
        <w:tc>
          <w:tcPr>
            <w:tcW w:w="2860" w:type="dxa"/>
            <w:tcBorders>
              <w:top w:val="nil"/>
              <w:left w:val="nil"/>
              <w:bottom w:val="nil"/>
              <w:right w:val="nil"/>
            </w:tcBorders>
            <w:shd w:val="clear" w:color="auto" w:fill="auto"/>
            <w:vAlign w:val="center"/>
            <w:hideMark/>
          </w:tcPr>
          <w:p w14:paraId="2D590B24"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Motor tax</w:t>
            </w:r>
          </w:p>
        </w:tc>
        <w:tc>
          <w:tcPr>
            <w:tcW w:w="1220" w:type="dxa"/>
            <w:tcBorders>
              <w:top w:val="nil"/>
              <w:left w:val="nil"/>
              <w:bottom w:val="nil"/>
              <w:right w:val="single" w:sz="4" w:space="0" w:color="auto"/>
            </w:tcBorders>
            <w:shd w:val="clear" w:color="auto" w:fill="auto"/>
            <w:vAlign w:val="center"/>
            <w:hideMark/>
          </w:tcPr>
          <w:p w14:paraId="4C0D1D0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448</w:t>
            </w:r>
          </w:p>
        </w:tc>
        <w:tc>
          <w:tcPr>
            <w:tcW w:w="1220" w:type="dxa"/>
            <w:tcBorders>
              <w:top w:val="nil"/>
              <w:left w:val="nil"/>
              <w:bottom w:val="nil"/>
              <w:right w:val="nil"/>
            </w:tcBorders>
            <w:shd w:val="clear" w:color="auto" w:fill="auto"/>
            <w:vAlign w:val="center"/>
            <w:hideMark/>
          </w:tcPr>
          <w:p w14:paraId="2E1F4AD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667</w:t>
            </w:r>
          </w:p>
        </w:tc>
        <w:tc>
          <w:tcPr>
            <w:tcW w:w="1220" w:type="dxa"/>
            <w:tcBorders>
              <w:top w:val="nil"/>
              <w:left w:val="nil"/>
              <w:bottom w:val="nil"/>
              <w:right w:val="single" w:sz="4" w:space="0" w:color="auto"/>
            </w:tcBorders>
            <w:shd w:val="clear" w:color="auto" w:fill="auto"/>
            <w:vAlign w:val="center"/>
            <w:hideMark/>
          </w:tcPr>
          <w:p w14:paraId="01861363"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1 171 275</w:t>
            </w:r>
          </w:p>
        </w:tc>
        <w:tc>
          <w:tcPr>
            <w:tcW w:w="1220" w:type="dxa"/>
            <w:tcBorders>
              <w:top w:val="nil"/>
              <w:left w:val="nil"/>
              <w:bottom w:val="nil"/>
              <w:right w:val="nil"/>
            </w:tcBorders>
            <w:shd w:val="clear" w:color="auto" w:fill="auto"/>
            <w:vAlign w:val="center"/>
            <w:hideMark/>
          </w:tcPr>
          <w:p w14:paraId="0FA2802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403</w:t>
            </w:r>
          </w:p>
        </w:tc>
        <w:tc>
          <w:tcPr>
            <w:tcW w:w="1220" w:type="dxa"/>
            <w:tcBorders>
              <w:top w:val="nil"/>
              <w:left w:val="nil"/>
              <w:bottom w:val="nil"/>
              <w:right w:val="nil"/>
            </w:tcBorders>
            <w:shd w:val="clear" w:color="auto" w:fill="auto"/>
            <w:vAlign w:val="center"/>
            <w:hideMark/>
          </w:tcPr>
          <w:p w14:paraId="681C159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707 279</w:t>
            </w:r>
          </w:p>
        </w:tc>
      </w:tr>
      <w:tr w:rsidR="00154784" w:rsidRPr="00154784" w14:paraId="7F8B9F75" w14:textId="77777777" w:rsidTr="00154784">
        <w:trPr>
          <w:trHeight w:val="315"/>
        </w:trPr>
        <w:tc>
          <w:tcPr>
            <w:tcW w:w="2860" w:type="dxa"/>
            <w:tcBorders>
              <w:top w:val="nil"/>
              <w:left w:val="nil"/>
              <w:bottom w:val="nil"/>
              <w:right w:val="nil"/>
            </w:tcBorders>
            <w:shd w:val="clear" w:color="auto" w:fill="auto"/>
            <w:vAlign w:val="center"/>
            <w:hideMark/>
          </w:tcPr>
          <w:p w14:paraId="3BA7BC93"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Mining revenue</w:t>
            </w:r>
          </w:p>
        </w:tc>
        <w:tc>
          <w:tcPr>
            <w:tcW w:w="1220" w:type="dxa"/>
            <w:tcBorders>
              <w:top w:val="nil"/>
              <w:left w:val="nil"/>
              <w:bottom w:val="nil"/>
              <w:right w:val="single" w:sz="4" w:space="0" w:color="auto"/>
            </w:tcBorders>
            <w:shd w:val="clear" w:color="auto" w:fill="auto"/>
            <w:vAlign w:val="center"/>
            <w:hideMark/>
          </w:tcPr>
          <w:p w14:paraId="2CFA2B9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482</w:t>
            </w:r>
          </w:p>
        </w:tc>
        <w:tc>
          <w:tcPr>
            <w:tcW w:w="1220" w:type="dxa"/>
            <w:tcBorders>
              <w:top w:val="nil"/>
              <w:left w:val="nil"/>
              <w:bottom w:val="nil"/>
              <w:right w:val="nil"/>
            </w:tcBorders>
            <w:shd w:val="clear" w:color="auto" w:fill="auto"/>
            <w:vAlign w:val="center"/>
            <w:hideMark/>
          </w:tcPr>
          <w:p w14:paraId="1467380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w:t>
            </w:r>
          </w:p>
        </w:tc>
        <w:tc>
          <w:tcPr>
            <w:tcW w:w="1220" w:type="dxa"/>
            <w:tcBorders>
              <w:top w:val="nil"/>
              <w:left w:val="nil"/>
              <w:bottom w:val="nil"/>
              <w:right w:val="single" w:sz="4" w:space="0" w:color="auto"/>
            </w:tcBorders>
            <w:shd w:val="clear" w:color="auto" w:fill="auto"/>
            <w:vAlign w:val="center"/>
            <w:hideMark/>
          </w:tcPr>
          <w:p w14:paraId="56DDBEF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1 950</w:t>
            </w:r>
          </w:p>
        </w:tc>
        <w:tc>
          <w:tcPr>
            <w:tcW w:w="1220" w:type="dxa"/>
            <w:tcBorders>
              <w:top w:val="nil"/>
              <w:left w:val="nil"/>
              <w:bottom w:val="nil"/>
              <w:right w:val="nil"/>
            </w:tcBorders>
            <w:shd w:val="clear" w:color="auto" w:fill="auto"/>
            <w:vAlign w:val="center"/>
            <w:hideMark/>
          </w:tcPr>
          <w:p w14:paraId="13F3A95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83</w:t>
            </w:r>
          </w:p>
        </w:tc>
        <w:tc>
          <w:tcPr>
            <w:tcW w:w="1220" w:type="dxa"/>
            <w:tcBorders>
              <w:top w:val="nil"/>
              <w:left w:val="nil"/>
              <w:bottom w:val="nil"/>
              <w:right w:val="nil"/>
            </w:tcBorders>
            <w:shd w:val="clear" w:color="auto" w:fill="auto"/>
            <w:vAlign w:val="center"/>
            <w:hideMark/>
          </w:tcPr>
          <w:p w14:paraId="05B4AE33"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146 129</w:t>
            </w:r>
          </w:p>
        </w:tc>
      </w:tr>
      <w:tr w:rsidR="00154784" w:rsidRPr="00154784" w14:paraId="12A6325F" w14:textId="77777777" w:rsidTr="00154784">
        <w:trPr>
          <w:trHeight w:val="315"/>
        </w:trPr>
        <w:tc>
          <w:tcPr>
            <w:tcW w:w="2860" w:type="dxa"/>
            <w:tcBorders>
              <w:top w:val="nil"/>
              <w:left w:val="nil"/>
              <w:bottom w:val="nil"/>
              <w:right w:val="nil"/>
            </w:tcBorders>
            <w:shd w:val="clear" w:color="auto" w:fill="auto"/>
            <w:vAlign w:val="center"/>
            <w:hideMark/>
          </w:tcPr>
          <w:p w14:paraId="2A714FE7"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Gambling tax</w:t>
            </w:r>
          </w:p>
        </w:tc>
        <w:tc>
          <w:tcPr>
            <w:tcW w:w="1220" w:type="dxa"/>
            <w:tcBorders>
              <w:top w:val="nil"/>
              <w:left w:val="nil"/>
              <w:bottom w:val="nil"/>
              <w:right w:val="single" w:sz="4" w:space="0" w:color="auto"/>
            </w:tcBorders>
            <w:shd w:val="clear" w:color="auto" w:fill="auto"/>
            <w:vAlign w:val="center"/>
            <w:hideMark/>
          </w:tcPr>
          <w:p w14:paraId="5813294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251</w:t>
            </w:r>
          </w:p>
        </w:tc>
        <w:tc>
          <w:tcPr>
            <w:tcW w:w="1220" w:type="dxa"/>
            <w:tcBorders>
              <w:top w:val="nil"/>
              <w:left w:val="nil"/>
              <w:bottom w:val="nil"/>
              <w:right w:val="nil"/>
            </w:tcBorders>
            <w:shd w:val="clear" w:color="auto" w:fill="auto"/>
            <w:vAlign w:val="center"/>
            <w:hideMark/>
          </w:tcPr>
          <w:p w14:paraId="7222A8B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56</w:t>
            </w:r>
          </w:p>
        </w:tc>
        <w:tc>
          <w:tcPr>
            <w:tcW w:w="1220" w:type="dxa"/>
            <w:tcBorders>
              <w:top w:val="nil"/>
              <w:left w:val="nil"/>
              <w:bottom w:val="nil"/>
              <w:right w:val="single" w:sz="4" w:space="0" w:color="auto"/>
            </w:tcBorders>
            <w:shd w:val="clear" w:color="auto" w:fill="auto"/>
            <w:vAlign w:val="center"/>
            <w:hideMark/>
          </w:tcPr>
          <w:p w14:paraId="36B0136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97 547</w:t>
            </w:r>
          </w:p>
        </w:tc>
        <w:tc>
          <w:tcPr>
            <w:tcW w:w="1220" w:type="dxa"/>
            <w:tcBorders>
              <w:top w:val="nil"/>
              <w:left w:val="nil"/>
              <w:bottom w:val="nil"/>
              <w:right w:val="nil"/>
            </w:tcBorders>
            <w:shd w:val="clear" w:color="auto" w:fill="auto"/>
            <w:vAlign w:val="center"/>
            <w:hideMark/>
          </w:tcPr>
          <w:p w14:paraId="1BE45D6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71</w:t>
            </w:r>
          </w:p>
        </w:tc>
        <w:tc>
          <w:tcPr>
            <w:tcW w:w="1220" w:type="dxa"/>
            <w:tcBorders>
              <w:top w:val="nil"/>
              <w:left w:val="nil"/>
              <w:bottom w:val="nil"/>
              <w:right w:val="nil"/>
            </w:tcBorders>
            <w:shd w:val="clear" w:color="auto" w:fill="auto"/>
            <w:vAlign w:val="center"/>
            <w:hideMark/>
          </w:tcPr>
          <w:p w14:paraId="22E05193"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124 345</w:t>
            </w:r>
          </w:p>
        </w:tc>
      </w:tr>
      <w:tr w:rsidR="00154784" w:rsidRPr="00154784" w14:paraId="2DF2732C" w14:textId="77777777" w:rsidTr="00154784">
        <w:trPr>
          <w:trHeight w:val="315"/>
        </w:trPr>
        <w:tc>
          <w:tcPr>
            <w:tcW w:w="2860" w:type="dxa"/>
            <w:tcBorders>
              <w:top w:val="nil"/>
              <w:left w:val="nil"/>
              <w:bottom w:val="nil"/>
              <w:right w:val="nil"/>
            </w:tcBorders>
            <w:shd w:val="clear" w:color="auto" w:fill="auto"/>
            <w:vAlign w:val="center"/>
            <w:hideMark/>
          </w:tcPr>
          <w:p w14:paraId="0CE7224F"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Other revenue</w:t>
            </w:r>
          </w:p>
        </w:tc>
        <w:tc>
          <w:tcPr>
            <w:tcW w:w="1220" w:type="dxa"/>
            <w:tcBorders>
              <w:top w:val="nil"/>
              <w:left w:val="nil"/>
              <w:bottom w:val="nil"/>
              <w:right w:val="single" w:sz="4" w:space="0" w:color="auto"/>
            </w:tcBorders>
            <w:shd w:val="clear" w:color="auto" w:fill="auto"/>
            <w:vAlign w:val="center"/>
            <w:hideMark/>
          </w:tcPr>
          <w:p w14:paraId="1A1BE23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1 545</w:t>
            </w:r>
          </w:p>
        </w:tc>
        <w:tc>
          <w:tcPr>
            <w:tcW w:w="1220" w:type="dxa"/>
            <w:tcBorders>
              <w:top w:val="nil"/>
              <w:left w:val="nil"/>
              <w:bottom w:val="nil"/>
              <w:right w:val="nil"/>
            </w:tcBorders>
            <w:shd w:val="clear" w:color="auto" w:fill="auto"/>
            <w:vAlign w:val="center"/>
            <w:hideMark/>
          </w:tcPr>
          <w:p w14:paraId="3AC2A76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352</w:t>
            </w:r>
          </w:p>
        </w:tc>
        <w:tc>
          <w:tcPr>
            <w:tcW w:w="1220" w:type="dxa"/>
            <w:tcBorders>
              <w:top w:val="nil"/>
              <w:left w:val="nil"/>
              <w:bottom w:val="nil"/>
              <w:right w:val="single" w:sz="4" w:space="0" w:color="auto"/>
            </w:tcBorders>
            <w:shd w:val="clear" w:color="auto" w:fill="auto"/>
            <w:vAlign w:val="center"/>
            <w:hideMark/>
          </w:tcPr>
          <w:p w14:paraId="589C2C0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618 665</w:t>
            </w:r>
          </w:p>
        </w:tc>
        <w:tc>
          <w:tcPr>
            <w:tcW w:w="1220" w:type="dxa"/>
            <w:tcBorders>
              <w:top w:val="nil"/>
              <w:left w:val="nil"/>
              <w:bottom w:val="nil"/>
              <w:right w:val="nil"/>
            </w:tcBorders>
            <w:shd w:val="clear" w:color="auto" w:fill="auto"/>
            <w:vAlign w:val="center"/>
            <w:hideMark/>
          </w:tcPr>
          <w:p w14:paraId="7A52B334"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284</w:t>
            </w:r>
          </w:p>
        </w:tc>
        <w:tc>
          <w:tcPr>
            <w:tcW w:w="1220" w:type="dxa"/>
            <w:tcBorders>
              <w:top w:val="nil"/>
              <w:left w:val="nil"/>
              <w:bottom w:val="nil"/>
              <w:right w:val="nil"/>
            </w:tcBorders>
            <w:shd w:val="clear" w:color="auto" w:fill="auto"/>
            <w:vAlign w:val="center"/>
            <w:hideMark/>
          </w:tcPr>
          <w:p w14:paraId="51B1D2D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497 937</w:t>
            </w:r>
          </w:p>
        </w:tc>
      </w:tr>
      <w:tr w:rsidR="00154784" w:rsidRPr="00154784" w14:paraId="092CCC7F" w14:textId="77777777" w:rsidTr="00154784">
        <w:trPr>
          <w:trHeight w:val="315"/>
        </w:trPr>
        <w:tc>
          <w:tcPr>
            <w:tcW w:w="2860" w:type="dxa"/>
            <w:tcBorders>
              <w:top w:val="nil"/>
              <w:left w:val="nil"/>
              <w:bottom w:val="single" w:sz="4" w:space="0" w:color="auto"/>
              <w:right w:val="nil"/>
            </w:tcBorders>
            <w:shd w:val="clear" w:color="auto" w:fill="auto"/>
            <w:vAlign w:val="center"/>
            <w:hideMark/>
          </w:tcPr>
          <w:p w14:paraId="49393C7F"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TOTAL</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3D2A1F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5 107</w:t>
            </w:r>
          </w:p>
        </w:tc>
        <w:tc>
          <w:tcPr>
            <w:tcW w:w="1220" w:type="dxa"/>
            <w:tcBorders>
              <w:top w:val="single" w:sz="4" w:space="0" w:color="auto"/>
              <w:left w:val="nil"/>
              <w:bottom w:val="single" w:sz="4" w:space="0" w:color="auto"/>
              <w:right w:val="nil"/>
            </w:tcBorders>
            <w:shd w:val="clear" w:color="auto" w:fill="auto"/>
            <w:vAlign w:val="center"/>
            <w:hideMark/>
          </w:tcPr>
          <w:p w14:paraId="329D362F"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1 824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43489A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3 203 064</w:t>
            </w:r>
          </w:p>
        </w:tc>
        <w:tc>
          <w:tcPr>
            <w:tcW w:w="1220" w:type="dxa"/>
            <w:tcBorders>
              <w:top w:val="single" w:sz="4" w:space="0" w:color="auto"/>
              <w:left w:val="nil"/>
              <w:bottom w:val="single" w:sz="4" w:space="0" w:color="auto"/>
              <w:right w:val="nil"/>
            </w:tcBorders>
            <w:shd w:val="clear" w:color="auto" w:fill="auto"/>
            <w:vAlign w:val="center"/>
            <w:hideMark/>
          </w:tcPr>
          <w:p w14:paraId="7E91D10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1 335</w:t>
            </w:r>
          </w:p>
        </w:tc>
        <w:tc>
          <w:tcPr>
            <w:tcW w:w="1220" w:type="dxa"/>
            <w:tcBorders>
              <w:top w:val="single" w:sz="4" w:space="0" w:color="auto"/>
              <w:left w:val="nil"/>
              <w:bottom w:val="single" w:sz="4" w:space="0" w:color="auto"/>
              <w:right w:val="nil"/>
            </w:tcBorders>
            <w:shd w:val="clear" w:color="auto" w:fill="auto"/>
            <w:vAlign w:val="center"/>
            <w:hideMark/>
          </w:tcPr>
          <w:p w14:paraId="3B0D52C3"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2 344 330</w:t>
            </w:r>
          </w:p>
        </w:tc>
      </w:tr>
    </w:tbl>
    <w:p w14:paraId="16ADECD2" w14:textId="77777777" w:rsidR="00F246BF" w:rsidRDefault="00F246BF" w:rsidP="00F246BF">
      <w:pPr>
        <w:pStyle w:val="CGCTableFootnote"/>
      </w:pPr>
      <w:r>
        <w:t>Source:</w:t>
      </w:r>
      <w:r>
        <w:tab/>
        <w:t xml:space="preserve">Commission </w:t>
      </w:r>
      <w:r w:rsidR="00477324">
        <w:t xml:space="preserve">staff </w:t>
      </w:r>
      <w:r>
        <w:t xml:space="preserve">analysis. </w:t>
      </w:r>
    </w:p>
    <w:p w14:paraId="2962EF1C" w14:textId="77777777" w:rsidR="00F246BF" w:rsidRDefault="003B4CC2" w:rsidP="00F246BF">
      <w:pPr>
        <w:pStyle w:val="CGCNumberedPara"/>
        <w:numPr>
          <w:ilvl w:val="1"/>
          <w:numId w:val="3"/>
        </w:numPr>
        <w:tabs>
          <w:tab w:val="clear" w:pos="567"/>
        </w:tabs>
      </w:pPr>
      <w:r>
        <w:t>The table also</w:t>
      </w:r>
      <w:r w:rsidR="00F246BF">
        <w:t xml:space="preserve"> compares Norfolk Island assessed revenue with th</w:t>
      </w:r>
      <w:r>
        <w:t>e</w:t>
      </w:r>
      <w:r w:rsidR="00F246BF">
        <w:t xml:space="preserve"> Australian State</w:t>
      </w:r>
      <w:r w:rsidR="00751B4C">
        <w:t xml:space="preserve"> average per capita revenue</w:t>
      </w:r>
      <w:r w:rsidR="00F246BF">
        <w:t xml:space="preserve"> and actual Norfolk Island revenue. It show</w:t>
      </w:r>
      <w:r w:rsidR="00477324">
        <w:t>s</w:t>
      </w:r>
      <w:r w:rsidR="00F246BF">
        <w:t>:</w:t>
      </w:r>
    </w:p>
    <w:p w14:paraId="537BCF33" w14:textId="77777777" w:rsidR="00F246BF" w:rsidRPr="0063713F" w:rsidRDefault="00F246BF" w:rsidP="00F246BF">
      <w:pPr>
        <w:pStyle w:val="CGCBulletlist"/>
        <w:tabs>
          <w:tab w:val="clear" w:pos="927"/>
        </w:tabs>
        <w:ind w:left="1134" w:hanging="567"/>
      </w:pPr>
      <w:r w:rsidRPr="0063713F">
        <w:t xml:space="preserve">Norfolk Island raised </w:t>
      </w:r>
      <w:r w:rsidR="002E55F0">
        <w:t>2</w:t>
      </w:r>
      <w:r>
        <w:t>6</w:t>
      </w:r>
      <w:r w:rsidRPr="0063713F">
        <w:t xml:space="preserve">% of the Australian average per capita State-type revenue in </w:t>
      </w:r>
      <w:r>
        <w:t>2017-18</w:t>
      </w:r>
      <w:r w:rsidRPr="0063713F">
        <w:t xml:space="preserve">. Norfolk Island’s </w:t>
      </w:r>
      <w:r>
        <w:t xml:space="preserve">assessed </w:t>
      </w:r>
      <w:r w:rsidRPr="0063713F">
        <w:t>revenue</w:t>
      </w:r>
      <w:r w:rsidR="00751B4C">
        <w:t xml:space="preserve"> is</w:t>
      </w:r>
      <w:r w:rsidRPr="0063713F">
        <w:t xml:space="preserve"> </w:t>
      </w:r>
      <w:r>
        <w:t>below</w:t>
      </w:r>
      <w:r w:rsidRPr="0063713F">
        <w:t xml:space="preserve"> the Australian average </w:t>
      </w:r>
      <w:r>
        <w:t>for all revenue sources except motor taxes.</w:t>
      </w:r>
      <w:r w:rsidRPr="0063713F">
        <w:t xml:space="preserve"> </w:t>
      </w:r>
      <w:r>
        <w:t>It has more than twice the average capacity to raise motor taxes.</w:t>
      </w:r>
    </w:p>
    <w:p w14:paraId="4FC8C30C" w14:textId="77777777" w:rsidR="00F246BF" w:rsidRDefault="00F246BF" w:rsidP="00F246BF">
      <w:pPr>
        <w:pStyle w:val="CGCBulletlist"/>
        <w:tabs>
          <w:tab w:val="clear" w:pos="927"/>
        </w:tabs>
        <w:ind w:left="1134" w:hanging="567"/>
      </w:pPr>
      <w:r>
        <w:t xml:space="preserve">We assessed that Norfolk Island could raise </w:t>
      </w:r>
      <w:r w:rsidR="004A58BC">
        <w:t xml:space="preserve">some </w:t>
      </w:r>
      <w:r>
        <w:t>revenue from payroll tax, land tax and insurance tax</w:t>
      </w:r>
      <w:r w:rsidR="00477324">
        <w:t xml:space="preserve"> even though those taxes are not imposed on the Island</w:t>
      </w:r>
      <w:r>
        <w:t xml:space="preserve">. However, the amounts it could raise from payroll tax and land tax are low compared to the rest of Australia. This is because there are few Island-based private or public businesses with payrolls above the payroll tax threshold and low </w:t>
      </w:r>
      <w:r w:rsidR="00477324">
        <w:t xml:space="preserve">taxable </w:t>
      </w:r>
      <w:r>
        <w:t xml:space="preserve">land values. </w:t>
      </w:r>
      <w:r w:rsidR="00477324">
        <w:t>Norfolk Island’s</w:t>
      </w:r>
      <w:r>
        <w:t xml:space="preserve"> capacity to raise gambling taxes is also </w:t>
      </w:r>
      <w:r w:rsidR="00477324">
        <w:t>below that of comparable communities</w:t>
      </w:r>
      <w:r>
        <w:t xml:space="preserve">. </w:t>
      </w:r>
    </w:p>
    <w:p w14:paraId="63EF964C" w14:textId="77777777" w:rsidR="00F246BF" w:rsidRDefault="00F246BF" w:rsidP="00F246BF">
      <w:pPr>
        <w:pStyle w:val="CGCBulletlist"/>
        <w:tabs>
          <w:tab w:val="clear" w:pos="927"/>
        </w:tabs>
        <w:ind w:left="1134" w:hanging="567"/>
      </w:pPr>
      <w:r w:rsidRPr="002C45CE">
        <w:t xml:space="preserve">Norfolk Island has been assessed as having </w:t>
      </w:r>
      <w:r w:rsidR="00477324">
        <w:t>almost</w:t>
      </w:r>
      <w:r>
        <w:t xml:space="preserve"> </w:t>
      </w:r>
      <w:r w:rsidRPr="002C45CE">
        <w:t>no capacity to raise revenue from mining</w:t>
      </w:r>
      <w:r w:rsidR="002D1EDD">
        <w:t xml:space="preserve">. Beyond the </w:t>
      </w:r>
      <w:r w:rsidRPr="002C45CE">
        <w:t>Cascade rock</w:t>
      </w:r>
      <w:r w:rsidR="00477324">
        <w:t xml:space="preserve"> quarry</w:t>
      </w:r>
      <w:r w:rsidR="002D1EDD">
        <w:t>, there are a few potential sources of rock that have not yet been exploited</w:t>
      </w:r>
      <w:r w:rsidRPr="002C45CE">
        <w:t xml:space="preserve">. </w:t>
      </w:r>
    </w:p>
    <w:p w14:paraId="7965D3DF" w14:textId="77777777" w:rsidR="00F246BF" w:rsidRDefault="00F246BF" w:rsidP="00F246BF">
      <w:pPr>
        <w:pStyle w:val="CGCBulletlist"/>
        <w:tabs>
          <w:tab w:val="clear" w:pos="927"/>
        </w:tabs>
        <w:ind w:left="1134" w:hanging="567"/>
      </w:pPr>
      <w:r w:rsidRPr="00304BD6">
        <w:t xml:space="preserve">Norfolk Island </w:t>
      </w:r>
      <w:r w:rsidR="00751B4C">
        <w:t>has</w:t>
      </w:r>
      <w:r w:rsidRPr="00304BD6">
        <w:t xml:space="preserve"> the capacity to raise more revenue than its actual revenue in </w:t>
      </w:r>
      <w:r>
        <w:t>2017-18</w:t>
      </w:r>
      <w:r w:rsidRPr="00304BD6">
        <w:t xml:space="preserve">. </w:t>
      </w:r>
      <w:r>
        <w:t>The main areas where actual revenue is well below assessed revenue</w:t>
      </w:r>
      <w:r w:rsidR="00477324">
        <w:t xml:space="preserve"> are motor taxes, insurance tax</w:t>
      </w:r>
      <w:r>
        <w:t xml:space="preserve"> and</w:t>
      </w:r>
      <w:r w:rsidR="00477324">
        <w:t>,</w:t>
      </w:r>
      <w:r>
        <w:t xml:space="preserve"> to a lesser extent</w:t>
      </w:r>
      <w:r w:rsidR="00477324">
        <w:t>,</w:t>
      </w:r>
      <w:r>
        <w:t xml:space="preserve"> other revenue.</w:t>
      </w:r>
    </w:p>
    <w:p w14:paraId="527E124A" w14:textId="77777777" w:rsidR="00F246BF" w:rsidRDefault="00F246BF" w:rsidP="00F246BF">
      <w:pPr>
        <w:pStyle w:val="CGCBulletlist"/>
        <w:tabs>
          <w:tab w:val="clear" w:pos="927"/>
        </w:tabs>
        <w:ind w:left="1134" w:hanging="567"/>
      </w:pPr>
      <w:r>
        <w:t xml:space="preserve">Compared to 2011, </w:t>
      </w:r>
      <w:r w:rsidR="00477324">
        <w:t>Norfolk Island’s</w:t>
      </w:r>
      <w:r>
        <w:t xml:space="preserve"> </w:t>
      </w:r>
      <w:r w:rsidR="00B72F39">
        <w:t xml:space="preserve">assessed </w:t>
      </w:r>
      <w:r>
        <w:t>capacity to raise revenue has declined by 20%.</w:t>
      </w:r>
      <w:r w:rsidR="001E08C0">
        <w:t xml:space="preserve"> The abolition of the Norfolk Island Goods and Services Tax,</w:t>
      </w:r>
      <w:r>
        <w:t xml:space="preserve"> Land tax, gambling tax and insurance tax contributed most to the decline</w:t>
      </w:r>
      <w:r w:rsidR="00F61B5D">
        <w:t xml:space="preserve">. </w:t>
      </w:r>
    </w:p>
    <w:p w14:paraId="49907986" w14:textId="29E89CA7" w:rsidR="005764FB" w:rsidRDefault="005764FB" w:rsidP="005764FB">
      <w:pPr>
        <w:pStyle w:val="CGCNumberedPara"/>
        <w:numPr>
          <w:ilvl w:val="1"/>
          <w:numId w:val="3"/>
        </w:numPr>
        <w:tabs>
          <w:tab w:val="left" w:pos="567"/>
          <w:tab w:val="num" w:pos="1134"/>
        </w:tabs>
      </w:pPr>
      <w:r>
        <w:lastRenderedPageBreak/>
        <w:t xml:space="preserve">The Commission also compared Norfolk Island assessed revenues to those of the Northern Territory, as this is the State </w:t>
      </w:r>
      <w:r w:rsidR="002A59A8">
        <w:t xml:space="preserve">or territory </w:t>
      </w:r>
      <w:r>
        <w:t xml:space="preserve">with the highest proportion of its population in remote areas. The Northern Territory’s assessed State-type revenues in 2017-18 were $5 596 per capita, or about three times that of Norfolk Island. </w:t>
      </w:r>
    </w:p>
    <w:p w14:paraId="4692DEF3" w14:textId="77777777" w:rsidR="00F246BF" w:rsidRDefault="00F246BF" w:rsidP="002A693B">
      <w:pPr>
        <w:pStyle w:val="Heading3"/>
      </w:pPr>
      <w:bookmarkStart w:id="355" w:name="_Toc17105398"/>
      <w:bookmarkStart w:id="356" w:name="_Toc17105450"/>
      <w:bookmarkStart w:id="357" w:name="_Toc17105606"/>
      <w:bookmarkStart w:id="358" w:name="_Toc17380473"/>
      <w:bookmarkStart w:id="359" w:name="_Toc19262925"/>
      <w:bookmarkStart w:id="360" w:name="_Toc23847470"/>
      <w:r>
        <w:t>Local government revenue</w:t>
      </w:r>
      <w:bookmarkEnd w:id="355"/>
      <w:bookmarkEnd w:id="356"/>
      <w:bookmarkEnd w:id="357"/>
      <w:bookmarkEnd w:id="358"/>
      <w:bookmarkEnd w:id="359"/>
      <w:bookmarkEnd w:id="360"/>
    </w:p>
    <w:p w14:paraId="0B7FDEE1" w14:textId="77777777" w:rsidR="00F246BF" w:rsidRDefault="00F246BF" w:rsidP="00F246BF">
      <w:pPr>
        <w:pStyle w:val="CGCNumberedPara"/>
        <w:numPr>
          <w:ilvl w:val="1"/>
          <w:numId w:val="3"/>
        </w:numPr>
        <w:tabs>
          <w:tab w:val="clear" w:pos="567"/>
        </w:tabs>
      </w:pPr>
      <w:r>
        <w:t xml:space="preserve">The assessed local government revenues have been derived using the same broad </w:t>
      </w:r>
      <w:r w:rsidR="00477324">
        <w:t>approach</w:t>
      </w:r>
      <w:r>
        <w:t xml:space="preserve"> as that used for State revenues. That is, for each tax or charge, the revenue raising policies observed in broadly comparable circumstances </w:t>
      </w:r>
      <w:r w:rsidR="009B7F84">
        <w:t>in the States</w:t>
      </w:r>
      <w:r>
        <w:t xml:space="preserve"> have been applied to the revenue base on Norfolk Island. Details are in Attachment D. </w:t>
      </w:r>
    </w:p>
    <w:p w14:paraId="439625F8" w14:textId="40A68107" w:rsidR="00F246BF" w:rsidRDefault="00BF3913" w:rsidP="00F246BF">
      <w:pPr>
        <w:pStyle w:val="CGCNumberedPara"/>
        <w:numPr>
          <w:ilvl w:val="1"/>
          <w:numId w:val="3"/>
        </w:numPr>
        <w:tabs>
          <w:tab w:val="clear" w:pos="567"/>
        </w:tabs>
      </w:pPr>
      <w:r>
        <w:fldChar w:fldCharType="begin"/>
      </w:r>
      <w:r>
        <w:instrText xml:space="preserve"> REF _Ref22048801 \h </w:instrText>
      </w:r>
      <w:r>
        <w:fldChar w:fldCharType="separate"/>
      </w:r>
      <w:r w:rsidR="00DE7AA1">
        <w:t xml:space="preserve">Table </w:t>
      </w:r>
      <w:r w:rsidR="00DE7AA1">
        <w:rPr>
          <w:noProof/>
        </w:rPr>
        <w:t>6</w:t>
      </w:r>
      <w:r>
        <w:fldChar w:fldCharType="end"/>
      </w:r>
      <w:r>
        <w:t xml:space="preserve"> </w:t>
      </w:r>
      <w:r w:rsidR="00F246BF">
        <w:t>summar</w:t>
      </w:r>
      <w:r w:rsidR="0049219F">
        <w:t>ise</w:t>
      </w:r>
      <w:r w:rsidR="003A217C">
        <w:t>s</w:t>
      </w:r>
      <w:r w:rsidR="00F246BF">
        <w:t xml:space="preserve"> our estimates of the local government</w:t>
      </w:r>
      <w:r w:rsidR="00477324">
        <w:t xml:space="preserve"> </w:t>
      </w:r>
      <w:r w:rsidR="00F246BF">
        <w:t xml:space="preserve">revenues that could have been raised on Norfolk Island in 2017-18 if the average revenue raising policies of comparable councils in the States had been applied. It </w:t>
      </w:r>
      <w:r w:rsidR="00477324">
        <w:t xml:space="preserve">also </w:t>
      </w:r>
      <w:r w:rsidR="0049219F">
        <w:t>shows</w:t>
      </w:r>
      <w:r w:rsidR="00477324">
        <w:t xml:space="preserve"> the grants </w:t>
      </w:r>
      <w:r w:rsidR="00B30070">
        <w:t xml:space="preserve">NIRC </w:t>
      </w:r>
      <w:r w:rsidR="00477324">
        <w:t>received</w:t>
      </w:r>
      <w:r w:rsidR="00F246BF">
        <w:t xml:space="preserve"> from the Commonwealth. </w:t>
      </w:r>
      <w:r>
        <w:fldChar w:fldCharType="begin"/>
      </w:r>
      <w:r>
        <w:instrText xml:space="preserve"> REF _Ref22048801 \h </w:instrText>
      </w:r>
      <w:r>
        <w:fldChar w:fldCharType="separate"/>
      </w:r>
      <w:r w:rsidR="00DE7AA1">
        <w:t xml:space="preserve">Table </w:t>
      </w:r>
      <w:r w:rsidR="00DE7AA1">
        <w:rPr>
          <w:noProof/>
        </w:rPr>
        <w:t>6</w:t>
      </w:r>
      <w:r>
        <w:fldChar w:fldCharType="end"/>
      </w:r>
      <w:r w:rsidR="00F246BF">
        <w:t xml:space="preserve"> shows assessed local government revenue of $4 </w:t>
      </w:r>
      <w:r w:rsidR="005A53B2">
        <w:t>460</w:t>
      </w:r>
      <w:r w:rsidR="00F246BF">
        <w:t xml:space="preserve"> per capita or $7.</w:t>
      </w:r>
      <w:r w:rsidR="005A53B2">
        <w:t>8</w:t>
      </w:r>
      <w:r w:rsidR="00F246BF">
        <w:t> million in 2017-18</w:t>
      </w:r>
      <w:r w:rsidR="0049219F">
        <w:t>, which is below the</w:t>
      </w:r>
      <w:r w:rsidR="00F246BF">
        <w:t xml:space="preserve"> actual revenue of</w:t>
      </w:r>
      <w:r w:rsidR="007306B2">
        <w:t xml:space="preserve"> $4 698 per capita or</w:t>
      </w:r>
      <w:r w:rsidR="00F246BF">
        <w:t xml:space="preserve"> $8.2 million.</w:t>
      </w:r>
    </w:p>
    <w:p w14:paraId="723B78D4" w14:textId="5D6BBC13" w:rsidR="00F246BF" w:rsidRDefault="00696906" w:rsidP="006D5ADD">
      <w:pPr>
        <w:pStyle w:val="Caption"/>
      </w:pPr>
      <w:bookmarkStart w:id="361" w:name="_Ref22048801"/>
      <w:r>
        <w:t xml:space="preserve">Table </w:t>
      </w:r>
      <w:r w:rsidR="00150A14">
        <w:fldChar w:fldCharType="begin"/>
      </w:r>
      <w:r w:rsidR="00150A14">
        <w:instrText xml:space="preserve"> SEQ Table \* ARABIC </w:instrText>
      </w:r>
      <w:r w:rsidR="00150A14">
        <w:fldChar w:fldCharType="separate"/>
      </w:r>
      <w:r w:rsidR="00DE7AA1">
        <w:rPr>
          <w:noProof/>
        </w:rPr>
        <w:t>6</w:t>
      </w:r>
      <w:r w:rsidR="00150A14">
        <w:rPr>
          <w:noProof/>
        </w:rPr>
        <w:fldChar w:fldCharType="end"/>
      </w:r>
      <w:bookmarkEnd w:id="361"/>
      <w:r w:rsidR="00F246BF">
        <w:tab/>
      </w:r>
      <w:r w:rsidR="00F246BF" w:rsidRPr="00604ACF">
        <w:tab/>
        <w:t>Local government</w:t>
      </w:r>
      <w:r w:rsidR="00477324">
        <w:t xml:space="preserve">-type </w:t>
      </w:r>
      <w:r w:rsidR="00F246BF" w:rsidRPr="00604ACF">
        <w:t xml:space="preserve">revenue, 2017-18 </w:t>
      </w:r>
      <w:r w:rsidR="00F246BF">
        <w:t>–</w:t>
      </w:r>
      <w:r w:rsidR="00F246BF" w:rsidRPr="00604ACF">
        <w:t xml:space="preserve"> summary</w:t>
      </w:r>
    </w:p>
    <w:tbl>
      <w:tblPr>
        <w:tblW w:w="8960" w:type="dxa"/>
        <w:tblLook w:val="04A0" w:firstRow="1" w:lastRow="0" w:firstColumn="1" w:lastColumn="0" w:noHBand="0" w:noVBand="1"/>
      </w:tblPr>
      <w:tblGrid>
        <w:gridCol w:w="2860"/>
        <w:gridCol w:w="1220"/>
        <w:gridCol w:w="1220"/>
        <w:gridCol w:w="1220"/>
        <w:gridCol w:w="1220"/>
        <w:gridCol w:w="1220"/>
      </w:tblGrid>
      <w:tr w:rsidR="00154784" w:rsidRPr="00154784" w14:paraId="018661AA" w14:textId="77777777" w:rsidTr="00154784">
        <w:trPr>
          <w:trHeight w:val="315"/>
        </w:trPr>
        <w:tc>
          <w:tcPr>
            <w:tcW w:w="2860" w:type="dxa"/>
            <w:vMerge w:val="restart"/>
            <w:tcBorders>
              <w:top w:val="single" w:sz="4" w:space="0" w:color="auto"/>
              <w:left w:val="nil"/>
              <w:bottom w:val="single" w:sz="4" w:space="0" w:color="000000"/>
              <w:right w:val="nil"/>
            </w:tcBorders>
            <w:shd w:val="clear" w:color="auto" w:fill="auto"/>
            <w:vAlign w:val="center"/>
            <w:hideMark/>
          </w:tcPr>
          <w:p w14:paraId="6E973FC5"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Revenue </w:t>
            </w:r>
          </w:p>
        </w:tc>
        <w:tc>
          <w:tcPr>
            <w:tcW w:w="1220"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3B7651FE"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State average</w:t>
            </w:r>
          </w:p>
        </w:tc>
        <w:tc>
          <w:tcPr>
            <w:tcW w:w="4880" w:type="dxa"/>
            <w:gridSpan w:val="4"/>
            <w:tcBorders>
              <w:top w:val="single" w:sz="4" w:space="0" w:color="auto"/>
              <w:left w:val="nil"/>
              <w:bottom w:val="single" w:sz="4" w:space="0" w:color="auto"/>
              <w:right w:val="nil"/>
            </w:tcBorders>
            <w:shd w:val="clear" w:color="auto" w:fill="auto"/>
            <w:vAlign w:val="center"/>
            <w:hideMark/>
          </w:tcPr>
          <w:p w14:paraId="453446A1"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Norfolk Island</w:t>
            </w:r>
          </w:p>
        </w:tc>
      </w:tr>
      <w:tr w:rsidR="00154784" w:rsidRPr="00154784" w14:paraId="2C2CE640" w14:textId="77777777" w:rsidTr="008960FD">
        <w:trPr>
          <w:trHeight w:val="317"/>
        </w:trPr>
        <w:tc>
          <w:tcPr>
            <w:tcW w:w="2860" w:type="dxa"/>
            <w:vMerge/>
            <w:tcBorders>
              <w:top w:val="single" w:sz="4" w:space="0" w:color="auto"/>
              <w:left w:val="nil"/>
              <w:bottom w:val="single" w:sz="4" w:space="0" w:color="000000"/>
              <w:right w:val="nil"/>
            </w:tcBorders>
            <w:vAlign w:val="center"/>
            <w:hideMark/>
          </w:tcPr>
          <w:p w14:paraId="1B5D5BB3"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p>
        </w:tc>
        <w:tc>
          <w:tcPr>
            <w:tcW w:w="1220" w:type="dxa"/>
            <w:vMerge/>
            <w:tcBorders>
              <w:top w:val="single" w:sz="4" w:space="0" w:color="auto"/>
              <w:left w:val="nil"/>
              <w:bottom w:val="single" w:sz="4" w:space="0" w:color="000000"/>
              <w:right w:val="single" w:sz="4" w:space="0" w:color="auto"/>
            </w:tcBorders>
            <w:vAlign w:val="center"/>
            <w:hideMark/>
          </w:tcPr>
          <w:p w14:paraId="6793AA8F"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030EB3"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Assessed</w:t>
            </w:r>
          </w:p>
        </w:tc>
        <w:tc>
          <w:tcPr>
            <w:tcW w:w="2440" w:type="dxa"/>
            <w:gridSpan w:val="2"/>
            <w:tcBorders>
              <w:top w:val="single" w:sz="4" w:space="0" w:color="auto"/>
              <w:left w:val="nil"/>
              <w:bottom w:val="single" w:sz="4" w:space="0" w:color="auto"/>
              <w:right w:val="nil"/>
            </w:tcBorders>
            <w:shd w:val="clear" w:color="auto" w:fill="auto"/>
            <w:noWrap/>
            <w:vAlign w:val="center"/>
            <w:hideMark/>
          </w:tcPr>
          <w:p w14:paraId="3B57A39F"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Actual</w:t>
            </w:r>
          </w:p>
        </w:tc>
      </w:tr>
      <w:tr w:rsidR="00154784" w:rsidRPr="00154784" w14:paraId="3E83506C" w14:textId="77777777" w:rsidTr="00154784">
        <w:trPr>
          <w:trHeight w:val="259"/>
        </w:trPr>
        <w:tc>
          <w:tcPr>
            <w:tcW w:w="2860" w:type="dxa"/>
            <w:tcBorders>
              <w:top w:val="nil"/>
              <w:left w:val="nil"/>
              <w:bottom w:val="nil"/>
              <w:right w:val="nil"/>
            </w:tcBorders>
            <w:shd w:val="clear" w:color="auto" w:fill="auto"/>
            <w:vAlign w:val="center"/>
            <w:hideMark/>
          </w:tcPr>
          <w:p w14:paraId="5189F6C5"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p>
        </w:tc>
        <w:tc>
          <w:tcPr>
            <w:tcW w:w="1220" w:type="dxa"/>
            <w:tcBorders>
              <w:top w:val="nil"/>
              <w:left w:val="nil"/>
              <w:bottom w:val="nil"/>
              <w:right w:val="single" w:sz="4" w:space="0" w:color="auto"/>
            </w:tcBorders>
            <w:shd w:val="clear" w:color="auto" w:fill="auto"/>
            <w:vAlign w:val="center"/>
            <w:hideMark/>
          </w:tcPr>
          <w:p w14:paraId="34CCD56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$pc</w:t>
            </w:r>
          </w:p>
        </w:tc>
        <w:tc>
          <w:tcPr>
            <w:tcW w:w="1220" w:type="dxa"/>
            <w:tcBorders>
              <w:top w:val="nil"/>
              <w:left w:val="nil"/>
              <w:bottom w:val="nil"/>
              <w:right w:val="nil"/>
            </w:tcBorders>
            <w:shd w:val="clear" w:color="auto" w:fill="auto"/>
            <w:vAlign w:val="center"/>
            <w:hideMark/>
          </w:tcPr>
          <w:p w14:paraId="3122E71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$pc</w:t>
            </w:r>
          </w:p>
        </w:tc>
        <w:tc>
          <w:tcPr>
            <w:tcW w:w="1220" w:type="dxa"/>
            <w:tcBorders>
              <w:top w:val="nil"/>
              <w:left w:val="nil"/>
              <w:bottom w:val="nil"/>
              <w:right w:val="single" w:sz="4" w:space="0" w:color="auto"/>
            </w:tcBorders>
            <w:shd w:val="clear" w:color="auto" w:fill="auto"/>
            <w:vAlign w:val="center"/>
            <w:hideMark/>
          </w:tcPr>
          <w:p w14:paraId="2307688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w:t>
            </w:r>
          </w:p>
        </w:tc>
        <w:tc>
          <w:tcPr>
            <w:tcW w:w="1220" w:type="dxa"/>
            <w:tcBorders>
              <w:top w:val="nil"/>
              <w:left w:val="nil"/>
              <w:bottom w:val="nil"/>
              <w:right w:val="nil"/>
            </w:tcBorders>
            <w:shd w:val="clear" w:color="auto" w:fill="auto"/>
            <w:vAlign w:val="center"/>
            <w:hideMark/>
          </w:tcPr>
          <w:p w14:paraId="6E426F84"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$pc</w:t>
            </w:r>
          </w:p>
        </w:tc>
        <w:tc>
          <w:tcPr>
            <w:tcW w:w="1220" w:type="dxa"/>
            <w:tcBorders>
              <w:top w:val="nil"/>
              <w:left w:val="nil"/>
              <w:bottom w:val="nil"/>
              <w:right w:val="nil"/>
            </w:tcBorders>
            <w:shd w:val="clear" w:color="auto" w:fill="auto"/>
            <w:vAlign w:val="center"/>
            <w:hideMark/>
          </w:tcPr>
          <w:p w14:paraId="05BCFEB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w:t>
            </w:r>
          </w:p>
        </w:tc>
      </w:tr>
      <w:tr w:rsidR="00154784" w:rsidRPr="00154784" w14:paraId="02F52A68" w14:textId="77777777" w:rsidTr="00154784">
        <w:trPr>
          <w:trHeight w:val="315"/>
        </w:trPr>
        <w:tc>
          <w:tcPr>
            <w:tcW w:w="2860" w:type="dxa"/>
            <w:tcBorders>
              <w:top w:val="nil"/>
              <w:left w:val="nil"/>
              <w:bottom w:val="nil"/>
              <w:right w:val="nil"/>
            </w:tcBorders>
            <w:shd w:val="clear" w:color="auto" w:fill="auto"/>
            <w:noWrap/>
            <w:vAlign w:val="bottom"/>
            <w:hideMark/>
          </w:tcPr>
          <w:p w14:paraId="4EB118B3"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Financial assistance grants</w:t>
            </w:r>
          </w:p>
        </w:tc>
        <w:tc>
          <w:tcPr>
            <w:tcW w:w="1220" w:type="dxa"/>
            <w:tcBorders>
              <w:top w:val="nil"/>
              <w:left w:val="nil"/>
              <w:bottom w:val="nil"/>
              <w:right w:val="single" w:sz="4" w:space="0" w:color="auto"/>
            </w:tcBorders>
            <w:shd w:val="clear" w:color="auto" w:fill="auto"/>
            <w:vAlign w:val="center"/>
            <w:hideMark/>
          </w:tcPr>
          <w:p w14:paraId="7B0D603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w:t>
            </w:r>
          </w:p>
        </w:tc>
        <w:tc>
          <w:tcPr>
            <w:tcW w:w="1220" w:type="dxa"/>
            <w:tcBorders>
              <w:top w:val="nil"/>
              <w:left w:val="nil"/>
              <w:bottom w:val="nil"/>
              <w:right w:val="nil"/>
            </w:tcBorders>
            <w:shd w:val="clear" w:color="auto" w:fill="auto"/>
            <w:vAlign w:val="center"/>
            <w:hideMark/>
          </w:tcPr>
          <w:p w14:paraId="4B31325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p>
        </w:tc>
        <w:tc>
          <w:tcPr>
            <w:tcW w:w="1220" w:type="dxa"/>
            <w:tcBorders>
              <w:top w:val="nil"/>
              <w:left w:val="nil"/>
              <w:bottom w:val="nil"/>
              <w:right w:val="single" w:sz="4" w:space="0" w:color="auto"/>
            </w:tcBorders>
            <w:shd w:val="clear" w:color="auto" w:fill="auto"/>
            <w:vAlign w:val="center"/>
            <w:hideMark/>
          </w:tcPr>
          <w:p w14:paraId="3964FFF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w:t>
            </w:r>
          </w:p>
        </w:tc>
        <w:tc>
          <w:tcPr>
            <w:tcW w:w="1220" w:type="dxa"/>
            <w:tcBorders>
              <w:top w:val="nil"/>
              <w:left w:val="nil"/>
              <w:bottom w:val="nil"/>
              <w:right w:val="nil"/>
            </w:tcBorders>
            <w:shd w:val="clear" w:color="auto" w:fill="auto"/>
            <w:vAlign w:val="center"/>
            <w:hideMark/>
          </w:tcPr>
          <w:p w14:paraId="72BC375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p>
        </w:tc>
        <w:tc>
          <w:tcPr>
            <w:tcW w:w="1220" w:type="dxa"/>
            <w:tcBorders>
              <w:top w:val="nil"/>
              <w:left w:val="nil"/>
              <w:bottom w:val="nil"/>
              <w:right w:val="nil"/>
            </w:tcBorders>
            <w:shd w:val="clear" w:color="auto" w:fill="auto"/>
            <w:noWrap/>
            <w:vAlign w:val="bottom"/>
            <w:hideMark/>
          </w:tcPr>
          <w:p w14:paraId="39A4D110" w14:textId="77777777" w:rsidR="00154784" w:rsidRPr="00154784" w:rsidRDefault="00154784" w:rsidP="00154784">
            <w:pPr>
              <w:tabs>
                <w:tab w:val="clear" w:pos="567"/>
              </w:tabs>
              <w:spacing w:after="0" w:line="240" w:lineRule="auto"/>
              <w:jc w:val="right"/>
              <w:rPr>
                <w:rFonts w:ascii="Times New Roman" w:eastAsia="Times New Roman" w:hAnsi="Times New Roman" w:cs="Times New Roman"/>
                <w:sz w:val="20"/>
                <w:szCs w:val="20"/>
                <w:lang w:eastAsia="en-AU"/>
              </w:rPr>
            </w:pPr>
          </w:p>
        </w:tc>
      </w:tr>
      <w:tr w:rsidR="00154784" w:rsidRPr="00154784" w14:paraId="7A634290" w14:textId="77777777" w:rsidTr="00154784">
        <w:trPr>
          <w:trHeight w:val="315"/>
        </w:trPr>
        <w:tc>
          <w:tcPr>
            <w:tcW w:w="2860" w:type="dxa"/>
            <w:tcBorders>
              <w:top w:val="nil"/>
              <w:left w:val="nil"/>
              <w:bottom w:val="nil"/>
              <w:right w:val="nil"/>
            </w:tcBorders>
            <w:shd w:val="clear" w:color="auto" w:fill="auto"/>
            <w:noWrap/>
            <w:vAlign w:val="bottom"/>
            <w:hideMark/>
          </w:tcPr>
          <w:p w14:paraId="12689839"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General purpose</w:t>
            </w:r>
          </w:p>
        </w:tc>
        <w:tc>
          <w:tcPr>
            <w:tcW w:w="1220" w:type="dxa"/>
            <w:tcBorders>
              <w:top w:val="nil"/>
              <w:left w:val="nil"/>
              <w:bottom w:val="nil"/>
              <w:right w:val="single" w:sz="4" w:space="0" w:color="auto"/>
            </w:tcBorders>
            <w:shd w:val="clear" w:color="auto" w:fill="auto"/>
            <w:vAlign w:val="center"/>
            <w:hideMark/>
          </w:tcPr>
          <w:p w14:paraId="51A47E4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67</w:t>
            </w:r>
          </w:p>
        </w:tc>
        <w:tc>
          <w:tcPr>
            <w:tcW w:w="1220" w:type="dxa"/>
            <w:tcBorders>
              <w:top w:val="nil"/>
              <w:left w:val="nil"/>
              <w:bottom w:val="nil"/>
              <w:right w:val="nil"/>
            </w:tcBorders>
            <w:shd w:val="clear" w:color="auto" w:fill="auto"/>
            <w:vAlign w:val="center"/>
            <w:hideMark/>
          </w:tcPr>
          <w:p w14:paraId="2E8D43C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1 335</w:t>
            </w:r>
          </w:p>
        </w:tc>
        <w:tc>
          <w:tcPr>
            <w:tcW w:w="1220" w:type="dxa"/>
            <w:tcBorders>
              <w:top w:val="nil"/>
              <w:left w:val="nil"/>
              <w:bottom w:val="nil"/>
              <w:right w:val="single" w:sz="4" w:space="0" w:color="auto"/>
            </w:tcBorders>
            <w:shd w:val="clear" w:color="auto" w:fill="auto"/>
            <w:vAlign w:val="center"/>
            <w:hideMark/>
          </w:tcPr>
          <w:p w14:paraId="7C6E2F43"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2 343 708</w:t>
            </w:r>
          </w:p>
        </w:tc>
        <w:tc>
          <w:tcPr>
            <w:tcW w:w="1220" w:type="dxa"/>
            <w:tcBorders>
              <w:top w:val="nil"/>
              <w:left w:val="nil"/>
              <w:bottom w:val="nil"/>
              <w:right w:val="nil"/>
            </w:tcBorders>
            <w:shd w:val="clear" w:color="auto" w:fill="auto"/>
            <w:vAlign w:val="center"/>
            <w:hideMark/>
          </w:tcPr>
          <w:p w14:paraId="2A1814D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 1 335</w:t>
            </w:r>
          </w:p>
        </w:tc>
        <w:tc>
          <w:tcPr>
            <w:tcW w:w="1220" w:type="dxa"/>
            <w:tcBorders>
              <w:top w:val="nil"/>
              <w:left w:val="nil"/>
              <w:bottom w:val="nil"/>
              <w:right w:val="nil"/>
            </w:tcBorders>
            <w:shd w:val="clear" w:color="auto" w:fill="auto"/>
            <w:vAlign w:val="center"/>
            <w:hideMark/>
          </w:tcPr>
          <w:p w14:paraId="78E4BE3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2 343 708</w:t>
            </w:r>
          </w:p>
        </w:tc>
      </w:tr>
      <w:tr w:rsidR="00154784" w:rsidRPr="00154784" w14:paraId="7345952C" w14:textId="77777777" w:rsidTr="00154784">
        <w:trPr>
          <w:trHeight w:val="315"/>
        </w:trPr>
        <w:tc>
          <w:tcPr>
            <w:tcW w:w="2860" w:type="dxa"/>
            <w:tcBorders>
              <w:top w:val="nil"/>
              <w:left w:val="nil"/>
              <w:bottom w:val="nil"/>
              <w:right w:val="nil"/>
            </w:tcBorders>
            <w:shd w:val="clear" w:color="auto" w:fill="auto"/>
            <w:noWrap/>
            <w:vAlign w:val="bottom"/>
            <w:hideMark/>
          </w:tcPr>
          <w:p w14:paraId="4CFD79D6"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Local roads</w:t>
            </w:r>
          </w:p>
        </w:tc>
        <w:tc>
          <w:tcPr>
            <w:tcW w:w="1220" w:type="dxa"/>
            <w:tcBorders>
              <w:top w:val="nil"/>
              <w:left w:val="nil"/>
              <w:bottom w:val="nil"/>
              <w:right w:val="single" w:sz="4" w:space="0" w:color="auto"/>
            </w:tcBorders>
            <w:shd w:val="clear" w:color="auto" w:fill="auto"/>
            <w:vAlign w:val="center"/>
            <w:hideMark/>
          </w:tcPr>
          <w:p w14:paraId="3337D36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29</w:t>
            </w:r>
          </w:p>
        </w:tc>
        <w:tc>
          <w:tcPr>
            <w:tcW w:w="1220" w:type="dxa"/>
            <w:tcBorders>
              <w:top w:val="nil"/>
              <w:left w:val="nil"/>
              <w:bottom w:val="nil"/>
              <w:right w:val="nil"/>
            </w:tcBorders>
            <w:shd w:val="clear" w:color="auto" w:fill="auto"/>
            <w:vAlign w:val="center"/>
            <w:hideMark/>
          </w:tcPr>
          <w:p w14:paraId="7FB59C8F"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60</w:t>
            </w:r>
          </w:p>
        </w:tc>
        <w:tc>
          <w:tcPr>
            <w:tcW w:w="1220" w:type="dxa"/>
            <w:tcBorders>
              <w:top w:val="nil"/>
              <w:left w:val="nil"/>
              <w:bottom w:val="nil"/>
              <w:right w:val="single" w:sz="4" w:space="0" w:color="auto"/>
            </w:tcBorders>
            <w:shd w:val="clear" w:color="auto" w:fill="auto"/>
            <w:vAlign w:val="center"/>
            <w:hideMark/>
          </w:tcPr>
          <w:p w14:paraId="7544161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106 030</w:t>
            </w:r>
          </w:p>
        </w:tc>
        <w:tc>
          <w:tcPr>
            <w:tcW w:w="1220" w:type="dxa"/>
            <w:tcBorders>
              <w:top w:val="nil"/>
              <w:left w:val="nil"/>
              <w:bottom w:val="nil"/>
              <w:right w:val="nil"/>
            </w:tcBorders>
            <w:shd w:val="clear" w:color="auto" w:fill="auto"/>
            <w:vAlign w:val="center"/>
            <w:hideMark/>
          </w:tcPr>
          <w:p w14:paraId="5010E2E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 60</w:t>
            </w:r>
          </w:p>
        </w:tc>
        <w:tc>
          <w:tcPr>
            <w:tcW w:w="1220" w:type="dxa"/>
            <w:tcBorders>
              <w:top w:val="nil"/>
              <w:left w:val="nil"/>
              <w:bottom w:val="nil"/>
              <w:right w:val="nil"/>
            </w:tcBorders>
            <w:shd w:val="clear" w:color="auto" w:fill="auto"/>
            <w:vAlign w:val="center"/>
            <w:hideMark/>
          </w:tcPr>
          <w:p w14:paraId="32DD6A5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106 030</w:t>
            </w:r>
          </w:p>
        </w:tc>
      </w:tr>
      <w:tr w:rsidR="00154784" w:rsidRPr="00154784" w14:paraId="309DA293" w14:textId="77777777" w:rsidTr="00154784">
        <w:trPr>
          <w:trHeight w:val="315"/>
        </w:trPr>
        <w:tc>
          <w:tcPr>
            <w:tcW w:w="2860" w:type="dxa"/>
            <w:tcBorders>
              <w:top w:val="nil"/>
              <w:left w:val="nil"/>
              <w:bottom w:val="nil"/>
              <w:right w:val="nil"/>
            </w:tcBorders>
            <w:shd w:val="clear" w:color="auto" w:fill="auto"/>
            <w:noWrap/>
            <w:vAlign w:val="bottom"/>
            <w:hideMark/>
          </w:tcPr>
          <w:p w14:paraId="4F78A5B4"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Other grant support</w:t>
            </w:r>
          </w:p>
        </w:tc>
        <w:tc>
          <w:tcPr>
            <w:tcW w:w="1220" w:type="dxa"/>
            <w:tcBorders>
              <w:top w:val="nil"/>
              <w:left w:val="nil"/>
              <w:bottom w:val="nil"/>
              <w:right w:val="single" w:sz="4" w:space="0" w:color="auto"/>
            </w:tcBorders>
            <w:shd w:val="clear" w:color="auto" w:fill="auto"/>
            <w:vAlign w:val="center"/>
            <w:hideMark/>
          </w:tcPr>
          <w:p w14:paraId="6279D9CF"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w:t>
            </w:r>
          </w:p>
        </w:tc>
        <w:tc>
          <w:tcPr>
            <w:tcW w:w="1220" w:type="dxa"/>
            <w:tcBorders>
              <w:top w:val="nil"/>
              <w:left w:val="nil"/>
              <w:bottom w:val="nil"/>
              <w:right w:val="nil"/>
            </w:tcBorders>
            <w:shd w:val="clear" w:color="auto" w:fill="auto"/>
            <w:vAlign w:val="center"/>
            <w:hideMark/>
          </w:tcPr>
          <w:p w14:paraId="77A5B7D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p>
        </w:tc>
        <w:tc>
          <w:tcPr>
            <w:tcW w:w="1220" w:type="dxa"/>
            <w:tcBorders>
              <w:top w:val="nil"/>
              <w:left w:val="nil"/>
              <w:bottom w:val="nil"/>
              <w:right w:val="single" w:sz="4" w:space="0" w:color="auto"/>
            </w:tcBorders>
            <w:shd w:val="clear" w:color="auto" w:fill="auto"/>
            <w:vAlign w:val="center"/>
            <w:hideMark/>
          </w:tcPr>
          <w:p w14:paraId="2B8B4EB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vAlign w:val="center"/>
            <w:hideMark/>
          </w:tcPr>
          <w:p w14:paraId="1A57633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vAlign w:val="center"/>
            <w:hideMark/>
          </w:tcPr>
          <w:p w14:paraId="25866A0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0A7DB675" w14:textId="77777777" w:rsidTr="00154784">
        <w:trPr>
          <w:trHeight w:val="315"/>
        </w:trPr>
        <w:tc>
          <w:tcPr>
            <w:tcW w:w="2860" w:type="dxa"/>
            <w:tcBorders>
              <w:top w:val="nil"/>
              <w:left w:val="nil"/>
              <w:bottom w:val="nil"/>
              <w:right w:val="nil"/>
            </w:tcBorders>
            <w:shd w:val="clear" w:color="auto" w:fill="auto"/>
            <w:noWrap/>
            <w:vAlign w:val="bottom"/>
            <w:hideMark/>
          </w:tcPr>
          <w:p w14:paraId="2A729EB2"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Commonwealth</w:t>
            </w:r>
          </w:p>
        </w:tc>
        <w:tc>
          <w:tcPr>
            <w:tcW w:w="1220" w:type="dxa"/>
            <w:tcBorders>
              <w:top w:val="nil"/>
              <w:left w:val="nil"/>
              <w:bottom w:val="nil"/>
              <w:right w:val="single" w:sz="4" w:space="0" w:color="auto"/>
            </w:tcBorders>
            <w:shd w:val="clear" w:color="auto" w:fill="auto"/>
            <w:noWrap/>
            <w:vAlign w:val="bottom"/>
            <w:hideMark/>
          </w:tcPr>
          <w:p w14:paraId="0A3EDC7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41</w:t>
            </w:r>
          </w:p>
        </w:tc>
        <w:tc>
          <w:tcPr>
            <w:tcW w:w="1220" w:type="dxa"/>
            <w:tcBorders>
              <w:top w:val="nil"/>
              <w:left w:val="nil"/>
              <w:bottom w:val="nil"/>
              <w:right w:val="nil"/>
            </w:tcBorders>
            <w:shd w:val="clear" w:color="auto" w:fill="auto"/>
            <w:noWrap/>
            <w:vAlign w:val="bottom"/>
            <w:hideMark/>
          </w:tcPr>
          <w:p w14:paraId="289CBE3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38</w:t>
            </w:r>
          </w:p>
        </w:tc>
        <w:tc>
          <w:tcPr>
            <w:tcW w:w="1220" w:type="dxa"/>
            <w:tcBorders>
              <w:top w:val="nil"/>
              <w:left w:val="nil"/>
              <w:bottom w:val="nil"/>
              <w:right w:val="single" w:sz="4" w:space="0" w:color="auto"/>
            </w:tcBorders>
            <w:shd w:val="clear" w:color="auto" w:fill="auto"/>
            <w:noWrap/>
            <w:vAlign w:val="bottom"/>
            <w:hideMark/>
          </w:tcPr>
          <w:p w14:paraId="2039F68F"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67 500</w:t>
            </w:r>
          </w:p>
        </w:tc>
        <w:tc>
          <w:tcPr>
            <w:tcW w:w="1220" w:type="dxa"/>
            <w:tcBorders>
              <w:top w:val="nil"/>
              <w:left w:val="nil"/>
              <w:bottom w:val="nil"/>
              <w:right w:val="nil"/>
            </w:tcBorders>
            <w:shd w:val="clear" w:color="auto" w:fill="auto"/>
            <w:noWrap/>
            <w:vAlign w:val="bottom"/>
            <w:hideMark/>
          </w:tcPr>
          <w:p w14:paraId="6AB496B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 38</w:t>
            </w:r>
          </w:p>
        </w:tc>
        <w:tc>
          <w:tcPr>
            <w:tcW w:w="1220" w:type="dxa"/>
            <w:tcBorders>
              <w:top w:val="nil"/>
              <w:left w:val="nil"/>
              <w:bottom w:val="nil"/>
              <w:right w:val="nil"/>
            </w:tcBorders>
            <w:shd w:val="clear" w:color="auto" w:fill="auto"/>
            <w:noWrap/>
            <w:vAlign w:val="bottom"/>
            <w:hideMark/>
          </w:tcPr>
          <w:p w14:paraId="2D07420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67 500</w:t>
            </w:r>
          </w:p>
        </w:tc>
      </w:tr>
      <w:tr w:rsidR="00154784" w:rsidRPr="00154784" w14:paraId="545DACC0" w14:textId="77777777" w:rsidTr="00154784">
        <w:trPr>
          <w:trHeight w:val="315"/>
        </w:trPr>
        <w:tc>
          <w:tcPr>
            <w:tcW w:w="2860" w:type="dxa"/>
            <w:tcBorders>
              <w:top w:val="nil"/>
              <w:left w:val="nil"/>
              <w:bottom w:val="nil"/>
              <w:right w:val="nil"/>
            </w:tcBorders>
            <w:shd w:val="clear" w:color="auto" w:fill="auto"/>
            <w:noWrap/>
            <w:vAlign w:val="bottom"/>
            <w:hideMark/>
          </w:tcPr>
          <w:p w14:paraId="13CD4FCB"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State</w:t>
            </w:r>
          </w:p>
        </w:tc>
        <w:tc>
          <w:tcPr>
            <w:tcW w:w="1220" w:type="dxa"/>
            <w:tcBorders>
              <w:top w:val="nil"/>
              <w:left w:val="nil"/>
              <w:bottom w:val="nil"/>
              <w:right w:val="single" w:sz="4" w:space="0" w:color="auto"/>
            </w:tcBorders>
            <w:shd w:val="clear" w:color="auto" w:fill="auto"/>
            <w:noWrap/>
            <w:vAlign w:val="bottom"/>
            <w:hideMark/>
          </w:tcPr>
          <w:p w14:paraId="467AD57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124</w:t>
            </w:r>
          </w:p>
        </w:tc>
        <w:tc>
          <w:tcPr>
            <w:tcW w:w="1220" w:type="dxa"/>
            <w:tcBorders>
              <w:top w:val="nil"/>
              <w:left w:val="nil"/>
              <w:bottom w:val="nil"/>
              <w:right w:val="nil"/>
            </w:tcBorders>
            <w:shd w:val="clear" w:color="auto" w:fill="auto"/>
            <w:noWrap/>
            <w:vAlign w:val="bottom"/>
            <w:hideMark/>
          </w:tcPr>
          <w:p w14:paraId="715B40D1"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131</w:t>
            </w:r>
          </w:p>
        </w:tc>
        <w:tc>
          <w:tcPr>
            <w:tcW w:w="1220" w:type="dxa"/>
            <w:tcBorders>
              <w:top w:val="nil"/>
              <w:left w:val="nil"/>
              <w:bottom w:val="nil"/>
              <w:right w:val="single" w:sz="4" w:space="0" w:color="auto"/>
            </w:tcBorders>
            <w:shd w:val="clear" w:color="auto" w:fill="auto"/>
            <w:noWrap/>
            <w:vAlign w:val="bottom"/>
            <w:hideMark/>
          </w:tcPr>
          <w:p w14:paraId="54D279E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229 585</w:t>
            </w:r>
          </w:p>
        </w:tc>
        <w:tc>
          <w:tcPr>
            <w:tcW w:w="1220" w:type="dxa"/>
            <w:tcBorders>
              <w:top w:val="nil"/>
              <w:left w:val="nil"/>
              <w:bottom w:val="nil"/>
              <w:right w:val="nil"/>
            </w:tcBorders>
            <w:shd w:val="clear" w:color="auto" w:fill="auto"/>
            <w:noWrap/>
            <w:vAlign w:val="bottom"/>
            <w:hideMark/>
          </w:tcPr>
          <w:p w14:paraId="299C576F"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noWrap/>
            <w:vAlign w:val="bottom"/>
            <w:hideMark/>
          </w:tcPr>
          <w:p w14:paraId="6DD30B1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 0</w:t>
            </w:r>
          </w:p>
        </w:tc>
      </w:tr>
      <w:tr w:rsidR="00154784" w:rsidRPr="00154784" w14:paraId="679CE069" w14:textId="77777777" w:rsidTr="00154784">
        <w:trPr>
          <w:trHeight w:val="315"/>
        </w:trPr>
        <w:tc>
          <w:tcPr>
            <w:tcW w:w="2860" w:type="dxa"/>
            <w:tcBorders>
              <w:top w:val="nil"/>
              <w:left w:val="nil"/>
              <w:bottom w:val="single" w:sz="4" w:space="0" w:color="auto"/>
              <w:right w:val="nil"/>
            </w:tcBorders>
            <w:shd w:val="clear" w:color="auto" w:fill="auto"/>
            <w:noWrap/>
            <w:vAlign w:val="bottom"/>
            <w:hideMark/>
          </w:tcPr>
          <w:p w14:paraId="28B92688"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Total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207EEA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262</w:t>
            </w:r>
          </w:p>
        </w:tc>
        <w:tc>
          <w:tcPr>
            <w:tcW w:w="1220" w:type="dxa"/>
            <w:tcBorders>
              <w:top w:val="single" w:sz="4" w:space="0" w:color="auto"/>
              <w:left w:val="nil"/>
              <w:bottom w:val="single" w:sz="4" w:space="0" w:color="auto"/>
              <w:right w:val="nil"/>
            </w:tcBorders>
            <w:shd w:val="clear" w:color="auto" w:fill="auto"/>
            <w:noWrap/>
            <w:vAlign w:val="bottom"/>
            <w:hideMark/>
          </w:tcPr>
          <w:p w14:paraId="655B157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1 564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2537B2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2 746 823</w:t>
            </w:r>
          </w:p>
        </w:tc>
        <w:tc>
          <w:tcPr>
            <w:tcW w:w="1220" w:type="dxa"/>
            <w:tcBorders>
              <w:top w:val="single" w:sz="4" w:space="0" w:color="auto"/>
              <w:left w:val="nil"/>
              <w:bottom w:val="single" w:sz="4" w:space="0" w:color="auto"/>
              <w:right w:val="nil"/>
            </w:tcBorders>
            <w:shd w:val="clear" w:color="auto" w:fill="auto"/>
            <w:noWrap/>
            <w:vAlign w:val="bottom"/>
            <w:hideMark/>
          </w:tcPr>
          <w:p w14:paraId="07A869D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 1 434</w:t>
            </w:r>
          </w:p>
        </w:tc>
        <w:tc>
          <w:tcPr>
            <w:tcW w:w="1220" w:type="dxa"/>
            <w:tcBorders>
              <w:top w:val="single" w:sz="4" w:space="0" w:color="auto"/>
              <w:left w:val="nil"/>
              <w:bottom w:val="single" w:sz="4" w:space="0" w:color="auto"/>
              <w:right w:val="nil"/>
            </w:tcBorders>
            <w:shd w:val="clear" w:color="auto" w:fill="auto"/>
            <w:noWrap/>
            <w:vAlign w:val="bottom"/>
            <w:hideMark/>
          </w:tcPr>
          <w:p w14:paraId="62F18C3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2 517 238</w:t>
            </w:r>
          </w:p>
        </w:tc>
      </w:tr>
      <w:tr w:rsidR="00154784" w:rsidRPr="00154784" w14:paraId="0FE96EE0" w14:textId="77777777" w:rsidTr="00154784">
        <w:trPr>
          <w:trHeight w:val="315"/>
        </w:trPr>
        <w:tc>
          <w:tcPr>
            <w:tcW w:w="2860" w:type="dxa"/>
            <w:tcBorders>
              <w:top w:val="nil"/>
              <w:left w:val="nil"/>
              <w:bottom w:val="nil"/>
              <w:right w:val="nil"/>
            </w:tcBorders>
            <w:shd w:val="clear" w:color="auto" w:fill="auto"/>
            <w:noWrap/>
            <w:vAlign w:val="bottom"/>
            <w:hideMark/>
          </w:tcPr>
          <w:p w14:paraId="085A127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p>
        </w:tc>
        <w:tc>
          <w:tcPr>
            <w:tcW w:w="1220" w:type="dxa"/>
            <w:tcBorders>
              <w:top w:val="nil"/>
              <w:left w:val="nil"/>
              <w:bottom w:val="nil"/>
              <w:right w:val="single" w:sz="4" w:space="0" w:color="auto"/>
            </w:tcBorders>
            <w:shd w:val="clear" w:color="auto" w:fill="auto"/>
            <w:noWrap/>
            <w:vAlign w:val="bottom"/>
            <w:hideMark/>
          </w:tcPr>
          <w:p w14:paraId="0282E514"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w:t>
            </w:r>
          </w:p>
        </w:tc>
        <w:tc>
          <w:tcPr>
            <w:tcW w:w="1220" w:type="dxa"/>
            <w:tcBorders>
              <w:top w:val="nil"/>
              <w:left w:val="nil"/>
              <w:bottom w:val="nil"/>
              <w:right w:val="nil"/>
            </w:tcBorders>
            <w:shd w:val="clear" w:color="auto" w:fill="auto"/>
            <w:noWrap/>
            <w:vAlign w:val="bottom"/>
            <w:hideMark/>
          </w:tcPr>
          <w:p w14:paraId="729AEA2F"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p>
        </w:tc>
        <w:tc>
          <w:tcPr>
            <w:tcW w:w="1220" w:type="dxa"/>
            <w:tcBorders>
              <w:top w:val="nil"/>
              <w:left w:val="nil"/>
              <w:bottom w:val="nil"/>
              <w:right w:val="single" w:sz="4" w:space="0" w:color="auto"/>
            </w:tcBorders>
            <w:shd w:val="clear" w:color="auto" w:fill="auto"/>
            <w:noWrap/>
            <w:vAlign w:val="bottom"/>
            <w:hideMark/>
          </w:tcPr>
          <w:p w14:paraId="3C16F693"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noWrap/>
            <w:vAlign w:val="bottom"/>
            <w:hideMark/>
          </w:tcPr>
          <w:p w14:paraId="57FE4CB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noWrap/>
            <w:vAlign w:val="bottom"/>
            <w:hideMark/>
          </w:tcPr>
          <w:p w14:paraId="51D267E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4585CB86" w14:textId="77777777" w:rsidTr="00154784">
        <w:trPr>
          <w:trHeight w:val="315"/>
        </w:trPr>
        <w:tc>
          <w:tcPr>
            <w:tcW w:w="2860" w:type="dxa"/>
            <w:tcBorders>
              <w:top w:val="nil"/>
              <w:left w:val="nil"/>
              <w:bottom w:val="nil"/>
              <w:right w:val="nil"/>
            </w:tcBorders>
            <w:shd w:val="clear" w:color="auto" w:fill="auto"/>
            <w:noWrap/>
            <w:vAlign w:val="bottom"/>
            <w:hideMark/>
          </w:tcPr>
          <w:p w14:paraId="094F4C50"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Own source revenue</w:t>
            </w:r>
          </w:p>
        </w:tc>
        <w:tc>
          <w:tcPr>
            <w:tcW w:w="1220" w:type="dxa"/>
            <w:tcBorders>
              <w:top w:val="nil"/>
              <w:left w:val="nil"/>
              <w:bottom w:val="nil"/>
              <w:right w:val="single" w:sz="4" w:space="0" w:color="auto"/>
            </w:tcBorders>
            <w:shd w:val="clear" w:color="auto" w:fill="auto"/>
            <w:noWrap/>
            <w:vAlign w:val="bottom"/>
            <w:hideMark/>
          </w:tcPr>
          <w:p w14:paraId="422F50BC"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w:t>
            </w:r>
          </w:p>
        </w:tc>
        <w:tc>
          <w:tcPr>
            <w:tcW w:w="1220" w:type="dxa"/>
            <w:tcBorders>
              <w:top w:val="nil"/>
              <w:left w:val="nil"/>
              <w:bottom w:val="nil"/>
              <w:right w:val="nil"/>
            </w:tcBorders>
            <w:shd w:val="clear" w:color="auto" w:fill="auto"/>
            <w:noWrap/>
            <w:vAlign w:val="bottom"/>
            <w:hideMark/>
          </w:tcPr>
          <w:p w14:paraId="2C391490"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p>
        </w:tc>
        <w:tc>
          <w:tcPr>
            <w:tcW w:w="1220" w:type="dxa"/>
            <w:tcBorders>
              <w:top w:val="nil"/>
              <w:left w:val="nil"/>
              <w:bottom w:val="nil"/>
              <w:right w:val="single" w:sz="4" w:space="0" w:color="auto"/>
            </w:tcBorders>
            <w:shd w:val="clear" w:color="auto" w:fill="auto"/>
            <w:noWrap/>
            <w:vAlign w:val="bottom"/>
            <w:hideMark/>
          </w:tcPr>
          <w:p w14:paraId="24D6B11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noWrap/>
            <w:vAlign w:val="bottom"/>
            <w:hideMark/>
          </w:tcPr>
          <w:p w14:paraId="5B5515A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noWrap/>
            <w:vAlign w:val="bottom"/>
            <w:hideMark/>
          </w:tcPr>
          <w:p w14:paraId="6A2C6E0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472683BF" w14:textId="77777777" w:rsidTr="00154784">
        <w:trPr>
          <w:trHeight w:val="315"/>
        </w:trPr>
        <w:tc>
          <w:tcPr>
            <w:tcW w:w="2860" w:type="dxa"/>
            <w:tcBorders>
              <w:top w:val="nil"/>
              <w:left w:val="nil"/>
              <w:bottom w:val="nil"/>
              <w:right w:val="nil"/>
            </w:tcBorders>
            <w:shd w:val="clear" w:color="auto" w:fill="auto"/>
            <w:noWrap/>
            <w:vAlign w:val="bottom"/>
            <w:hideMark/>
          </w:tcPr>
          <w:p w14:paraId="38DDAA5F"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Municipal rates</w:t>
            </w:r>
          </w:p>
        </w:tc>
        <w:tc>
          <w:tcPr>
            <w:tcW w:w="1220" w:type="dxa"/>
            <w:tcBorders>
              <w:top w:val="nil"/>
              <w:left w:val="nil"/>
              <w:bottom w:val="nil"/>
              <w:right w:val="single" w:sz="4" w:space="0" w:color="auto"/>
            </w:tcBorders>
            <w:shd w:val="clear" w:color="auto" w:fill="auto"/>
            <w:noWrap/>
            <w:vAlign w:val="bottom"/>
            <w:hideMark/>
          </w:tcPr>
          <w:p w14:paraId="2ADDDE6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739</w:t>
            </w:r>
          </w:p>
        </w:tc>
        <w:tc>
          <w:tcPr>
            <w:tcW w:w="1220" w:type="dxa"/>
            <w:tcBorders>
              <w:top w:val="nil"/>
              <w:left w:val="nil"/>
              <w:bottom w:val="nil"/>
              <w:right w:val="nil"/>
            </w:tcBorders>
            <w:shd w:val="clear" w:color="auto" w:fill="auto"/>
            <w:noWrap/>
            <w:vAlign w:val="bottom"/>
            <w:hideMark/>
          </w:tcPr>
          <w:p w14:paraId="1CAA9BE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894</w:t>
            </w:r>
          </w:p>
        </w:tc>
        <w:tc>
          <w:tcPr>
            <w:tcW w:w="1220" w:type="dxa"/>
            <w:tcBorders>
              <w:top w:val="nil"/>
              <w:left w:val="nil"/>
              <w:bottom w:val="nil"/>
              <w:right w:val="single" w:sz="4" w:space="0" w:color="auto"/>
            </w:tcBorders>
            <w:shd w:val="clear" w:color="auto" w:fill="auto"/>
            <w:noWrap/>
            <w:vAlign w:val="bottom"/>
            <w:hideMark/>
          </w:tcPr>
          <w:p w14:paraId="582B5EA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1 569 962</w:t>
            </w:r>
          </w:p>
        </w:tc>
        <w:tc>
          <w:tcPr>
            <w:tcW w:w="1220" w:type="dxa"/>
            <w:tcBorders>
              <w:top w:val="nil"/>
              <w:left w:val="nil"/>
              <w:bottom w:val="nil"/>
              <w:right w:val="nil"/>
            </w:tcBorders>
            <w:shd w:val="clear" w:color="auto" w:fill="auto"/>
            <w:noWrap/>
            <w:vAlign w:val="bottom"/>
            <w:hideMark/>
          </w:tcPr>
          <w:p w14:paraId="12DC25C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  694</w:t>
            </w:r>
          </w:p>
        </w:tc>
        <w:tc>
          <w:tcPr>
            <w:tcW w:w="1220" w:type="dxa"/>
            <w:tcBorders>
              <w:top w:val="nil"/>
              <w:left w:val="nil"/>
              <w:bottom w:val="nil"/>
              <w:right w:val="nil"/>
            </w:tcBorders>
            <w:shd w:val="clear" w:color="auto" w:fill="auto"/>
            <w:noWrap/>
            <w:vAlign w:val="bottom"/>
            <w:hideMark/>
          </w:tcPr>
          <w:p w14:paraId="22A24B11"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1 217 982</w:t>
            </w:r>
          </w:p>
        </w:tc>
      </w:tr>
      <w:tr w:rsidR="00154784" w:rsidRPr="00154784" w14:paraId="13D808E1" w14:textId="77777777" w:rsidTr="00154784">
        <w:trPr>
          <w:trHeight w:val="315"/>
        </w:trPr>
        <w:tc>
          <w:tcPr>
            <w:tcW w:w="2860" w:type="dxa"/>
            <w:tcBorders>
              <w:top w:val="nil"/>
              <w:left w:val="nil"/>
              <w:bottom w:val="nil"/>
              <w:right w:val="nil"/>
            </w:tcBorders>
            <w:shd w:val="clear" w:color="auto" w:fill="auto"/>
            <w:noWrap/>
            <w:vAlign w:val="bottom"/>
            <w:hideMark/>
          </w:tcPr>
          <w:p w14:paraId="2B99158C"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User charges</w:t>
            </w:r>
          </w:p>
        </w:tc>
        <w:tc>
          <w:tcPr>
            <w:tcW w:w="1220" w:type="dxa"/>
            <w:tcBorders>
              <w:top w:val="nil"/>
              <w:left w:val="nil"/>
              <w:bottom w:val="nil"/>
              <w:right w:val="single" w:sz="4" w:space="0" w:color="auto"/>
            </w:tcBorders>
            <w:shd w:val="clear" w:color="auto" w:fill="auto"/>
            <w:noWrap/>
            <w:vAlign w:val="bottom"/>
            <w:hideMark/>
          </w:tcPr>
          <w:p w14:paraId="2ADC699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519</w:t>
            </w:r>
          </w:p>
        </w:tc>
        <w:tc>
          <w:tcPr>
            <w:tcW w:w="1220" w:type="dxa"/>
            <w:tcBorders>
              <w:top w:val="nil"/>
              <w:left w:val="nil"/>
              <w:bottom w:val="nil"/>
              <w:right w:val="nil"/>
            </w:tcBorders>
            <w:shd w:val="clear" w:color="auto" w:fill="auto"/>
            <w:noWrap/>
            <w:vAlign w:val="bottom"/>
            <w:hideMark/>
          </w:tcPr>
          <w:p w14:paraId="64CA7AA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339</w:t>
            </w:r>
          </w:p>
        </w:tc>
        <w:tc>
          <w:tcPr>
            <w:tcW w:w="1220" w:type="dxa"/>
            <w:tcBorders>
              <w:top w:val="nil"/>
              <w:left w:val="nil"/>
              <w:bottom w:val="nil"/>
              <w:right w:val="single" w:sz="4" w:space="0" w:color="auto"/>
            </w:tcBorders>
            <w:shd w:val="clear" w:color="auto" w:fill="auto"/>
            <w:noWrap/>
            <w:vAlign w:val="bottom"/>
            <w:hideMark/>
          </w:tcPr>
          <w:p w14:paraId="46D01B21"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595 193</w:t>
            </w:r>
          </w:p>
        </w:tc>
        <w:tc>
          <w:tcPr>
            <w:tcW w:w="1220" w:type="dxa"/>
            <w:tcBorders>
              <w:top w:val="nil"/>
              <w:left w:val="nil"/>
              <w:bottom w:val="nil"/>
              <w:right w:val="nil"/>
            </w:tcBorders>
            <w:shd w:val="clear" w:color="auto" w:fill="auto"/>
            <w:noWrap/>
            <w:vAlign w:val="bottom"/>
            <w:hideMark/>
          </w:tcPr>
          <w:p w14:paraId="38AD9F4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  571</w:t>
            </w:r>
          </w:p>
        </w:tc>
        <w:tc>
          <w:tcPr>
            <w:tcW w:w="1220" w:type="dxa"/>
            <w:tcBorders>
              <w:top w:val="nil"/>
              <w:left w:val="nil"/>
              <w:bottom w:val="nil"/>
              <w:right w:val="nil"/>
            </w:tcBorders>
            <w:shd w:val="clear" w:color="auto" w:fill="auto"/>
            <w:noWrap/>
            <w:vAlign w:val="bottom"/>
            <w:hideMark/>
          </w:tcPr>
          <w:p w14:paraId="77C3210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1 003 007</w:t>
            </w:r>
          </w:p>
        </w:tc>
      </w:tr>
      <w:tr w:rsidR="00154784" w:rsidRPr="00154784" w14:paraId="2FE149E9" w14:textId="77777777" w:rsidTr="00154784">
        <w:trPr>
          <w:trHeight w:val="315"/>
        </w:trPr>
        <w:tc>
          <w:tcPr>
            <w:tcW w:w="2860" w:type="dxa"/>
            <w:tcBorders>
              <w:top w:val="nil"/>
              <w:left w:val="nil"/>
              <w:bottom w:val="nil"/>
              <w:right w:val="nil"/>
            </w:tcBorders>
            <w:shd w:val="clear" w:color="auto" w:fill="auto"/>
            <w:noWrap/>
            <w:vAlign w:val="bottom"/>
            <w:hideMark/>
          </w:tcPr>
          <w:p w14:paraId="61D95DB4"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Contribution from GBEs</w:t>
            </w:r>
          </w:p>
        </w:tc>
        <w:tc>
          <w:tcPr>
            <w:tcW w:w="1220" w:type="dxa"/>
            <w:tcBorders>
              <w:top w:val="nil"/>
              <w:left w:val="nil"/>
              <w:bottom w:val="nil"/>
              <w:right w:val="single" w:sz="4" w:space="0" w:color="auto"/>
            </w:tcBorders>
            <w:shd w:val="clear" w:color="auto" w:fill="auto"/>
            <w:noWrap/>
            <w:vAlign w:val="bottom"/>
            <w:hideMark/>
          </w:tcPr>
          <w:p w14:paraId="6AECA48B"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w:t>
            </w:r>
          </w:p>
        </w:tc>
        <w:tc>
          <w:tcPr>
            <w:tcW w:w="1220" w:type="dxa"/>
            <w:tcBorders>
              <w:top w:val="nil"/>
              <w:left w:val="nil"/>
              <w:bottom w:val="nil"/>
              <w:right w:val="nil"/>
            </w:tcBorders>
            <w:shd w:val="clear" w:color="auto" w:fill="auto"/>
            <w:noWrap/>
            <w:vAlign w:val="bottom"/>
            <w:hideMark/>
          </w:tcPr>
          <w:p w14:paraId="137166C1"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p>
        </w:tc>
        <w:tc>
          <w:tcPr>
            <w:tcW w:w="1220" w:type="dxa"/>
            <w:tcBorders>
              <w:top w:val="nil"/>
              <w:left w:val="nil"/>
              <w:bottom w:val="nil"/>
              <w:right w:val="single" w:sz="4" w:space="0" w:color="auto"/>
            </w:tcBorders>
            <w:shd w:val="clear" w:color="auto" w:fill="auto"/>
            <w:noWrap/>
            <w:vAlign w:val="bottom"/>
            <w:hideMark/>
          </w:tcPr>
          <w:p w14:paraId="007FB024"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noWrap/>
            <w:vAlign w:val="bottom"/>
            <w:hideMark/>
          </w:tcPr>
          <w:p w14:paraId="3D950721"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noWrap/>
            <w:vAlign w:val="bottom"/>
            <w:hideMark/>
          </w:tcPr>
          <w:p w14:paraId="193F63B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608D25C9" w14:textId="77777777" w:rsidTr="00154784">
        <w:trPr>
          <w:trHeight w:val="315"/>
        </w:trPr>
        <w:tc>
          <w:tcPr>
            <w:tcW w:w="2860" w:type="dxa"/>
            <w:tcBorders>
              <w:top w:val="nil"/>
              <w:left w:val="nil"/>
              <w:bottom w:val="nil"/>
              <w:right w:val="nil"/>
            </w:tcBorders>
            <w:shd w:val="clear" w:color="auto" w:fill="auto"/>
            <w:noWrap/>
            <w:vAlign w:val="bottom"/>
            <w:hideMark/>
          </w:tcPr>
          <w:p w14:paraId="70DD2EBB" w14:textId="77777777" w:rsidR="00154784" w:rsidRPr="00154784" w:rsidRDefault="00154784" w:rsidP="00154784">
            <w:pPr>
              <w:tabs>
                <w:tab w:val="clear" w:pos="567"/>
              </w:tabs>
              <w:spacing w:after="0" w:line="240" w:lineRule="auto"/>
              <w:ind w:firstLineChars="200" w:firstLine="4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Liquor Bond</w:t>
            </w:r>
          </w:p>
        </w:tc>
        <w:tc>
          <w:tcPr>
            <w:tcW w:w="1220" w:type="dxa"/>
            <w:tcBorders>
              <w:top w:val="nil"/>
              <w:left w:val="nil"/>
              <w:bottom w:val="nil"/>
              <w:right w:val="single" w:sz="4" w:space="0" w:color="auto"/>
            </w:tcBorders>
            <w:shd w:val="clear" w:color="auto" w:fill="auto"/>
            <w:noWrap/>
            <w:vAlign w:val="bottom"/>
            <w:hideMark/>
          </w:tcPr>
          <w:p w14:paraId="7056B9E3"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noWrap/>
            <w:vAlign w:val="bottom"/>
            <w:hideMark/>
          </w:tcPr>
          <w:p w14:paraId="4A26205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1 339</w:t>
            </w:r>
          </w:p>
        </w:tc>
        <w:tc>
          <w:tcPr>
            <w:tcW w:w="1220" w:type="dxa"/>
            <w:tcBorders>
              <w:top w:val="nil"/>
              <w:left w:val="nil"/>
              <w:bottom w:val="nil"/>
              <w:right w:val="single" w:sz="4" w:space="0" w:color="auto"/>
            </w:tcBorders>
            <w:shd w:val="clear" w:color="auto" w:fill="auto"/>
            <w:noWrap/>
            <w:vAlign w:val="bottom"/>
            <w:hideMark/>
          </w:tcPr>
          <w:p w14:paraId="33B3929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2 351 044</w:t>
            </w:r>
          </w:p>
        </w:tc>
        <w:tc>
          <w:tcPr>
            <w:tcW w:w="1220" w:type="dxa"/>
            <w:tcBorders>
              <w:top w:val="nil"/>
              <w:left w:val="nil"/>
              <w:bottom w:val="nil"/>
              <w:right w:val="nil"/>
            </w:tcBorders>
            <w:shd w:val="clear" w:color="auto" w:fill="auto"/>
            <w:noWrap/>
            <w:vAlign w:val="bottom"/>
            <w:hideMark/>
          </w:tcPr>
          <w:p w14:paraId="0B0B23F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 1 339</w:t>
            </w:r>
          </w:p>
        </w:tc>
        <w:tc>
          <w:tcPr>
            <w:tcW w:w="1220" w:type="dxa"/>
            <w:tcBorders>
              <w:top w:val="nil"/>
              <w:left w:val="nil"/>
              <w:bottom w:val="nil"/>
              <w:right w:val="nil"/>
            </w:tcBorders>
            <w:shd w:val="clear" w:color="auto" w:fill="auto"/>
            <w:noWrap/>
            <w:vAlign w:val="bottom"/>
            <w:hideMark/>
          </w:tcPr>
          <w:p w14:paraId="456F794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2 351 044</w:t>
            </w:r>
          </w:p>
        </w:tc>
      </w:tr>
      <w:tr w:rsidR="00154784" w:rsidRPr="00154784" w14:paraId="7289F609" w14:textId="77777777" w:rsidTr="00154784">
        <w:trPr>
          <w:trHeight w:val="315"/>
        </w:trPr>
        <w:tc>
          <w:tcPr>
            <w:tcW w:w="2860" w:type="dxa"/>
            <w:tcBorders>
              <w:top w:val="nil"/>
              <w:left w:val="nil"/>
              <w:bottom w:val="nil"/>
              <w:right w:val="nil"/>
            </w:tcBorders>
            <w:shd w:val="clear" w:color="auto" w:fill="auto"/>
            <w:noWrap/>
            <w:vAlign w:val="bottom"/>
            <w:hideMark/>
          </w:tcPr>
          <w:p w14:paraId="21EF6D4F" w14:textId="77777777" w:rsidR="00154784" w:rsidRPr="00154784" w:rsidRDefault="00154784" w:rsidP="00154784">
            <w:pPr>
              <w:tabs>
                <w:tab w:val="clear" w:pos="567"/>
              </w:tabs>
              <w:spacing w:after="0" w:line="240" w:lineRule="auto"/>
              <w:ind w:firstLineChars="200" w:firstLine="4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Airport</w:t>
            </w:r>
          </w:p>
        </w:tc>
        <w:tc>
          <w:tcPr>
            <w:tcW w:w="1220" w:type="dxa"/>
            <w:tcBorders>
              <w:top w:val="nil"/>
              <w:left w:val="nil"/>
              <w:bottom w:val="nil"/>
              <w:right w:val="single" w:sz="4" w:space="0" w:color="auto"/>
            </w:tcBorders>
            <w:shd w:val="clear" w:color="auto" w:fill="auto"/>
            <w:noWrap/>
            <w:vAlign w:val="bottom"/>
            <w:hideMark/>
          </w:tcPr>
          <w:p w14:paraId="794128A4"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220" w:type="dxa"/>
            <w:tcBorders>
              <w:top w:val="nil"/>
              <w:left w:val="nil"/>
              <w:bottom w:val="nil"/>
              <w:right w:val="nil"/>
            </w:tcBorders>
            <w:shd w:val="clear" w:color="auto" w:fill="auto"/>
            <w:noWrap/>
            <w:vAlign w:val="bottom"/>
            <w:hideMark/>
          </w:tcPr>
          <w:p w14:paraId="53C11D94"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17</w:t>
            </w:r>
          </w:p>
        </w:tc>
        <w:tc>
          <w:tcPr>
            <w:tcW w:w="1220" w:type="dxa"/>
            <w:tcBorders>
              <w:top w:val="nil"/>
              <w:left w:val="nil"/>
              <w:bottom w:val="nil"/>
              <w:right w:val="single" w:sz="4" w:space="0" w:color="auto"/>
            </w:tcBorders>
            <w:shd w:val="clear" w:color="auto" w:fill="auto"/>
            <w:noWrap/>
            <w:vAlign w:val="bottom"/>
            <w:hideMark/>
          </w:tcPr>
          <w:p w14:paraId="3298964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29 201</w:t>
            </w:r>
          </w:p>
        </w:tc>
        <w:tc>
          <w:tcPr>
            <w:tcW w:w="1220" w:type="dxa"/>
            <w:tcBorders>
              <w:top w:val="nil"/>
              <w:left w:val="nil"/>
              <w:bottom w:val="nil"/>
              <w:right w:val="nil"/>
            </w:tcBorders>
            <w:shd w:val="clear" w:color="auto" w:fill="auto"/>
            <w:noWrap/>
            <w:vAlign w:val="bottom"/>
            <w:hideMark/>
          </w:tcPr>
          <w:p w14:paraId="22CAD22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 17</w:t>
            </w:r>
          </w:p>
        </w:tc>
        <w:tc>
          <w:tcPr>
            <w:tcW w:w="1220" w:type="dxa"/>
            <w:tcBorders>
              <w:top w:val="nil"/>
              <w:left w:val="nil"/>
              <w:bottom w:val="nil"/>
              <w:right w:val="nil"/>
            </w:tcBorders>
            <w:shd w:val="clear" w:color="auto" w:fill="auto"/>
            <w:noWrap/>
            <w:vAlign w:val="bottom"/>
            <w:hideMark/>
          </w:tcPr>
          <w:p w14:paraId="59ECF543"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29 201</w:t>
            </w:r>
          </w:p>
        </w:tc>
      </w:tr>
      <w:tr w:rsidR="00154784" w:rsidRPr="00154784" w14:paraId="03266ACA" w14:textId="77777777" w:rsidTr="00154784">
        <w:trPr>
          <w:trHeight w:val="315"/>
        </w:trPr>
        <w:tc>
          <w:tcPr>
            <w:tcW w:w="2860" w:type="dxa"/>
            <w:tcBorders>
              <w:top w:val="nil"/>
              <w:left w:val="nil"/>
              <w:bottom w:val="nil"/>
              <w:right w:val="nil"/>
            </w:tcBorders>
            <w:shd w:val="clear" w:color="auto" w:fill="auto"/>
            <w:noWrap/>
            <w:vAlign w:val="bottom"/>
            <w:hideMark/>
          </w:tcPr>
          <w:p w14:paraId="31B0AA49"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Other revenue</w:t>
            </w:r>
          </w:p>
        </w:tc>
        <w:tc>
          <w:tcPr>
            <w:tcW w:w="1220" w:type="dxa"/>
            <w:tcBorders>
              <w:top w:val="nil"/>
              <w:left w:val="nil"/>
              <w:bottom w:val="nil"/>
              <w:right w:val="single" w:sz="4" w:space="0" w:color="auto"/>
            </w:tcBorders>
            <w:shd w:val="clear" w:color="auto" w:fill="auto"/>
            <w:noWrap/>
            <w:vAlign w:val="bottom"/>
            <w:hideMark/>
          </w:tcPr>
          <w:p w14:paraId="6181857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401</w:t>
            </w:r>
          </w:p>
        </w:tc>
        <w:tc>
          <w:tcPr>
            <w:tcW w:w="1220" w:type="dxa"/>
            <w:tcBorders>
              <w:top w:val="nil"/>
              <w:left w:val="nil"/>
              <w:bottom w:val="nil"/>
              <w:right w:val="nil"/>
            </w:tcBorders>
            <w:shd w:val="clear" w:color="auto" w:fill="auto"/>
            <w:noWrap/>
            <w:vAlign w:val="bottom"/>
            <w:hideMark/>
          </w:tcPr>
          <w:p w14:paraId="40EA02F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307</w:t>
            </w:r>
          </w:p>
        </w:tc>
        <w:tc>
          <w:tcPr>
            <w:tcW w:w="1220" w:type="dxa"/>
            <w:tcBorders>
              <w:top w:val="nil"/>
              <w:left w:val="nil"/>
              <w:bottom w:val="nil"/>
              <w:right w:val="single" w:sz="4" w:space="0" w:color="auto"/>
            </w:tcBorders>
            <w:shd w:val="clear" w:color="auto" w:fill="auto"/>
            <w:noWrap/>
            <w:vAlign w:val="bottom"/>
            <w:hideMark/>
          </w:tcPr>
          <w:p w14:paraId="6C819F2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539 265</w:t>
            </w:r>
          </w:p>
        </w:tc>
        <w:tc>
          <w:tcPr>
            <w:tcW w:w="1220" w:type="dxa"/>
            <w:tcBorders>
              <w:top w:val="nil"/>
              <w:left w:val="nil"/>
              <w:bottom w:val="nil"/>
              <w:right w:val="nil"/>
            </w:tcBorders>
            <w:shd w:val="clear" w:color="auto" w:fill="auto"/>
            <w:noWrap/>
            <w:vAlign w:val="bottom"/>
            <w:hideMark/>
          </w:tcPr>
          <w:p w14:paraId="43C406B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  644</w:t>
            </w:r>
          </w:p>
        </w:tc>
        <w:tc>
          <w:tcPr>
            <w:tcW w:w="1220" w:type="dxa"/>
            <w:tcBorders>
              <w:top w:val="nil"/>
              <w:left w:val="nil"/>
              <w:bottom w:val="nil"/>
              <w:right w:val="nil"/>
            </w:tcBorders>
            <w:shd w:val="clear" w:color="auto" w:fill="auto"/>
            <w:noWrap/>
            <w:vAlign w:val="bottom"/>
            <w:hideMark/>
          </w:tcPr>
          <w:p w14:paraId="524383D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1 130 940</w:t>
            </w:r>
          </w:p>
        </w:tc>
      </w:tr>
      <w:tr w:rsidR="00154784" w:rsidRPr="00154784" w14:paraId="77154CF9" w14:textId="77777777" w:rsidTr="00154784">
        <w:trPr>
          <w:trHeight w:val="315"/>
        </w:trPr>
        <w:tc>
          <w:tcPr>
            <w:tcW w:w="2860" w:type="dxa"/>
            <w:tcBorders>
              <w:top w:val="nil"/>
              <w:left w:val="nil"/>
              <w:bottom w:val="single" w:sz="4" w:space="0" w:color="auto"/>
              <w:right w:val="nil"/>
            </w:tcBorders>
            <w:shd w:val="clear" w:color="auto" w:fill="auto"/>
            <w:noWrap/>
            <w:vAlign w:val="bottom"/>
            <w:hideMark/>
          </w:tcPr>
          <w:p w14:paraId="73DB6F04"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Total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43EF00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1 659</w:t>
            </w:r>
          </w:p>
        </w:tc>
        <w:tc>
          <w:tcPr>
            <w:tcW w:w="1220" w:type="dxa"/>
            <w:tcBorders>
              <w:top w:val="single" w:sz="4" w:space="0" w:color="auto"/>
              <w:left w:val="nil"/>
              <w:bottom w:val="single" w:sz="4" w:space="0" w:color="auto"/>
              <w:right w:val="nil"/>
            </w:tcBorders>
            <w:shd w:val="clear" w:color="auto" w:fill="auto"/>
            <w:noWrap/>
            <w:vAlign w:val="bottom"/>
            <w:hideMark/>
          </w:tcPr>
          <w:p w14:paraId="3D8B2BF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2 896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F225A0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5 084 665</w:t>
            </w:r>
          </w:p>
        </w:tc>
        <w:tc>
          <w:tcPr>
            <w:tcW w:w="1220" w:type="dxa"/>
            <w:tcBorders>
              <w:top w:val="single" w:sz="4" w:space="0" w:color="auto"/>
              <w:left w:val="nil"/>
              <w:bottom w:val="single" w:sz="4" w:space="0" w:color="auto"/>
              <w:right w:val="nil"/>
            </w:tcBorders>
            <w:shd w:val="clear" w:color="auto" w:fill="auto"/>
            <w:noWrap/>
            <w:vAlign w:val="bottom"/>
            <w:hideMark/>
          </w:tcPr>
          <w:p w14:paraId="03E49A5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 3 264</w:t>
            </w:r>
          </w:p>
        </w:tc>
        <w:tc>
          <w:tcPr>
            <w:tcW w:w="1220" w:type="dxa"/>
            <w:tcBorders>
              <w:top w:val="single" w:sz="4" w:space="0" w:color="auto"/>
              <w:left w:val="nil"/>
              <w:bottom w:val="single" w:sz="4" w:space="0" w:color="auto"/>
              <w:right w:val="nil"/>
            </w:tcBorders>
            <w:shd w:val="clear" w:color="auto" w:fill="auto"/>
            <w:noWrap/>
            <w:vAlign w:val="bottom"/>
            <w:hideMark/>
          </w:tcPr>
          <w:p w14:paraId="740175E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5 732 174</w:t>
            </w:r>
          </w:p>
        </w:tc>
      </w:tr>
      <w:tr w:rsidR="00154784" w:rsidRPr="00154784" w14:paraId="5EBAB3F3" w14:textId="77777777" w:rsidTr="00154784">
        <w:trPr>
          <w:trHeight w:val="315"/>
        </w:trPr>
        <w:tc>
          <w:tcPr>
            <w:tcW w:w="2860" w:type="dxa"/>
            <w:tcBorders>
              <w:top w:val="nil"/>
              <w:left w:val="nil"/>
              <w:bottom w:val="single" w:sz="4" w:space="0" w:color="auto"/>
              <w:right w:val="nil"/>
            </w:tcBorders>
            <w:shd w:val="clear" w:color="auto" w:fill="auto"/>
            <w:noWrap/>
            <w:vAlign w:val="bottom"/>
            <w:hideMark/>
          </w:tcPr>
          <w:p w14:paraId="0736EADD"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Total local government revenue</w:t>
            </w:r>
          </w:p>
        </w:tc>
        <w:tc>
          <w:tcPr>
            <w:tcW w:w="1220" w:type="dxa"/>
            <w:tcBorders>
              <w:top w:val="nil"/>
              <w:left w:val="nil"/>
              <w:bottom w:val="single" w:sz="4" w:space="0" w:color="auto"/>
              <w:right w:val="single" w:sz="4" w:space="0" w:color="auto"/>
            </w:tcBorders>
            <w:shd w:val="clear" w:color="auto" w:fill="auto"/>
            <w:noWrap/>
            <w:vAlign w:val="bottom"/>
            <w:hideMark/>
          </w:tcPr>
          <w:p w14:paraId="60DCE43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1 921</w:t>
            </w:r>
          </w:p>
        </w:tc>
        <w:tc>
          <w:tcPr>
            <w:tcW w:w="1220" w:type="dxa"/>
            <w:tcBorders>
              <w:top w:val="nil"/>
              <w:left w:val="nil"/>
              <w:bottom w:val="single" w:sz="4" w:space="0" w:color="auto"/>
              <w:right w:val="nil"/>
            </w:tcBorders>
            <w:shd w:val="clear" w:color="auto" w:fill="auto"/>
            <w:noWrap/>
            <w:vAlign w:val="bottom"/>
            <w:hideMark/>
          </w:tcPr>
          <w:p w14:paraId="152D151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4 460</w:t>
            </w:r>
          </w:p>
        </w:tc>
        <w:tc>
          <w:tcPr>
            <w:tcW w:w="1220" w:type="dxa"/>
            <w:tcBorders>
              <w:top w:val="nil"/>
              <w:left w:val="nil"/>
              <w:bottom w:val="single" w:sz="4" w:space="0" w:color="auto"/>
              <w:right w:val="single" w:sz="4" w:space="0" w:color="auto"/>
            </w:tcBorders>
            <w:shd w:val="clear" w:color="auto" w:fill="auto"/>
            <w:noWrap/>
            <w:vAlign w:val="bottom"/>
            <w:hideMark/>
          </w:tcPr>
          <w:p w14:paraId="7D8DC7E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7 831 489</w:t>
            </w:r>
          </w:p>
        </w:tc>
        <w:tc>
          <w:tcPr>
            <w:tcW w:w="1220" w:type="dxa"/>
            <w:tcBorders>
              <w:top w:val="nil"/>
              <w:left w:val="nil"/>
              <w:bottom w:val="single" w:sz="4" w:space="0" w:color="auto"/>
              <w:right w:val="nil"/>
            </w:tcBorders>
            <w:shd w:val="clear" w:color="auto" w:fill="auto"/>
            <w:noWrap/>
            <w:vAlign w:val="bottom"/>
            <w:hideMark/>
          </w:tcPr>
          <w:p w14:paraId="433BA304"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 4 698</w:t>
            </w:r>
          </w:p>
        </w:tc>
        <w:tc>
          <w:tcPr>
            <w:tcW w:w="1220" w:type="dxa"/>
            <w:tcBorders>
              <w:top w:val="nil"/>
              <w:left w:val="nil"/>
              <w:bottom w:val="single" w:sz="4" w:space="0" w:color="auto"/>
              <w:right w:val="nil"/>
            </w:tcBorders>
            <w:shd w:val="clear" w:color="auto" w:fill="auto"/>
            <w:noWrap/>
            <w:vAlign w:val="bottom"/>
            <w:hideMark/>
          </w:tcPr>
          <w:p w14:paraId="61E9BB13"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8 249 412</w:t>
            </w:r>
          </w:p>
        </w:tc>
      </w:tr>
    </w:tbl>
    <w:p w14:paraId="3B964845" w14:textId="77777777" w:rsidR="00230A0D" w:rsidRPr="00230A0D" w:rsidRDefault="00230A0D" w:rsidP="00230A0D">
      <w:pPr>
        <w:pStyle w:val="CGCTableFootnote"/>
        <w:numPr>
          <w:ilvl w:val="4"/>
          <w:numId w:val="2"/>
        </w:numPr>
        <w:ind w:left="567" w:hanging="567"/>
      </w:pPr>
      <w:r>
        <w:t>The State average figure is the per capita amount paid to the Brewarrina Shire</w:t>
      </w:r>
      <w:r w:rsidR="005E1775">
        <w:t xml:space="preserve"> in NSW</w:t>
      </w:r>
      <w:r>
        <w:t>.</w:t>
      </w:r>
    </w:p>
    <w:p w14:paraId="0F5F547D" w14:textId="77777777" w:rsidR="00F246BF" w:rsidRPr="00604ACF" w:rsidRDefault="00F246BF" w:rsidP="00F246BF">
      <w:pPr>
        <w:pStyle w:val="CGCTableFootnote"/>
      </w:pPr>
      <w:r>
        <w:t>Source:</w:t>
      </w:r>
      <w:r>
        <w:tab/>
        <w:t xml:space="preserve">Commission </w:t>
      </w:r>
      <w:r w:rsidR="00477324">
        <w:t>staff analysis.</w:t>
      </w:r>
    </w:p>
    <w:p w14:paraId="5738F595" w14:textId="7578DCBE" w:rsidR="00F246BF" w:rsidRDefault="00BF3913" w:rsidP="00F246BF">
      <w:pPr>
        <w:pStyle w:val="CGCNumberedPara"/>
        <w:numPr>
          <w:ilvl w:val="1"/>
          <w:numId w:val="3"/>
        </w:numPr>
        <w:tabs>
          <w:tab w:val="clear" w:pos="567"/>
        </w:tabs>
      </w:pPr>
      <w:r>
        <w:lastRenderedPageBreak/>
        <w:fldChar w:fldCharType="begin"/>
      </w:r>
      <w:r>
        <w:instrText xml:space="preserve"> REF _Ref22048801 \h </w:instrText>
      </w:r>
      <w:r>
        <w:fldChar w:fldCharType="separate"/>
      </w:r>
      <w:r w:rsidR="00DE7AA1">
        <w:t xml:space="preserve">Table </w:t>
      </w:r>
      <w:r w:rsidR="00DE7AA1">
        <w:rPr>
          <w:noProof/>
        </w:rPr>
        <w:t>6</w:t>
      </w:r>
      <w:r>
        <w:fldChar w:fldCharType="end"/>
      </w:r>
      <w:r>
        <w:t xml:space="preserve"> </w:t>
      </w:r>
      <w:r w:rsidR="00F246BF" w:rsidRPr="00582795">
        <w:t>shows</w:t>
      </w:r>
      <w:r w:rsidR="00F246BF">
        <w:t>:</w:t>
      </w:r>
    </w:p>
    <w:p w14:paraId="3F323B7B" w14:textId="77777777" w:rsidR="00971FE7" w:rsidRPr="00B21668" w:rsidRDefault="00971FE7" w:rsidP="00B21668">
      <w:pPr>
        <w:pStyle w:val="CGCBulletlist"/>
      </w:pPr>
      <w:r>
        <w:t>T</w:t>
      </w:r>
      <w:r w:rsidR="00F246BF">
        <w:t xml:space="preserve">he financial assistance grant </w:t>
      </w:r>
      <w:r w:rsidR="006E6F44">
        <w:t xml:space="preserve">and local roads grant </w:t>
      </w:r>
      <w:r w:rsidR="00F246BF">
        <w:t xml:space="preserve">received </w:t>
      </w:r>
      <w:r w:rsidR="00B30070">
        <w:t xml:space="preserve">by NIRC </w:t>
      </w:r>
      <w:r w:rsidR="00F246BF">
        <w:t xml:space="preserve">from the </w:t>
      </w:r>
      <w:r w:rsidR="00F246BF" w:rsidRPr="00B21668">
        <w:t xml:space="preserve">Commonwealth, which </w:t>
      </w:r>
      <w:r w:rsidR="00D513A7">
        <w:t>totalled $1 </w:t>
      </w:r>
      <w:r w:rsidR="00C0781B" w:rsidRPr="00B21668">
        <w:t xml:space="preserve">395 per capita, </w:t>
      </w:r>
      <w:r w:rsidR="0049219F" w:rsidRPr="00B21668">
        <w:t>w</w:t>
      </w:r>
      <w:r w:rsidR="00C0781B" w:rsidRPr="00B21668">
        <w:t xml:space="preserve">ere </w:t>
      </w:r>
      <w:r w:rsidR="00F246BF" w:rsidRPr="00B21668">
        <w:t xml:space="preserve">based on </w:t>
      </w:r>
      <w:r w:rsidR="00C0781B" w:rsidRPr="00B21668">
        <w:t xml:space="preserve">independent recommendations received </w:t>
      </w:r>
      <w:r w:rsidR="00F246BF" w:rsidRPr="00B21668">
        <w:t xml:space="preserve">from the New South Wales </w:t>
      </w:r>
      <w:r w:rsidR="00C0781B" w:rsidRPr="00B21668">
        <w:t xml:space="preserve">Local Government Grants Commission. The recommended financial assistance grant was </w:t>
      </w:r>
      <w:r w:rsidR="00F76ED8" w:rsidRPr="00B21668">
        <w:t xml:space="preserve">based </w:t>
      </w:r>
      <w:r w:rsidR="00C0781B" w:rsidRPr="00B21668">
        <w:t xml:space="preserve">on </w:t>
      </w:r>
      <w:r w:rsidR="00F76ED8" w:rsidRPr="00B21668">
        <w:t>the</w:t>
      </w:r>
      <w:r w:rsidR="00C0781B" w:rsidRPr="00B21668">
        <w:t xml:space="preserve"> per capita</w:t>
      </w:r>
      <w:r w:rsidR="00F76ED8" w:rsidRPr="00B21668">
        <w:t xml:space="preserve"> grant paid to the Brewarrina Shire of </w:t>
      </w:r>
      <w:r w:rsidR="00C0781B" w:rsidRPr="00B21668">
        <w:t xml:space="preserve">$1 302 and the recommended local roads grant was based on the amounts per kilometre of road and per capita paid to councils in New South Wales. </w:t>
      </w:r>
      <w:r w:rsidR="00F246BF" w:rsidRPr="00B21668">
        <w:t>In addition</w:t>
      </w:r>
      <w:r w:rsidR="00B30070" w:rsidRPr="00B21668">
        <w:t xml:space="preserve">, NIRC </w:t>
      </w:r>
      <w:r w:rsidR="00F246BF" w:rsidRPr="00B21668">
        <w:t xml:space="preserve">received tied grants from the Commonwealth of </w:t>
      </w:r>
      <w:r w:rsidR="00477324" w:rsidRPr="00B21668">
        <w:t>$</w:t>
      </w:r>
      <w:r w:rsidR="00F246BF" w:rsidRPr="00B21668">
        <w:t>38 per capita</w:t>
      </w:r>
      <w:r w:rsidRPr="00B21668">
        <w:t xml:space="preserve">, which </w:t>
      </w:r>
      <w:r w:rsidR="0049219F" w:rsidRPr="00B21668">
        <w:t>wa</w:t>
      </w:r>
      <w:r w:rsidRPr="00B21668">
        <w:t>s about the all-council average.</w:t>
      </w:r>
    </w:p>
    <w:p w14:paraId="0520BC2C" w14:textId="77777777" w:rsidR="00F246BF" w:rsidRPr="00B21668" w:rsidRDefault="00F246BF" w:rsidP="00B21668">
      <w:pPr>
        <w:pStyle w:val="CGCBulletlist"/>
      </w:pPr>
      <w:r w:rsidRPr="00B21668">
        <w:t>We assessed State</w:t>
      </w:r>
      <w:r w:rsidR="0049219F" w:rsidRPr="00B21668">
        <w:t>-type</w:t>
      </w:r>
      <w:r w:rsidRPr="00B21668">
        <w:t xml:space="preserve"> grant</w:t>
      </w:r>
      <w:r w:rsidR="0049219F" w:rsidRPr="00B21668">
        <w:t>s</w:t>
      </w:r>
      <w:r w:rsidR="00F06839" w:rsidRPr="00B21668">
        <w:t>, for purposes such as roads, community development activities and culture, sport and recreation facilities,</w:t>
      </w:r>
      <w:r w:rsidRPr="00B21668">
        <w:t xml:space="preserve"> of $1</w:t>
      </w:r>
      <w:r w:rsidR="005A53B2" w:rsidRPr="00B21668">
        <w:t>31</w:t>
      </w:r>
      <w:r w:rsidR="00971FE7" w:rsidRPr="00B21668">
        <w:t xml:space="preserve"> per capita or $229 </w:t>
      </w:r>
      <w:r w:rsidR="00F91190" w:rsidRPr="00B21668">
        <w:t>600</w:t>
      </w:r>
      <w:r w:rsidR="00F06839" w:rsidRPr="00B21668">
        <w:t xml:space="preserve">. That amount </w:t>
      </w:r>
      <w:r w:rsidR="0049219F" w:rsidRPr="00B21668">
        <w:t>was consistent with the amount received by comparable communities in 2017-18</w:t>
      </w:r>
      <w:r w:rsidR="00971FE7" w:rsidRPr="00B21668">
        <w:t xml:space="preserve">. </w:t>
      </w:r>
      <w:r w:rsidR="00B30070" w:rsidRPr="00B21668">
        <w:t xml:space="preserve">NIRC </w:t>
      </w:r>
      <w:r w:rsidRPr="00B21668">
        <w:t xml:space="preserve">did not receive </w:t>
      </w:r>
      <w:r w:rsidR="00971FE7" w:rsidRPr="00B21668">
        <w:t>State</w:t>
      </w:r>
      <w:r w:rsidR="0049219F" w:rsidRPr="00B21668">
        <w:t>-type</w:t>
      </w:r>
      <w:r w:rsidRPr="00B21668">
        <w:t xml:space="preserve"> grant</w:t>
      </w:r>
      <w:r w:rsidR="0049219F" w:rsidRPr="00B21668">
        <w:t>s</w:t>
      </w:r>
      <w:r w:rsidR="00F06839" w:rsidRPr="00B21668">
        <w:t xml:space="preserve"> in 2017-18</w:t>
      </w:r>
      <w:r w:rsidRPr="00B21668">
        <w:t xml:space="preserve">. </w:t>
      </w:r>
    </w:p>
    <w:p w14:paraId="53DF9955" w14:textId="77777777" w:rsidR="00F246BF" w:rsidRPr="00B21668" w:rsidRDefault="00F246BF" w:rsidP="00B21668">
      <w:pPr>
        <w:pStyle w:val="CGCBulletlist"/>
      </w:pPr>
      <w:r w:rsidRPr="00B21668">
        <w:t xml:space="preserve">Norfolk Island raised more revenue per capita from its own sources than the </w:t>
      </w:r>
      <w:r w:rsidR="00971FE7" w:rsidRPr="00B21668">
        <w:t>all</w:t>
      </w:r>
      <w:r w:rsidR="00971FE7" w:rsidRPr="00B21668">
        <w:noBreakHyphen/>
        <w:t>council</w:t>
      </w:r>
      <w:r w:rsidRPr="00B21668">
        <w:t xml:space="preserve"> average, reflecting </w:t>
      </w:r>
      <w:r w:rsidR="003832E7" w:rsidRPr="00B21668">
        <w:t>NIRC</w:t>
      </w:r>
      <w:r w:rsidR="003A217C">
        <w:t>’</w:t>
      </w:r>
      <w:r w:rsidR="003832E7" w:rsidRPr="00B21668">
        <w:t xml:space="preserve">s </w:t>
      </w:r>
      <w:r w:rsidRPr="00B21668">
        <w:t>monopoly</w:t>
      </w:r>
      <w:r w:rsidR="00496906">
        <w:t xml:space="preserve">, by virtue of the </w:t>
      </w:r>
      <w:r w:rsidR="00496906" w:rsidRPr="00B72F39">
        <w:rPr>
          <w:i/>
        </w:rPr>
        <w:t>Liquor Act 2005</w:t>
      </w:r>
      <w:r w:rsidR="00496906">
        <w:t>,</w:t>
      </w:r>
      <w:r w:rsidRPr="00B21668">
        <w:t xml:space="preserve"> on liquor supply that generates considerable revenue</w:t>
      </w:r>
      <w:r w:rsidR="00032A61" w:rsidRPr="00B21668">
        <w:t xml:space="preserve"> and substantial revenue from rents</w:t>
      </w:r>
      <w:r w:rsidR="00230A0D" w:rsidRPr="00B21668">
        <w:t xml:space="preserve"> and interest earnings</w:t>
      </w:r>
      <w:r w:rsidRPr="00B21668">
        <w:t xml:space="preserve">. Norfolk Island’s assessed capacity from municipal rates is about 20% </w:t>
      </w:r>
      <w:r w:rsidR="00971FE7" w:rsidRPr="00B21668">
        <w:t>above</w:t>
      </w:r>
      <w:r w:rsidRPr="00B21668">
        <w:t xml:space="preserve"> the </w:t>
      </w:r>
      <w:r w:rsidR="00971FE7" w:rsidRPr="00B21668">
        <w:t>all</w:t>
      </w:r>
      <w:r w:rsidR="00720F1C" w:rsidRPr="00B21668">
        <w:noBreakHyphen/>
      </w:r>
      <w:r w:rsidR="00971FE7" w:rsidRPr="00B21668">
        <w:t xml:space="preserve">council </w:t>
      </w:r>
      <w:r w:rsidRPr="00B21668">
        <w:t xml:space="preserve">average. Conversely, </w:t>
      </w:r>
      <w:r w:rsidR="00032A61" w:rsidRPr="00B21668">
        <w:t xml:space="preserve">it would raise less than </w:t>
      </w:r>
      <w:r w:rsidR="00971FE7" w:rsidRPr="00B21668">
        <w:t>the all</w:t>
      </w:r>
      <w:r w:rsidR="00971FE7" w:rsidRPr="00B21668">
        <w:noBreakHyphen/>
        <w:t>council average</w:t>
      </w:r>
      <w:r w:rsidR="00032A61" w:rsidRPr="00B21668">
        <w:t xml:space="preserve"> for user charges and other council-type revenues if it followed average policies</w:t>
      </w:r>
      <w:r w:rsidRPr="00B21668">
        <w:t xml:space="preserve">. </w:t>
      </w:r>
    </w:p>
    <w:p w14:paraId="440A384E" w14:textId="77777777" w:rsidR="00F246BF" w:rsidRPr="00582795" w:rsidRDefault="00F246BF" w:rsidP="00B21668">
      <w:pPr>
        <w:pStyle w:val="CGCBulletlist"/>
      </w:pPr>
      <w:r w:rsidRPr="00B21668">
        <w:t xml:space="preserve">Overall, the assessed </w:t>
      </w:r>
      <w:r w:rsidR="005A53B2" w:rsidRPr="00B21668">
        <w:t>local government-type revenue (including own-source and revenues) for</w:t>
      </w:r>
      <w:r w:rsidR="00971FE7" w:rsidRPr="00B21668">
        <w:t xml:space="preserve"> Norfolk Island</w:t>
      </w:r>
      <w:r w:rsidR="00971FE7">
        <w:t xml:space="preserve"> </w:t>
      </w:r>
      <w:r>
        <w:t>has increased by 55% since 20</w:t>
      </w:r>
      <w:r w:rsidR="00032A61">
        <w:t>0</w:t>
      </w:r>
      <w:r>
        <w:t>9</w:t>
      </w:r>
      <w:r w:rsidR="00032A61">
        <w:noBreakHyphen/>
      </w:r>
      <w:r>
        <w:t>10</w:t>
      </w:r>
      <w:r w:rsidR="00971FE7">
        <w:t xml:space="preserve"> but this is mainly due to the introduction of financial assistance grants</w:t>
      </w:r>
      <w:r w:rsidR="005A53B2">
        <w:t xml:space="preserve"> for Norfolk Island</w:t>
      </w:r>
      <w:r>
        <w:t xml:space="preserve">. </w:t>
      </w:r>
      <w:r w:rsidR="00032A61">
        <w:t>A</w:t>
      </w:r>
      <w:r w:rsidR="00971FE7">
        <w:t>ssessed own source revenue grew by a more modest 18%</w:t>
      </w:r>
      <w:r w:rsidR="00DC4061">
        <w:t xml:space="preserve"> between 2009-10 and 2017-18</w:t>
      </w:r>
      <w:r w:rsidR="00971FE7">
        <w:t xml:space="preserve">. </w:t>
      </w:r>
    </w:p>
    <w:p w14:paraId="571EEDCA" w14:textId="77777777" w:rsidR="00F246BF" w:rsidRDefault="00F246BF" w:rsidP="00AD53BB">
      <w:pPr>
        <w:pStyle w:val="Heading3"/>
      </w:pPr>
      <w:bookmarkStart w:id="362" w:name="_Toc17105399"/>
      <w:bookmarkStart w:id="363" w:name="_Toc17105451"/>
      <w:bookmarkStart w:id="364" w:name="_Toc17105607"/>
      <w:bookmarkStart w:id="365" w:name="_Toc17380474"/>
      <w:bookmarkStart w:id="366" w:name="_Toc19262926"/>
      <w:bookmarkStart w:id="367" w:name="_Toc23847471"/>
      <w:r>
        <w:t>Assessed State expenses</w:t>
      </w:r>
      <w:bookmarkEnd w:id="362"/>
      <w:bookmarkEnd w:id="363"/>
      <w:bookmarkEnd w:id="364"/>
      <w:bookmarkEnd w:id="365"/>
      <w:bookmarkEnd w:id="366"/>
      <w:bookmarkEnd w:id="367"/>
    </w:p>
    <w:p w14:paraId="589535F9" w14:textId="77777777" w:rsidR="00F246BF" w:rsidRDefault="00F246BF" w:rsidP="00F246BF">
      <w:pPr>
        <w:pStyle w:val="CGCNumberedPara"/>
        <w:numPr>
          <w:ilvl w:val="1"/>
          <w:numId w:val="3"/>
        </w:numPr>
        <w:tabs>
          <w:tab w:val="clear" w:pos="567"/>
        </w:tabs>
      </w:pPr>
      <w:r>
        <w:t>We have estimated the cost of services normally provided by State governments in comparable communities, assuming that Norfolk Island operates at the Australian average level of efficiency</w:t>
      </w:r>
      <w:r w:rsidR="00F61B5D">
        <w:t xml:space="preserve">. </w:t>
      </w:r>
      <w:r>
        <w:t xml:space="preserve">Attachment </w:t>
      </w:r>
      <w:r w:rsidR="00CD3307">
        <w:t>E</w:t>
      </w:r>
      <w:r>
        <w:t xml:space="preserve"> provides details of the assessment</w:t>
      </w:r>
      <w:r w:rsidR="00032A61">
        <w:t>s</w:t>
      </w:r>
      <w:r>
        <w:t xml:space="preserve">. </w:t>
      </w:r>
    </w:p>
    <w:p w14:paraId="6F447842" w14:textId="04C28064" w:rsidR="00F06839" w:rsidRDefault="003D48DB" w:rsidP="00F246BF">
      <w:pPr>
        <w:pStyle w:val="CGCNumberedPara"/>
        <w:numPr>
          <w:ilvl w:val="1"/>
          <w:numId w:val="3"/>
        </w:numPr>
        <w:tabs>
          <w:tab w:val="clear" w:pos="567"/>
        </w:tabs>
      </w:pPr>
      <w:r>
        <w:fldChar w:fldCharType="begin"/>
      </w:r>
      <w:r>
        <w:instrText xml:space="preserve"> REF _Ref22109661 \h </w:instrText>
      </w:r>
      <w:r>
        <w:fldChar w:fldCharType="separate"/>
      </w:r>
      <w:r w:rsidR="00DE7AA1">
        <w:t xml:space="preserve">Table </w:t>
      </w:r>
      <w:r w:rsidR="00DE7AA1">
        <w:rPr>
          <w:noProof/>
        </w:rPr>
        <w:t>7</w:t>
      </w:r>
      <w:r>
        <w:fldChar w:fldCharType="end"/>
      </w:r>
      <w:r>
        <w:t xml:space="preserve"> </w:t>
      </w:r>
      <w:r w:rsidR="00F246BF" w:rsidRPr="009A2439">
        <w:t xml:space="preserve">compares the all-State average expense per capita for State-type services, the </w:t>
      </w:r>
      <w:r w:rsidR="00B57B9E">
        <w:t>assessed</w:t>
      </w:r>
      <w:r w:rsidR="00F246BF">
        <w:t xml:space="preserve"> </w:t>
      </w:r>
      <w:r w:rsidR="00F246BF" w:rsidRPr="009A2439">
        <w:t xml:space="preserve">expenses </w:t>
      </w:r>
      <w:r w:rsidR="00F246BF">
        <w:t xml:space="preserve">and </w:t>
      </w:r>
      <w:r w:rsidR="00F246BF" w:rsidRPr="009A2439">
        <w:t xml:space="preserve">what </w:t>
      </w:r>
      <w:r w:rsidR="00F246BF">
        <w:t xml:space="preserve">is </w:t>
      </w:r>
      <w:r w:rsidR="00D77CC1">
        <w:t>actually</w:t>
      </w:r>
      <w:r w:rsidR="00F246BF">
        <w:t xml:space="preserve"> being spent </w:t>
      </w:r>
      <w:r w:rsidR="00D77CC1">
        <w:t>to</w:t>
      </w:r>
      <w:r w:rsidR="00F246BF">
        <w:t xml:space="preserve"> deliver </w:t>
      </w:r>
      <w:r w:rsidR="00F06839">
        <w:t xml:space="preserve">State-type </w:t>
      </w:r>
      <w:r w:rsidR="00F246BF">
        <w:t xml:space="preserve">services on </w:t>
      </w:r>
      <w:r w:rsidR="00F246BF" w:rsidRPr="009A2439">
        <w:t>Norfolk Island</w:t>
      </w:r>
      <w:r w:rsidR="00F246BF">
        <w:t>.</w:t>
      </w:r>
      <w:r w:rsidR="00F246BF" w:rsidRPr="009A2439">
        <w:t xml:space="preserve"> </w:t>
      </w:r>
      <w:r w:rsidR="00D77CC1">
        <w:t>The figures for actual e</w:t>
      </w:r>
      <w:r w:rsidR="00480118">
        <w:t xml:space="preserve">xpenses include spending by </w:t>
      </w:r>
      <w:r w:rsidR="008F4885">
        <w:t xml:space="preserve">the </w:t>
      </w:r>
      <w:r w:rsidR="00E93194">
        <w:t>D</w:t>
      </w:r>
      <w:r w:rsidR="008F4885">
        <w:t>epartment</w:t>
      </w:r>
      <w:r w:rsidR="00480118">
        <w:t xml:space="preserve"> </w:t>
      </w:r>
      <w:r w:rsidR="00D77CC1">
        <w:t>and</w:t>
      </w:r>
      <w:r w:rsidR="003832E7">
        <w:t xml:space="preserve"> NIRC</w:t>
      </w:r>
      <w:r w:rsidR="00D77CC1">
        <w:t xml:space="preserve">. </w:t>
      </w:r>
      <w:r w:rsidR="00FC543F">
        <w:t>For example, the actual expenses for</w:t>
      </w:r>
      <w:r w:rsidR="006D0549">
        <w:t xml:space="preserve"> Other expenses ($</w:t>
      </w:r>
      <w:r w:rsidR="00AC10BB">
        <w:t>2.4 million</w:t>
      </w:r>
      <w:r w:rsidR="006D0549">
        <w:t>) consist</w:t>
      </w:r>
      <w:r w:rsidR="00AC10BB">
        <w:t>s</w:t>
      </w:r>
      <w:r w:rsidR="006D0549">
        <w:t xml:space="preserve"> of $</w:t>
      </w:r>
      <w:r w:rsidR="00AC10BB">
        <w:t>1.9 million</w:t>
      </w:r>
      <w:r w:rsidR="00480118">
        <w:t xml:space="preserve"> spent by </w:t>
      </w:r>
      <w:r w:rsidR="008F4885">
        <w:t>the Department</w:t>
      </w:r>
      <w:r w:rsidR="00480118">
        <w:t xml:space="preserve"> </w:t>
      </w:r>
      <w:r w:rsidR="006D0549">
        <w:t>and $</w:t>
      </w:r>
      <w:r w:rsidR="00F76ED8">
        <w:t>533 000 attributed to</w:t>
      </w:r>
      <w:r w:rsidR="006D0549">
        <w:t xml:space="preserve"> </w:t>
      </w:r>
      <w:r w:rsidR="007026FA">
        <w:t>NIRC</w:t>
      </w:r>
      <w:r w:rsidR="00AC10BB">
        <w:t xml:space="preserve">. The </w:t>
      </w:r>
      <w:r w:rsidR="006D0549">
        <w:t>actual expenses for electricity ($833</w:t>
      </w:r>
      <w:r w:rsidR="007026FA">
        <w:t> </w:t>
      </w:r>
      <w:r w:rsidR="00C31E82">
        <w:t>0</w:t>
      </w:r>
      <w:r w:rsidR="004D1B6E">
        <w:t>00</w:t>
      </w:r>
      <w:r w:rsidR="006D0549">
        <w:t>) consist</w:t>
      </w:r>
      <w:r w:rsidR="00E37D2C">
        <w:t>s</w:t>
      </w:r>
      <w:r w:rsidR="006D0549">
        <w:t xml:space="preserve"> entirely of the operating deficit of </w:t>
      </w:r>
      <w:r w:rsidR="007026FA">
        <w:t xml:space="preserve">NIRC’s </w:t>
      </w:r>
      <w:r w:rsidR="006D0549">
        <w:t>electricity undertaking.</w:t>
      </w:r>
    </w:p>
    <w:p w14:paraId="30C65DE9" w14:textId="77777777" w:rsidR="00F246BF" w:rsidRDefault="00F246BF" w:rsidP="00F246BF">
      <w:pPr>
        <w:pStyle w:val="CGCNumberedPara"/>
        <w:numPr>
          <w:ilvl w:val="1"/>
          <w:numId w:val="3"/>
        </w:numPr>
        <w:tabs>
          <w:tab w:val="clear" w:pos="567"/>
        </w:tabs>
      </w:pPr>
      <w:r w:rsidRPr="009A2439">
        <w:t xml:space="preserve">It shows that </w:t>
      </w:r>
      <w:r>
        <w:t>the current level of spending is about the amount that needs to be spen</w:t>
      </w:r>
      <w:r w:rsidR="00B57B9E">
        <w:t>t</w:t>
      </w:r>
      <w:r>
        <w:t xml:space="preserve"> to provide comparable services. </w:t>
      </w:r>
      <w:r w:rsidR="00B57B9E">
        <w:t>However, while</w:t>
      </w:r>
      <w:r>
        <w:t xml:space="preserve"> total assessed and actual </w:t>
      </w:r>
      <w:r>
        <w:lastRenderedPageBreak/>
        <w:t xml:space="preserve">spending are about the same, there are some </w:t>
      </w:r>
      <w:r w:rsidR="00E37D2C">
        <w:t>large</w:t>
      </w:r>
      <w:r>
        <w:t xml:space="preserve"> difference</w:t>
      </w:r>
      <w:r w:rsidR="00E56A69">
        <w:t>s</w:t>
      </w:r>
      <w:r>
        <w:t xml:space="preserve"> between assessed and actual spending </w:t>
      </w:r>
      <w:r w:rsidR="00D06989">
        <w:t>for some services</w:t>
      </w:r>
      <w:r>
        <w:t xml:space="preserve">. </w:t>
      </w:r>
    </w:p>
    <w:p w14:paraId="450D76B5" w14:textId="09763A2C" w:rsidR="00F246BF" w:rsidRDefault="003D48DB" w:rsidP="003D48DB">
      <w:pPr>
        <w:pStyle w:val="Caption"/>
      </w:pPr>
      <w:bookmarkStart w:id="368" w:name="_Ref22109661"/>
      <w:r>
        <w:t xml:space="preserve">Table </w:t>
      </w:r>
      <w:r w:rsidR="00150A14">
        <w:fldChar w:fldCharType="begin"/>
      </w:r>
      <w:r w:rsidR="00150A14">
        <w:instrText xml:space="preserve"> SEQ Table \* ARABIC </w:instrText>
      </w:r>
      <w:r w:rsidR="00150A14">
        <w:fldChar w:fldCharType="separate"/>
      </w:r>
      <w:r w:rsidR="00DE7AA1">
        <w:rPr>
          <w:noProof/>
        </w:rPr>
        <w:t>7</w:t>
      </w:r>
      <w:r w:rsidR="00150A14">
        <w:rPr>
          <w:noProof/>
        </w:rPr>
        <w:fldChar w:fldCharType="end"/>
      </w:r>
      <w:bookmarkEnd w:id="368"/>
      <w:r w:rsidR="00F246BF">
        <w:tab/>
        <w:t>State-type expenses, Norfolk Island, 2017</w:t>
      </w:r>
      <w:r w:rsidR="00F246BF">
        <w:noBreakHyphen/>
        <w:t>18</w:t>
      </w:r>
      <w:r w:rsidR="00B57CE4">
        <w:t xml:space="preserve"> — summary</w:t>
      </w:r>
    </w:p>
    <w:tbl>
      <w:tblPr>
        <w:tblW w:w="8940" w:type="dxa"/>
        <w:tblLook w:val="04A0" w:firstRow="1" w:lastRow="0" w:firstColumn="1" w:lastColumn="0" w:noHBand="0" w:noVBand="1"/>
      </w:tblPr>
      <w:tblGrid>
        <w:gridCol w:w="3820"/>
        <w:gridCol w:w="960"/>
        <w:gridCol w:w="900"/>
        <w:gridCol w:w="1180"/>
        <w:gridCol w:w="900"/>
        <w:gridCol w:w="1180"/>
      </w:tblGrid>
      <w:tr w:rsidR="00154784" w:rsidRPr="00154784" w14:paraId="22D1F4C2" w14:textId="77777777" w:rsidTr="00154784">
        <w:trPr>
          <w:trHeight w:val="315"/>
        </w:trPr>
        <w:tc>
          <w:tcPr>
            <w:tcW w:w="3820" w:type="dxa"/>
            <w:vMerge w:val="restart"/>
            <w:tcBorders>
              <w:top w:val="single" w:sz="4" w:space="0" w:color="auto"/>
              <w:left w:val="nil"/>
              <w:bottom w:val="single" w:sz="4" w:space="0" w:color="000000"/>
              <w:right w:val="nil"/>
            </w:tcBorders>
            <w:shd w:val="clear" w:color="auto" w:fill="auto"/>
            <w:vAlign w:val="center"/>
            <w:hideMark/>
          </w:tcPr>
          <w:p w14:paraId="308FC709"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w:t>
            </w:r>
          </w:p>
        </w:tc>
        <w:tc>
          <w:tcPr>
            <w:tcW w:w="960" w:type="dxa"/>
            <w:vMerge w:val="restart"/>
            <w:tcBorders>
              <w:top w:val="single" w:sz="4" w:space="0" w:color="auto"/>
              <w:left w:val="nil"/>
              <w:bottom w:val="single" w:sz="4" w:space="0" w:color="000000"/>
              <w:right w:val="single" w:sz="4" w:space="0" w:color="auto"/>
            </w:tcBorders>
            <w:shd w:val="clear" w:color="auto" w:fill="auto"/>
            <w:vAlign w:val="center"/>
            <w:hideMark/>
          </w:tcPr>
          <w:p w14:paraId="16D37079"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State average</w:t>
            </w:r>
          </w:p>
        </w:tc>
        <w:tc>
          <w:tcPr>
            <w:tcW w:w="4160" w:type="dxa"/>
            <w:gridSpan w:val="4"/>
            <w:tcBorders>
              <w:top w:val="single" w:sz="4" w:space="0" w:color="auto"/>
              <w:left w:val="nil"/>
              <w:bottom w:val="single" w:sz="4" w:space="0" w:color="auto"/>
              <w:right w:val="nil"/>
            </w:tcBorders>
            <w:shd w:val="clear" w:color="auto" w:fill="auto"/>
            <w:vAlign w:val="center"/>
            <w:hideMark/>
          </w:tcPr>
          <w:p w14:paraId="488EA161"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Norfolk Island</w:t>
            </w:r>
          </w:p>
        </w:tc>
      </w:tr>
      <w:tr w:rsidR="00154784" w:rsidRPr="00154784" w14:paraId="1855A397" w14:textId="77777777" w:rsidTr="00A773EA">
        <w:trPr>
          <w:trHeight w:val="340"/>
        </w:trPr>
        <w:tc>
          <w:tcPr>
            <w:tcW w:w="3820" w:type="dxa"/>
            <w:vMerge/>
            <w:tcBorders>
              <w:top w:val="single" w:sz="4" w:space="0" w:color="auto"/>
              <w:left w:val="nil"/>
              <w:bottom w:val="single" w:sz="4" w:space="0" w:color="000000"/>
              <w:right w:val="nil"/>
            </w:tcBorders>
            <w:vAlign w:val="center"/>
            <w:hideMark/>
          </w:tcPr>
          <w:p w14:paraId="6BA78D3E"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p>
        </w:tc>
        <w:tc>
          <w:tcPr>
            <w:tcW w:w="960" w:type="dxa"/>
            <w:vMerge/>
            <w:tcBorders>
              <w:top w:val="single" w:sz="4" w:space="0" w:color="auto"/>
              <w:left w:val="nil"/>
              <w:bottom w:val="single" w:sz="4" w:space="0" w:color="000000"/>
              <w:right w:val="single" w:sz="4" w:space="0" w:color="auto"/>
            </w:tcBorders>
            <w:vAlign w:val="center"/>
            <w:hideMark/>
          </w:tcPr>
          <w:p w14:paraId="15E26A67"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p>
        </w:tc>
        <w:tc>
          <w:tcPr>
            <w:tcW w:w="2080" w:type="dxa"/>
            <w:gridSpan w:val="2"/>
            <w:tcBorders>
              <w:top w:val="single" w:sz="4" w:space="0" w:color="auto"/>
              <w:left w:val="nil"/>
              <w:bottom w:val="single" w:sz="4" w:space="0" w:color="auto"/>
              <w:right w:val="nil"/>
            </w:tcBorders>
            <w:shd w:val="clear" w:color="auto" w:fill="auto"/>
            <w:noWrap/>
            <w:vAlign w:val="center"/>
            <w:hideMark/>
          </w:tcPr>
          <w:p w14:paraId="2A18B408"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Assessed</w:t>
            </w:r>
          </w:p>
        </w:tc>
        <w:tc>
          <w:tcPr>
            <w:tcW w:w="2080" w:type="dxa"/>
            <w:gridSpan w:val="2"/>
            <w:tcBorders>
              <w:top w:val="single" w:sz="4" w:space="0" w:color="auto"/>
              <w:left w:val="nil"/>
              <w:bottom w:val="single" w:sz="4" w:space="0" w:color="auto"/>
              <w:right w:val="nil"/>
            </w:tcBorders>
            <w:shd w:val="clear" w:color="auto" w:fill="auto"/>
            <w:noWrap/>
            <w:vAlign w:val="center"/>
            <w:hideMark/>
          </w:tcPr>
          <w:p w14:paraId="10BF5CBE"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Actual</w:t>
            </w:r>
            <w:r>
              <w:rPr>
                <w:rFonts w:ascii="Calibri" w:eastAsia="Times New Roman" w:hAnsi="Calibri" w:cs="Calibri"/>
                <w:sz w:val="20"/>
                <w:szCs w:val="20"/>
                <w:lang w:eastAsia="en-AU"/>
              </w:rPr>
              <w:t xml:space="preserve"> (a)</w:t>
            </w:r>
          </w:p>
        </w:tc>
      </w:tr>
      <w:tr w:rsidR="00154784" w:rsidRPr="00154784" w14:paraId="68152886" w14:textId="77777777" w:rsidTr="00154784">
        <w:trPr>
          <w:trHeight w:val="255"/>
        </w:trPr>
        <w:tc>
          <w:tcPr>
            <w:tcW w:w="3820" w:type="dxa"/>
            <w:tcBorders>
              <w:top w:val="nil"/>
              <w:left w:val="nil"/>
              <w:bottom w:val="nil"/>
              <w:right w:val="nil"/>
            </w:tcBorders>
            <w:shd w:val="clear" w:color="auto" w:fill="auto"/>
            <w:noWrap/>
            <w:vAlign w:val="bottom"/>
            <w:hideMark/>
          </w:tcPr>
          <w:p w14:paraId="2871A509" w14:textId="77777777" w:rsidR="00154784" w:rsidRPr="00154784" w:rsidRDefault="00154784" w:rsidP="00154784">
            <w:pPr>
              <w:tabs>
                <w:tab w:val="clear" w:pos="567"/>
              </w:tabs>
              <w:spacing w:after="0" w:line="240" w:lineRule="auto"/>
              <w:jc w:val="center"/>
              <w:rPr>
                <w:rFonts w:ascii="Calibri" w:eastAsia="Times New Roman" w:hAnsi="Calibri" w:cs="Calibri"/>
                <w:sz w:val="20"/>
                <w:szCs w:val="20"/>
                <w:lang w:eastAsia="en-AU"/>
              </w:rPr>
            </w:pPr>
          </w:p>
        </w:tc>
        <w:tc>
          <w:tcPr>
            <w:tcW w:w="960" w:type="dxa"/>
            <w:tcBorders>
              <w:top w:val="nil"/>
              <w:left w:val="nil"/>
              <w:bottom w:val="nil"/>
              <w:right w:val="single" w:sz="4" w:space="0" w:color="auto"/>
            </w:tcBorders>
            <w:shd w:val="clear" w:color="auto" w:fill="auto"/>
            <w:vAlign w:val="center"/>
            <w:hideMark/>
          </w:tcPr>
          <w:p w14:paraId="2AD5013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$pc</w:t>
            </w:r>
          </w:p>
        </w:tc>
        <w:tc>
          <w:tcPr>
            <w:tcW w:w="900" w:type="dxa"/>
            <w:tcBorders>
              <w:top w:val="nil"/>
              <w:left w:val="nil"/>
              <w:bottom w:val="nil"/>
              <w:right w:val="nil"/>
            </w:tcBorders>
            <w:shd w:val="clear" w:color="auto" w:fill="auto"/>
            <w:vAlign w:val="center"/>
            <w:hideMark/>
          </w:tcPr>
          <w:p w14:paraId="489B941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$pc</w:t>
            </w:r>
          </w:p>
        </w:tc>
        <w:tc>
          <w:tcPr>
            <w:tcW w:w="1180" w:type="dxa"/>
            <w:tcBorders>
              <w:top w:val="nil"/>
              <w:left w:val="nil"/>
              <w:bottom w:val="nil"/>
              <w:right w:val="nil"/>
            </w:tcBorders>
            <w:shd w:val="clear" w:color="auto" w:fill="auto"/>
            <w:vAlign w:val="center"/>
            <w:hideMark/>
          </w:tcPr>
          <w:p w14:paraId="138DD1D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w:t>
            </w:r>
          </w:p>
        </w:tc>
        <w:tc>
          <w:tcPr>
            <w:tcW w:w="900" w:type="dxa"/>
            <w:tcBorders>
              <w:top w:val="nil"/>
              <w:left w:val="nil"/>
              <w:bottom w:val="nil"/>
              <w:right w:val="nil"/>
            </w:tcBorders>
            <w:shd w:val="clear" w:color="auto" w:fill="auto"/>
            <w:vAlign w:val="center"/>
            <w:hideMark/>
          </w:tcPr>
          <w:p w14:paraId="42B6D1A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$pc</w:t>
            </w:r>
          </w:p>
        </w:tc>
        <w:tc>
          <w:tcPr>
            <w:tcW w:w="1180" w:type="dxa"/>
            <w:tcBorders>
              <w:top w:val="nil"/>
              <w:left w:val="nil"/>
              <w:bottom w:val="nil"/>
              <w:right w:val="nil"/>
            </w:tcBorders>
            <w:shd w:val="clear" w:color="auto" w:fill="auto"/>
            <w:vAlign w:val="center"/>
            <w:hideMark/>
          </w:tcPr>
          <w:p w14:paraId="7A96039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w:t>
            </w:r>
          </w:p>
        </w:tc>
      </w:tr>
      <w:tr w:rsidR="00154784" w:rsidRPr="00154784" w14:paraId="51D8CD37" w14:textId="77777777" w:rsidTr="00A773EA">
        <w:trPr>
          <w:trHeight w:val="283"/>
        </w:trPr>
        <w:tc>
          <w:tcPr>
            <w:tcW w:w="3820" w:type="dxa"/>
            <w:tcBorders>
              <w:top w:val="nil"/>
              <w:left w:val="nil"/>
              <w:bottom w:val="nil"/>
              <w:right w:val="nil"/>
            </w:tcBorders>
            <w:shd w:val="clear" w:color="auto" w:fill="auto"/>
            <w:noWrap/>
            <w:vAlign w:val="bottom"/>
            <w:hideMark/>
          </w:tcPr>
          <w:p w14:paraId="0EC08702"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Schools</w:t>
            </w:r>
          </w:p>
        </w:tc>
        <w:tc>
          <w:tcPr>
            <w:tcW w:w="960" w:type="dxa"/>
            <w:tcBorders>
              <w:top w:val="nil"/>
              <w:left w:val="nil"/>
              <w:bottom w:val="nil"/>
              <w:right w:val="single" w:sz="4" w:space="0" w:color="auto"/>
            </w:tcBorders>
            <w:shd w:val="clear" w:color="auto" w:fill="auto"/>
            <w:vAlign w:val="center"/>
            <w:hideMark/>
          </w:tcPr>
          <w:p w14:paraId="0B08018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1 614</w:t>
            </w:r>
          </w:p>
        </w:tc>
        <w:tc>
          <w:tcPr>
            <w:tcW w:w="900" w:type="dxa"/>
            <w:tcBorders>
              <w:top w:val="nil"/>
              <w:left w:val="nil"/>
              <w:bottom w:val="nil"/>
              <w:right w:val="nil"/>
            </w:tcBorders>
            <w:shd w:val="clear" w:color="auto" w:fill="auto"/>
            <w:vAlign w:val="center"/>
            <w:hideMark/>
          </w:tcPr>
          <w:p w14:paraId="4D2FCC3F"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4 083</w:t>
            </w:r>
          </w:p>
        </w:tc>
        <w:tc>
          <w:tcPr>
            <w:tcW w:w="1180" w:type="dxa"/>
            <w:tcBorders>
              <w:top w:val="nil"/>
              <w:left w:val="nil"/>
              <w:bottom w:val="nil"/>
              <w:right w:val="nil"/>
            </w:tcBorders>
            <w:shd w:val="clear" w:color="auto" w:fill="auto"/>
            <w:vAlign w:val="center"/>
            <w:hideMark/>
          </w:tcPr>
          <w:p w14:paraId="3DBB60CF"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7 169 413</w:t>
            </w:r>
          </w:p>
        </w:tc>
        <w:tc>
          <w:tcPr>
            <w:tcW w:w="900" w:type="dxa"/>
            <w:tcBorders>
              <w:top w:val="nil"/>
              <w:left w:val="nil"/>
              <w:bottom w:val="nil"/>
              <w:right w:val="nil"/>
            </w:tcBorders>
            <w:shd w:val="clear" w:color="auto" w:fill="auto"/>
            <w:vAlign w:val="center"/>
            <w:hideMark/>
          </w:tcPr>
          <w:p w14:paraId="587DA97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4 153</w:t>
            </w:r>
          </w:p>
        </w:tc>
        <w:tc>
          <w:tcPr>
            <w:tcW w:w="1180" w:type="dxa"/>
            <w:tcBorders>
              <w:top w:val="nil"/>
              <w:left w:val="nil"/>
              <w:bottom w:val="nil"/>
              <w:right w:val="nil"/>
            </w:tcBorders>
            <w:shd w:val="clear" w:color="auto" w:fill="auto"/>
            <w:vAlign w:val="center"/>
            <w:hideMark/>
          </w:tcPr>
          <w:p w14:paraId="67DAD98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7 292 744</w:t>
            </w:r>
          </w:p>
        </w:tc>
      </w:tr>
      <w:tr w:rsidR="00154784" w:rsidRPr="00154784" w14:paraId="6C9A83A3" w14:textId="77777777" w:rsidTr="00A773EA">
        <w:trPr>
          <w:trHeight w:val="283"/>
        </w:trPr>
        <w:tc>
          <w:tcPr>
            <w:tcW w:w="3820" w:type="dxa"/>
            <w:tcBorders>
              <w:top w:val="nil"/>
              <w:left w:val="nil"/>
              <w:bottom w:val="nil"/>
              <w:right w:val="nil"/>
            </w:tcBorders>
            <w:shd w:val="clear" w:color="auto" w:fill="auto"/>
            <w:noWrap/>
            <w:vAlign w:val="bottom"/>
            <w:hideMark/>
          </w:tcPr>
          <w:p w14:paraId="05458C67"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Post-secondary education</w:t>
            </w:r>
          </w:p>
        </w:tc>
        <w:tc>
          <w:tcPr>
            <w:tcW w:w="960" w:type="dxa"/>
            <w:tcBorders>
              <w:top w:val="nil"/>
              <w:left w:val="nil"/>
              <w:bottom w:val="nil"/>
              <w:right w:val="single" w:sz="4" w:space="0" w:color="auto"/>
            </w:tcBorders>
            <w:shd w:val="clear" w:color="auto" w:fill="auto"/>
            <w:vAlign w:val="center"/>
            <w:hideMark/>
          </w:tcPr>
          <w:p w14:paraId="5828019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231</w:t>
            </w:r>
          </w:p>
        </w:tc>
        <w:tc>
          <w:tcPr>
            <w:tcW w:w="900" w:type="dxa"/>
            <w:tcBorders>
              <w:top w:val="nil"/>
              <w:left w:val="nil"/>
              <w:bottom w:val="nil"/>
              <w:right w:val="nil"/>
            </w:tcBorders>
            <w:shd w:val="clear" w:color="auto" w:fill="auto"/>
            <w:vAlign w:val="center"/>
            <w:hideMark/>
          </w:tcPr>
          <w:p w14:paraId="11D1E43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324</w:t>
            </w:r>
          </w:p>
        </w:tc>
        <w:tc>
          <w:tcPr>
            <w:tcW w:w="1180" w:type="dxa"/>
            <w:tcBorders>
              <w:top w:val="nil"/>
              <w:left w:val="nil"/>
              <w:bottom w:val="nil"/>
              <w:right w:val="nil"/>
            </w:tcBorders>
            <w:shd w:val="clear" w:color="auto" w:fill="auto"/>
            <w:vAlign w:val="center"/>
            <w:hideMark/>
          </w:tcPr>
          <w:p w14:paraId="3C2CA3B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568 952</w:t>
            </w:r>
          </w:p>
        </w:tc>
        <w:tc>
          <w:tcPr>
            <w:tcW w:w="900" w:type="dxa"/>
            <w:tcBorders>
              <w:top w:val="nil"/>
              <w:left w:val="nil"/>
              <w:bottom w:val="nil"/>
              <w:right w:val="nil"/>
            </w:tcBorders>
            <w:shd w:val="clear" w:color="auto" w:fill="auto"/>
            <w:vAlign w:val="center"/>
            <w:hideMark/>
          </w:tcPr>
          <w:p w14:paraId="1792656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vAlign w:val="center"/>
            <w:hideMark/>
          </w:tcPr>
          <w:p w14:paraId="6647D3F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51AAFC7C" w14:textId="77777777" w:rsidTr="00A773EA">
        <w:trPr>
          <w:trHeight w:val="283"/>
        </w:trPr>
        <w:tc>
          <w:tcPr>
            <w:tcW w:w="3820" w:type="dxa"/>
            <w:tcBorders>
              <w:top w:val="nil"/>
              <w:left w:val="nil"/>
              <w:bottom w:val="nil"/>
              <w:right w:val="nil"/>
            </w:tcBorders>
            <w:shd w:val="clear" w:color="auto" w:fill="auto"/>
            <w:noWrap/>
            <w:vAlign w:val="bottom"/>
            <w:hideMark/>
          </w:tcPr>
          <w:p w14:paraId="7EB9022A"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Health and general welfare</w:t>
            </w:r>
          </w:p>
        </w:tc>
        <w:tc>
          <w:tcPr>
            <w:tcW w:w="960" w:type="dxa"/>
            <w:tcBorders>
              <w:top w:val="nil"/>
              <w:left w:val="nil"/>
              <w:bottom w:val="nil"/>
              <w:right w:val="single" w:sz="4" w:space="0" w:color="auto"/>
            </w:tcBorders>
            <w:shd w:val="clear" w:color="auto" w:fill="auto"/>
            <w:vAlign w:val="center"/>
            <w:hideMark/>
          </w:tcPr>
          <w:p w14:paraId="1A951280"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63F37B1C"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0EC6CD5F"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7BC17413"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478EF071"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r>
      <w:tr w:rsidR="00154784" w:rsidRPr="00154784" w14:paraId="17265CDB" w14:textId="77777777" w:rsidTr="00A773EA">
        <w:trPr>
          <w:trHeight w:val="283"/>
        </w:trPr>
        <w:tc>
          <w:tcPr>
            <w:tcW w:w="3820" w:type="dxa"/>
            <w:tcBorders>
              <w:top w:val="nil"/>
              <w:left w:val="nil"/>
              <w:bottom w:val="nil"/>
              <w:right w:val="nil"/>
            </w:tcBorders>
            <w:shd w:val="clear" w:color="auto" w:fill="auto"/>
            <w:noWrap/>
            <w:vAlign w:val="bottom"/>
            <w:hideMark/>
          </w:tcPr>
          <w:p w14:paraId="27A50E4B"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Hospital</w:t>
            </w:r>
          </w:p>
        </w:tc>
        <w:tc>
          <w:tcPr>
            <w:tcW w:w="960" w:type="dxa"/>
            <w:tcBorders>
              <w:top w:val="nil"/>
              <w:left w:val="nil"/>
              <w:bottom w:val="nil"/>
              <w:right w:val="single" w:sz="4" w:space="0" w:color="auto"/>
            </w:tcBorders>
            <w:shd w:val="clear" w:color="auto" w:fill="auto"/>
            <w:vAlign w:val="center"/>
            <w:hideMark/>
          </w:tcPr>
          <w:p w14:paraId="022226A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2 196</w:t>
            </w:r>
          </w:p>
        </w:tc>
        <w:tc>
          <w:tcPr>
            <w:tcW w:w="900" w:type="dxa"/>
            <w:tcBorders>
              <w:top w:val="nil"/>
              <w:left w:val="nil"/>
              <w:bottom w:val="nil"/>
              <w:right w:val="nil"/>
            </w:tcBorders>
            <w:shd w:val="clear" w:color="auto" w:fill="auto"/>
            <w:vAlign w:val="center"/>
            <w:hideMark/>
          </w:tcPr>
          <w:p w14:paraId="733141C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4 623</w:t>
            </w:r>
          </w:p>
        </w:tc>
        <w:tc>
          <w:tcPr>
            <w:tcW w:w="1180" w:type="dxa"/>
            <w:tcBorders>
              <w:top w:val="nil"/>
              <w:left w:val="nil"/>
              <w:bottom w:val="nil"/>
              <w:right w:val="nil"/>
            </w:tcBorders>
            <w:shd w:val="clear" w:color="auto" w:fill="auto"/>
            <w:vAlign w:val="center"/>
            <w:hideMark/>
          </w:tcPr>
          <w:p w14:paraId="43B59E8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8 118 214</w:t>
            </w:r>
          </w:p>
        </w:tc>
        <w:tc>
          <w:tcPr>
            <w:tcW w:w="900" w:type="dxa"/>
            <w:tcBorders>
              <w:top w:val="nil"/>
              <w:left w:val="nil"/>
              <w:bottom w:val="nil"/>
              <w:right w:val="nil"/>
            </w:tcBorders>
            <w:shd w:val="clear" w:color="auto" w:fill="auto"/>
            <w:vAlign w:val="center"/>
            <w:hideMark/>
          </w:tcPr>
          <w:p w14:paraId="2990729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4 721</w:t>
            </w:r>
          </w:p>
        </w:tc>
        <w:tc>
          <w:tcPr>
            <w:tcW w:w="1180" w:type="dxa"/>
            <w:tcBorders>
              <w:top w:val="nil"/>
              <w:left w:val="nil"/>
              <w:bottom w:val="nil"/>
              <w:right w:val="nil"/>
            </w:tcBorders>
            <w:shd w:val="clear" w:color="auto" w:fill="auto"/>
            <w:vAlign w:val="center"/>
            <w:hideMark/>
          </w:tcPr>
          <w:p w14:paraId="2589163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8 289 700</w:t>
            </w:r>
          </w:p>
        </w:tc>
      </w:tr>
      <w:tr w:rsidR="00154784" w:rsidRPr="00154784" w14:paraId="01D820BD" w14:textId="77777777" w:rsidTr="00A773EA">
        <w:trPr>
          <w:trHeight w:val="283"/>
        </w:trPr>
        <w:tc>
          <w:tcPr>
            <w:tcW w:w="3820" w:type="dxa"/>
            <w:tcBorders>
              <w:top w:val="nil"/>
              <w:left w:val="nil"/>
              <w:bottom w:val="nil"/>
              <w:right w:val="nil"/>
            </w:tcBorders>
            <w:shd w:val="clear" w:color="auto" w:fill="auto"/>
            <w:noWrap/>
            <w:vAlign w:val="bottom"/>
            <w:hideMark/>
          </w:tcPr>
          <w:p w14:paraId="35C4F05C"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Patient transport</w:t>
            </w:r>
          </w:p>
        </w:tc>
        <w:tc>
          <w:tcPr>
            <w:tcW w:w="960" w:type="dxa"/>
            <w:tcBorders>
              <w:top w:val="nil"/>
              <w:left w:val="nil"/>
              <w:bottom w:val="nil"/>
              <w:right w:val="single" w:sz="4" w:space="0" w:color="auto"/>
            </w:tcBorders>
            <w:shd w:val="clear" w:color="auto" w:fill="auto"/>
            <w:vAlign w:val="center"/>
            <w:hideMark/>
          </w:tcPr>
          <w:p w14:paraId="5F45D91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25</w:t>
            </w:r>
          </w:p>
        </w:tc>
        <w:tc>
          <w:tcPr>
            <w:tcW w:w="900" w:type="dxa"/>
            <w:tcBorders>
              <w:top w:val="nil"/>
              <w:left w:val="nil"/>
              <w:bottom w:val="nil"/>
              <w:right w:val="nil"/>
            </w:tcBorders>
            <w:shd w:val="clear" w:color="auto" w:fill="auto"/>
            <w:vAlign w:val="center"/>
            <w:hideMark/>
          </w:tcPr>
          <w:p w14:paraId="15A6B8E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1 756</w:t>
            </w:r>
          </w:p>
        </w:tc>
        <w:tc>
          <w:tcPr>
            <w:tcW w:w="1180" w:type="dxa"/>
            <w:tcBorders>
              <w:top w:val="nil"/>
              <w:left w:val="nil"/>
              <w:bottom w:val="nil"/>
              <w:right w:val="nil"/>
            </w:tcBorders>
            <w:shd w:val="clear" w:color="auto" w:fill="auto"/>
            <w:vAlign w:val="center"/>
            <w:hideMark/>
          </w:tcPr>
          <w:p w14:paraId="381126F4"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3 083 000</w:t>
            </w:r>
          </w:p>
        </w:tc>
        <w:tc>
          <w:tcPr>
            <w:tcW w:w="900" w:type="dxa"/>
            <w:tcBorders>
              <w:top w:val="nil"/>
              <w:left w:val="nil"/>
              <w:bottom w:val="nil"/>
              <w:right w:val="nil"/>
            </w:tcBorders>
            <w:shd w:val="clear" w:color="auto" w:fill="auto"/>
            <w:vAlign w:val="center"/>
            <w:hideMark/>
          </w:tcPr>
          <w:p w14:paraId="051023B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1 756</w:t>
            </w:r>
          </w:p>
        </w:tc>
        <w:tc>
          <w:tcPr>
            <w:tcW w:w="1180" w:type="dxa"/>
            <w:tcBorders>
              <w:top w:val="nil"/>
              <w:left w:val="nil"/>
              <w:bottom w:val="nil"/>
              <w:right w:val="nil"/>
            </w:tcBorders>
            <w:shd w:val="clear" w:color="auto" w:fill="auto"/>
            <w:vAlign w:val="center"/>
            <w:hideMark/>
          </w:tcPr>
          <w:p w14:paraId="57375C2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3 083 000</w:t>
            </w:r>
          </w:p>
        </w:tc>
      </w:tr>
      <w:tr w:rsidR="00154784" w:rsidRPr="00154784" w14:paraId="1B29F754" w14:textId="77777777" w:rsidTr="00A773EA">
        <w:trPr>
          <w:trHeight w:val="283"/>
        </w:trPr>
        <w:tc>
          <w:tcPr>
            <w:tcW w:w="3820" w:type="dxa"/>
            <w:tcBorders>
              <w:top w:val="nil"/>
              <w:left w:val="nil"/>
              <w:bottom w:val="nil"/>
              <w:right w:val="nil"/>
            </w:tcBorders>
            <w:shd w:val="clear" w:color="auto" w:fill="auto"/>
            <w:noWrap/>
            <w:vAlign w:val="bottom"/>
            <w:hideMark/>
          </w:tcPr>
          <w:p w14:paraId="5B6CA5D6"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Community health</w:t>
            </w:r>
          </w:p>
        </w:tc>
        <w:tc>
          <w:tcPr>
            <w:tcW w:w="960" w:type="dxa"/>
            <w:tcBorders>
              <w:top w:val="nil"/>
              <w:left w:val="nil"/>
              <w:bottom w:val="nil"/>
              <w:right w:val="single" w:sz="4" w:space="0" w:color="auto"/>
            </w:tcBorders>
            <w:shd w:val="clear" w:color="auto" w:fill="auto"/>
            <w:vAlign w:val="center"/>
            <w:hideMark/>
          </w:tcPr>
          <w:p w14:paraId="7222DEE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380</w:t>
            </w:r>
          </w:p>
        </w:tc>
        <w:tc>
          <w:tcPr>
            <w:tcW w:w="900" w:type="dxa"/>
            <w:tcBorders>
              <w:top w:val="nil"/>
              <w:left w:val="nil"/>
              <w:bottom w:val="nil"/>
              <w:right w:val="nil"/>
            </w:tcBorders>
            <w:shd w:val="clear" w:color="auto" w:fill="auto"/>
            <w:vAlign w:val="center"/>
            <w:hideMark/>
          </w:tcPr>
          <w:p w14:paraId="3ECE44C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1 698</w:t>
            </w:r>
          </w:p>
        </w:tc>
        <w:tc>
          <w:tcPr>
            <w:tcW w:w="1180" w:type="dxa"/>
            <w:tcBorders>
              <w:top w:val="nil"/>
              <w:left w:val="nil"/>
              <w:bottom w:val="nil"/>
              <w:right w:val="nil"/>
            </w:tcBorders>
            <w:shd w:val="clear" w:color="auto" w:fill="auto"/>
            <w:vAlign w:val="center"/>
            <w:hideMark/>
          </w:tcPr>
          <w:p w14:paraId="0A3209C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2 981 458</w:t>
            </w:r>
          </w:p>
        </w:tc>
        <w:tc>
          <w:tcPr>
            <w:tcW w:w="900" w:type="dxa"/>
            <w:tcBorders>
              <w:top w:val="nil"/>
              <w:left w:val="nil"/>
              <w:bottom w:val="nil"/>
              <w:right w:val="nil"/>
            </w:tcBorders>
            <w:shd w:val="clear" w:color="auto" w:fill="auto"/>
            <w:vAlign w:val="center"/>
            <w:hideMark/>
          </w:tcPr>
          <w:p w14:paraId="3CADA53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1 720</w:t>
            </w:r>
          </w:p>
        </w:tc>
        <w:tc>
          <w:tcPr>
            <w:tcW w:w="1180" w:type="dxa"/>
            <w:tcBorders>
              <w:top w:val="nil"/>
              <w:left w:val="nil"/>
              <w:bottom w:val="nil"/>
              <w:right w:val="nil"/>
            </w:tcBorders>
            <w:shd w:val="clear" w:color="auto" w:fill="auto"/>
            <w:vAlign w:val="center"/>
            <w:hideMark/>
          </w:tcPr>
          <w:p w14:paraId="6CA89A0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3 020 150</w:t>
            </w:r>
          </w:p>
        </w:tc>
      </w:tr>
      <w:tr w:rsidR="00154784" w:rsidRPr="00154784" w14:paraId="796F24D5" w14:textId="77777777" w:rsidTr="00A773EA">
        <w:trPr>
          <w:trHeight w:val="283"/>
        </w:trPr>
        <w:tc>
          <w:tcPr>
            <w:tcW w:w="3820" w:type="dxa"/>
            <w:tcBorders>
              <w:top w:val="nil"/>
              <w:left w:val="nil"/>
              <w:bottom w:val="nil"/>
              <w:right w:val="nil"/>
            </w:tcBorders>
            <w:shd w:val="clear" w:color="auto" w:fill="auto"/>
            <w:noWrap/>
            <w:vAlign w:val="bottom"/>
            <w:hideMark/>
          </w:tcPr>
          <w:p w14:paraId="340223DD"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General welfare </w:t>
            </w:r>
          </w:p>
        </w:tc>
        <w:tc>
          <w:tcPr>
            <w:tcW w:w="960" w:type="dxa"/>
            <w:tcBorders>
              <w:top w:val="nil"/>
              <w:left w:val="nil"/>
              <w:bottom w:val="nil"/>
              <w:right w:val="single" w:sz="4" w:space="0" w:color="auto"/>
            </w:tcBorders>
            <w:shd w:val="clear" w:color="auto" w:fill="auto"/>
            <w:vAlign w:val="center"/>
            <w:hideMark/>
          </w:tcPr>
          <w:p w14:paraId="5126A0A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85</w:t>
            </w:r>
          </w:p>
        </w:tc>
        <w:tc>
          <w:tcPr>
            <w:tcW w:w="900" w:type="dxa"/>
            <w:tcBorders>
              <w:top w:val="nil"/>
              <w:left w:val="nil"/>
              <w:bottom w:val="nil"/>
              <w:right w:val="nil"/>
            </w:tcBorders>
            <w:shd w:val="clear" w:color="auto" w:fill="auto"/>
            <w:vAlign w:val="center"/>
            <w:hideMark/>
          </w:tcPr>
          <w:p w14:paraId="51EE694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127</w:t>
            </w:r>
          </w:p>
        </w:tc>
        <w:tc>
          <w:tcPr>
            <w:tcW w:w="1180" w:type="dxa"/>
            <w:tcBorders>
              <w:top w:val="nil"/>
              <w:left w:val="nil"/>
              <w:bottom w:val="nil"/>
              <w:right w:val="nil"/>
            </w:tcBorders>
            <w:shd w:val="clear" w:color="auto" w:fill="auto"/>
            <w:vAlign w:val="center"/>
            <w:hideMark/>
          </w:tcPr>
          <w:p w14:paraId="4248D81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223 875</w:t>
            </w:r>
          </w:p>
        </w:tc>
        <w:tc>
          <w:tcPr>
            <w:tcW w:w="900" w:type="dxa"/>
            <w:tcBorders>
              <w:top w:val="nil"/>
              <w:left w:val="nil"/>
              <w:bottom w:val="nil"/>
              <w:right w:val="nil"/>
            </w:tcBorders>
            <w:shd w:val="clear" w:color="auto" w:fill="auto"/>
            <w:vAlign w:val="center"/>
            <w:hideMark/>
          </w:tcPr>
          <w:p w14:paraId="7F97301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202</w:t>
            </w:r>
          </w:p>
        </w:tc>
        <w:tc>
          <w:tcPr>
            <w:tcW w:w="1180" w:type="dxa"/>
            <w:tcBorders>
              <w:top w:val="nil"/>
              <w:left w:val="nil"/>
              <w:bottom w:val="nil"/>
              <w:right w:val="nil"/>
            </w:tcBorders>
            <w:shd w:val="clear" w:color="auto" w:fill="auto"/>
            <w:vAlign w:val="center"/>
            <w:hideMark/>
          </w:tcPr>
          <w:p w14:paraId="661CC99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354 000</w:t>
            </w:r>
          </w:p>
        </w:tc>
      </w:tr>
      <w:tr w:rsidR="00154784" w:rsidRPr="00154784" w14:paraId="1029DD58" w14:textId="77777777" w:rsidTr="00A773EA">
        <w:trPr>
          <w:trHeight w:val="283"/>
        </w:trPr>
        <w:tc>
          <w:tcPr>
            <w:tcW w:w="3820" w:type="dxa"/>
            <w:tcBorders>
              <w:top w:val="nil"/>
              <w:left w:val="nil"/>
              <w:bottom w:val="nil"/>
              <w:right w:val="nil"/>
            </w:tcBorders>
            <w:shd w:val="clear" w:color="auto" w:fill="auto"/>
            <w:noWrap/>
            <w:vAlign w:val="bottom"/>
            <w:hideMark/>
          </w:tcPr>
          <w:p w14:paraId="37E5044D"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Other Welfare</w:t>
            </w:r>
          </w:p>
        </w:tc>
        <w:tc>
          <w:tcPr>
            <w:tcW w:w="960" w:type="dxa"/>
            <w:tcBorders>
              <w:top w:val="nil"/>
              <w:left w:val="nil"/>
              <w:bottom w:val="nil"/>
              <w:right w:val="single" w:sz="4" w:space="0" w:color="auto"/>
            </w:tcBorders>
            <w:shd w:val="clear" w:color="auto" w:fill="auto"/>
            <w:vAlign w:val="center"/>
            <w:hideMark/>
          </w:tcPr>
          <w:p w14:paraId="67E2E0CD"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05D708B8"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25763211"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426B8AFF"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32C023CA"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r>
      <w:tr w:rsidR="00154784" w:rsidRPr="00154784" w14:paraId="2ECB82C7" w14:textId="77777777" w:rsidTr="00A773EA">
        <w:trPr>
          <w:trHeight w:val="283"/>
        </w:trPr>
        <w:tc>
          <w:tcPr>
            <w:tcW w:w="3820" w:type="dxa"/>
            <w:tcBorders>
              <w:top w:val="nil"/>
              <w:left w:val="nil"/>
              <w:bottom w:val="nil"/>
              <w:right w:val="nil"/>
            </w:tcBorders>
            <w:shd w:val="clear" w:color="auto" w:fill="auto"/>
            <w:noWrap/>
            <w:vAlign w:val="bottom"/>
            <w:hideMark/>
          </w:tcPr>
          <w:p w14:paraId="311D2E18"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Family and child</w:t>
            </w:r>
          </w:p>
        </w:tc>
        <w:tc>
          <w:tcPr>
            <w:tcW w:w="960" w:type="dxa"/>
            <w:tcBorders>
              <w:top w:val="nil"/>
              <w:left w:val="nil"/>
              <w:bottom w:val="nil"/>
              <w:right w:val="single" w:sz="4" w:space="0" w:color="auto"/>
            </w:tcBorders>
            <w:shd w:val="clear" w:color="auto" w:fill="auto"/>
            <w:vAlign w:val="center"/>
            <w:hideMark/>
          </w:tcPr>
          <w:p w14:paraId="477E203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256</w:t>
            </w:r>
          </w:p>
        </w:tc>
        <w:tc>
          <w:tcPr>
            <w:tcW w:w="900" w:type="dxa"/>
            <w:tcBorders>
              <w:top w:val="nil"/>
              <w:left w:val="nil"/>
              <w:bottom w:val="nil"/>
              <w:right w:val="nil"/>
            </w:tcBorders>
            <w:shd w:val="clear" w:color="auto" w:fill="auto"/>
            <w:vAlign w:val="center"/>
            <w:hideMark/>
          </w:tcPr>
          <w:p w14:paraId="4CA7B5F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151</w:t>
            </w:r>
          </w:p>
        </w:tc>
        <w:tc>
          <w:tcPr>
            <w:tcW w:w="1180" w:type="dxa"/>
            <w:tcBorders>
              <w:top w:val="nil"/>
              <w:left w:val="nil"/>
              <w:bottom w:val="nil"/>
              <w:right w:val="nil"/>
            </w:tcBorders>
            <w:shd w:val="clear" w:color="auto" w:fill="auto"/>
            <w:vAlign w:val="center"/>
            <w:hideMark/>
          </w:tcPr>
          <w:p w14:paraId="58FD0E4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264 931</w:t>
            </w:r>
          </w:p>
        </w:tc>
        <w:tc>
          <w:tcPr>
            <w:tcW w:w="900" w:type="dxa"/>
            <w:tcBorders>
              <w:top w:val="nil"/>
              <w:left w:val="nil"/>
              <w:bottom w:val="nil"/>
              <w:right w:val="nil"/>
            </w:tcBorders>
            <w:shd w:val="clear" w:color="auto" w:fill="auto"/>
            <w:vAlign w:val="center"/>
            <w:hideMark/>
          </w:tcPr>
          <w:p w14:paraId="7F19F7E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563</w:t>
            </w:r>
          </w:p>
        </w:tc>
        <w:tc>
          <w:tcPr>
            <w:tcW w:w="1180" w:type="dxa"/>
            <w:tcBorders>
              <w:top w:val="nil"/>
              <w:left w:val="nil"/>
              <w:bottom w:val="nil"/>
              <w:right w:val="nil"/>
            </w:tcBorders>
            <w:shd w:val="clear" w:color="auto" w:fill="auto"/>
            <w:vAlign w:val="center"/>
            <w:hideMark/>
          </w:tcPr>
          <w:p w14:paraId="2247927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989 500</w:t>
            </w:r>
          </w:p>
        </w:tc>
      </w:tr>
      <w:tr w:rsidR="00154784" w:rsidRPr="00154784" w14:paraId="7B8A0E9D" w14:textId="77777777" w:rsidTr="00A773EA">
        <w:trPr>
          <w:trHeight w:val="283"/>
        </w:trPr>
        <w:tc>
          <w:tcPr>
            <w:tcW w:w="3820" w:type="dxa"/>
            <w:tcBorders>
              <w:top w:val="nil"/>
              <w:left w:val="nil"/>
              <w:bottom w:val="nil"/>
              <w:right w:val="nil"/>
            </w:tcBorders>
            <w:shd w:val="clear" w:color="auto" w:fill="auto"/>
            <w:noWrap/>
            <w:vAlign w:val="bottom"/>
            <w:hideMark/>
          </w:tcPr>
          <w:p w14:paraId="5064DD11"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NDIS</w:t>
            </w:r>
          </w:p>
        </w:tc>
        <w:tc>
          <w:tcPr>
            <w:tcW w:w="960" w:type="dxa"/>
            <w:tcBorders>
              <w:top w:val="nil"/>
              <w:left w:val="nil"/>
              <w:bottom w:val="nil"/>
              <w:right w:val="single" w:sz="4" w:space="0" w:color="auto"/>
            </w:tcBorders>
            <w:shd w:val="clear" w:color="auto" w:fill="auto"/>
            <w:vAlign w:val="center"/>
            <w:hideMark/>
          </w:tcPr>
          <w:p w14:paraId="4881A7A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373</w:t>
            </w:r>
          </w:p>
        </w:tc>
        <w:tc>
          <w:tcPr>
            <w:tcW w:w="900" w:type="dxa"/>
            <w:tcBorders>
              <w:top w:val="nil"/>
              <w:left w:val="nil"/>
              <w:bottom w:val="nil"/>
              <w:right w:val="nil"/>
            </w:tcBorders>
            <w:shd w:val="clear" w:color="auto" w:fill="auto"/>
            <w:vAlign w:val="center"/>
            <w:hideMark/>
          </w:tcPr>
          <w:p w14:paraId="310A4AC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373</w:t>
            </w:r>
          </w:p>
        </w:tc>
        <w:tc>
          <w:tcPr>
            <w:tcW w:w="1180" w:type="dxa"/>
            <w:tcBorders>
              <w:top w:val="nil"/>
              <w:left w:val="nil"/>
              <w:bottom w:val="nil"/>
              <w:right w:val="nil"/>
            </w:tcBorders>
            <w:shd w:val="clear" w:color="auto" w:fill="auto"/>
            <w:vAlign w:val="center"/>
            <w:hideMark/>
          </w:tcPr>
          <w:p w14:paraId="72E461B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655 794</w:t>
            </w:r>
          </w:p>
        </w:tc>
        <w:tc>
          <w:tcPr>
            <w:tcW w:w="900" w:type="dxa"/>
            <w:tcBorders>
              <w:top w:val="nil"/>
              <w:left w:val="nil"/>
              <w:bottom w:val="nil"/>
              <w:right w:val="nil"/>
            </w:tcBorders>
            <w:shd w:val="clear" w:color="auto" w:fill="auto"/>
            <w:vAlign w:val="center"/>
            <w:hideMark/>
          </w:tcPr>
          <w:p w14:paraId="3E8612CF"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vAlign w:val="center"/>
            <w:hideMark/>
          </w:tcPr>
          <w:p w14:paraId="388C5AF4"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1DFAAA2E" w14:textId="77777777" w:rsidTr="00A773EA">
        <w:trPr>
          <w:trHeight w:val="283"/>
        </w:trPr>
        <w:tc>
          <w:tcPr>
            <w:tcW w:w="3820" w:type="dxa"/>
            <w:tcBorders>
              <w:top w:val="nil"/>
              <w:left w:val="nil"/>
              <w:bottom w:val="nil"/>
              <w:right w:val="nil"/>
            </w:tcBorders>
            <w:shd w:val="clear" w:color="auto" w:fill="auto"/>
            <w:noWrap/>
            <w:vAlign w:val="bottom"/>
            <w:hideMark/>
          </w:tcPr>
          <w:p w14:paraId="7A5FA447"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Concessions</w:t>
            </w:r>
          </w:p>
        </w:tc>
        <w:tc>
          <w:tcPr>
            <w:tcW w:w="960" w:type="dxa"/>
            <w:tcBorders>
              <w:top w:val="nil"/>
              <w:left w:val="nil"/>
              <w:bottom w:val="nil"/>
              <w:right w:val="single" w:sz="4" w:space="0" w:color="auto"/>
            </w:tcBorders>
            <w:shd w:val="clear" w:color="auto" w:fill="auto"/>
            <w:vAlign w:val="center"/>
            <w:hideMark/>
          </w:tcPr>
          <w:p w14:paraId="422E32C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88</w:t>
            </w:r>
          </w:p>
        </w:tc>
        <w:tc>
          <w:tcPr>
            <w:tcW w:w="900" w:type="dxa"/>
            <w:tcBorders>
              <w:top w:val="nil"/>
              <w:left w:val="nil"/>
              <w:bottom w:val="nil"/>
              <w:right w:val="nil"/>
            </w:tcBorders>
            <w:shd w:val="clear" w:color="auto" w:fill="auto"/>
            <w:vAlign w:val="center"/>
            <w:hideMark/>
          </w:tcPr>
          <w:p w14:paraId="015DCC71"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32</w:t>
            </w:r>
          </w:p>
        </w:tc>
        <w:tc>
          <w:tcPr>
            <w:tcW w:w="1180" w:type="dxa"/>
            <w:tcBorders>
              <w:top w:val="nil"/>
              <w:left w:val="nil"/>
              <w:bottom w:val="nil"/>
              <w:right w:val="nil"/>
            </w:tcBorders>
            <w:shd w:val="clear" w:color="auto" w:fill="auto"/>
            <w:vAlign w:val="center"/>
            <w:hideMark/>
          </w:tcPr>
          <w:p w14:paraId="0678B29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56 026</w:t>
            </w:r>
          </w:p>
        </w:tc>
        <w:tc>
          <w:tcPr>
            <w:tcW w:w="900" w:type="dxa"/>
            <w:tcBorders>
              <w:top w:val="nil"/>
              <w:left w:val="nil"/>
              <w:bottom w:val="nil"/>
              <w:right w:val="nil"/>
            </w:tcBorders>
            <w:shd w:val="clear" w:color="auto" w:fill="auto"/>
            <w:vAlign w:val="center"/>
            <w:hideMark/>
          </w:tcPr>
          <w:p w14:paraId="5F69074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11</w:t>
            </w:r>
          </w:p>
        </w:tc>
        <w:tc>
          <w:tcPr>
            <w:tcW w:w="1180" w:type="dxa"/>
            <w:tcBorders>
              <w:top w:val="nil"/>
              <w:left w:val="nil"/>
              <w:bottom w:val="nil"/>
              <w:right w:val="nil"/>
            </w:tcBorders>
            <w:shd w:val="clear" w:color="auto" w:fill="auto"/>
            <w:vAlign w:val="center"/>
            <w:hideMark/>
          </w:tcPr>
          <w:p w14:paraId="5B4916C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18 968</w:t>
            </w:r>
          </w:p>
        </w:tc>
      </w:tr>
      <w:tr w:rsidR="00154784" w:rsidRPr="00154784" w14:paraId="62EFEE9D" w14:textId="77777777" w:rsidTr="00A773EA">
        <w:trPr>
          <w:trHeight w:val="283"/>
        </w:trPr>
        <w:tc>
          <w:tcPr>
            <w:tcW w:w="3820" w:type="dxa"/>
            <w:tcBorders>
              <w:top w:val="nil"/>
              <w:left w:val="nil"/>
              <w:bottom w:val="nil"/>
              <w:right w:val="nil"/>
            </w:tcBorders>
            <w:shd w:val="clear" w:color="auto" w:fill="auto"/>
            <w:noWrap/>
            <w:vAlign w:val="bottom"/>
            <w:hideMark/>
          </w:tcPr>
          <w:p w14:paraId="345F65CD"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Housing</w:t>
            </w:r>
          </w:p>
        </w:tc>
        <w:tc>
          <w:tcPr>
            <w:tcW w:w="960" w:type="dxa"/>
            <w:tcBorders>
              <w:top w:val="nil"/>
              <w:left w:val="nil"/>
              <w:bottom w:val="nil"/>
              <w:right w:val="single" w:sz="4" w:space="0" w:color="auto"/>
            </w:tcBorders>
            <w:shd w:val="clear" w:color="auto" w:fill="auto"/>
            <w:vAlign w:val="center"/>
            <w:hideMark/>
          </w:tcPr>
          <w:p w14:paraId="4AD14110"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58B9E99D"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6F440DF7"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20D8A615"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32683617"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r>
      <w:tr w:rsidR="00154784" w:rsidRPr="00154784" w14:paraId="6880ABF8" w14:textId="77777777" w:rsidTr="00A773EA">
        <w:trPr>
          <w:trHeight w:val="283"/>
        </w:trPr>
        <w:tc>
          <w:tcPr>
            <w:tcW w:w="3820" w:type="dxa"/>
            <w:tcBorders>
              <w:top w:val="nil"/>
              <w:left w:val="nil"/>
              <w:bottom w:val="nil"/>
              <w:right w:val="nil"/>
            </w:tcBorders>
            <w:shd w:val="clear" w:color="auto" w:fill="auto"/>
            <w:noWrap/>
            <w:vAlign w:val="bottom"/>
            <w:hideMark/>
          </w:tcPr>
          <w:p w14:paraId="29A1EA35"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Social housing</w:t>
            </w:r>
          </w:p>
        </w:tc>
        <w:tc>
          <w:tcPr>
            <w:tcW w:w="960" w:type="dxa"/>
            <w:tcBorders>
              <w:top w:val="nil"/>
              <w:left w:val="nil"/>
              <w:bottom w:val="nil"/>
              <w:right w:val="single" w:sz="4" w:space="0" w:color="auto"/>
            </w:tcBorders>
            <w:shd w:val="clear" w:color="auto" w:fill="auto"/>
            <w:vAlign w:val="center"/>
            <w:hideMark/>
          </w:tcPr>
          <w:p w14:paraId="43A2BFA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97</w:t>
            </w:r>
          </w:p>
        </w:tc>
        <w:tc>
          <w:tcPr>
            <w:tcW w:w="900" w:type="dxa"/>
            <w:tcBorders>
              <w:top w:val="nil"/>
              <w:left w:val="nil"/>
              <w:bottom w:val="nil"/>
              <w:right w:val="nil"/>
            </w:tcBorders>
            <w:shd w:val="clear" w:color="auto" w:fill="auto"/>
            <w:vAlign w:val="center"/>
            <w:hideMark/>
          </w:tcPr>
          <w:p w14:paraId="55A05A8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127</w:t>
            </w:r>
          </w:p>
        </w:tc>
        <w:tc>
          <w:tcPr>
            <w:tcW w:w="1180" w:type="dxa"/>
            <w:tcBorders>
              <w:top w:val="nil"/>
              <w:left w:val="nil"/>
              <w:bottom w:val="nil"/>
              <w:right w:val="nil"/>
            </w:tcBorders>
            <w:shd w:val="clear" w:color="auto" w:fill="auto"/>
            <w:vAlign w:val="center"/>
            <w:hideMark/>
          </w:tcPr>
          <w:p w14:paraId="03BE424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222 432</w:t>
            </w:r>
          </w:p>
        </w:tc>
        <w:tc>
          <w:tcPr>
            <w:tcW w:w="900" w:type="dxa"/>
            <w:tcBorders>
              <w:top w:val="nil"/>
              <w:left w:val="nil"/>
              <w:bottom w:val="nil"/>
              <w:right w:val="nil"/>
            </w:tcBorders>
            <w:shd w:val="clear" w:color="auto" w:fill="auto"/>
            <w:vAlign w:val="center"/>
            <w:hideMark/>
          </w:tcPr>
          <w:p w14:paraId="3501E8C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vAlign w:val="center"/>
            <w:hideMark/>
          </w:tcPr>
          <w:p w14:paraId="254BD03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6283D0DC" w14:textId="77777777" w:rsidTr="00A773EA">
        <w:trPr>
          <w:trHeight w:val="283"/>
        </w:trPr>
        <w:tc>
          <w:tcPr>
            <w:tcW w:w="3820" w:type="dxa"/>
            <w:tcBorders>
              <w:top w:val="nil"/>
              <w:left w:val="nil"/>
              <w:bottom w:val="nil"/>
              <w:right w:val="nil"/>
            </w:tcBorders>
            <w:shd w:val="clear" w:color="auto" w:fill="auto"/>
            <w:noWrap/>
            <w:vAlign w:val="bottom"/>
            <w:hideMark/>
          </w:tcPr>
          <w:p w14:paraId="2B5233F1"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First home owner grants</w:t>
            </w:r>
          </w:p>
        </w:tc>
        <w:tc>
          <w:tcPr>
            <w:tcW w:w="960" w:type="dxa"/>
            <w:tcBorders>
              <w:top w:val="nil"/>
              <w:left w:val="nil"/>
              <w:bottom w:val="nil"/>
              <w:right w:val="single" w:sz="4" w:space="0" w:color="auto"/>
            </w:tcBorders>
            <w:shd w:val="clear" w:color="auto" w:fill="auto"/>
            <w:vAlign w:val="center"/>
            <w:hideMark/>
          </w:tcPr>
          <w:p w14:paraId="0B9F7F2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25</w:t>
            </w:r>
          </w:p>
        </w:tc>
        <w:tc>
          <w:tcPr>
            <w:tcW w:w="900" w:type="dxa"/>
            <w:tcBorders>
              <w:top w:val="nil"/>
              <w:left w:val="nil"/>
              <w:bottom w:val="nil"/>
              <w:right w:val="nil"/>
            </w:tcBorders>
            <w:shd w:val="clear" w:color="auto" w:fill="auto"/>
            <w:vAlign w:val="center"/>
            <w:hideMark/>
          </w:tcPr>
          <w:p w14:paraId="00DD52B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23</w:t>
            </w:r>
          </w:p>
        </w:tc>
        <w:tc>
          <w:tcPr>
            <w:tcW w:w="1180" w:type="dxa"/>
            <w:tcBorders>
              <w:top w:val="nil"/>
              <w:left w:val="nil"/>
              <w:bottom w:val="nil"/>
              <w:right w:val="nil"/>
            </w:tcBorders>
            <w:shd w:val="clear" w:color="auto" w:fill="auto"/>
            <w:vAlign w:val="center"/>
            <w:hideMark/>
          </w:tcPr>
          <w:p w14:paraId="45BAC04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41 141</w:t>
            </w:r>
          </w:p>
        </w:tc>
        <w:tc>
          <w:tcPr>
            <w:tcW w:w="900" w:type="dxa"/>
            <w:tcBorders>
              <w:top w:val="nil"/>
              <w:left w:val="nil"/>
              <w:bottom w:val="nil"/>
              <w:right w:val="nil"/>
            </w:tcBorders>
            <w:shd w:val="clear" w:color="auto" w:fill="auto"/>
            <w:vAlign w:val="center"/>
            <w:hideMark/>
          </w:tcPr>
          <w:p w14:paraId="286FF59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vAlign w:val="center"/>
            <w:hideMark/>
          </w:tcPr>
          <w:p w14:paraId="6A2D2F7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6179AE58" w14:textId="77777777" w:rsidTr="00A773EA">
        <w:trPr>
          <w:trHeight w:val="283"/>
        </w:trPr>
        <w:tc>
          <w:tcPr>
            <w:tcW w:w="3820" w:type="dxa"/>
            <w:tcBorders>
              <w:top w:val="nil"/>
              <w:left w:val="nil"/>
              <w:bottom w:val="nil"/>
              <w:right w:val="nil"/>
            </w:tcBorders>
            <w:shd w:val="clear" w:color="auto" w:fill="auto"/>
            <w:noWrap/>
            <w:vAlign w:val="bottom"/>
            <w:hideMark/>
          </w:tcPr>
          <w:p w14:paraId="75F06AD3"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Justice</w:t>
            </w:r>
          </w:p>
        </w:tc>
        <w:tc>
          <w:tcPr>
            <w:tcW w:w="960" w:type="dxa"/>
            <w:tcBorders>
              <w:top w:val="nil"/>
              <w:left w:val="nil"/>
              <w:bottom w:val="nil"/>
              <w:right w:val="single" w:sz="4" w:space="0" w:color="auto"/>
            </w:tcBorders>
            <w:shd w:val="clear" w:color="auto" w:fill="auto"/>
            <w:vAlign w:val="center"/>
            <w:hideMark/>
          </w:tcPr>
          <w:p w14:paraId="233F17DE"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468352D3"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370D44D1"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1315C970"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45DD9A6A"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r>
      <w:tr w:rsidR="00154784" w:rsidRPr="00154784" w14:paraId="533EB172" w14:textId="77777777" w:rsidTr="00A773EA">
        <w:trPr>
          <w:trHeight w:val="283"/>
        </w:trPr>
        <w:tc>
          <w:tcPr>
            <w:tcW w:w="3820" w:type="dxa"/>
            <w:tcBorders>
              <w:top w:val="nil"/>
              <w:left w:val="nil"/>
              <w:bottom w:val="nil"/>
              <w:right w:val="nil"/>
            </w:tcBorders>
            <w:shd w:val="clear" w:color="auto" w:fill="auto"/>
            <w:noWrap/>
            <w:vAlign w:val="bottom"/>
            <w:hideMark/>
          </w:tcPr>
          <w:p w14:paraId="14225E02"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Police</w:t>
            </w:r>
          </w:p>
        </w:tc>
        <w:tc>
          <w:tcPr>
            <w:tcW w:w="960" w:type="dxa"/>
            <w:tcBorders>
              <w:top w:val="nil"/>
              <w:left w:val="nil"/>
              <w:bottom w:val="nil"/>
              <w:right w:val="single" w:sz="4" w:space="0" w:color="auto"/>
            </w:tcBorders>
            <w:shd w:val="clear" w:color="auto" w:fill="auto"/>
            <w:vAlign w:val="center"/>
            <w:hideMark/>
          </w:tcPr>
          <w:p w14:paraId="057D25C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438</w:t>
            </w:r>
          </w:p>
        </w:tc>
        <w:tc>
          <w:tcPr>
            <w:tcW w:w="900" w:type="dxa"/>
            <w:tcBorders>
              <w:top w:val="nil"/>
              <w:left w:val="nil"/>
              <w:bottom w:val="nil"/>
              <w:right w:val="nil"/>
            </w:tcBorders>
            <w:shd w:val="clear" w:color="auto" w:fill="auto"/>
            <w:vAlign w:val="center"/>
            <w:hideMark/>
          </w:tcPr>
          <w:p w14:paraId="2D1E2B5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851</w:t>
            </w:r>
          </w:p>
        </w:tc>
        <w:tc>
          <w:tcPr>
            <w:tcW w:w="1180" w:type="dxa"/>
            <w:tcBorders>
              <w:top w:val="nil"/>
              <w:left w:val="nil"/>
              <w:bottom w:val="nil"/>
              <w:right w:val="nil"/>
            </w:tcBorders>
            <w:shd w:val="clear" w:color="auto" w:fill="auto"/>
            <w:vAlign w:val="center"/>
            <w:hideMark/>
          </w:tcPr>
          <w:p w14:paraId="7971745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1 495 000</w:t>
            </w:r>
          </w:p>
        </w:tc>
        <w:tc>
          <w:tcPr>
            <w:tcW w:w="900" w:type="dxa"/>
            <w:tcBorders>
              <w:top w:val="nil"/>
              <w:left w:val="nil"/>
              <w:bottom w:val="nil"/>
              <w:right w:val="nil"/>
            </w:tcBorders>
            <w:shd w:val="clear" w:color="auto" w:fill="auto"/>
            <w:vAlign w:val="center"/>
            <w:hideMark/>
          </w:tcPr>
          <w:p w14:paraId="1089B96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1 225</w:t>
            </w:r>
          </w:p>
        </w:tc>
        <w:tc>
          <w:tcPr>
            <w:tcW w:w="1180" w:type="dxa"/>
            <w:tcBorders>
              <w:top w:val="nil"/>
              <w:left w:val="nil"/>
              <w:bottom w:val="nil"/>
              <w:right w:val="nil"/>
            </w:tcBorders>
            <w:shd w:val="clear" w:color="auto" w:fill="auto"/>
            <w:vAlign w:val="center"/>
            <w:hideMark/>
          </w:tcPr>
          <w:p w14:paraId="0E9A5F1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2 151 000</w:t>
            </w:r>
          </w:p>
        </w:tc>
      </w:tr>
      <w:tr w:rsidR="00154784" w:rsidRPr="00154784" w14:paraId="43B87009" w14:textId="77777777" w:rsidTr="00A773EA">
        <w:trPr>
          <w:trHeight w:val="283"/>
        </w:trPr>
        <w:tc>
          <w:tcPr>
            <w:tcW w:w="3820" w:type="dxa"/>
            <w:tcBorders>
              <w:top w:val="nil"/>
              <w:left w:val="nil"/>
              <w:bottom w:val="nil"/>
              <w:right w:val="nil"/>
            </w:tcBorders>
            <w:shd w:val="clear" w:color="auto" w:fill="auto"/>
            <w:noWrap/>
            <w:vAlign w:val="bottom"/>
            <w:hideMark/>
          </w:tcPr>
          <w:p w14:paraId="272A562E"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Courts and other legal services</w:t>
            </w:r>
            <w:r>
              <w:rPr>
                <w:rFonts w:ascii="Calibri" w:eastAsia="Times New Roman" w:hAnsi="Calibri" w:cs="Calibri"/>
                <w:sz w:val="20"/>
                <w:szCs w:val="20"/>
                <w:lang w:eastAsia="en-AU"/>
              </w:rPr>
              <w:t xml:space="preserve"> (b)</w:t>
            </w:r>
          </w:p>
        </w:tc>
        <w:tc>
          <w:tcPr>
            <w:tcW w:w="960" w:type="dxa"/>
            <w:tcBorders>
              <w:top w:val="nil"/>
              <w:left w:val="nil"/>
              <w:bottom w:val="nil"/>
              <w:right w:val="single" w:sz="4" w:space="0" w:color="auto"/>
            </w:tcBorders>
            <w:shd w:val="clear" w:color="auto" w:fill="auto"/>
            <w:vAlign w:val="center"/>
            <w:hideMark/>
          </w:tcPr>
          <w:p w14:paraId="1E38EE8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189</w:t>
            </w:r>
          </w:p>
        </w:tc>
        <w:tc>
          <w:tcPr>
            <w:tcW w:w="900" w:type="dxa"/>
            <w:tcBorders>
              <w:top w:val="nil"/>
              <w:left w:val="nil"/>
              <w:bottom w:val="nil"/>
              <w:right w:val="nil"/>
            </w:tcBorders>
            <w:shd w:val="clear" w:color="auto" w:fill="auto"/>
            <w:vAlign w:val="center"/>
            <w:hideMark/>
          </w:tcPr>
          <w:p w14:paraId="0923F71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202</w:t>
            </w:r>
          </w:p>
        </w:tc>
        <w:tc>
          <w:tcPr>
            <w:tcW w:w="1180" w:type="dxa"/>
            <w:tcBorders>
              <w:top w:val="nil"/>
              <w:left w:val="nil"/>
              <w:bottom w:val="nil"/>
              <w:right w:val="nil"/>
            </w:tcBorders>
            <w:shd w:val="clear" w:color="auto" w:fill="auto"/>
            <w:vAlign w:val="center"/>
            <w:hideMark/>
          </w:tcPr>
          <w:p w14:paraId="43CA970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354 379</w:t>
            </w:r>
          </w:p>
        </w:tc>
        <w:tc>
          <w:tcPr>
            <w:tcW w:w="900" w:type="dxa"/>
            <w:tcBorders>
              <w:top w:val="nil"/>
              <w:left w:val="nil"/>
              <w:bottom w:val="nil"/>
              <w:right w:val="nil"/>
            </w:tcBorders>
            <w:shd w:val="clear" w:color="auto" w:fill="auto"/>
            <w:vAlign w:val="center"/>
            <w:hideMark/>
          </w:tcPr>
          <w:p w14:paraId="4E10BC7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494</w:t>
            </w:r>
          </w:p>
        </w:tc>
        <w:tc>
          <w:tcPr>
            <w:tcW w:w="1180" w:type="dxa"/>
            <w:tcBorders>
              <w:top w:val="nil"/>
              <w:left w:val="nil"/>
              <w:bottom w:val="nil"/>
              <w:right w:val="nil"/>
            </w:tcBorders>
            <w:shd w:val="clear" w:color="auto" w:fill="auto"/>
            <w:vAlign w:val="center"/>
            <w:hideMark/>
          </w:tcPr>
          <w:p w14:paraId="7319E6C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867 367</w:t>
            </w:r>
          </w:p>
        </w:tc>
      </w:tr>
      <w:tr w:rsidR="00154784" w:rsidRPr="00154784" w14:paraId="298B4A96" w14:textId="77777777" w:rsidTr="00A773EA">
        <w:trPr>
          <w:trHeight w:val="283"/>
        </w:trPr>
        <w:tc>
          <w:tcPr>
            <w:tcW w:w="3820" w:type="dxa"/>
            <w:tcBorders>
              <w:top w:val="nil"/>
              <w:left w:val="nil"/>
              <w:bottom w:val="nil"/>
              <w:right w:val="nil"/>
            </w:tcBorders>
            <w:shd w:val="clear" w:color="auto" w:fill="auto"/>
            <w:noWrap/>
            <w:vAlign w:val="bottom"/>
            <w:hideMark/>
          </w:tcPr>
          <w:p w14:paraId="15AEE536"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Corrective services</w:t>
            </w:r>
          </w:p>
        </w:tc>
        <w:tc>
          <w:tcPr>
            <w:tcW w:w="960" w:type="dxa"/>
            <w:tcBorders>
              <w:top w:val="nil"/>
              <w:left w:val="nil"/>
              <w:bottom w:val="nil"/>
              <w:right w:val="single" w:sz="4" w:space="0" w:color="auto"/>
            </w:tcBorders>
            <w:shd w:val="clear" w:color="auto" w:fill="auto"/>
            <w:vAlign w:val="center"/>
            <w:hideMark/>
          </w:tcPr>
          <w:p w14:paraId="719BF73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196</w:t>
            </w:r>
          </w:p>
        </w:tc>
        <w:tc>
          <w:tcPr>
            <w:tcW w:w="900" w:type="dxa"/>
            <w:tcBorders>
              <w:top w:val="nil"/>
              <w:left w:val="nil"/>
              <w:bottom w:val="nil"/>
              <w:right w:val="nil"/>
            </w:tcBorders>
            <w:shd w:val="clear" w:color="auto" w:fill="auto"/>
            <w:vAlign w:val="center"/>
            <w:hideMark/>
          </w:tcPr>
          <w:p w14:paraId="07681EC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147</w:t>
            </w:r>
          </w:p>
        </w:tc>
        <w:tc>
          <w:tcPr>
            <w:tcW w:w="1180" w:type="dxa"/>
            <w:tcBorders>
              <w:top w:val="nil"/>
              <w:left w:val="nil"/>
              <w:bottom w:val="nil"/>
              <w:right w:val="nil"/>
            </w:tcBorders>
            <w:shd w:val="clear" w:color="auto" w:fill="auto"/>
            <w:vAlign w:val="center"/>
            <w:hideMark/>
          </w:tcPr>
          <w:p w14:paraId="407250E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257 263</w:t>
            </w:r>
          </w:p>
        </w:tc>
        <w:tc>
          <w:tcPr>
            <w:tcW w:w="900" w:type="dxa"/>
            <w:tcBorders>
              <w:top w:val="nil"/>
              <w:left w:val="nil"/>
              <w:bottom w:val="nil"/>
              <w:right w:val="nil"/>
            </w:tcBorders>
            <w:shd w:val="clear" w:color="auto" w:fill="auto"/>
            <w:vAlign w:val="center"/>
            <w:hideMark/>
          </w:tcPr>
          <w:p w14:paraId="7C966AC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85</w:t>
            </w:r>
          </w:p>
        </w:tc>
        <w:tc>
          <w:tcPr>
            <w:tcW w:w="1180" w:type="dxa"/>
            <w:tcBorders>
              <w:top w:val="nil"/>
              <w:left w:val="nil"/>
              <w:bottom w:val="nil"/>
              <w:right w:val="nil"/>
            </w:tcBorders>
            <w:shd w:val="clear" w:color="auto" w:fill="auto"/>
            <w:vAlign w:val="center"/>
            <w:hideMark/>
          </w:tcPr>
          <w:p w14:paraId="318A8133"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 150 000</w:t>
            </w:r>
          </w:p>
        </w:tc>
      </w:tr>
      <w:tr w:rsidR="00154784" w:rsidRPr="00154784" w14:paraId="52D95F57" w14:textId="77777777" w:rsidTr="00A773EA">
        <w:trPr>
          <w:trHeight w:val="283"/>
        </w:trPr>
        <w:tc>
          <w:tcPr>
            <w:tcW w:w="3820" w:type="dxa"/>
            <w:tcBorders>
              <w:top w:val="nil"/>
              <w:left w:val="nil"/>
              <w:bottom w:val="nil"/>
              <w:right w:val="nil"/>
            </w:tcBorders>
            <w:shd w:val="clear" w:color="auto" w:fill="auto"/>
            <w:noWrap/>
            <w:vAlign w:val="bottom"/>
            <w:hideMark/>
          </w:tcPr>
          <w:p w14:paraId="5FB913CA"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Services to communities</w:t>
            </w:r>
          </w:p>
        </w:tc>
        <w:tc>
          <w:tcPr>
            <w:tcW w:w="960" w:type="dxa"/>
            <w:tcBorders>
              <w:top w:val="nil"/>
              <w:left w:val="nil"/>
              <w:bottom w:val="nil"/>
              <w:right w:val="single" w:sz="4" w:space="0" w:color="auto"/>
            </w:tcBorders>
            <w:shd w:val="clear" w:color="auto" w:fill="auto"/>
            <w:vAlign w:val="center"/>
            <w:hideMark/>
          </w:tcPr>
          <w:p w14:paraId="5A39082B"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58FB4704"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3AE045C9"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48E207FC"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225931D4"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r>
      <w:tr w:rsidR="00154784" w:rsidRPr="00154784" w14:paraId="54967BF3" w14:textId="77777777" w:rsidTr="00A773EA">
        <w:trPr>
          <w:trHeight w:val="283"/>
        </w:trPr>
        <w:tc>
          <w:tcPr>
            <w:tcW w:w="3820" w:type="dxa"/>
            <w:tcBorders>
              <w:top w:val="nil"/>
              <w:left w:val="nil"/>
              <w:bottom w:val="nil"/>
              <w:right w:val="nil"/>
            </w:tcBorders>
            <w:shd w:val="clear" w:color="auto" w:fill="auto"/>
            <w:noWrap/>
            <w:vAlign w:val="bottom"/>
            <w:hideMark/>
          </w:tcPr>
          <w:p w14:paraId="782B77D3"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Electricity </w:t>
            </w:r>
          </w:p>
        </w:tc>
        <w:tc>
          <w:tcPr>
            <w:tcW w:w="960" w:type="dxa"/>
            <w:tcBorders>
              <w:top w:val="nil"/>
              <w:left w:val="nil"/>
              <w:bottom w:val="nil"/>
              <w:right w:val="single" w:sz="4" w:space="0" w:color="auto"/>
            </w:tcBorders>
            <w:shd w:val="clear" w:color="auto" w:fill="auto"/>
            <w:vAlign w:val="center"/>
            <w:hideMark/>
          </w:tcPr>
          <w:p w14:paraId="36A0D71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41</w:t>
            </w:r>
          </w:p>
        </w:tc>
        <w:tc>
          <w:tcPr>
            <w:tcW w:w="900" w:type="dxa"/>
            <w:tcBorders>
              <w:top w:val="nil"/>
              <w:left w:val="nil"/>
              <w:bottom w:val="nil"/>
              <w:right w:val="nil"/>
            </w:tcBorders>
            <w:shd w:val="clear" w:color="auto" w:fill="auto"/>
            <w:vAlign w:val="center"/>
            <w:hideMark/>
          </w:tcPr>
          <w:p w14:paraId="53681D2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1 079</w:t>
            </w:r>
          </w:p>
        </w:tc>
        <w:tc>
          <w:tcPr>
            <w:tcW w:w="1180" w:type="dxa"/>
            <w:tcBorders>
              <w:top w:val="nil"/>
              <w:left w:val="nil"/>
              <w:bottom w:val="nil"/>
              <w:right w:val="nil"/>
            </w:tcBorders>
            <w:shd w:val="clear" w:color="auto" w:fill="auto"/>
            <w:vAlign w:val="center"/>
            <w:hideMark/>
          </w:tcPr>
          <w:p w14:paraId="5C33BA9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1 894 855</w:t>
            </w:r>
          </w:p>
        </w:tc>
        <w:tc>
          <w:tcPr>
            <w:tcW w:w="900" w:type="dxa"/>
            <w:tcBorders>
              <w:top w:val="nil"/>
              <w:left w:val="nil"/>
              <w:bottom w:val="nil"/>
              <w:right w:val="nil"/>
            </w:tcBorders>
            <w:shd w:val="clear" w:color="auto" w:fill="auto"/>
            <w:vAlign w:val="center"/>
            <w:hideMark/>
          </w:tcPr>
          <w:p w14:paraId="478AD12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474</w:t>
            </w:r>
          </w:p>
        </w:tc>
        <w:tc>
          <w:tcPr>
            <w:tcW w:w="1180" w:type="dxa"/>
            <w:tcBorders>
              <w:top w:val="nil"/>
              <w:left w:val="nil"/>
              <w:bottom w:val="nil"/>
              <w:right w:val="nil"/>
            </w:tcBorders>
            <w:shd w:val="clear" w:color="auto" w:fill="auto"/>
            <w:vAlign w:val="center"/>
            <w:hideMark/>
          </w:tcPr>
          <w:p w14:paraId="3386C73F"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833 071</w:t>
            </w:r>
          </w:p>
        </w:tc>
      </w:tr>
      <w:tr w:rsidR="00154784" w:rsidRPr="00154784" w14:paraId="0C6E7E32" w14:textId="77777777" w:rsidTr="00A773EA">
        <w:trPr>
          <w:trHeight w:val="283"/>
        </w:trPr>
        <w:tc>
          <w:tcPr>
            <w:tcW w:w="3820" w:type="dxa"/>
            <w:tcBorders>
              <w:top w:val="nil"/>
              <w:left w:val="nil"/>
              <w:bottom w:val="nil"/>
              <w:right w:val="nil"/>
            </w:tcBorders>
            <w:shd w:val="clear" w:color="auto" w:fill="auto"/>
            <w:noWrap/>
            <w:vAlign w:val="bottom"/>
            <w:hideMark/>
          </w:tcPr>
          <w:p w14:paraId="2C1DFEBB"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Water and waste water </w:t>
            </w:r>
          </w:p>
        </w:tc>
        <w:tc>
          <w:tcPr>
            <w:tcW w:w="960" w:type="dxa"/>
            <w:tcBorders>
              <w:top w:val="nil"/>
              <w:left w:val="nil"/>
              <w:bottom w:val="nil"/>
              <w:right w:val="single" w:sz="4" w:space="0" w:color="auto"/>
            </w:tcBorders>
            <w:shd w:val="clear" w:color="auto" w:fill="auto"/>
            <w:vAlign w:val="center"/>
            <w:hideMark/>
          </w:tcPr>
          <w:p w14:paraId="15C2238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18</w:t>
            </w:r>
          </w:p>
        </w:tc>
        <w:tc>
          <w:tcPr>
            <w:tcW w:w="900" w:type="dxa"/>
            <w:tcBorders>
              <w:top w:val="nil"/>
              <w:left w:val="nil"/>
              <w:bottom w:val="nil"/>
              <w:right w:val="nil"/>
            </w:tcBorders>
            <w:shd w:val="clear" w:color="auto" w:fill="auto"/>
            <w:vAlign w:val="center"/>
            <w:hideMark/>
          </w:tcPr>
          <w:p w14:paraId="53D9B27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32</w:t>
            </w:r>
          </w:p>
        </w:tc>
        <w:tc>
          <w:tcPr>
            <w:tcW w:w="1180" w:type="dxa"/>
            <w:tcBorders>
              <w:top w:val="nil"/>
              <w:left w:val="nil"/>
              <w:bottom w:val="nil"/>
              <w:right w:val="nil"/>
            </w:tcBorders>
            <w:shd w:val="clear" w:color="auto" w:fill="auto"/>
            <w:vAlign w:val="center"/>
            <w:hideMark/>
          </w:tcPr>
          <w:p w14:paraId="61A0FA9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55 499</w:t>
            </w:r>
          </w:p>
        </w:tc>
        <w:tc>
          <w:tcPr>
            <w:tcW w:w="900" w:type="dxa"/>
            <w:tcBorders>
              <w:top w:val="nil"/>
              <w:left w:val="nil"/>
              <w:bottom w:val="nil"/>
              <w:right w:val="nil"/>
            </w:tcBorders>
            <w:shd w:val="clear" w:color="auto" w:fill="auto"/>
            <w:vAlign w:val="center"/>
            <w:hideMark/>
          </w:tcPr>
          <w:p w14:paraId="77BB426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37</w:t>
            </w:r>
          </w:p>
        </w:tc>
        <w:tc>
          <w:tcPr>
            <w:tcW w:w="1180" w:type="dxa"/>
            <w:tcBorders>
              <w:top w:val="nil"/>
              <w:left w:val="nil"/>
              <w:bottom w:val="nil"/>
              <w:right w:val="nil"/>
            </w:tcBorders>
            <w:shd w:val="clear" w:color="auto" w:fill="auto"/>
            <w:vAlign w:val="center"/>
            <w:hideMark/>
          </w:tcPr>
          <w:p w14:paraId="65EE924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64 607</w:t>
            </w:r>
          </w:p>
        </w:tc>
      </w:tr>
      <w:tr w:rsidR="00154784" w:rsidRPr="00154784" w14:paraId="4C252F62" w14:textId="77777777" w:rsidTr="00A773EA">
        <w:trPr>
          <w:trHeight w:val="283"/>
        </w:trPr>
        <w:tc>
          <w:tcPr>
            <w:tcW w:w="3820" w:type="dxa"/>
            <w:tcBorders>
              <w:top w:val="nil"/>
              <w:left w:val="nil"/>
              <w:bottom w:val="nil"/>
              <w:right w:val="nil"/>
            </w:tcBorders>
            <w:shd w:val="clear" w:color="auto" w:fill="auto"/>
            <w:noWrap/>
            <w:vAlign w:val="bottom"/>
            <w:hideMark/>
          </w:tcPr>
          <w:p w14:paraId="05EBF3D3"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Community development</w:t>
            </w:r>
          </w:p>
        </w:tc>
        <w:tc>
          <w:tcPr>
            <w:tcW w:w="960" w:type="dxa"/>
            <w:tcBorders>
              <w:top w:val="nil"/>
              <w:left w:val="nil"/>
              <w:bottom w:val="nil"/>
              <w:right w:val="single" w:sz="4" w:space="0" w:color="auto"/>
            </w:tcBorders>
            <w:shd w:val="clear" w:color="auto" w:fill="auto"/>
            <w:vAlign w:val="center"/>
            <w:hideMark/>
          </w:tcPr>
          <w:p w14:paraId="47F586D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88</w:t>
            </w:r>
          </w:p>
        </w:tc>
        <w:tc>
          <w:tcPr>
            <w:tcW w:w="900" w:type="dxa"/>
            <w:tcBorders>
              <w:top w:val="nil"/>
              <w:left w:val="nil"/>
              <w:bottom w:val="nil"/>
              <w:right w:val="nil"/>
            </w:tcBorders>
            <w:shd w:val="clear" w:color="auto" w:fill="auto"/>
            <w:vAlign w:val="center"/>
            <w:hideMark/>
          </w:tcPr>
          <w:p w14:paraId="3142F83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58</w:t>
            </w:r>
          </w:p>
        </w:tc>
        <w:tc>
          <w:tcPr>
            <w:tcW w:w="1180" w:type="dxa"/>
            <w:tcBorders>
              <w:top w:val="nil"/>
              <w:left w:val="nil"/>
              <w:bottom w:val="nil"/>
              <w:right w:val="nil"/>
            </w:tcBorders>
            <w:shd w:val="clear" w:color="auto" w:fill="auto"/>
            <w:vAlign w:val="center"/>
            <w:hideMark/>
          </w:tcPr>
          <w:p w14:paraId="7139377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101 821</w:t>
            </w:r>
          </w:p>
        </w:tc>
        <w:tc>
          <w:tcPr>
            <w:tcW w:w="900" w:type="dxa"/>
            <w:tcBorders>
              <w:top w:val="nil"/>
              <w:left w:val="nil"/>
              <w:bottom w:val="nil"/>
              <w:right w:val="nil"/>
            </w:tcBorders>
            <w:shd w:val="clear" w:color="auto" w:fill="auto"/>
            <w:vAlign w:val="center"/>
            <w:hideMark/>
          </w:tcPr>
          <w:p w14:paraId="3B118FC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vAlign w:val="center"/>
            <w:hideMark/>
          </w:tcPr>
          <w:p w14:paraId="2BC5539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132E8861" w14:textId="77777777" w:rsidTr="00A773EA">
        <w:trPr>
          <w:trHeight w:val="283"/>
        </w:trPr>
        <w:tc>
          <w:tcPr>
            <w:tcW w:w="3820" w:type="dxa"/>
            <w:tcBorders>
              <w:top w:val="nil"/>
              <w:left w:val="nil"/>
              <w:bottom w:val="nil"/>
              <w:right w:val="nil"/>
            </w:tcBorders>
            <w:shd w:val="clear" w:color="auto" w:fill="auto"/>
            <w:noWrap/>
            <w:vAlign w:val="bottom"/>
            <w:hideMark/>
          </w:tcPr>
          <w:p w14:paraId="4997A6C8"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Environmental protection</w:t>
            </w:r>
          </w:p>
        </w:tc>
        <w:tc>
          <w:tcPr>
            <w:tcW w:w="960" w:type="dxa"/>
            <w:tcBorders>
              <w:top w:val="nil"/>
              <w:left w:val="nil"/>
              <w:bottom w:val="nil"/>
              <w:right w:val="single" w:sz="4" w:space="0" w:color="auto"/>
            </w:tcBorders>
            <w:shd w:val="clear" w:color="auto" w:fill="auto"/>
            <w:vAlign w:val="center"/>
            <w:hideMark/>
          </w:tcPr>
          <w:p w14:paraId="59E61AE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145</w:t>
            </w:r>
          </w:p>
        </w:tc>
        <w:tc>
          <w:tcPr>
            <w:tcW w:w="900" w:type="dxa"/>
            <w:tcBorders>
              <w:top w:val="nil"/>
              <w:left w:val="nil"/>
              <w:bottom w:val="nil"/>
              <w:right w:val="nil"/>
            </w:tcBorders>
            <w:shd w:val="clear" w:color="auto" w:fill="auto"/>
            <w:vAlign w:val="center"/>
            <w:hideMark/>
          </w:tcPr>
          <w:p w14:paraId="6BA1E381"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50</w:t>
            </w:r>
          </w:p>
        </w:tc>
        <w:tc>
          <w:tcPr>
            <w:tcW w:w="1180" w:type="dxa"/>
            <w:tcBorders>
              <w:top w:val="nil"/>
              <w:left w:val="nil"/>
              <w:bottom w:val="nil"/>
              <w:right w:val="nil"/>
            </w:tcBorders>
            <w:shd w:val="clear" w:color="auto" w:fill="auto"/>
            <w:vAlign w:val="center"/>
            <w:hideMark/>
          </w:tcPr>
          <w:p w14:paraId="3CA1CDC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88 653</w:t>
            </w:r>
          </w:p>
        </w:tc>
        <w:tc>
          <w:tcPr>
            <w:tcW w:w="900" w:type="dxa"/>
            <w:tcBorders>
              <w:top w:val="nil"/>
              <w:left w:val="nil"/>
              <w:bottom w:val="nil"/>
              <w:right w:val="nil"/>
            </w:tcBorders>
            <w:shd w:val="clear" w:color="auto" w:fill="auto"/>
            <w:vAlign w:val="center"/>
            <w:hideMark/>
          </w:tcPr>
          <w:p w14:paraId="2660970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183</w:t>
            </w:r>
          </w:p>
        </w:tc>
        <w:tc>
          <w:tcPr>
            <w:tcW w:w="1180" w:type="dxa"/>
            <w:tcBorders>
              <w:top w:val="nil"/>
              <w:left w:val="nil"/>
              <w:bottom w:val="nil"/>
              <w:right w:val="nil"/>
            </w:tcBorders>
            <w:shd w:val="clear" w:color="auto" w:fill="auto"/>
            <w:vAlign w:val="center"/>
            <w:hideMark/>
          </w:tcPr>
          <w:p w14:paraId="628E967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321 315</w:t>
            </w:r>
          </w:p>
        </w:tc>
      </w:tr>
      <w:tr w:rsidR="00154784" w:rsidRPr="00154784" w14:paraId="74C19044" w14:textId="77777777" w:rsidTr="00A773EA">
        <w:trPr>
          <w:trHeight w:val="283"/>
        </w:trPr>
        <w:tc>
          <w:tcPr>
            <w:tcW w:w="3820" w:type="dxa"/>
            <w:tcBorders>
              <w:top w:val="nil"/>
              <w:left w:val="nil"/>
              <w:bottom w:val="nil"/>
              <w:right w:val="nil"/>
            </w:tcBorders>
            <w:shd w:val="clear" w:color="auto" w:fill="auto"/>
            <w:noWrap/>
            <w:vAlign w:val="bottom"/>
            <w:hideMark/>
          </w:tcPr>
          <w:p w14:paraId="7B32B977"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Transport</w:t>
            </w:r>
          </w:p>
        </w:tc>
        <w:tc>
          <w:tcPr>
            <w:tcW w:w="960" w:type="dxa"/>
            <w:tcBorders>
              <w:top w:val="nil"/>
              <w:left w:val="nil"/>
              <w:bottom w:val="nil"/>
              <w:right w:val="single" w:sz="4" w:space="0" w:color="auto"/>
            </w:tcBorders>
            <w:shd w:val="clear" w:color="auto" w:fill="auto"/>
            <w:vAlign w:val="center"/>
            <w:hideMark/>
          </w:tcPr>
          <w:p w14:paraId="64020E54"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3DEC8F59"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37441336"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49A1DC34"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61898BB5"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r>
      <w:tr w:rsidR="00154784" w:rsidRPr="00154784" w14:paraId="7E2BF376" w14:textId="77777777" w:rsidTr="00A773EA">
        <w:trPr>
          <w:trHeight w:val="283"/>
        </w:trPr>
        <w:tc>
          <w:tcPr>
            <w:tcW w:w="3820" w:type="dxa"/>
            <w:tcBorders>
              <w:top w:val="nil"/>
              <w:left w:val="nil"/>
              <w:bottom w:val="nil"/>
              <w:right w:val="nil"/>
            </w:tcBorders>
            <w:shd w:val="clear" w:color="auto" w:fill="auto"/>
            <w:noWrap/>
            <w:vAlign w:val="bottom"/>
            <w:hideMark/>
          </w:tcPr>
          <w:p w14:paraId="40C88806"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State roads grant for local government</w:t>
            </w:r>
          </w:p>
        </w:tc>
        <w:tc>
          <w:tcPr>
            <w:tcW w:w="960" w:type="dxa"/>
            <w:tcBorders>
              <w:top w:val="nil"/>
              <w:left w:val="nil"/>
              <w:bottom w:val="nil"/>
              <w:right w:val="single" w:sz="4" w:space="0" w:color="auto"/>
            </w:tcBorders>
            <w:shd w:val="clear" w:color="auto" w:fill="auto"/>
            <w:noWrap/>
            <w:vAlign w:val="bottom"/>
            <w:hideMark/>
          </w:tcPr>
          <w:p w14:paraId="681729D1"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37</w:t>
            </w:r>
          </w:p>
        </w:tc>
        <w:tc>
          <w:tcPr>
            <w:tcW w:w="900" w:type="dxa"/>
            <w:tcBorders>
              <w:top w:val="nil"/>
              <w:left w:val="nil"/>
              <w:bottom w:val="nil"/>
              <w:right w:val="nil"/>
            </w:tcBorders>
            <w:shd w:val="clear" w:color="auto" w:fill="auto"/>
            <w:noWrap/>
            <w:vAlign w:val="bottom"/>
            <w:hideMark/>
          </w:tcPr>
          <w:p w14:paraId="5BAC166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55</w:t>
            </w:r>
          </w:p>
        </w:tc>
        <w:tc>
          <w:tcPr>
            <w:tcW w:w="1180" w:type="dxa"/>
            <w:tcBorders>
              <w:top w:val="nil"/>
              <w:left w:val="nil"/>
              <w:bottom w:val="nil"/>
              <w:right w:val="nil"/>
            </w:tcBorders>
            <w:shd w:val="clear" w:color="auto" w:fill="auto"/>
            <w:vAlign w:val="center"/>
            <w:hideMark/>
          </w:tcPr>
          <w:p w14:paraId="73E3972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97 084</w:t>
            </w:r>
          </w:p>
        </w:tc>
        <w:tc>
          <w:tcPr>
            <w:tcW w:w="900" w:type="dxa"/>
            <w:tcBorders>
              <w:top w:val="nil"/>
              <w:left w:val="nil"/>
              <w:bottom w:val="nil"/>
              <w:right w:val="nil"/>
            </w:tcBorders>
            <w:shd w:val="clear" w:color="auto" w:fill="auto"/>
            <w:vAlign w:val="center"/>
            <w:hideMark/>
          </w:tcPr>
          <w:p w14:paraId="7D2B709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vAlign w:val="center"/>
            <w:hideMark/>
          </w:tcPr>
          <w:p w14:paraId="068A2EA4"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1B3A2895" w14:textId="77777777" w:rsidTr="00A773EA">
        <w:trPr>
          <w:trHeight w:val="283"/>
        </w:trPr>
        <w:tc>
          <w:tcPr>
            <w:tcW w:w="3820" w:type="dxa"/>
            <w:tcBorders>
              <w:top w:val="nil"/>
              <w:left w:val="nil"/>
              <w:bottom w:val="nil"/>
              <w:right w:val="nil"/>
            </w:tcBorders>
            <w:shd w:val="clear" w:color="auto" w:fill="auto"/>
            <w:noWrap/>
            <w:vAlign w:val="bottom"/>
            <w:hideMark/>
          </w:tcPr>
          <w:p w14:paraId="7727E44F"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Port services</w:t>
            </w:r>
          </w:p>
        </w:tc>
        <w:tc>
          <w:tcPr>
            <w:tcW w:w="960" w:type="dxa"/>
            <w:tcBorders>
              <w:top w:val="nil"/>
              <w:left w:val="nil"/>
              <w:bottom w:val="nil"/>
              <w:right w:val="single" w:sz="4" w:space="0" w:color="auto"/>
            </w:tcBorders>
            <w:shd w:val="clear" w:color="auto" w:fill="auto"/>
            <w:noWrap/>
            <w:vAlign w:val="bottom"/>
            <w:hideMark/>
          </w:tcPr>
          <w:p w14:paraId="506EA103"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w:t>
            </w:r>
          </w:p>
        </w:tc>
        <w:tc>
          <w:tcPr>
            <w:tcW w:w="900" w:type="dxa"/>
            <w:tcBorders>
              <w:top w:val="nil"/>
              <w:left w:val="nil"/>
              <w:bottom w:val="nil"/>
              <w:right w:val="nil"/>
            </w:tcBorders>
            <w:shd w:val="clear" w:color="auto" w:fill="auto"/>
            <w:noWrap/>
            <w:vAlign w:val="bottom"/>
            <w:hideMark/>
          </w:tcPr>
          <w:p w14:paraId="3F23C2B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282</w:t>
            </w:r>
          </w:p>
        </w:tc>
        <w:tc>
          <w:tcPr>
            <w:tcW w:w="1180" w:type="dxa"/>
            <w:tcBorders>
              <w:top w:val="nil"/>
              <w:left w:val="nil"/>
              <w:bottom w:val="nil"/>
              <w:right w:val="nil"/>
            </w:tcBorders>
            <w:shd w:val="clear" w:color="auto" w:fill="auto"/>
            <w:vAlign w:val="center"/>
            <w:hideMark/>
          </w:tcPr>
          <w:p w14:paraId="59F28D8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495 008</w:t>
            </w:r>
          </w:p>
        </w:tc>
        <w:tc>
          <w:tcPr>
            <w:tcW w:w="900" w:type="dxa"/>
            <w:tcBorders>
              <w:top w:val="nil"/>
              <w:left w:val="nil"/>
              <w:bottom w:val="nil"/>
              <w:right w:val="nil"/>
            </w:tcBorders>
            <w:shd w:val="clear" w:color="auto" w:fill="auto"/>
            <w:vAlign w:val="center"/>
            <w:hideMark/>
          </w:tcPr>
          <w:p w14:paraId="492D193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282</w:t>
            </w:r>
          </w:p>
        </w:tc>
        <w:tc>
          <w:tcPr>
            <w:tcW w:w="1180" w:type="dxa"/>
            <w:tcBorders>
              <w:top w:val="nil"/>
              <w:left w:val="nil"/>
              <w:bottom w:val="nil"/>
              <w:right w:val="nil"/>
            </w:tcBorders>
            <w:shd w:val="clear" w:color="auto" w:fill="auto"/>
            <w:vAlign w:val="center"/>
            <w:hideMark/>
          </w:tcPr>
          <w:p w14:paraId="622E09C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495 008</w:t>
            </w:r>
          </w:p>
        </w:tc>
      </w:tr>
      <w:tr w:rsidR="00154784" w:rsidRPr="00154784" w14:paraId="76DCC696" w14:textId="77777777" w:rsidTr="00A773EA">
        <w:trPr>
          <w:trHeight w:val="283"/>
        </w:trPr>
        <w:tc>
          <w:tcPr>
            <w:tcW w:w="3820" w:type="dxa"/>
            <w:tcBorders>
              <w:top w:val="nil"/>
              <w:left w:val="nil"/>
              <w:bottom w:val="nil"/>
              <w:right w:val="nil"/>
            </w:tcBorders>
            <w:shd w:val="clear" w:color="auto" w:fill="auto"/>
            <w:noWrap/>
            <w:vAlign w:val="bottom"/>
            <w:hideMark/>
          </w:tcPr>
          <w:p w14:paraId="21339753"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Services to industry</w:t>
            </w:r>
          </w:p>
        </w:tc>
        <w:tc>
          <w:tcPr>
            <w:tcW w:w="960" w:type="dxa"/>
            <w:tcBorders>
              <w:top w:val="nil"/>
              <w:left w:val="nil"/>
              <w:bottom w:val="nil"/>
              <w:right w:val="single" w:sz="4" w:space="0" w:color="auto"/>
            </w:tcBorders>
            <w:shd w:val="clear" w:color="auto" w:fill="auto"/>
            <w:vAlign w:val="center"/>
            <w:hideMark/>
          </w:tcPr>
          <w:p w14:paraId="534111A9"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024F5751"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38D56683"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6DCA903F"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0F0CBDDF"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r>
      <w:tr w:rsidR="00154784" w:rsidRPr="00154784" w14:paraId="0B2C8866" w14:textId="77777777" w:rsidTr="00A773EA">
        <w:trPr>
          <w:trHeight w:val="283"/>
        </w:trPr>
        <w:tc>
          <w:tcPr>
            <w:tcW w:w="3820" w:type="dxa"/>
            <w:tcBorders>
              <w:top w:val="nil"/>
              <w:left w:val="nil"/>
              <w:bottom w:val="nil"/>
              <w:right w:val="nil"/>
            </w:tcBorders>
            <w:shd w:val="clear" w:color="auto" w:fill="auto"/>
            <w:noWrap/>
            <w:vAlign w:val="bottom"/>
            <w:hideMark/>
          </w:tcPr>
          <w:p w14:paraId="0EBB59A3"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Tourism</w:t>
            </w:r>
          </w:p>
        </w:tc>
        <w:tc>
          <w:tcPr>
            <w:tcW w:w="960" w:type="dxa"/>
            <w:tcBorders>
              <w:top w:val="nil"/>
              <w:left w:val="nil"/>
              <w:bottom w:val="nil"/>
              <w:right w:val="single" w:sz="4" w:space="0" w:color="auto"/>
            </w:tcBorders>
            <w:shd w:val="clear" w:color="auto" w:fill="auto"/>
            <w:vAlign w:val="center"/>
            <w:hideMark/>
          </w:tcPr>
          <w:p w14:paraId="446A807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40</w:t>
            </w:r>
          </w:p>
        </w:tc>
        <w:tc>
          <w:tcPr>
            <w:tcW w:w="900" w:type="dxa"/>
            <w:tcBorders>
              <w:top w:val="nil"/>
              <w:left w:val="nil"/>
              <w:bottom w:val="nil"/>
              <w:right w:val="nil"/>
            </w:tcBorders>
            <w:shd w:val="clear" w:color="auto" w:fill="auto"/>
            <w:vAlign w:val="center"/>
            <w:hideMark/>
          </w:tcPr>
          <w:p w14:paraId="44CFC65A"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844</w:t>
            </w:r>
          </w:p>
        </w:tc>
        <w:tc>
          <w:tcPr>
            <w:tcW w:w="1180" w:type="dxa"/>
            <w:tcBorders>
              <w:top w:val="nil"/>
              <w:left w:val="nil"/>
              <w:bottom w:val="nil"/>
              <w:right w:val="nil"/>
            </w:tcBorders>
            <w:shd w:val="clear" w:color="auto" w:fill="auto"/>
            <w:vAlign w:val="center"/>
            <w:hideMark/>
          </w:tcPr>
          <w:p w14:paraId="71F93219"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1 481 523</w:t>
            </w:r>
          </w:p>
        </w:tc>
        <w:tc>
          <w:tcPr>
            <w:tcW w:w="900" w:type="dxa"/>
            <w:tcBorders>
              <w:top w:val="nil"/>
              <w:left w:val="nil"/>
              <w:bottom w:val="nil"/>
              <w:right w:val="nil"/>
            </w:tcBorders>
            <w:shd w:val="clear" w:color="auto" w:fill="auto"/>
            <w:vAlign w:val="center"/>
            <w:hideMark/>
          </w:tcPr>
          <w:p w14:paraId="0003ED4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597</w:t>
            </w:r>
          </w:p>
        </w:tc>
        <w:tc>
          <w:tcPr>
            <w:tcW w:w="1180" w:type="dxa"/>
            <w:tcBorders>
              <w:top w:val="nil"/>
              <w:left w:val="nil"/>
              <w:bottom w:val="nil"/>
              <w:right w:val="nil"/>
            </w:tcBorders>
            <w:shd w:val="clear" w:color="auto" w:fill="auto"/>
            <w:vAlign w:val="center"/>
            <w:hideMark/>
          </w:tcPr>
          <w:p w14:paraId="31B1C05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1 047 888</w:t>
            </w:r>
          </w:p>
        </w:tc>
      </w:tr>
      <w:tr w:rsidR="00154784" w:rsidRPr="00154784" w14:paraId="64B3D2C6" w14:textId="77777777" w:rsidTr="00A773EA">
        <w:trPr>
          <w:trHeight w:val="283"/>
        </w:trPr>
        <w:tc>
          <w:tcPr>
            <w:tcW w:w="3820" w:type="dxa"/>
            <w:tcBorders>
              <w:top w:val="nil"/>
              <w:left w:val="nil"/>
              <w:bottom w:val="nil"/>
              <w:right w:val="nil"/>
            </w:tcBorders>
            <w:shd w:val="clear" w:color="auto" w:fill="auto"/>
            <w:noWrap/>
            <w:vAlign w:val="bottom"/>
            <w:hideMark/>
          </w:tcPr>
          <w:p w14:paraId="46797A99"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Industry regulation</w:t>
            </w:r>
          </w:p>
        </w:tc>
        <w:tc>
          <w:tcPr>
            <w:tcW w:w="960" w:type="dxa"/>
            <w:tcBorders>
              <w:top w:val="nil"/>
              <w:left w:val="nil"/>
              <w:bottom w:val="nil"/>
              <w:right w:val="single" w:sz="4" w:space="0" w:color="auto"/>
            </w:tcBorders>
            <w:shd w:val="clear" w:color="auto" w:fill="auto"/>
            <w:vAlign w:val="center"/>
            <w:hideMark/>
          </w:tcPr>
          <w:p w14:paraId="3D6110F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121</w:t>
            </w:r>
          </w:p>
        </w:tc>
        <w:tc>
          <w:tcPr>
            <w:tcW w:w="900" w:type="dxa"/>
            <w:tcBorders>
              <w:top w:val="nil"/>
              <w:left w:val="nil"/>
              <w:bottom w:val="nil"/>
              <w:right w:val="nil"/>
            </w:tcBorders>
            <w:shd w:val="clear" w:color="auto" w:fill="auto"/>
            <w:vAlign w:val="center"/>
            <w:hideMark/>
          </w:tcPr>
          <w:p w14:paraId="4FD5B47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63</w:t>
            </w:r>
          </w:p>
        </w:tc>
        <w:tc>
          <w:tcPr>
            <w:tcW w:w="1180" w:type="dxa"/>
            <w:tcBorders>
              <w:top w:val="nil"/>
              <w:left w:val="nil"/>
              <w:bottom w:val="nil"/>
              <w:right w:val="nil"/>
            </w:tcBorders>
            <w:shd w:val="clear" w:color="auto" w:fill="auto"/>
            <w:vAlign w:val="center"/>
            <w:hideMark/>
          </w:tcPr>
          <w:p w14:paraId="547A25E8"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111 354</w:t>
            </w:r>
          </w:p>
        </w:tc>
        <w:tc>
          <w:tcPr>
            <w:tcW w:w="900" w:type="dxa"/>
            <w:tcBorders>
              <w:top w:val="nil"/>
              <w:left w:val="nil"/>
              <w:bottom w:val="nil"/>
              <w:right w:val="nil"/>
            </w:tcBorders>
            <w:shd w:val="clear" w:color="auto" w:fill="auto"/>
            <w:vAlign w:val="center"/>
            <w:hideMark/>
          </w:tcPr>
          <w:p w14:paraId="6D0D10D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vAlign w:val="center"/>
            <w:hideMark/>
          </w:tcPr>
          <w:p w14:paraId="294C06F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16DD2AAC" w14:textId="77777777" w:rsidTr="00A773EA">
        <w:trPr>
          <w:trHeight w:val="283"/>
        </w:trPr>
        <w:tc>
          <w:tcPr>
            <w:tcW w:w="3820" w:type="dxa"/>
            <w:tcBorders>
              <w:top w:val="nil"/>
              <w:left w:val="nil"/>
              <w:bottom w:val="nil"/>
              <w:right w:val="nil"/>
            </w:tcBorders>
            <w:shd w:val="clear" w:color="auto" w:fill="auto"/>
            <w:noWrap/>
            <w:vAlign w:val="bottom"/>
            <w:hideMark/>
          </w:tcPr>
          <w:p w14:paraId="61A9D3BD"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Other business development</w:t>
            </w:r>
          </w:p>
        </w:tc>
        <w:tc>
          <w:tcPr>
            <w:tcW w:w="960" w:type="dxa"/>
            <w:tcBorders>
              <w:top w:val="nil"/>
              <w:left w:val="nil"/>
              <w:bottom w:val="nil"/>
              <w:right w:val="single" w:sz="4" w:space="0" w:color="auto"/>
            </w:tcBorders>
            <w:shd w:val="clear" w:color="auto" w:fill="auto"/>
            <w:vAlign w:val="center"/>
            <w:hideMark/>
          </w:tcPr>
          <w:p w14:paraId="4B2CE36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84</w:t>
            </w:r>
          </w:p>
        </w:tc>
        <w:tc>
          <w:tcPr>
            <w:tcW w:w="900" w:type="dxa"/>
            <w:tcBorders>
              <w:top w:val="nil"/>
              <w:left w:val="nil"/>
              <w:bottom w:val="nil"/>
              <w:right w:val="nil"/>
            </w:tcBorders>
            <w:shd w:val="clear" w:color="auto" w:fill="auto"/>
            <w:vAlign w:val="center"/>
            <w:hideMark/>
          </w:tcPr>
          <w:p w14:paraId="141C0BC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130</w:t>
            </w:r>
          </w:p>
        </w:tc>
        <w:tc>
          <w:tcPr>
            <w:tcW w:w="1180" w:type="dxa"/>
            <w:tcBorders>
              <w:top w:val="nil"/>
              <w:left w:val="nil"/>
              <w:bottom w:val="nil"/>
              <w:right w:val="nil"/>
            </w:tcBorders>
            <w:shd w:val="clear" w:color="auto" w:fill="auto"/>
            <w:vAlign w:val="center"/>
            <w:hideMark/>
          </w:tcPr>
          <w:p w14:paraId="12FBCD33"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228 966</w:t>
            </w:r>
          </w:p>
        </w:tc>
        <w:tc>
          <w:tcPr>
            <w:tcW w:w="900" w:type="dxa"/>
            <w:tcBorders>
              <w:top w:val="nil"/>
              <w:left w:val="nil"/>
              <w:bottom w:val="nil"/>
              <w:right w:val="nil"/>
            </w:tcBorders>
            <w:shd w:val="clear" w:color="auto" w:fill="auto"/>
            <w:vAlign w:val="center"/>
            <w:hideMark/>
          </w:tcPr>
          <w:p w14:paraId="60FBC81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vAlign w:val="center"/>
            <w:hideMark/>
          </w:tcPr>
          <w:p w14:paraId="3637D46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56CAED97" w14:textId="77777777" w:rsidTr="00A773EA">
        <w:trPr>
          <w:trHeight w:val="283"/>
        </w:trPr>
        <w:tc>
          <w:tcPr>
            <w:tcW w:w="3820" w:type="dxa"/>
            <w:tcBorders>
              <w:top w:val="nil"/>
              <w:left w:val="nil"/>
              <w:bottom w:val="nil"/>
              <w:right w:val="nil"/>
            </w:tcBorders>
            <w:shd w:val="clear" w:color="auto" w:fill="auto"/>
            <w:noWrap/>
            <w:vAlign w:val="bottom"/>
            <w:hideMark/>
          </w:tcPr>
          <w:p w14:paraId="3DBAD07E"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Other expenses</w:t>
            </w:r>
          </w:p>
        </w:tc>
        <w:tc>
          <w:tcPr>
            <w:tcW w:w="960" w:type="dxa"/>
            <w:tcBorders>
              <w:top w:val="nil"/>
              <w:left w:val="nil"/>
              <w:bottom w:val="nil"/>
              <w:right w:val="single" w:sz="4" w:space="0" w:color="auto"/>
            </w:tcBorders>
            <w:shd w:val="clear" w:color="auto" w:fill="auto"/>
            <w:noWrap/>
            <w:vAlign w:val="bottom"/>
            <w:hideMark/>
          </w:tcPr>
          <w:p w14:paraId="42DD3A9B"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noWrap/>
            <w:vAlign w:val="bottom"/>
            <w:hideMark/>
          </w:tcPr>
          <w:p w14:paraId="3C1E1511"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691AEEF6"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900" w:type="dxa"/>
            <w:tcBorders>
              <w:top w:val="nil"/>
              <w:left w:val="nil"/>
              <w:bottom w:val="nil"/>
              <w:right w:val="nil"/>
            </w:tcBorders>
            <w:shd w:val="clear" w:color="auto" w:fill="auto"/>
            <w:vAlign w:val="center"/>
            <w:hideMark/>
          </w:tcPr>
          <w:p w14:paraId="494E3FA3"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c>
          <w:tcPr>
            <w:tcW w:w="1180" w:type="dxa"/>
            <w:tcBorders>
              <w:top w:val="nil"/>
              <w:left w:val="nil"/>
              <w:bottom w:val="nil"/>
              <w:right w:val="nil"/>
            </w:tcBorders>
            <w:shd w:val="clear" w:color="auto" w:fill="auto"/>
            <w:vAlign w:val="center"/>
            <w:hideMark/>
          </w:tcPr>
          <w:p w14:paraId="59EC3C1C" w14:textId="77777777" w:rsidR="00154784" w:rsidRPr="00154784" w:rsidRDefault="00154784" w:rsidP="00154784">
            <w:pPr>
              <w:tabs>
                <w:tab w:val="clear" w:pos="567"/>
              </w:tabs>
              <w:spacing w:after="0" w:line="240" w:lineRule="auto"/>
              <w:jc w:val="right"/>
              <w:rPr>
                <w:rFonts w:ascii="Calibri" w:eastAsia="Times New Roman" w:hAnsi="Calibri" w:cs="Calibri"/>
                <w:color w:val="FFFFFF"/>
                <w:sz w:val="20"/>
                <w:szCs w:val="20"/>
                <w:lang w:eastAsia="en-AU"/>
              </w:rPr>
            </w:pPr>
            <w:r w:rsidRPr="00154784">
              <w:rPr>
                <w:rFonts w:ascii="Calibri" w:eastAsia="Times New Roman" w:hAnsi="Calibri" w:cs="Calibri"/>
                <w:color w:val="FFFFFF"/>
                <w:sz w:val="20"/>
                <w:szCs w:val="20"/>
                <w:lang w:eastAsia="en-AU"/>
              </w:rPr>
              <w:t>0</w:t>
            </w:r>
          </w:p>
        </w:tc>
      </w:tr>
      <w:tr w:rsidR="00154784" w:rsidRPr="00154784" w14:paraId="7F5F5C81" w14:textId="77777777" w:rsidTr="00A773EA">
        <w:trPr>
          <w:trHeight w:val="283"/>
        </w:trPr>
        <w:tc>
          <w:tcPr>
            <w:tcW w:w="3820" w:type="dxa"/>
            <w:tcBorders>
              <w:top w:val="nil"/>
              <w:left w:val="nil"/>
              <w:bottom w:val="nil"/>
              <w:right w:val="nil"/>
            </w:tcBorders>
            <w:shd w:val="clear" w:color="auto" w:fill="auto"/>
            <w:noWrap/>
            <w:vAlign w:val="bottom"/>
            <w:hideMark/>
          </w:tcPr>
          <w:p w14:paraId="42099784"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Recreation and culture</w:t>
            </w:r>
          </w:p>
        </w:tc>
        <w:tc>
          <w:tcPr>
            <w:tcW w:w="960" w:type="dxa"/>
            <w:tcBorders>
              <w:top w:val="nil"/>
              <w:left w:val="nil"/>
              <w:bottom w:val="nil"/>
              <w:right w:val="single" w:sz="4" w:space="0" w:color="auto"/>
            </w:tcBorders>
            <w:shd w:val="clear" w:color="auto" w:fill="auto"/>
            <w:vAlign w:val="center"/>
            <w:hideMark/>
          </w:tcPr>
          <w:p w14:paraId="05067EBF"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123</w:t>
            </w:r>
          </w:p>
        </w:tc>
        <w:tc>
          <w:tcPr>
            <w:tcW w:w="900" w:type="dxa"/>
            <w:tcBorders>
              <w:top w:val="nil"/>
              <w:left w:val="nil"/>
              <w:bottom w:val="nil"/>
              <w:right w:val="nil"/>
            </w:tcBorders>
            <w:shd w:val="clear" w:color="auto" w:fill="auto"/>
            <w:vAlign w:val="center"/>
            <w:hideMark/>
          </w:tcPr>
          <w:p w14:paraId="6539060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162</w:t>
            </w:r>
          </w:p>
        </w:tc>
        <w:tc>
          <w:tcPr>
            <w:tcW w:w="1180" w:type="dxa"/>
            <w:tcBorders>
              <w:top w:val="nil"/>
              <w:left w:val="nil"/>
              <w:bottom w:val="nil"/>
              <w:right w:val="nil"/>
            </w:tcBorders>
            <w:shd w:val="clear" w:color="auto" w:fill="auto"/>
            <w:vAlign w:val="center"/>
            <w:hideMark/>
          </w:tcPr>
          <w:p w14:paraId="57AA286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285 185</w:t>
            </w:r>
          </w:p>
        </w:tc>
        <w:tc>
          <w:tcPr>
            <w:tcW w:w="900" w:type="dxa"/>
            <w:tcBorders>
              <w:top w:val="nil"/>
              <w:left w:val="nil"/>
              <w:bottom w:val="nil"/>
              <w:right w:val="nil"/>
            </w:tcBorders>
            <w:shd w:val="clear" w:color="auto" w:fill="auto"/>
            <w:vAlign w:val="center"/>
            <w:hideMark/>
          </w:tcPr>
          <w:p w14:paraId="35DD68D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vAlign w:val="center"/>
            <w:hideMark/>
          </w:tcPr>
          <w:p w14:paraId="0A0BBD0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609096C7" w14:textId="77777777" w:rsidTr="00A773EA">
        <w:trPr>
          <w:trHeight w:val="283"/>
        </w:trPr>
        <w:tc>
          <w:tcPr>
            <w:tcW w:w="3820" w:type="dxa"/>
            <w:tcBorders>
              <w:top w:val="nil"/>
              <w:left w:val="nil"/>
              <w:bottom w:val="nil"/>
              <w:right w:val="nil"/>
            </w:tcBorders>
            <w:shd w:val="clear" w:color="auto" w:fill="auto"/>
            <w:noWrap/>
            <w:vAlign w:val="bottom"/>
            <w:hideMark/>
          </w:tcPr>
          <w:p w14:paraId="086CAC17"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Public order and safety</w:t>
            </w:r>
          </w:p>
        </w:tc>
        <w:tc>
          <w:tcPr>
            <w:tcW w:w="960" w:type="dxa"/>
            <w:tcBorders>
              <w:top w:val="nil"/>
              <w:left w:val="nil"/>
              <w:bottom w:val="nil"/>
              <w:right w:val="single" w:sz="4" w:space="0" w:color="auto"/>
            </w:tcBorders>
            <w:shd w:val="clear" w:color="auto" w:fill="auto"/>
            <w:vAlign w:val="center"/>
            <w:hideMark/>
          </w:tcPr>
          <w:p w14:paraId="4C129F2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62</w:t>
            </w:r>
          </w:p>
        </w:tc>
        <w:tc>
          <w:tcPr>
            <w:tcW w:w="900" w:type="dxa"/>
            <w:tcBorders>
              <w:top w:val="nil"/>
              <w:left w:val="nil"/>
              <w:bottom w:val="nil"/>
              <w:right w:val="nil"/>
            </w:tcBorders>
            <w:shd w:val="clear" w:color="auto" w:fill="auto"/>
            <w:vAlign w:val="center"/>
            <w:hideMark/>
          </w:tcPr>
          <w:p w14:paraId="016FBEB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163</w:t>
            </w:r>
          </w:p>
        </w:tc>
        <w:tc>
          <w:tcPr>
            <w:tcW w:w="1180" w:type="dxa"/>
            <w:tcBorders>
              <w:top w:val="nil"/>
              <w:left w:val="nil"/>
              <w:bottom w:val="nil"/>
              <w:right w:val="nil"/>
            </w:tcBorders>
            <w:shd w:val="clear" w:color="auto" w:fill="auto"/>
            <w:vAlign w:val="center"/>
            <w:hideMark/>
          </w:tcPr>
          <w:p w14:paraId="36F3FA0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285 740</w:t>
            </w:r>
          </w:p>
        </w:tc>
        <w:tc>
          <w:tcPr>
            <w:tcW w:w="900" w:type="dxa"/>
            <w:tcBorders>
              <w:top w:val="nil"/>
              <w:left w:val="nil"/>
              <w:bottom w:val="nil"/>
              <w:right w:val="nil"/>
            </w:tcBorders>
            <w:shd w:val="clear" w:color="auto" w:fill="auto"/>
            <w:vAlign w:val="center"/>
            <w:hideMark/>
          </w:tcPr>
          <w:p w14:paraId="48CC857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658</w:t>
            </w:r>
          </w:p>
        </w:tc>
        <w:tc>
          <w:tcPr>
            <w:tcW w:w="1180" w:type="dxa"/>
            <w:tcBorders>
              <w:top w:val="nil"/>
              <w:left w:val="nil"/>
              <w:bottom w:val="nil"/>
              <w:right w:val="nil"/>
            </w:tcBorders>
            <w:shd w:val="clear" w:color="auto" w:fill="auto"/>
            <w:vAlign w:val="center"/>
            <w:hideMark/>
          </w:tcPr>
          <w:p w14:paraId="6928E2C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1 155 678</w:t>
            </w:r>
          </w:p>
        </w:tc>
      </w:tr>
      <w:tr w:rsidR="00154784" w:rsidRPr="00154784" w14:paraId="274204CC" w14:textId="77777777" w:rsidTr="00A773EA">
        <w:trPr>
          <w:trHeight w:val="283"/>
        </w:trPr>
        <w:tc>
          <w:tcPr>
            <w:tcW w:w="3820" w:type="dxa"/>
            <w:tcBorders>
              <w:top w:val="nil"/>
              <w:left w:val="nil"/>
              <w:right w:val="nil"/>
            </w:tcBorders>
            <w:shd w:val="clear" w:color="auto" w:fill="auto"/>
            <w:noWrap/>
            <w:vAlign w:val="bottom"/>
            <w:hideMark/>
          </w:tcPr>
          <w:p w14:paraId="25F529C2" w14:textId="77777777" w:rsidR="00154784" w:rsidRPr="00154784" w:rsidRDefault="00154784" w:rsidP="00154784">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 xml:space="preserve">Other </w:t>
            </w:r>
            <w:r w:rsidR="009644A2">
              <w:rPr>
                <w:rFonts w:ascii="Calibri" w:eastAsia="Times New Roman" w:hAnsi="Calibri" w:cs="Calibri"/>
                <w:sz w:val="20"/>
                <w:szCs w:val="20"/>
                <w:lang w:eastAsia="en-AU"/>
              </w:rPr>
              <w:t>(c)</w:t>
            </w:r>
          </w:p>
        </w:tc>
        <w:tc>
          <w:tcPr>
            <w:tcW w:w="960" w:type="dxa"/>
            <w:tcBorders>
              <w:top w:val="nil"/>
              <w:left w:val="nil"/>
              <w:bottom w:val="nil"/>
              <w:right w:val="single" w:sz="4" w:space="0" w:color="auto"/>
            </w:tcBorders>
            <w:shd w:val="clear" w:color="auto" w:fill="auto"/>
            <w:vAlign w:val="center"/>
            <w:hideMark/>
          </w:tcPr>
          <w:p w14:paraId="494FCCAB"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692</w:t>
            </w:r>
          </w:p>
        </w:tc>
        <w:tc>
          <w:tcPr>
            <w:tcW w:w="900" w:type="dxa"/>
            <w:tcBorders>
              <w:top w:val="nil"/>
              <w:left w:val="nil"/>
              <w:bottom w:val="nil"/>
              <w:right w:val="nil"/>
            </w:tcBorders>
            <w:shd w:val="clear" w:color="auto" w:fill="auto"/>
            <w:vAlign w:val="center"/>
            <w:hideMark/>
          </w:tcPr>
          <w:p w14:paraId="156BAA1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7</w:t>
            </w:r>
          </w:p>
        </w:tc>
        <w:tc>
          <w:tcPr>
            <w:tcW w:w="1180" w:type="dxa"/>
            <w:tcBorders>
              <w:top w:val="nil"/>
              <w:left w:val="nil"/>
              <w:bottom w:val="nil"/>
              <w:right w:val="nil"/>
            </w:tcBorders>
            <w:shd w:val="clear" w:color="auto" w:fill="auto"/>
            <w:vAlign w:val="center"/>
            <w:hideMark/>
          </w:tcPr>
          <w:p w14:paraId="5E6A0D40"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12 654</w:t>
            </w:r>
          </w:p>
        </w:tc>
        <w:tc>
          <w:tcPr>
            <w:tcW w:w="900" w:type="dxa"/>
            <w:tcBorders>
              <w:top w:val="nil"/>
              <w:left w:val="nil"/>
              <w:bottom w:val="nil"/>
              <w:right w:val="nil"/>
            </w:tcBorders>
            <w:shd w:val="clear" w:color="auto" w:fill="auto"/>
            <w:vAlign w:val="center"/>
            <w:hideMark/>
          </w:tcPr>
          <w:p w14:paraId="258B2D9D"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1 793</w:t>
            </w:r>
          </w:p>
        </w:tc>
        <w:tc>
          <w:tcPr>
            <w:tcW w:w="1180" w:type="dxa"/>
            <w:tcBorders>
              <w:top w:val="nil"/>
              <w:left w:val="nil"/>
              <w:bottom w:val="nil"/>
              <w:right w:val="nil"/>
            </w:tcBorders>
            <w:shd w:val="clear" w:color="auto" w:fill="auto"/>
            <w:vAlign w:val="center"/>
            <w:hideMark/>
          </w:tcPr>
          <w:p w14:paraId="67619FF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3 148 849</w:t>
            </w:r>
          </w:p>
        </w:tc>
      </w:tr>
      <w:tr w:rsidR="00154784" w:rsidRPr="00154784" w14:paraId="3BF36474" w14:textId="77777777" w:rsidTr="00A773EA">
        <w:trPr>
          <w:trHeight w:val="283"/>
        </w:trPr>
        <w:tc>
          <w:tcPr>
            <w:tcW w:w="3820" w:type="dxa"/>
            <w:tcBorders>
              <w:top w:val="nil"/>
              <w:left w:val="nil"/>
              <w:bottom w:val="single" w:sz="4" w:space="0" w:color="auto"/>
              <w:right w:val="nil"/>
            </w:tcBorders>
            <w:shd w:val="clear" w:color="auto" w:fill="auto"/>
            <w:noWrap/>
            <w:vAlign w:val="bottom"/>
            <w:hideMark/>
          </w:tcPr>
          <w:p w14:paraId="2ABEBF95" w14:textId="77777777" w:rsidR="00154784" w:rsidRPr="00154784" w:rsidRDefault="00154784" w:rsidP="00154784">
            <w:pPr>
              <w:tabs>
                <w:tab w:val="clear" w:pos="567"/>
              </w:tabs>
              <w:spacing w:after="0" w:line="240" w:lineRule="auto"/>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Depreciation</w:t>
            </w:r>
          </w:p>
        </w:tc>
        <w:tc>
          <w:tcPr>
            <w:tcW w:w="960" w:type="dxa"/>
            <w:tcBorders>
              <w:top w:val="nil"/>
              <w:left w:val="nil"/>
              <w:bottom w:val="nil"/>
              <w:right w:val="single" w:sz="4" w:space="0" w:color="auto"/>
            </w:tcBorders>
            <w:shd w:val="clear" w:color="auto" w:fill="auto"/>
            <w:vAlign w:val="center"/>
            <w:hideMark/>
          </w:tcPr>
          <w:p w14:paraId="72C876D1"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1 013</w:t>
            </w:r>
          </w:p>
        </w:tc>
        <w:tc>
          <w:tcPr>
            <w:tcW w:w="900" w:type="dxa"/>
            <w:tcBorders>
              <w:top w:val="nil"/>
              <w:left w:val="nil"/>
              <w:bottom w:val="nil"/>
              <w:right w:val="nil"/>
            </w:tcBorders>
            <w:shd w:val="clear" w:color="auto" w:fill="auto"/>
            <w:vAlign w:val="center"/>
            <w:hideMark/>
          </w:tcPr>
          <w:p w14:paraId="0F8318E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794</w:t>
            </w:r>
          </w:p>
        </w:tc>
        <w:tc>
          <w:tcPr>
            <w:tcW w:w="1180" w:type="dxa"/>
            <w:tcBorders>
              <w:top w:val="nil"/>
              <w:left w:val="nil"/>
              <w:bottom w:val="nil"/>
              <w:right w:val="nil"/>
            </w:tcBorders>
            <w:shd w:val="clear" w:color="auto" w:fill="auto"/>
            <w:vAlign w:val="center"/>
            <w:hideMark/>
          </w:tcPr>
          <w:p w14:paraId="335F1BD4"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1 394 047</w:t>
            </w:r>
          </w:p>
        </w:tc>
        <w:tc>
          <w:tcPr>
            <w:tcW w:w="900" w:type="dxa"/>
            <w:tcBorders>
              <w:top w:val="nil"/>
              <w:left w:val="nil"/>
              <w:bottom w:val="nil"/>
              <w:right w:val="nil"/>
            </w:tcBorders>
            <w:shd w:val="clear" w:color="auto" w:fill="auto"/>
            <w:vAlign w:val="center"/>
            <w:hideMark/>
          </w:tcPr>
          <w:p w14:paraId="62BB598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vAlign w:val="center"/>
            <w:hideMark/>
          </w:tcPr>
          <w:p w14:paraId="48673F47"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0</w:t>
            </w:r>
          </w:p>
        </w:tc>
      </w:tr>
      <w:tr w:rsidR="00154784" w:rsidRPr="00154784" w14:paraId="16D88BC7" w14:textId="77777777" w:rsidTr="00A773EA">
        <w:trPr>
          <w:trHeight w:val="283"/>
        </w:trPr>
        <w:tc>
          <w:tcPr>
            <w:tcW w:w="3820" w:type="dxa"/>
            <w:tcBorders>
              <w:top w:val="single" w:sz="4" w:space="0" w:color="auto"/>
              <w:left w:val="nil"/>
              <w:bottom w:val="single" w:sz="4" w:space="0" w:color="auto"/>
              <w:right w:val="nil"/>
            </w:tcBorders>
            <w:shd w:val="clear" w:color="auto" w:fill="auto"/>
            <w:vAlign w:val="center"/>
            <w:hideMark/>
          </w:tcPr>
          <w:p w14:paraId="036191EF" w14:textId="77777777" w:rsidR="00154784" w:rsidRPr="00154784" w:rsidRDefault="00154784" w:rsidP="009644A2">
            <w:pPr>
              <w:tabs>
                <w:tab w:val="clear" w:pos="567"/>
              </w:tabs>
              <w:spacing w:after="0" w:line="240" w:lineRule="auto"/>
              <w:ind w:firstLineChars="100" w:firstLine="200"/>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Total</w:t>
            </w:r>
            <w:r>
              <w:rPr>
                <w:rFonts w:ascii="Calibri" w:eastAsia="Times New Roman" w:hAnsi="Calibri" w:cs="Calibri"/>
                <w:sz w:val="20"/>
                <w:szCs w:val="20"/>
                <w:lang w:eastAsia="en-AU"/>
              </w:rPr>
              <w:t xml:space="preserve">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1281E7E"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8 658</w:t>
            </w:r>
          </w:p>
        </w:tc>
        <w:tc>
          <w:tcPr>
            <w:tcW w:w="900" w:type="dxa"/>
            <w:tcBorders>
              <w:top w:val="single" w:sz="4" w:space="0" w:color="auto"/>
              <w:left w:val="nil"/>
              <w:bottom w:val="single" w:sz="4" w:space="0" w:color="auto"/>
              <w:right w:val="nil"/>
            </w:tcBorders>
            <w:shd w:val="clear" w:color="auto" w:fill="auto"/>
            <w:vAlign w:val="center"/>
            <w:hideMark/>
          </w:tcPr>
          <w:p w14:paraId="0B26A91C"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18 237</w:t>
            </w:r>
          </w:p>
        </w:tc>
        <w:tc>
          <w:tcPr>
            <w:tcW w:w="1180" w:type="dxa"/>
            <w:tcBorders>
              <w:top w:val="single" w:sz="4" w:space="0" w:color="auto"/>
              <w:left w:val="nil"/>
              <w:bottom w:val="single" w:sz="4" w:space="0" w:color="auto"/>
              <w:right w:val="nil"/>
            </w:tcBorders>
            <w:shd w:val="clear" w:color="auto" w:fill="auto"/>
            <w:vAlign w:val="center"/>
            <w:hideMark/>
          </w:tcPr>
          <w:p w14:paraId="653248C6"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32 024 266</w:t>
            </w:r>
          </w:p>
        </w:tc>
        <w:tc>
          <w:tcPr>
            <w:tcW w:w="900" w:type="dxa"/>
            <w:tcBorders>
              <w:top w:val="single" w:sz="4" w:space="0" w:color="auto"/>
              <w:left w:val="nil"/>
              <w:bottom w:val="single" w:sz="4" w:space="0" w:color="auto"/>
              <w:right w:val="nil"/>
            </w:tcBorders>
            <w:shd w:val="clear" w:color="auto" w:fill="auto"/>
            <w:vAlign w:val="center"/>
            <w:hideMark/>
          </w:tcPr>
          <w:p w14:paraId="551EB735"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18 954</w:t>
            </w:r>
          </w:p>
        </w:tc>
        <w:tc>
          <w:tcPr>
            <w:tcW w:w="1180" w:type="dxa"/>
            <w:tcBorders>
              <w:top w:val="single" w:sz="4" w:space="0" w:color="auto"/>
              <w:left w:val="nil"/>
              <w:bottom w:val="single" w:sz="4" w:space="0" w:color="auto"/>
              <w:right w:val="nil"/>
            </w:tcBorders>
            <w:shd w:val="clear" w:color="auto" w:fill="auto"/>
            <w:vAlign w:val="center"/>
            <w:hideMark/>
          </w:tcPr>
          <w:p w14:paraId="16675FF2" w14:textId="77777777" w:rsidR="00154784" w:rsidRPr="00154784" w:rsidRDefault="00154784" w:rsidP="00154784">
            <w:pPr>
              <w:tabs>
                <w:tab w:val="clear" w:pos="567"/>
              </w:tabs>
              <w:spacing w:after="0" w:line="240" w:lineRule="auto"/>
              <w:jc w:val="right"/>
              <w:rPr>
                <w:rFonts w:ascii="Calibri" w:eastAsia="Times New Roman" w:hAnsi="Calibri" w:cs="Calibri"/>
                <w:sz w:val="20"/>
                <w:szCs w:val="20"/>
                <w:lang w:eastAsia="en-AU"/>
              </w:rPr>
            </w:pPr>
            <w:r w:rsidRPr="00154784">
              <w:rPr>
                <w:rFonts w:ascii="Calibri" w:eastAsia="Times New Roman" w:hAnsi="Calibri" w:cs="Calibri"/>
                <w:sz w:val="20"/>
                <w:szCs w:val="20"/>
                <w:lang w:eastAsia="en-AU"/>
              </w:rPr>
              <w:t>33 282 844</w:t>
            </w:r>
          </w:p>
        </w:tc>
      </w:tr>
    </w:tbl>
    <w:p w14:paraId="0C770200" w14:textId="77777777" w:rsidR="00933BC5" w:rsidRDefault="00933BC5" w:rsidP="00FE2E52">
      <w:pPr>
        <w:pStyle w:val="CGCTableFootnote"/>
        <w:numPr>
          <w:ilvl w:val="4"/>
          <w:numId w:val="2"/>
        </w:numPr>
        <w:ind w:left="567" w:hanging="567"/>
      </w:pPr>
      <w:r>
        <w:t xml:space="preserve">Actual expenses include expenses incurred by both </w:t>
      </w:r>
      <w:r w:rsidR="008F4885">
        <w:t>the Department</w:t>
      </w:r>
      <w:r>
        <w:t xml:space="preserve"> and </w:t>
      </w:r>
      <w:r w:rsidR="007026FA">
        <w:t>NIRC</w:t>
      </w:r>
      <w:r>
        <w:t>.</w:t>
      </w:r>
    </w:p>
    <w:p w14:paraId="4C947006" w14:textId="77777777" w:rsidR="00D3438A" w:rsidRDefault="006C2FEC" w:rsidP="00FE2E52">
      <w:pPr>
        <w:pStyle w:val="CGCTableFootnote"/>
        <w:numPr>
          <w:ilvl w:val="4"/>
          <w:numId w:val="2"/>
        </w:numPr>
        <w:ind w:left="567" w:hanging="567"/>
      </w:pPr>
      <w:r>
        <w:t xml:space="preserve">Actual expenses are made </w:t>
      </w:r>
      <w:r w:rsidR="00D57206">
        <w:t xml:space="preserve">up </w:t>
      </w:r>
      <w:r>
        <w:t xml:space="preserve">of $75 000 on the Child &amp; Family Wellbeing Unit; Chief Magistrate ($150 500); Commonwealth Director of Public Prosecutions ($277 700); and Policing, Courts &amp; Legal Services under the SDA ($364 167). </w:t>
      </w:r>
    </w:p>
    <w:p w14:paraId="759A6E98" w14:textId="77777777" w:rsidR="00E939C2" w:rsidRPr="00154784" w:rsidRDefault="00E939C2" w:rsidP="00154784">
      <w:pPr>
        <w:pStyle w:val="CGCTableFootnote"/>
        <w:tabs>
          <w:tab w:val="clear" w:pos="709"/>
          <w:tab w:val="left" w:pos="567"/>
        </w:tabs>
        <w:ind w:left="567" w:hanging="567"/>
      </w:pPr>
      <w:r w:rsidRPr="00BD1825">
        <w:lastRenderedPageBreak/>
        <w:t>(c)</w:t>
      </w:r>
      <w:r w:rsidRPr="00BD1825">
        <w:tab/>
      </w:r>
      <w:r w:rsidR="009644A2">
        <w:t>For some functions, actual expenses appear as zero. In many cases, this reflects difficulties in disaggregating actual expenses. This explains the very large amount in the other category.</w:t>
      </w:r>
    </w:p>
    <w:p w14:paraId="4091A3F2" w14:textId="77777777" w:rsidR="00F246BF" w:rsidRPr="009A2439" w:rsidRDefault="00F246BF" w:rsidP="00FE2E52">
      <w:pPr>
        <w:pStyle w:val="CGCTableFootnote"/>
      </w:pPr>
      <w:r>
        <w:t>Source:</w:t>
      </w:r>
      <w:r>
        <w:tab/>
        <w:t xml:space="preserve">Commission staff </w:t>
      </w:r>
      <w:r w:rsidR="00B57CE4">
        <w:t>analysis.</w:t>
      </w:r>
    </w:p>
    <w:bookmarkStart w:id="369" w:name="_Toc17105400"/>
    <w:bookmarkStart w:id="370" w:name="_Toc17105452"/>
    <w:bookmarkStart w:id="371" w:name="_Toc17105608"/>
    <w:p w14:paraId="2E4B55F4" w14:textId="333135B1" w:rsidR="00230A0D" w:rsidRDefault="003D48DB" w:rsidP="00230A0D">
      <w:pPr>
        <w:pStyle w:val="CGCNumberedPara"/>
        <w:keepNext/>
        <w:numPr>
          <w:ilvl w:val="1"/>
          <w:numId w:val="3"/>
        </w:numPr>
        <w:tabs>
          <w:tab w:val="clear" w:pos="567"/>
        </w:tabs>
      </w:pPr>
      <w:r>
        <w:fldChar w:fldCharType="begin"/>
      </w:r>
      <w:r>
        <w:instrText xml:space="preserve"> REF _Ref22109661 \h </w:instrText>
      </w:r>
      <w:r>
        <w:fldChar w:fldCharType="separate"/>
      </w:r>
      <w:r w:rsidR="00DE7AA1">
        <w:t xml:space="preserve">Table </w:t>
      </w:r>
      <w:r w:rsidR="00DE7AA1">
        <w:rPr>
          <w:noProof/>
        </w:rPr>
        <w:t>7</w:t>
      </w:r>
      <w:r>
        <w:fldChar w:fldCharType="end"/>
      </w:r>
      <w:r>
        <w:t xml:space="preserve"> </w:t>
      </w:r>
      <w:r w:rsidR="00230A0D">
        <w:t>shows:</w:t>
      </w:r>
    </w:p>
    <w:p w14:paraId="1B2D3FB8" w14:textId="77777777" w:rsidR="00230A0D" w:rsidRDefault="00230A0D" w:rsidP="00EE5314">
      <w:pPr>
        <w:pStyle w:val="CGCBulletlist"/>
      </w:pPr>
      <w:r>
        <w:t>In 2017-</w:t>
      </w:r>
      <w:r w:rsidR="00B51EEB">
        <w:t>18, assessed expenses were $32.0 million or $</w:t>
      </w:r>
      <w:r w:rsidR="00A773EA">
        <w:t xml:space="preserve">18 237 </w:t>
      </w:r>
      <w:r>
        <w:t xml:space="preserve">per capita, which </w:t>
      </w:r>
      <w:r w:rsidR="00F64C0E">
        <w:t xml:space="preserve">is </w:t>
      </w:r>
      <w:r w:rsidR="00A773EA">
        <w:t xml:space="preserve">more than </w:t>
      </w:r>
      <w:r w:rsidR="00F64C0E">
        <w:t xml:space="preserve">double </w:t>
      </w:r>
      <w:r>
        <w:t xml:space="preserve">average State spending on service delivery. This is mainly due to </w:t>
      </w:r>
      <w:r w:rsidR="00AB286E">
        <w:t>Norfolk</w:t>
      </w:r>
      <w:r>
        <w:t xml:space="preserve"> </w:t>
      </w:r>
      <w:r w:rsidRPr="00EE5314">
        <w:t>Island’s</w:t>
      </w:r>
      <w:r>
        <w:t xml:space="preserve"> remoteness, isolation from the mainland and diseconomies </w:t>
      </w:r>
      <w:r w:rsidR="00AB286E">
        <w:t xml:space="preserve">of service delivery from its </w:t>
      </w:r>
      <w:r>
        <w:t xml:space="preserve">small scale. </w:t>
      </w:r>
      <w:r w:rsidR="00AB286E">
        <w:t>These</w:t>
      </w:r>
      <w:r>
        <w:t xml:space="preserve"> </w:t>
      </w:r>
      <w:r w:rsidR="008056F0">
        <w:t>unique circumstances</w:t>
      </w:r>
      <w:r>
        <w:t xml:space="preserve"> of Norfolk affect most services but especially schools, health, police and electricity</w:t>
      </w:r>
      <w:r w:rsidR="00AB286E">
        <w:t xml:space="preserve"> provision</w:t>
      </w:r>
      <w:r>
        <w:t xml:space="preserve">. The extensive use of service delivery agreements with New South </w:t>
      </w:r>
      <w:r w:rsidR="00FC19E1">
        <w:t>Wales, NIRC</w:t>
      </w:r>
      <w:r>
        <w:t>, the AFP or private contractors to deliver most State</w:t>
      </w:r>
      <w:r>
        <w:noBreakHyphen/>
        <w:t xml:space="preserve">type services further increases the costs. </w:t>
      </w:r>
    </w:p>
    <w:p w14:paraId="31F233A9" w14:textId="77777777" w:rsidR="00230A0D" w:rsidRDefault="00230A0D" w:rsidP="00EE5314">
      <w:pPr>
        <w:pStyle w:val="CGCBulletlist"/>
      </w:pPr>
      <w:r>
        <w:t xml:space="preserve">Assessed </w:t>
      </w:r>
      <w:r w:rsidRPr="00EE5314">
        <w:t>and</w:t>
      </w:r>
      <w:r>
        <w:t xml:space="preserve"> actual spending on the major areas of schools and health are similar. Thes</w:t>
      </w:r>
      <w:r w:rsidR="00F64C0E">
        <w:t xml:space="preserve">e functions account for about </w:t>
      </w:r>
      <w:r w:rsidR="00A773EA">
        <w:t>65</w:t>
      </w:r>
      <w:r>
        <w:t>% of total assessed and actual spending on State-type services.</w:t>
      </w:r>
    </w:p>
    <w:p w14:paraId="33B4AE9D" w14:textId="77777777" w:rsidR="00230A0D" w:rsidRDefault="00230A0D" w:rsidP="00EE5314">
      <w:pPr>
        <w:pStyle w:val="CGCBulletlist"/>
      </w:pPr>
      <w:r>
        <w:t xml:space="preserve">Tourism is the main industry on the Island. The high per capita costs are due to the need for tourism development, support and promotion services similar to those </w:t>
      </w:r>
      <w:r w:rsidRPr="00EE5314">
        <w:t>provided</w:t>
      </w:r>
      <w:r>
        <w:t xml:space="preserve"> by the States on average. </w:t>
      </w:r>
    </w:p>
    <w:p w14:paraId="359B9D2B" w14:textId="77777777" w:rsidR="00230A0D" w:rsidRDefault="00230A0D" w:rsidP="00EE5314">
      <w:pPr>
        <w:pStyle w:val="CGCBulletlist"/>
      </w:pPr>
      <w:r>
        <w:t xml:space="preserve">Like </w:t>
      </w:r>
      <w:r w:rsidRPr="00EE5314">
        <w:t>comparable</w:t>
      </w:r>
      <w:r>
        <w:t xml:space="preserve"> communities in the States, the per capita cost of providing electricity in a small isolated community is very high. All States with off-grid communities similar in size to Norfolk Island provide subsidies to reduce electricity prices. Without State-type electricity subsidies,</w:t>
      </w:r>
      <w:r w:rsidR="00F64C0E">
        <w:t xml:space="preserve"> the price Norfolk Island </w:t>
      </w:r>
      <w:r>
        <w:t xml:space="preserve">residents currently pay for electricity is much higher than that in comparable communities. </w:t>
      </w:r>
    </w:p>
    <w:p w14:paraId="2DE9562F" w14:textId="77777777" w:rsidR="00230A0D" w:rsidRDefault="00230A0D" w:rsidP="00EE5314">
      <w:pPr>
        <w:pStyle w:val="CGCBulletlist"/>
      </w:pPr>
      <w:r>
        <w:t xml:space="preserve">Actual spending on family and child services is well above average and assessed spending levels. This likely reflects relatively high costs associated with establishing such </w:t>
      </w:r>
      <w:r w:rsidRPr="00EE5314">
        <w:t>services</w:t>
      </w:r>
      <w:r>
        <w:t xml:space="preserve"> on the Island in 2017</w:t>
      </w:r>
      <w:r>
        <w:noBreakHyphen/>
        <w:t xml:space="preserve">18. Actual spending on justice services (including police and courts) and public order and safety (part of the Other expenses in our analysis) was also substantially higher than we assessed. </w:t>
      </w:r>
    </w:p>
    <w:p w14:paraId="6B9C2190" w14:textId="77777777" w:rsidR="00230A0D" w:rsidRDefault="00230A0D" w:rsidP="00A11874">
      <w:pPr>
        <w:pStyle w:val="CGCBulletlist"/>
      </w:pPr>
      <w:r>
        <w:t xml:space="preserve">Some State-type services were not provided in 2017-18 including first home owner grants, </w:t>
      </w:r>
      <w:r w:rsidR="00A55D75">
        <w:t xml:space="preserve">post-secondary education </w:t>
      </w:r>
      <w:r>
        <w:t xml:space="preserve">and State grants for local </w:t>
      </w:r>
      <w:r w:rsidR="006E145A">
        <w:t>government</w:t>
      </w:r>
      <w:r>
        <w:t xml:space="preserve">. </w:t>
      </w:r>
      <w:r w:rsidR="004657C5">
        <w:t>Post</w:t>
      </w:r>
      <w:r w:rsidR="00A773EA">
        <w:noBreakHyphen/>
      </w:r>
      <w:r w:rsidR="004657C5">
        <w:t>secondary education services</w:t>
      </w:r>
      <w:r>
        <w:t xml:space="preserve"> were introduced in 2018-19 but the other services remain unavailable. NDIS is available to Norfolk Island residents and we included an allowance for the average per capita State contribution to the National Disability Insurance Agency.</w:t>
      </w:r>
      <w:r>
        <w:rPr>
          <w:rStyle w:val="FootnoteReference"/>
        </w:rPr>
        <w:footnoteReference w:id="7"/>
      </w:r>
      <w:r>
        <w:t xml:space="preserve"> However, the actual mechanism for contributions </w:t>
      </w:r>
      <w:r w:rsidR="007F674C">
        <w:t xml:space="preserve">to the scheme </w:t>
      </w:r>
      <w:r>
        <w:t>is unclear.</w:t>
      </w:r>
    </w:p>
    <w:p w14:paraId="5FC07F02" w14:textId="69FFFC69" w:rsidR="00230A0D" w:rsidRDefault="00230A0D" w:rsidP="00A11874">
      <w:pPr>
        <w:pStyle w:val="CGCBulletlist"/>
      </w:pPr>
      <w:r>
        <w:lastRenderedPageBreak/>
        <w:t xml:space="preserve">Although </w:t>
      </w:r>
      <w:r w:rsidR="00DE431F">
        <w:fldChar w:fldCharType="begin"/>
      </w:r>
      <w:r w:rsidR="00DE431F">
        <w:instrText xml:space="preserve"> REF _Ref22109661 \h </w:instrText>
      </w:r>
      <w:r w:rsidR="00DE431F">
        <w:fldChar w:fldCharType="separate"/>
      </w:r>
      <w:r w:rsidR="00DE7AA1">
        <w:t xml:space="preserve">Table </w:t>
      </w:r>
      <w:r w:rsidR="00DE7AA1">
        <w:rPr>
          <w:noProof/>
        </w:rPr>
        <w:t>7</w:t>
      </w:r>
      <w:r w:rsidR="00DE431F">
        <w:fldChar w:fldCharType="end"/>
      </w:r>
      <w:r w:rsidR="00DE431F">
        <w:t xml:space="preserve"> </w:t>
      </w:r>
      <w:r>
        <w:t>shows no actual expenses for cultural and recreation services, the Commonwealth is responsible for and funds KAHVA and the national park, which provide significant benefits to the Norfolk Island community.</w:t>
      </w:r>
    </w:p>
    <w:p w14:paraId="76D54691" w14:textId="77777777" w:rsidR="00230A0D" w:rsidRDefault="00230A0D" w:rsidP="00A11874">
      <w:pPr>
        <w:pStyle w:val="CGCBulletlist"/>
      </w:pPr>
      <w:r>
        <w:t xml:space="preserve">States do not </w:t>
      </w:r>
      <w:r w:rsidRPr="00A11874">
        <w:t>generally</w:t>
      </w:r>
      <w:r>
        <w:t xml:space="preserve"> subsidise port services. However, we assessed a subsidy for these services (based on the actual payment to </w:t>
      </w:r>
      <w:r w:rsidR="005D0B63">
        <w:t xml:space="preserve">NIRC </w:t>
      </w:r>
      <w:r>
        <w:t xml:space="preserve">to manage and operate the port) because the port provides an essential service.  </w:t>
      </w:r>
    </w:p>
    <w:p w14:paraId="6F011685" w14:textId="77777777" w:rsidR="00230A0D" w:rsidRDefault="00230A0D" w:rsidP="00A11874">
      <w:pPr>
        <w:pStyle w:val="CGCBulletlist"/>
      </w:pPr>
      <w:r>
        <w:t xml:space="preserve">Assessed State </w:t>
      </w:r>
      <w:r w:rsidR="00264081">
        <w:t xml:space="preserve">type </w:t>
      </w:r>
      <w:r>
        <w:t xml:space="preserve">depreciation for Norfolk Island is less than the average. This is because some assets that all States provide are not needed on the Island including State roads and urban transport infrastructure. </w:t>
      </w:r>
    </w:p>
    <w:p w14:paraId="17C9D13F" w14:textId="77777777" w:rsidR="00230A0D" w:rsidRDefault="00230A0D" w:rsidP="00230A0D">
      <w:pPr>
        <w:pStyle w:val="CGCNumberedPara"/>
        <w:numPr>
          <w:ilvl w:val="1"/>
          <w:numId w:val="3"/>
        </w:numPr>
        <w:tabs>
          <w:tab w:val="clear" w:pos="567"/>
        </w:tabs>
      </w:pPr>
      <w:r>
        <w:t xml:space="preserve">Compared with the 2011 report, assessed expenses have increased by </w:t>
      </w:r>
      <w:r w:rsidR="00264081">
        <w:t xml:space="preserve">about </w:t>
      </w:r>
      <w:r>
        <w:t>1</w:t>
      </w:r>
      <w:r w:rsidR="00264081">
        <w:t>20</w:t>
      </w:r>
      <w:r w:rsidR="005C1EFA">
        <w:t>% or $9 </w:t>
      </w:r>
      <w:r w:rsidR="00264081">
        <w:t xml:space="preserve">911 </w:t>
      </w:r>
      <w:r>
        <w:t xml:space="preserve">per capita, slower than the </w:t>
      </w:r>
      <w:r w:rsidR="005C1EFA">
        <w:t>increase in actual expenses (</w:t>
      </w:r>
      <w:r w:rsidR="00264081">
        <w:t>about 245</w:t>
      </w:r>
      <w:r w:rsidR="00084CFA">
        <w:t>% or $13 </w:t>
      </w:r>
      <w:r w:rsidR="009F2AC9">
        <w:t xml:space="preserve">456 </w:t>
      </w:r>
      <w:r>
        <w:t>per capita). This is partly due to the increase in wages paid for some services on the Island, but also suggests that service levels have increased since 2009</w:t>
      </w:r>
      <w:r>
        <w:noBreakHyphen/>
        <w:t>10.</w:t>
      </w:r>
    </w:p>
    <w:p w14:paraId="346D2B24" w14:textId="692FE186" w:rsidR="003D69FC" w:rsidRDefault="003D69FC" w:rsidP="003D69FC">
      <w:pPr>
        <w:pStyle w:val="CGCNumberedPara"/>
        <w:numPr>
          <w:ilvl w:val="1"/>
          <w:numId w:val="3"/>
        </w:numPr>
        <w:tabs>
          <w:tab w:val="left" w:pos="567"/>
          <w:tab w:val="num" w:pos="1134"/>
        </w:tabs>
      </w:pPr>
      <w:r>
        <w:t xml:space="preserve">The Commission also compared Norfolk Island’s assessed expenses to those raised by the Northern Territory, as this is the State </w:t>
      </w:r>
      <w:r w:rsidR="002A59A8">
        <w:t xml:space="preserve">or territory </w:t>
      </w:r>
      <w:r>
        <w:t xml:space="preserve">with the greatest level of remote areas. The Northern Territory’s assessed State-type expenses in 2017-18 were $20 604 per capita, or about 12% above those of Norfolk Island in per capita terms. </w:t>
      </w:r>
    </w:p>
    <w:p w14:paraId="5B1CC1F8" w14:textId="77777777" w:rsidR="00F246BF" w:rsidRDefault="00F246BF" w:rsidP="00EE7050">
      <w:pPr>
        <w:pStyle w:val="Heading3"/>
      </w:pPr>
      <w:bookmarkStart w:id="372" w:name="_Toc17380475"/>
      <w:bookmarkStart w:id="373" w:name="_Toc19262927"/>
      <w:bookmarkStart w:id="374" w:name="_Toc23847472"/>
      <w:r>
        <w:t>Local government expenses</w:t>
      </w:r>
      <w:bookmarkEnd w:id="369"/>
      <w:bookmarkEnd w:id="370"/>
      <w:bookmarkEnd w:id="371"/>
      <w:bookmarkEnd w:id="372"/>
      <w:bookmarkEnd w:id="373"/>
      <w:bookmarkEnd w:id="374"/>
    </w:p>
    <w:p w14:paraId="794A2247" w14:textId="77777777" w:rsidR="00F246BF" w:rsidRDefault="00F246BF" w:rsidP="00F246BF">
      <w:pPr>
        <w:pStyle w:val="CGCNumberedPara"/>
        <w:numPr>
          <w:ilvl w:val="1"/>
          <w:numId w:val="3"/>
        </w:numPr>
        <w:tabs>
          <w:tab w:val="clear" w:pos="567"/>
        </w:tabs>
      </w:pPr>
      <w:r>
        <w:t xml:space="preserve">In the rest of Australia, the delivery of local government services </w:t>
      </w:r>
      <w:r w:rsidR="00A06BBA">
        <w:t>is</w:t>
      </w:r>
      <w:r>
        <w:t xml:space="preserve"> the responsibility of an elected council, supported by an administrative arm. The services provided by councils vary between States. Generally, councils provide property related services including waste management, storm water, local roads and building and planning services, as well as cultural and recreation facilities. </w:t>
      </w:r>
      <w:r w:rsidR="00A06BBA">
        <w:t>M</w:t>
      </w:r>
      <w:r>
        <w:t xml:space="preserve">any councils </w:t>
      </w:r>
      <w:r w:rsidR="00A06BBA">
        <w:t xml:space="preserve">also </w:t>
      </w:r>
      <w:r>
        <w:t>provide a limited range of health, education, aged and welfare services. Some councils provide water, sewerage and airport services.</w:t>
      </w:r>
    </w:p>
    <w:p w14:paraId="2C12002B" w14:textId="77777777" w:rsidR="00F246BF" w:rsidRDefault="00F246BF" w:rsidP="00F246BF">
      <w:pPr>
        <w:pStyle w:val="CGCNumberedPara"/>
        <w:numPr>
          <w:ilvl w:val="1"/>
          <w:numId w:val="3"/>
        </w:numPr>
        <w:tabs>
          <w:tab w:val="clear" w:pos="567"/>
        </w:tabs>
      </w:pPr>
      <w:r>
        <w:t>A similar conceptual approach as for State assessed costs was used to derive assessed local government expenses</w:t>
      </w:r>
      <w:r w:rsidR="00B57CE4">
        <w:t xml:space="preserve">. Details are in </w:t>
      </w:r>
      <w:r w:rsidR="00CD3307">
        <w:t>Attachment F</w:t>
      </w:r>
      <w:r>
        <w:t xml:space="preserve">. </w:t>
      </w:r>
    </w:p>
    <w:p w14:paraId="499D4D8F" w14:textId="21D97FAD" w:rsidR="009F2AC9" w:rsidRDefault="00893EE8" w:rsidP="009676B5">
      <w:pPr>
        <w:pStyle w:val="CGCNumberedPara"/>
        <w:numPr>
          <w:ilvl w:val="1"/>
          <w:numId w:val="3"/>
        </w:numPr>
        <w:tabs>
          <w:tab w:val="clear" w:pos="567"/>
        </w:tabs>
      </w:pPr>
      <w:r>
        <w:fldChar w:fldCharType="begin"/>
      </w:r>
      <w:r>
        <w:instrText xml:space="preserve"> REF _Ref22109761 \h </w:instrText>
      </w:r>
      <w:r>
        <w:fldChar w:fldCharType="separate"/>
      </w:r>
      <w:r w:rsidR="00DE7AA1">
        <w:t xml:space="preserve">Table </w:t>
      </w:r>
      <w:r w:rsidR="00DE7AA1">
        <w:rPr>
          <w:noProof/>
        </w:rPr>
        <w:t>8</w:t>
      </w:r>
      <w:r>
        <w:fldChar w:fldCharType="end"/>
      </w:r>
      <w:r w:rsidR="0086279A">
        <w:t xml:space="preserve"> </w:t>
      </w:r>
      <w:r w:rsidR="00F246BF">
        <w:t xml:space="preserve">compares the average Australian local government expense per capita, </w:t>
      </w:r>
      <w:r w:rsidR="009C6DCC">
        <w:t>the</w:t>
      </w:r>
      <w:r w:rsidR="00F246BF">
        <w:t xml:space="preserve"> Norfolk Island actual spend</w:t>
      </w:r>
      <w:r w:rsidR="009C6DCC">
        <w:t>ing</w:t>
      </w:r>
      <w:r w:rsidR="00F246BF">
        <w:t xml:space="preserve"> and its assessed expenses for </w:t>
      </w:r>
      <w:r w:rsidR="009C6DCC">
        <w:t>2017-18</w:t>
      </w:r>
      <w:r w:rsidR="00F246BF">
        <w:t xml:space="preserve">. </w:t>
      </w:r>
      <w:r>
        <w:fldChar w:fldCharType="begin"/>
      </w:r>
      <w:r>
        <w:instrText xml:space="preserve"> REF _Ref22109761 \h </w:instrText>
      </w:r>
      <w:r>
        <w:fldChar w:fldCharType="separate"/>
      </w:r>
      <w:r w:rsidR="00DE7AA1">
        <w:t xml:space="preserve">Table </w:t>
      </w:r>
      <w:r w:rsidR="00DE7AA1">
        <w:rPr>
          <w:noProof/>
        </w:rPr>
        <w:t>8</w:t>
      </w:r>
      <w:r>
        <w:fldChar w:fldCharType="end"/>
      </w:r>
      <w:r>
        <w:t xml:space="preserve"> </w:t>
      </w:r>
      <w:r w:rsidR="00FB5AD5" w:rsidRPr="00F968BA">
        <w:t>shows that Norfolk Island’s actual spending was about $</w:t>
      </w:r>
      <w:r w:rsidR="00FB5AD5">
        <w:t>1.4</w:t>
      </w:r>
      <w:r w:rsidR="00FB5AD5" w:rsidRPr="00F968BA">
        <w:t> million more than we assessed it needs to spend. More than half this difference is due to the high level of Other expenses.</w:t>
      </w:r>
      <w:r w:rsidR="00FB5AD5">
        <w:t xml:space="preserve"> </w:t>
      </w:r>
      <w:r w:rsidR="00FC543F">
        <w:t>The actual spending is virtually all spending by</w:t>
      </w:r>
      <w:r w:rsidR="005D0B63">
        <w:t xml:space="preserve"> NIRC</w:t>
      </w:r>
      <w:r w:rsidR="00FC543F">
        <w:t>, but may a</w:t>
      </w:r>
      <w:r w:rsidR="00480118">
        <w:t xml:space="preserve">lso include some spending by </w:t>
      </w:r>
      <w:r w:rsidR="008F4885">
        <w:t>the Department</w:t>
      </w:r>
      <w:r w:rsidR="00FC543F">
        <w:t xml:space="preserve">. Some </w:t>
      </w:r>
      <w:r w:rsidR="007E606A">
        <w:t xml:space="preserve">NIRC </w:t>
      </w:r>
      <w:r w:rsidR="00FC543F">
        <w:t>spending on functions such as tourism and the electricity and port undertakings has been classified as State-type spending and is included in the actual expenses figures in</w:t>
      </w:r>
      <w:r>
        <w:t xml:space="preserve"> </w:t>
      </w:r>
      <w:r>
        <w:fldChar w:fldCharType="begin"/>
      </w:r>
      <w:r>
        <w:instrText xml:space="preserve"> REF _Ref22109761 \h </w:instrText>
      </w:r>
      <w:r>
        <w:fldChar w:fldCharType="separate"/>
      </w:r>
      <w:r w:rsidR="00DE7AA1">
        <w:t xml:space="preserve">Table </w:t>
      </w:r>
      <w:r w:rsidR="00DE7AA1">
        <w:rPr>
          <w:noProof/>
        </w:rPr>
        <w:t>8</w:t>
      </w:r>
      <w:r>
        <w:fldChar w:fldCharType="end"/>
      </w:r>
      <w:r w:rsidR="00FC543F">
        <w:t>.</w:t>
      </w:r>
    </w:p>
    <w:p w14:paraId="32B53BEB" w14:textId="77777777" w:rsidR="009F2AC9" w:rsidRDefault="009F2AC9">
      <w:pPr>
        <w:tabs>
          <w:tab w:val="clear" w:pos="567"/>
        </w:tabs>
        <w:spacing w:after="200" w:line="276" w:lineRule="auto"/>
        <w:rPr>
          <w:szCs w:val="24"/>
        </w:rPr>
      </w:pPr>
      <w:r>
        <w:br w:type="page"/>
      </w:r>
    </w:p>
    <w:p w14:paraId="6DC87F75" w14:textId="73A95D27" w:rsidR="00F246BF" w:rsidRDefault="00893EE8" w:rsidP="00893EE8">
      <w:pPr>
        <w:pStyle w:val="Caption"/>
      </w:pPr>
      <w:bookmarkStart w:id="375" w:name="_Ref22109761"/>
      <w:r>
        <w:lastRenderedPageBreak/>
        <w:t xml:space="preserve">Table </w:t>
      </w:r>
      <w:r w:rsidR="00150A14">
        <w:fldChar w:fldCharType="begin"/>
      </w:r>
      <w:r w:rsidR="00150A14">
        <w:instrText xml:space="preserve"> SEQ Table \* ARABIC </w:instrText>
      </w:r>
      <w:r w:rsidR="00150A14">
        <w:fldChar w:fldCharType="separate"/>
      </w:r>
      <w:r w:rsidR="00DE7AA1">
        <w:rPr>
          <w:noProof/>
        </w:rPr>
        <w:t>8</w:t>
      </w:r>
      <w:r w:rsidR="00150A14">
        <w:rPr>
          <w:noProof/>
        </w:rPr>
        <w:fldChar w:fldCharType="end"/>
      </w:r>
      <w:bookmarkEnd w:id="375"/>
      <w:r w:rsidR="00F246BF">
        <w:tab/>
        <w:t>Local government expenses, Norfolk Island, 2017</w:t>
      </w:r>
      <w:r w:rsidR="00F246BF">
        <w:noBreakHyphen/>
        <w:t>18</w:t>
      </w:r>
      <w:r w:rsidR="00482642">
        <w:t xml:space="preserve"> — summary</w:t>
      </w:r>
    </w:p>
    <w:tbl>
      <w:tblPr>
        <w:tblW w:w="8940" w:type="dxa"/>
        <w:tblLook w:val="04A0" w:firstRow="1" w:lastRow="0" w:firstColumn="1" w:lastColumn="0" w:noHBand="0" w:noVBand="1"/>
      </w:tblPr>
      <w:tblGrid>
        <w:gridCol w:w="3820"/>
        <w:gridCol w:w="960"/>
        <w:gridCol w:w="900"/>
        <w:gridCol w:w="1180"/>
        <w:gridCol w:w="900"/>
        <w:gridCol w:w="1180"/>
      </w:tblGrid>
      <w:tr w:rsidR="009644A2" w:rsidRPr="009644A2" w14:paraId="5C124B3E" w14:textId="77777777" w:rsidTr="009644A2">
        <w:trPr>
          <w:trHeight w:val="315"/>
        </w:trPr>
        <w:tc>
          <w:tcPr>
            <w:tcW w:w="3820" w:type="dxa"/>
            <w:vMerge w:val="restart"/>
            <w:tcBorders>
              <w:top w:val="single" w:sz="4" w:space="0" w:color="auto"/>
              <w:left w:val="nil"/>
              <w:bottom w:val="single" w:sz="4" w:space="0" w:color="000000"/>
              <w:right w:val="nil"/>
            </w:tcBorders>
            <w:shd w:val="clear" w:color="auto" w:fill="auto"/>
            <w:vAlign w:val="center"/>
            <w:hideMark/>
          </w:tcPr>
          <w:p w14:paraId="3FCEAA95" w14:textId="77777777" w:rsidR="009644A2" w:rsidRPr="009644A2" w:rsidRDefault="009644A2" w:rsidP="009644A2">
            <w:pPr>
              <w:tabs>
                <w:tab w:val="clear" w:pos="567"/>
              </w:tabs>
              <w:spacing w:after="0" w:line="240" w:lineRule="auto"/>
              <w:jc w:val="center"/>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 </w:t>
            </w:r>
          </w:p>
        </w:tc>
        <w:tc>
          <w:tcPr>
            <w:tcW w:w="960" w:type="dxa"/>
            <w:vMerge w:val="restart"/>
            <w:tcBorders>
              <w:top w:val="single" w:sz="4" w:space="0" w:color="auto"/>
              <w:left w:val="nil"/>
              <w:bottom w:val="single" w:sz="4" w:space="0" w:color="000000"/>
              <w:right w:val="single" w:sz="4" w:space="0" w:color="auto"/>
            </w:tcBorders>
            <w:shd w:val="clear" w:color="auto" w:fill="auto"/>
            <w:vAlign w:val="center"/>
            <w:hideMark/>
          </w:tcPr>
          <w:p w14:paraId="7672F25D" w14:textId="77777777" w:rsidR="009644A2" w:rsidRPr="009644A2" w:rsidRDefault="009644A2" w:rsidP="009644A2">
            <w:pPr>
              <w:tabs>
                <w:tab w:val="clear" w:pos="567"/>
              </w:tabs>
              <w:spacing w:after="0" w:line="240" w:lineRule="auto"/>
              <w:jc w:val="center"/>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State average</w:t>
            </w:r>
          </w:p>
        </w:tc>
        <w:tc>
          <w:tcPr>
            <w:tcW w:w="4160" w:type="dxa"/>
            <w:gridSpan w:val="4"/>
            <w:tcBorders>
              <w:top w:val="single" w:sz="4" w:space="0" w:color="auto"/>
              <w:left w:val="nil"/>
              <w:bottom w:val="single" w:sz="4" w:space="0" w:color="auto"/>
              <w:right w:val="nil"/>
            </w:tcBorders>
            <w:shd w:val="clear" w:color="auto" w:fill="auto"/>
            <w:vAlign w:val="center"/>
            <w:hideMark/>
          </w:tcPr>
          <w:p w14:paraId="32C8CAA1" w14:textId="77777777" w:rsidR="009644A2" w:rsidRPr="009644A2" w:rsidRDefault="009644A2" w:rsidP="009644A2">
            <w:pPr>
              <w:tabs>
                <w:tab w:val="clear" w:pos="567"/>
              </w:tabs>
              <w:spacing w:after="0" w:line="240" w:lineRule="auto"/>
              <w:jc w:val="center"/>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Norfolk Island</w:t>
            </w:r>
          </w:p>
        </w:tc>
      </w:tr>
      <w:tr w:rsidR="009644A2" w:rsidRPr="009644A2" w14:paraId="302D881A" w14:textId="77777777" w:rsidTr="009644A2">
        <w:trPr>
          <w:trHeight w:val="555"/>
        </w:trPr>
        <w:tc>
          <w:tcPr>
            <w:tcW w:w="3820" w:type="dxa"/>
            <w:vMerge/>
            <w:tcBorders>
              <w:top w:val="single" w:sz="4" w:space="0" w:color="auto"/>
              <w:left w:val="nil"/>
              <w:bottom w:val="single" w:sz="4" w:space="0" w:color="000000"/>
              <w:right w:val="nil"/>
            </w:tcBorders>
            <w:vAlign w:val="center"/>
            <w:hideMark/>
          </w:tcPr>
          <w:p w14:paraId="44DD71AC"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p>
        </w:tc>
        <w:tc>
          <w:tcPr>
            <w:tcW w:w="960" w:type="dxa"/>
            <w:vMerge/>
            <w:tcBorders>
              <w:top w:val="single" w:sz="4" w:space="0" w:color="auto"/>
              <w:left w:val="nil"/>
              <w:bottom w:val="single" w:sz="4" w:space="0" w:color="000000"/>
              <w:right w:val="single" w:sz="4" w:space="0" w:color="auto"/>
            </w:tcBorders>
            <w:vAlign w:val="center"/>
            <w:hideMark/>
          </w:tcPr>
          <w:p w14:paraId="7E5EBFC1"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p>
        </w:tc>
        <w:tc>
          <w:tcPr>
            <w:tcW w:w="2080" w:type="dxa"/>
            <w:gridSpan w:val="2"/>
            <w:tcBorders>
              <w:top w:val="single" w:sz="4" w:space="0" w:color="auto"/>
              <w:left w:val="nil"/>
              <w:bottom w:val="single" w:sz="4" w:space="0" w:color="auto"/>
              <w:right w:val="nil"/>
            </w:tcBorders>
            <w:shd w:val="clear" w:color="auto" w:fill="auto"/>
            <w:noWrap/>
            <w:vAlign w:val="center"/>
            <w:hideMark/>
          </w:tcPr>
          <w:p w14:paraId="13EF3B03" w14:textId="77777777" w:rsidR="009644A2" w:rsidRPr="009644A2" w:rsidRDefault="009644A2" w:rsidP="009644A2">
            <w:pPr>
              <w:tabs>
                <w:tab w:val="clear" w:pos="567"/>
              </w:tabs>
              <w:spacing w:after="0" w:line="240" w:lineRule="auto"/>
              <w:jc w:val="center"/>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Assessed</w:t>
            </w:r>
          </w:p>
        </w:tc>
        <w:tc>
          <w:tcPr>
            <w:tcW w:w="2080" w:type="dxa"/>
            <w:gridSpan w:val="2"/>
            <w:tcBorders>
              <w:top w:val="single" w:sz="4" w:space="0" w:color="auto"/>
              <w:left w:val="nil"/>
              <w:bottom w:val="single" w:sz="4" w:space="0" w:color="auto"/>
              <w:right w:val="nil"/>
            </w:tcBorders>
            <w:shd w:val="clear" w:color="auto" w:fill="auto"/>
            <w:noWrap/>
            <w:vAlign w:val="center"/>
            <w:hideMark/>
          </w:tcPr>
          <w:p w14:paraId="5BB7AB25" w14:textId="77777777" w:rsidR="009644A2" w:rsidRPr="009644A2" w:rsidRDefault="009644A2" w:rsidP="009644A2">
            <w:pPr>
              <w:tabs>
                <w:tab w:val="clear" w:pos="567"/>
              </w:tabs>
              <w:spacing w:after="0" w:line="240" w:lineRule="auto"/>
              <w:jc w:val="center"/>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Actual</w:t>
            </w:r>
          </w:p>
        </w:tc>
      </w:tr>
      <w:tr w:rsidR="009644A2" w:rsidRPr="009644A2" w14:paraId="799DB264" w14:textId="77777777" w:rsidTr="009644A2">
        <w:trPr>
          <w:trHeight w:val="259"/>
        </w:trPr>
        <w:tc>
          <w:tcPr>
            <w:tcW w:w="3820" w:type="dxa"/>
            <w:tcBorders>
              <w:top w:val="nil"/>
              <w:left w:val="nil"/>
              <w:bottom w:val="nil"/>
              <w:right w:val="nil"/>
            </w:tcBorders>
            <w:shd w:val="clear" w:color="auto" w:fill="auto"/>
            <w:noWrap/>
            <w:vAlign w:val="bottom"/>
            <w:hideMark/>
          </w:tcPr>
          <w:p w14:paraId="5DCB293B" w14:textId="77777777" w:rsidR="009644A2" w:rsidRPr="009644A2" w:rsidRDefault="009644A2" w:rsidP="009644A2">
            <w:pPr>
              <w:tabs>
                <w:tab w:val="clear" w:pos="567"/>
              </w:tabs>
              <w:spacing w:after="0" w:line="240" w:lineRule="auto"/>
              <w:jc w:val="center"/>
              <w:rPr>
                <w:rFonts w:ascii="Calibri" w:eastAsia="Times New Roman" w:hAnsi="Calibri" w:cs="Calibri"/>
                <w:sz w:val="20"/>
                <w:szCs w:val="20"/>
                <w:lang w:eastAsia="en-AU"/>
              </w:rPr>
            </w:pPr>
          </w:p>
        </w:tc>
        <w:tc>
          <w:tcPr>
            <w:tcW w:w="960" w:type="dxa"/>
            <w:tcBorders>
              <w:top w:val="nil"/>
              <w:left w:val="nil"/>
              <w:bottom w:val="nil"/>
              <w:right w:val="single" w:sz="4" w:space="0" w:color="auto"/>
            </w:tcBorders>
            <w:shd w:val="clear" w:color="auto" w:fill="auto"/>
            <w:vAlign w:val="center"/>
            <w:hideMark/>
          </w:tcPr>
          <w:p w14:paraId="55F9A9D4"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$pc</w:t>
            </w:r>
          </w:p>
        </w:tc>
        <w:tc>
          <w:tcPr>
            <w:tcW w:w="900" w:type="dxa"/>
            <w:tcBorders>
              <w:top w:val="nil"/>
              <w:left w:val="nil"/>
              <w:bottom w:val="nil"/>
              <w:right w:val="nil"/>
            </w:tcBorders>
            <w:shd w:val="clear" w:color="auto" w:fill="auto"/>
            <w:vAlign w:val="center"/>
            <w:hideMark/>
          </w:tcPr>
          <w:p w14:paraId="65F50B58"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$pc</w:t>
            </w:r>
          </w:p>
        </w:tc>
        <w:tc>
          <w:tcPr>
            <w:tcW w:w="1180" w:type="dxa"/>
            <w:tcBorders>
              <w:top w:val="nil"/>
              <w:left w:val="nil"/>
              <w:bottom w:val="nil"/>
              <w:right w:val="nil"/>
            </w:tcBorders>
            <w:shd w:val="clear" w:color="auto" w:fill="auto"/>
            <w:vAlign w:val="center"/>
            <w:hideMark/>
          </w:tcPr>
          <w:p w14:paraId="04C12D4D"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w:t>
            </w:r>
          </w:p>
        </w:tc>
        <w:tc>
          <w:tcPr>
            <w:tcW w:w="900" w:type="dxa"/>
            <w:tcBorders>
              <w:top w:val="nil"/>
              <w:left w:val="nil"/>
              <w:bottom w:val="nil"/>
              <w:right w:val="nil"/>
            </w:tcBorders>
            <w:shd w:val="clear" w:color="auto" w:fill="auto"/>
            <w:vAlign w:val="center"/>
            <w:hideMark/>
          </w:tcPr>
          <w:p w14:paraId="01F39FE5"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$pc</w:t>
            </w:r>
          </w:p>
        </w:tc>
        <w:tc>
          <w:tcPr>
            <w:tcW w:w="1180" w:type="dxa"/>
            <w:tcBorders>
              <w:top w:val="nil"/>
              <w:left w:val="nil"/>
              <w:bottom w:val="nil"/>
              <w:right w:val="nil"/>
            </w:tcBorders>
            <w:shd w:val="clear" w:color="auto" w:fill="auto"/>
            <w:vAlign w:val="center"/>
            <w:hideMark/>
          </w:tcPr>
          <w:p w14:paraId="7A49BB27"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w:t>
            </w:r>
          </w:p>
        </w:tc>
      </w:tr>
      <w:tr w:rsidR="009644A2" w:rsidRPr="009644A2" w14:paraId="340B690E" w14:textId="77777777" w:rsidTr="009644A2">
        <w:trPr>
          <w:trHeight w:val="315"/>
        </w:trPr>
        <w:tc>
          <w:tcPr>
            <w:tcW w:w="3820" w:type="dxa"/>
            <w:tcBorders>
              <w:top w:val="nil"/>
              <w:left w:val="nil"/>
              <w:bottom w:val="nil"/>
              <w:right w:val="nil"/>
            </w:tcBorders>
            <w:shd w:val="clear" w:color="auto" w:fill="auto"/>
            <w:noWrap/>
            <w:vAlign w:val="bottom"/>
            <w:hideMark/>
          </w:tcPr>
          <w:p w14:paraId="31D19466"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General Administration</w:t>
            </w:r>
          </w:p>
        </w:tc>
        <w:tc>
          <w:tcPr>
            <w:tcW w:w="960" w:type="dxa"/>
            <w:tcBorders>
              <w:top w:val="nil"/>
              <w:left w:val="nil"/>
              <w:bottom w:val="nil"/>
              <w:right w:val="single" w:sz="4" w:space="0" w:color="auto"/>
            </w:tcBorders>
            <w:shd w:val="clear" w:color="auto" w:fill="auto"/>
            <w:vAlign w:val="center"/>
            <w:hideMark/>
          </w:tcPr>
          <w:p w14:paraId="5036E073"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270</w:t>
            </w:r>
          </w:p>
        </w:tc>
        <w:tc>
          <w:tcPr>
            <w:tcW w:w="900" w:type="dxa"/>
            <w:tcBorders>
              <w:top w:val="nil"/>
              <w:left w:val="nil"/>
              <w:bottom w:val="nil"/>
              <w:right w:val="nil"/>
            </w:tcBorders>
            <w:shd w:val="clear" w:color="auto" w:fill="auto"/>
            <w:vAlign w:val="center"/>
            <w:hideMark/>
          </w:tcPr>
          <w:p w14:paraId="644D7BFC"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813</w:t>
            </w:r>
          </w:p>
        </w:tc>
        <w:tc>
          <w:tcPr>
            <w:tcW w:w="1180" w:type="dxa"/>
            <w:tcBorders>
              <w:top w:val="nil"/>
              <w:left w:val="nil"/>
              <w:bottom w:val="nil"/>
              <w:right w:val="nil"/>
            </w:tcBorders>
            <w:shd w:val="clear" w:color="auto" w:fill="auto"/>
            <w:vAlign w:val="center"/>
            <w:hideMark/>
          </w:tcPr>
          <w:p w14:paraId="0B9A5515"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1 428 480</w:t>
            </w:r>
          </w:p>
        </w:tc>
        <w:tc>
          <w:tcPr>
            <w:tcW w:w="900" w:type="dxa"/>
            <w:tcBorders>
              <w:top w:val="nil"/>
              <w:left w:val="nil"/>
              <w:bottom w:val="nil"/>
              <w:right w:val="nil"/>
            </w:tcBorders>
            <w:shd w:val="clear" w:color="auto" w:fill="auto"/>
            <w:vAlign w:val="center"/>
            <w:hideMark/>
          </w:tcPr>
          <w:p w14:paraId="3ABEB4A3"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456</w:t>
            </w:r>
          </w:p>
        </w:tc>
        <w:tc>
          <w:tcPr>
            <w:tcW w:w="1180" w:type="dxa"/>
            <w:tcBorders>
              <w:top w:val="nil"/>
              <w:left w:val="nil"/>
              <w:bottom w:val="nil"/>
              <w:right w:val="nil"/>
            </w:tcBorders>
            <w:shd w:val="clear" w:color="auto" w:fill="auto"/>
            <w:vAlign w:val="center"/>
            <w:hideMark/>
          </w:tcPr>
          <w:p w14:paraId="412498EC"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800 209</w:t>
            </w:r>
          </w:p>
        </w:tc>
      </w:tr>
      <w:tr w:rsidR="009644A2" w:rsidRPr="009644A2" w14:paraId="787DCD06" w14:textId="77777777" w:rsidTr="009644A2">
        <w:trPr>
          <w:trHeight w:val="315"/>
        </w:trPr>
        <w:tc>
          <w:tcPr>
            <w:tcW w:w="3820" w:type="dxa"/>
            <w:tcBorders>
              <w:top w:val="nil"/>
              <w:left w:val="nil"/>
              <w:bottom w:val="nil"/>
              <w:right w:val="nil"/>
            </w:tcBorders>
            <w:shd w:val="clear" w:color="auto" w:fill="auto"/>
            <w:noWrap/>
            <w:vAlign w:val="bottom"/>
            <w:hideMark/>
          </w:tcPr>
          <w:p w14:paraId="34CA1754"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Health, housing and welfare</w:t>
            </w:r>
          </w:p>
        </w:tc>
        <w:tc>
          <w:tcPr>
            <w:tcW w:w="960" w:type="dxa"/>
            <w:tcBorders>
              <w:top w:val="nil"/>
              <w:left w:val="nil"/>
              <w:bottom w:val="nil"/>
              <w:right w:val="single" w:sz="4" w:space="0" w:color="auto"/>
            </w:tcBorders>
            <w:shd w:val="clear" w:color="auto" w:fill="auto"/>
            <w:vAlign w:val="center"/>
            <w:hideMark/>
          </w:tcPr>
          <w:p w14:paraId="47EDB1CE"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89</w:t>
            </w:r>
          </w:p>
        </w:tc>
        <w:tc>
          <w:tcPr>
            <w:tcW w:w="900" w:type="dxa"/>
            <w:tcBorders>
              <w:top w:val="nil"/>
              <w:left w:val="nil"/>
              <w:bottom w:val="nil"/>
              <w:right w:val="nil"/>
            </w:tcBorders>
            <w:shd w:val="clear" w:color="auto" w:fill="auto"/>
            <w:vAlign w:val="center"/>
            <w:hideMark/>
          </w:tcPr>
          <w:p w14:paraId="04CAFFD6"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122</w:t>
            </w:r>
          </w:p>
        </w:tc>
        <w:tc>
          <w:tcPr>
            <w:tcW w:w="1180" w:type="dxa"/>
            <w:tcBorders>
              <w:top w:val="nil"/>
              <w:left w:val="nil"/>
              <w:bottom w:val="nil"/>
              <w:right w:val="nil"/>
            </w:tcBorders>
            <w:shd w:val="clear" w:color="auto" w:fill="auto"/>
            <w:vAlign w:val="center"/>
            <w:hideMark/>
          </w:tcPr>
          <w:p w14:paraId="7AC5599B"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213 842</w:t>
            </w:r>
          </w:p>
        </w:tc>
        <w:tc>
          <w:tcPr>
            <w:tcW w:w="900" w:type="dxa"/>
            <w:tcBorders>
              <w:top w:val="nil"/>
              <w:left w:val="nil"/>
              <w:bottom w:val="nil"/>
              <w:right w:val="nil"/>
            </w:tcBorders>
            <w:shd w:val="clear" w:color="auto" w:fill="auto"/>
            <w:vAlign w:val="center"/>
            <w:hideMark/>
          </w:tcPr>
          <w:p w14:paraId="000B773D"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vAlign w:val="center"/>
            <w:hideMark/>
          </w:tcPr>
          <w:p w14:paraId="52EA103D"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0</w:t>
            </w:r>
          </w:p>
        </w:tc>
      </w:tr>
      <w:tr w:rsidR="009644A2" w:rsidRPr="009644A2" w14:paraId="7D0E34B7" w14:textId="77777777" w:rsidTr="009644A2">
        <w:trPr>
          <w:trHeight w:val="315"/>
        </w:trPr>
        <w:tc>
          <w:tcPr>
            <w:tcW w:w="3820" w:type="dxa"/>
            <w:tcBorders>
              <w:top w:val="nil"/>
              <w:left w:val="nil"/>
              <w:bottom w:val="nil"/>
              <w:right w:val="nil"/>
            </w:tcBorders>
            <w:shd w:val="clear" w:color="auto" w:fill="auto"/>
            <w:noWrap/>
            <w:vAlign w:val="bottom"/>
            <w:hideMark/>
          </w:tcPr>
          <w:p w14:paraId="0D2F56FE"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 xml:space="preserve">Law order and public safety </w:t>
            </w:r>
          </w:p>
        </w:tc>
        <w:tc>
          <w:tcPr>
            <w:tcW w:w="960" w:type="dxa"/>
            <w:tcBorders>
              <w:top w:val="nil"/>
              <w:left w:val="nil"/>
              <w:bottom w:val="nil"/>
              <w:right w:val="single" w:sz="4" w:space="0" w:color="auto"/>
            </w:tcBorders>
            <w:shd w:val="clear" w:color="auto" w:fill="auto"/>
            <w:vAlign w:val="center"/>
            <w:hideMark/>
          </w:tcPr>
          <w:p w14:paraId="6C2912D5"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37</w:t>
            </w:r>
          </w:p>
        </w:tc>
        <w:tc>
          <w:tcPr>
            <w:tcW w:w="900" w:type="dxa"/>
            <w:tcBorders>
              <w:top w:val="nil"/>
              <w:left w:val="nil"/>
              <w:bottom w:val="nil"/>
              <w:right w:val="nil"/>
            </w:tcBorders>
            <w:shd w:val="clear" w:color="auto" w:fill="auto"/>
            <w:vAlign w:val="center"/>
            <w:hideMark/>
          </w:tcPr>
          <w:p w14:paraId="7EC456EF"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51</w:t>
            </w:r>
          </w:p>
        </w:tc>
        <w:tc>
          <w:tcPr>
            <w:tcW w:w="1180" w:type="dxa"/>
            <w:tcBorders>
              <w:top w:val="nil"/>
              <w:left w:val="nil"/>
              <w:bottom w:val="nil"/>
              <w:right w:val="nil"/>
            </w:tcBorders>
            <w:shd w:val="clear" w:color="auto" w:fill="auto"/>
            <w:vAlign w:val="center"/>
            <w:hideMark/>
          </w:tcPr>
          <w:p w14:paraId="4D47FBD8"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89 060</w:t>
            </w:r>
          </w:p>
        </w:tc>
        <w:tc>
          <w:tcPr>
            <w:tcW w:w="900" w:type="dxa"/>
            <w:tcBorders>
              <w:top w:val="nil"/>
              <w:left w:val="nil"/>
              <w:bottom w:val="nil"/>
              <w:right w:val="nil"/>
            </w:tcBorders>
            <w:shd w:val="clear" w:color="auto" w:fill="auto"/>
            <w:vAlign w:val="center"/>
            <w:hideMark/>
          </w:tcPr>
          <w:p w14:paraId="5D957265"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vAlign w:val="center"/>
            <w:hideMark/>
          </w:tcPr>
          <w:p w14:paraId="4952803B"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0</w:t>
            </w:r>
          </w:p>
        </w:tc>
      </w:tr>
      <w:tr w:rsidR="009644A2" w:rsidRPr="009644A2" w14:paraId="59BE44C2" w14:textId="77777777" w:rsidTr="009644A2">
        <w:trPr>
          <w:trHeight w:val="315"/>
        </w:trPr>
        <w:tc>
          <w:tcPr>
            <w:tcW w:w="3820" w:type="dxa"/>
            <w:tcBorders>
              <w:top w:val="nil"/>
              <w:left w:val="nil"/>
              <w:bottom w:val="nil"/>
              <w:right w:val="nil"/>
            </w:tcBorders>
            <w:shd w:val="clear" w:color="auto" w:fill="auto"/>
            <w:noWrap/>
            <w:vAlign w:val="bottom"/>
            <w:hideMark/>
          </w:tcPr>
          <w:p w14:paraId="25095628"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Planning and community amenities</w:t>
            </w:r>
          </w:p>
        </w:tc>
        <w:tc>
          <w:tcPr>
            <w:tcW w:w="960" w:type="dxa"/>
            <w:tcBorders>
              <w:top w:val="nil"/>
              <w:left w:val="nil"/>
              <w:bottom w:val="nil"/>
              <w:right w:val="single" w:sz="4" w:space="0" w:color="auto"/>
            </w:tcBorders>
            <w:shd w:val="clear" w:color="auto" w:fill="auto"/>
            <w:vAlign w:val="center"/>
            <w:hideMark/>
          </w:tcPr>
          <w:p w14:paraId="723AF1CD"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128</w:t>
            </w:r>
          </w:p>
        </w:tc>
        <w:tc>
          <w:tcPr>
            <w:tcW w:w="900" w:type="dxa"/>
            <w:tcBorders>
              <w:top w:val="nil"/>
              <w:left w:val="nil"/>
              <w:bottom w:val="nil"/>
              <w:right w:val="nil"/>
            </w:tcBorders>
            <w:shd w:val="clear" w:color="auto" w:fill="auto"/>
            <w:vAlign w:val="center"/>
            <w:hideMark/>
          </w:tcPr>
          <w:p w14:paraId="5A5B4B4B"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175</w:t>
            </w:r>
          </w:p>
        </w:tc>
        <w:tc>
          <w:tcPr>
            <w:tcW w:w="1180" w:type="dxa"/>
            <w:tcBorders>
              <w:top w:val="nil"/>
              <w:left w:val="nil"/>
              <w:bottom w:val="nil"/>
              <w:right w:val="nil"/>
            </w:tcBorders>
            <w:shd w:val="clear" w:color="auto" w:fill="auto"/>
            <w:vAlign w:val="center"/>
            <w:hideMark/>
          </w:tcPr>
          <w:p w14:paraId="7B6465F7"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307 823</w:t>
            </w:r>
          </w:p>
        </w:tc>
        <w:tc>
          <w:tcPr>
            <w:tcW w:w="900" w:type="dxa"/>
            <w:tcBorders>
              <w:top w:val="nil"/>
              <w:left w:val="nil"/>
              <w:bottom w:val="nil"/>
              <w:right w:val="nil"/>
            </w:tcBorders>
            <w:shd w:val="clear" w:color="auto" w:fill="auto"/>
            <w:vAlign w:val="center"/>
            <w:hideMark/>
          </w:tcPr>
          <w:p w14:paraId="55A8C03F"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525</w:t>
            </w:r>
          </w:p>
        </w:tc>
        <w:tc>
          <w:tcPr>
            <w:tcW w:w="1180" w:type="dxa"/>
            <w:tcBorders>
              <w:top w:val="nil"/>
              <w:left w:val="nil"/>
              <w:bottom w:val="nil"/>
              <w:right w:val="nil"/>
            </w:tcBorders>
            <w:shd w:val="clear" w:color="auto" w:fill="auto"/>
            <w:vAlign w:val="center"/>
            <w:hideMark/>
          </w:tcPr>
          <w:p w14:paraId="45E4131E"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921 736</w:t>
            </w:r>
          </w:p>
        </w:tc>
      </w:tr>
      <w:tr w:rsidR="009644A2" w:rsidRPr="009644A2" w14:paraId="115DD0B1" w14:textId="77777777" w:rsidTr="009644A2">
        <w:trPr>
          <w:trHeight w:val="315"/>
        </w:trPr>
        <w:tc>
          <w:tcPr>
            <w:tcW w:w="3820" w:type="dxa"/>
            <w:tcBorders>
              <w:top w:val="nil"/>
              <w:left w:val="nil"/>
              <w:bottom w:val="nil"/>
              <w:right w:val="nil"/>
            </w:tcBorders>
            <w:shd w:val="clear" w:color="auto" w:fill="auto"/>
            <w:noWrap/>
            <w:vAlign w:val="bottom"/>
            <w:hideMark/>
          </w:tcPr>
          <w:p w14:paraId="73609EAA"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 xml:space="preserve">Environmental protection </w:t>
            </w:r>
          </w:p>
        </w:tc>
        <w:tc>
          <w:tcPr>
            <w:tcW w:w="960" w:type="dxa"/>
            <w:tcBorders>
              <w:top w:val="nil"/>
              <w:left w:val="nil"/>
              <w:bottom w:val="nil"/>
              <w:right w:val="single" w:sz="4" w:space="0" w:color="auto"/>
            </w:tcBorders>
            <w:shd w:val="clear" w:color="auto" w:fill="auto"/>
            <w:vAlign w:val="center"/>
            <w:hideMark/>
          </w:tcPr>
          <w:p w14:paraId="5CB3D7F1"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183</w:t>
            </w:r>
          </w:p>
        </w:tc>
        <w:tc>
          <w:tcPr>
            <w:tcW w:w="900" w:type="dxa"/>
            <w:tcBorders>
              <w:top w:val="nil"/>
              <w:left w:val="nil"/>
              <w:bottom w:val="nil"/>
              <w:right w:val="nil"/>
            </w:tcBorders>
            <w:shd w:val="clear" w:color="auto" w:fill="auto"/>
            <w:vAlign w:val="center"/>
            <w:hideMark/>
          </w:tcPr>
          <w:p w14:paraId="7A701FE0"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364</w:t>
            </w:r>
          </w:p>
        </w:tc>
        <w:tc>
          <w:tcPr>
            <w:tcW w:w="1180" w:type="dxa"/>
            <w:tcBorders>
              <w:top w:val="nil"/>
              <w:left w:val="nil"/>
              <w:bottom w:val="nil"/>
              <w:right w:val="nil"/>
            </w:tcBorders>
            <w:shd w:val="clear" w:color="auto" w:fill="auto"/>
            <w:vAlign w:val="center"/>
            <w:hideMark/>
          </w:tcPr>
          <w:p w14:paraId="3A83C0B9"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639 592</w:t>
            </w:r>
          </w:p>
        </w:tc>
        <w:tc>
          <w:tcPr>
            <w:tcW w:w="900" w:type="dxa"/>
            <w:tcBorders>
              <w:top w:val="nil"/>
              <w:left w:val="nil"/>
              <w:bottom w:val="nil"/>
              <w:right w:val="nil"/>
            </w:tcBorders>
            <w:shd w:val="clear" w:color="auto" w:fill="auto"/>
            <w:vAlign w:val="center"/>
            <w:hideMark/>
          </w:tcPr>
          <w:p w14:paraId="6B8545DB"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529</w:t>
            </w:r>
          </w:p>
        </w:tc>
        <w:tc>
          <w:tcPr>
            <w:tcW w:w="1180" w:type="dxa"/>
            <w:tcBorders>
              <w:top w:val="nil"/>
              <w:left w:val="nil"/>
              <w:bottom w:val="nil"/>
              <w:right w:val="nil"/>
            </w:tcBorders>
            <w:shd w:val="clear" w:color="auto" w:fill="auto"/>
            <w:vAlign w:val="center"/>
            <w:hideMark/>
          </w:tcPr>
          <w:p w14:paraId="72D5DBCA"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929 210</w:t>
            </w:r>
          </w:p>
        </w:tc>
      </w:tr>
      <w:tr w:rsidR="009644A2" w:rsidRPr="009644A2" w14:paraId="482287DD" w14:textId="77777777" w:rsidTr="009644A2">
        <w:trPr>
          <w:trHeight w:val="315"/>
        </w:trPr>
        <w:tc>
          <w:tcPr>
            <w:tcW w:w="3820" w:type="dxa"/>
            <w:tcBorders>
              <w:top w:val="nil"/>
              <w:left w:val="nil"/>
              <w:bottom w:val="nil"/>
              <w:right w:val="nil"/>
            </w:tcBorders>
            <w:shd w:val="clear" w:color="auto" w:fill="auto"/>
            <w:noWrap/>
            <w:vAlign w:val="bottom"/>
            <w:hideMark/>
          </w:tcPr>
          <w:p w14:paraId="571BD6F6"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Recreation and culture</w:t>
            </w:r>
          </w:p>
        </w:tc>
        <w:tc>
          <w:tcPr>
            <w:tcW w:w="960" w:type="dxa"/>
            <w:tcBorders>
              <w:top w:val="nil"/>
              <w:left w:val="nil"/>
              <w:bottom w:val="nil"/>
              <w:right w:val="single" w:sz="4" w:space="0" w:color="auto"/>
            </w:tcBorders>
            <w:shd w:val="clear" w:color="auto" w:fill="auto"/>
            <w:vAlign w:val="center"/>
            <w:hideMark/>
          </w:tcPr>
          <w:p w14:paraId="62129234"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206</w:t>
            </w:r>
          </w:p>
        </w:tc>
        <w:tc>
          <w:tcPr>
            <w:tcW w:w="900" w:type="dxa"/>
            <w:tcBorders>
              <w:top w:val="nil"/>
              <w:left w:val="nil"/>
              <w:bottom w:val="nil"/>
              <w:right w:val="nil"/>
            </w:tcBorders>
            <w:shd w:val="clear" w:color="auto" w:fill="auto"/>
            <w:vAlign w:val="center"/>
            <w:hideMark/>
          </w:tcPr>
          <w:p w14:paraId="7D7FB1E0"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314</w:t>
            </w:r>
          </w:p>
        </w:tc>
        <w:tc>
          <w:tcPr>
            <w:tcW w:w="1180" w:type="dxa"/>
            <w:tcBorders>
              <w:top w:val="nil"/>
              <w:left w:val="nil"/>
              <w:bottom w:val="nil"/>
              <w:right w:val="nil"/>
            </w:tcBorders>
            <w:shd w:val="clear" w:color="auto" w:fill="auto"/>
            <w:vAlign w:val="center"/>
            <w:hideMark/>
          </w:tcPr>
          <w:p w14:paraId="26D7C82D"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550 984</w:t>
            </w:r>
          </w:p>
        </w:tc>
        <w:tc>
          <w:tcPr>
            <w:tcW w:w="900" w:type="dxa"/>
            <w:tcBorders>
              <w:top w:val="nil"/>
              <w:left w:val="nil"/>
              <w:bottom w:val="nil"/>
              <w:right w:val="nil"/>
            </w:tcBorders>
            <w:shd w:val="clear" w:color="auto" w:fill="auto"/>
            <w:vAlign w:val="center"/>
            <w:hideMark/>
          </w:tcPr>
          <w:p w14:paraId="3F272C1B"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vAlign w:val="center"/>
            <w:hideMark/>
          </w:tcPr>
          <w:p w14:paraId="5CD3E5C4"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0</w:t>
            </w:r>
          </w:p>
        </w:tc>
      </w:tr>
      <w:tr w:rsidR="009644A2" w:rsidRPr="009644A2" w14:paraId="64FED3F1" w14:textId="77777777" w:rsidTr="009644A2">
        <w:trPr>
          <w:trHeight w:val="315"/>
        </w:trPr>
        <w:tc>
          <w:tcPr>
            <w:tcW w:w="3820" w:type="dxa"/>
            <w:tcBorders>
              <w:top w:val="nil"/>
              <w:left w:val="nil"/>
              <w:bottom w:val="nil"/>
              <w:right w:val="nil"/>
            </w:tcBorders>
            <w:shd w:val="clear" w:color="auto" w:fill="auto"/>
            <w:noWrap/>
            <w:vAlign w:val="bottom"/>
            <w:hideMark/>
          </w:tcPr>
          <w:p w14:paraId="6FC30632"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Tourism</w:t>
            </w:r>
          </w:p>
        </w:tc>
        <w:tc>
          <w:tcPr>
            <w:tcW w:w="960" w:type="dxa"/>
            <w:tcBorders>
              <w:top w:val="nil"/>
              <w:left w:val="nil"/>
              <w:bottom w:val="nil"/>
              <w:right w:val="single" w:sz="4" w:space="0" w:color="auto"/>
            </w:tcBorders>
            <w:shd w:val="clear" w:color="auto" w:fill="auto"/>
            <w:vAlign w:val="center"/>
            <w:hideMark/>
          </w:tcPr>
          <w:p w14:paraId="27D18EFF"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19</w:t>
            </w:r>
          </w:p>
        </w:tc>
        <w:tc>
          <w:tcPr>
            <w:tcW w:w="900" w:type="dxa"/>
            <w:tcBorders>
              <w:top w:val="nil"/>
              <w:left w:val="nil"/>
              <w:bottom w:val="nil"/>
              <w:right w:val="nil"/>
            </w:tcBorders>
            <w:shd w:val="clear" w:color="auto" w:fill="auto"/>
            <w:vAlign w:val="center"/>
            <w:hideMark/>
          </w:tcPr>
          <w:p w14:paraId="2D679698"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230</w:t>
            </w:r>
          </w:p>
        </w:tc>
        <w:tc>
          <w:tcPr>
            <w:tcW w:w="1180" w:type="dxa"/>
            <w:tcBorders>
              <w:top w:val="nil"/>
              <w:left w:val="nil"/>
              <w:bottom w:val="nil"/>
              <w:right w:val="nil"/>
            </w:tcBorders>
            <w:shd w:val="clear" w:color="auto" w:fill="auto"/>
            <w:vAlign w:val="center"/>
            <w:hideMark/>
          </w:tcPr>
          <w:p w14:paraId="7A090368"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403 376</w:t>
            </w:r>
          </w:p>
        </w:tc>
        <w:tc>
          <w:tcPr>
            <w:tcW w:w="900" w:type="dxa"/>
            <w:tcBorders>
              <w:top w:val="nil"/>
              <w:left w:val="nil"/>
              <w:bottom w:val="nil"/>
              <w:right w:val="nil"/>
            </w:tcBorders>
            <w:shd w:val="clear" w:color="auto" w:fill="auto"/>
            <w:vAlign w:val="center"/>
            <w:hideMark/>
          </w:tcPr>
          <w:p w14:paraId="46D4A3D8"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283</w:t>
            </w:r>
          </w:p>
        </w:tc>
        <w:tc>
          <w:tcPr>
            <w:tcW w:w="1180" w:type="dxa"/>
            <w:tcBorders>
              <w:top w:val="nil"/>
              <w:left w:val="nil"/>
              <w:bottom w:val="nil"/>
              <w:right w:val="nil"/>
            </w:tcBorders>
            <w:shd w:val="clear" w:color="auto" w:fill="auto"/>
            <w:vAlign w:val="center"/>
            <w:hideMark/>
          </w:tcPr>
          <w:p w14:paraId="669E6112"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497 613</w:t>
            </w:r>
          </w:p>
        </w:tc>
      </w:tr>
      <w:tr w:rsidR="009644A2" w:rsidRPr="009644A2" w14:paraId="541DDF85" w14:textId="77777777" w:rsidTr="009644A2">
        <w:trPr>
          <w:trHeight w:val="315"/>
        </w:trPr>
        <w:tc>
          <w:tcPr>
            <w:tcW w:w="3820" w:type="dxa"/>
            <w:tcBorders>
              <w:top w:val="nil"/>
              <w:left w:val="nil"/>
              <w:bottom w:val="nil"/>
              <w:right w:val="nil"/>
            </w:tcBorders>
            <w:shd w:val="clear" w:color="auto" w:fill="auto"/>
            <w:noWrap/>
            <w:vAlign w:val="bottom"/>
            <w:hideMark/>
          </w:tcPr>
          <w:p w14:paraId="1F15ADAD"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Roads and bridges</w:t>
            </w:r>
          </w:p>
        </w:tc>
        <w:tc>
          <w:tcPr>
            <w:tcW w:w="960" w:type="dxa"/>
            <w:tcBorders>
              <w:top w:val="nil"/>
              <w:left w:val="nil"/>
              <w:bottom w:val="nil"/>
              <w:right w:val="single" w:sz="4" w:space="0" w:color="auto"/>
            </w:tcBorders>
            <w:shd w:val="clear" w:color="auto" w:fill="auto"/>
            <w:vAlign w:val="center"/>
            <w:hideMark/>
          </w:tcPr>
          <w:p w14:paraId="1DB4999F"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169</w:t>
            </w:r>
          </w:p>
        </w:tc>
        <w:tc>
          <w:tcPr>
            <w:tcW w:w="900" w:type="dxa"/>
            <w:tcBorders>
              <w:top w:val="nil"/>
              <w:left w:val="nil"/>
              <w:bottom w:val="nil"/>
              <w:right w:val="nil"/>
            </w:tcBorders>
            <w:shd w:val="clear" w:color="auto" w:fill="auto"/>
            <w:vAlign w:val="center"/>
            <w:hideMark/>
          </w:tcPr>
          <w:p w14:paraId="34761F16"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382</w:t>
            </w:r>
          </w:p>
        </w:tc>
        <w:tc>
          <w:tcPr>
            <w:tcW w:w="1180" w:type="dxa"/>
            <w:tcBorders>
              <w:top w:val="nil"/>
              <w:left w:val="nil"/>
              <w:bottom w:val="nil"/>
              <w:right w:val="nil"/>
            </w:tcBorders>
            <w:shd w:val="clear" w:color="auto" w:fill="auto"/>
            <w:vAlign w:val="center"/>
            <w:hideMark/>
          </w:tcPr>
          <w:p w14:paraId="32935CEB"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670 027</w:t>
            </w:r>
          </w:p>
        </w:tc>
        <w:tc>
          <w:tcPr>
            <w:tcW w:w="900" w:type="dxa"/>
            <w:tcBorders>
              <w:top w:val="nil"/>
              <w:left w:val="nil"/>
              <w:bottom w:val="nil"/>
              <w:right w:val="nil"/>
            </w:tcBorders>
            <w:shd w:val="clear" w:color="auto" w:fill="auto"/>
            <w:vAlign w:val="center"/>
            <w:hideMark/>
          </w:tcPr>
          <w:p w14:paraId="5A60799D"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802</w:t>
            </w:r>
          </w:p>
        </w:tc>
        <w:tc>
          <w:tcPr>
            <w:tcW w:w="1180" w:type="dxa"/>
            <w:tcBorders>
              <w:top w:val="nil"/>
              <w:left w:val="nil"/>
              <w:bottom w:val="nil"/>
              <w:right w:val="nil"/>
            </w:tcBorders>
            <w:shd w:val="clear" w:color="auto" w:fill="auto"/>
            <w:vAlign w:val="center"/>
            <w:hideMark/>
          </w:tcPr>
          <w:p w14:paraId="4226587F"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1 408 135</w:t>
            </w:r>
          </w:p>
        </w:tc>
      </w:tr>
      <w:tr w:rsidR="009644A2" w:rsidRPr="009644A2" w14:paraId="302F3139" w14:textId="77777777" w:rsidTr="009644A2">
        <w:trPr>
          <w:trHeight w:val="315"/>
        </w:trPr>
        <w:tc>
          <w:tcPr>
            <w:tcW w:w="3820" w:type="dxa"/>
            <w:tcBorders>
              <w:top w:val="nil"/>
              <w:left w:val="nil"/>
              <w:bottom w:val="nil"/>
              <w:right w:val="nil"/>
            </w:tcBorders>
            <w:shd w:val="clear" w:color="auto" w:fill="auto"/>
            <w:noWrap/>
            <w:vAlign w:val="bottom"/>
            <w:hideMark/>
          </w:tcPr>
          <w:p w14:paraId="1914D3ED"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Depreciation - Roads and bridges</w:t>
            </w:r>
          </w:p>
        </w:tc>
        <w:tc>
          <w:tcPr>
            <w:tcW w:w="960" w:type="dxa"/>
            <w:tcBorders>
              <w:top w:val="nil"/>
              <w:left w:val="nil"/>
              <w:bottom w:val="nil"/>
              <w:right w:val="single" w:sz="4" w:space="0" w:color="auto"/>
            </w:tcBorders>
            <w:shd w:val="clear" w:color="auto" w:fill="auto"/>
            <w:noWrap/>
            <w:vAlign w:val="bottom"/>
            <w:hideMark/>
          </w:tcPr>
          <w:p w14:paraId="4F12E012"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141</w:t>
            </w:r>
          </w:p>
        </w:tc>
        <w:tc>
          <w:tcPr>
            <w:tcW w:w="900" w:type="dxa"/>
            <w:tcBorders>
              <w:top w:val="nil"/>
              <w:left w:val="nil"/>
              <w:bottom w:val="nil"/>
              <w:right w:val="nil"/>
            </w:tcBorders>
            <w:shd w:val="clear" w:color="auto" w:fill="auto"/>
            <w:noWrap/>
            <w:vAlign w:val="bottom"/>
            <w:hideMark/>
          </w:tcPr>
          <w:p w14:paraId="222AFC7D"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394</w:t>
            </w:r>
          </w:p>
        </w:tc>
        <w:tc>
          <w:tcPr>
            <w:tcW w:w="1180" w:type="dxa"/>
            <w:tcBorders>
              <w:top w:val="nil"/>
              <w:left w:val="nil"/>
              <w:bottom w:val="nil"/>
              <w:right w:val="nil"/>
            </w:tcBorders>
            <w:shd w:val="clear" w:color="auto" w:fill="auto"/>
            <w:noWrap/>
            <w:vAlign w:val="bottom"/>
            <w:hideMark/>
          </w:tcPr>
          <w:p w14:paraId="66251B1A"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692 001</w:t>
            </w:r>
          </w:p>
        </w:tc>
        <w:tc>
          <w:tcPr>
            <w:tcW w:w="900" w:type="dxa"/>
            <w:tcBorders>
              <w:top w:val="nil"/>
              <w:left w:val="nil"/>
              <w:bottom w:val="nil"/>
              <w:right w:val="nil"/>
            </w:tcBorders>
            <w:shd w:val="clear" w:color="auto" w:fill="auto"/>
            <w:noWrap/>
            <w:vAlign w:val="bottom"/>
            <w:hideMark/>
          </w:tcPr>
          <w:p w14:paraId="388DB087"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523</w:t>
            </w:r>
          </w:p>
        </w:tc>
        <w:tc>
          <w:tcPr>
            <w:tcW w:w="1180" w:type="dxa"/>
            <w:tcBorders>
              <w:top w:val="nil"/>
              <w:left w:val="nil"/>
              <w:bottom w:val="nil"/>
              <w:right w:val="nil"/>
            </w:tcBorders>
            <w:shd w:val="clear" w:color="auto" w:fill="auto"/>
            <w:noWrap/>
            <w:vAlign w:val="bottom"/>
            <w:hideMark/>
          </w:tcPr>
          <w:p w14:paraId="2EB9FD17"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918 433</w:t>
            </w:r>
          </w:p>
        </w:tc>
      </w:tr>
      <w:tr w:rsidR="009644A2" w:rsidRPr="009644A2" w14:paraId="6FFB2B95" w14:textId="77777777" w:rsidTr="009644A2">
        <w:trPr>
          <w:trHeight w:val="315"/>
        </w:trPr>
        <w:tc>
          <w:tcPr>
            <w:tcW w:w="3820" w:type="dxa"/>
            <w:tcBorders>
              <w:top w:val="nil"/>
              <w:left w:val="nil"/>
              <w:bottom w:val="nil"/>
              <w:right w:val="nil"/>
            </w:tcBorders>
            <w:shd w:val="clear" w:color="auto" w:fill="auto"/>
            <w:noWrap/>
            <w:vAlign w:val="bottom"/>
            <w:hideMark/>
          </w:tcPr>
          <w:p w14:paraId="1D8037B1"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Depreciation - Other assets</w:t>
            </w:r>
          </w:p>
        </w:tc>
        <w:tc>
          <w:tcPr>
            <w:tcW w:w="960" w:type="dxa"/>
            <w:tcBorders>
              <w:top w:val="nil"/>
              <w:left w:val="nil"/>
              <w:bottom w:val="nil"/>
              <w:right w:val="single" w:sz="4" w:space="0" w:color="auto"/>
            </w:tcBorders>
            <w:shd w:val="clear" w:color="auto" w:fill="auto"/>
            <w:noWrap/>
            <w:vAlign w:val="bottom"/>
            <w:hideMark/>
          </w:tcPr>
          <w:p w14:paraId="5AE54EED"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183</w:t>
            </w:r>
          </w:p>
        </w:tc>
        <w:tc>
          <w:tcPr>
            <w:tcW w:w="900" w:type="dxa"/>
            <w:tcBorders>
              <w:top w:val="nil"/>
              <w:left w:val="nil"/>
              <w:bottom w:val="nil"/>
              <w:right w:val="nil"/>
            </w:tcBorders>
            <w:shd w:val="clear" w:color="auto" w:fill="auto"/>
            <w:noWrap/>
            <w:vAlign w:val="bottom"/>
            <w:hideMark/>
          </w:tcPr>
          <w:p w14:paraId="2A11BAD5"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231</w:t>
            </w:r>
          </w:p>
        </w:tc>
        <w:tc>
          <w:tcPr>
            <w:tcW w:w="1180" w:type="dxa"/>
            <w:tcBorders>
              <w:top w:val="nil"/>
              <w:left w:val="nil"/>
              <w:bottom w:val="nil"/>
              <w:right w:val="nil"/>
            </w:tcBorders>
            <w:shd w:val="clear" w:color="auto" w:fill="auto"/>
            <w:noWrap/>
            <w:vAlign w:val="bottom"/>
            <w:hideMark/>
          </w:tcPr>
          <w:p w14:paraId="053943F7"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406 194</w:t>
            </w:r>
          </w:p>
        </w:tc>
        <w:tc>
          <w:tcPr>
            <w:tcW w:w="900" w:type="dxa"/>
            <w:tcBorders>
              <w:top w:val="nil"/>
              <w:left w:val="nil"/>
              <w:bottom w:val="nil"/>
              <w:right w:val="nil"/>
            </w:tcBorders>
            <w:shd w:val="clear" w:color="auto" w:fill="auto"/>
            <w:noWrap/>
            <w:vAlign w:val="bottom"/>
            <w:hideMark/>
          </w:tcPr>
          <w:p w14:paraId="00F11242"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407</w:t>
            </w:r>
          </w:p>
        </w:tc>
        <w:tc>
          <w:tcPr>
            <w:tcW w:w="1180" w:type="dxa"/>
            <w:tcBorders>
              <w:top w:val="nil"/>
              <w:left w:val="nil"/>
              <w:bottom w:val="nil"/>
              <w:right w:val="nil"/>
            </w:tcBorders>
            <w:shd w:val="clear" w:color="auto" w:fill="auto"/>
            <w:noWrap/>
            <w:vAlign w:val="bottom"/>
            <w:hideMark/>
          </w:tcPr>
          <w:p w14:paraId="3B5611F1"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714 157</w:t>
            </w:r>
          </w:p>
        </w:tc>
      </w:tr>
      <w:tr w:rsidR="009644A2" w:rsidRPr="009644A2" w14:paraId="3D72F8C4" w14:textId="77777777" w:rsidTr="009644A2">
        <w:trPr>
          <w:trHeight w:val="315"/>
        </w:trPr>
        <w:tc>
          <w:tcPr>
            <w:tcW w:w="3820" w:type="dxa"/>
            <w:tcBorders>
              <w:top w:val="nil"/>
              <w:left w:val="nil"/>
              <w:bottom w:val="nil"/>
              <w:right w:val="nil"/>
            </w:tcBorders>
            <w:shd w:val="clear" w:color="auto" w:fill="auto"/>
            <w:noWrap/>
            <w:vAlign w:val="bottom"/>
            <w:hideMark/>
          </w:tcPr>
          <w:p w14:paraId="11C3E10D"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Debt charges</w:t>
            </w:r>
          </w:p>
        </w:tc>
        <w:tc>
          <w:tcPr>
            <w:tcW w:w="960" w:type="dxa"/>
            <w:tcBorders>
              <w:top w:val="nil"/>
              <w:left w:val="nil"/>
              <w:bottom w:val="nil"/>
              <w:right w:val="single" w:sz="4" w:space="0" w:color="auto"/>
            </w:tcBorders>
            <w:shd w:val="clear" w:color="auto" w:fill="auto"/>
            <w:noWrap/>
            <w:vAlign w:val="bottom"/>
            <w:hideMark/>
          </w:tcPr>
          <w:p w14:paraId="229D752F"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25</w:t>
            </w:r>
          </w:p>
        </w:tc>
        <w:tc>
          <w:tcPr>
            <w:tcW w:w="900" w:type="dxa"/>
            <w:tcBorders>
              <w:top w:val="nil"/>
              <w:left w:val="nil"/>
              <w:bottom w:val="nil"/>
              <w:right w:val="nil"/>
            </w:tcBorders>
            <w:shd w:val="clear" w:color="auto" w:fill="auto"/>
            <w:noWrap/>
            <w:vAlign w:val="bottom"/>
            <w:hideMark/>
          </w:tcPr>
          <w:p w14:paraId="0DA54E2A"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noWrap/>
            <w:vAlign w:val="bottom"/>
            <w:hideMark/>
          </w:tcPr>
          <w:p w14:paraId="19B45CAE"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0</w:t>
            </w:r>
          </w:p>
        </w:tc>
        <w:tc>
          <w:tcPr>
            <w:tcW w:w="900" w:type="dxa"/>
            <w:tcBorders>
              <w:top w:val="nil"/>
              <w:left w:val="nil"/>
              <w:bottom w:val="nil"/>
              <w:right w:val="nil"/>
            </w:tcBorders>
            <w:shd w:val="clear" w:color="auto" w:fill="auto"/>
            <w:noWrap/>
            <w:vAlign w:val="bottom"/>
            <w:hideMark/>
          </w:tcPr>
          <w:p w14:paraId="37543443"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0</w:t>
            </w:r>
          </w:p>
        </w:tc>
        <w:tc>
          <w:tcPr>
            <w:tcW w:w="1180" w:type="dxa"/>
            <w:tcBorders>
              <w:top w:val="nil"/>
              <w:left w:val="nil"/>
              <w:bottom w:val="nil"/>
              <w:right w:val="nil"/>
            </w:tcBorders>
            <w:shd w:val="clear" w:color="auto" w:fill="auto"/>
            <w:noWrap/>
            <w:vAlign w:val="bottom"/>
            <w:hideMark/>
          </w:tcPr>
          <w:p w14:paraId="3465B8E5"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0</w:t>
            </w:r>
          </w:p>
        </w:tc>
      </w:tr>
      <w:tr w:rsidR="009644A2" w:rsidRPr="009644A2" w14:paraId="5F782E60" w14:textId="77777777" w:rsidTr="009644A2">
        <w:trPr>
          <w:trHeight w:val="315"/>
        </w:trPr>
        <w:tc>
          <w:tcPr>
            <w:tcW w:w="3820" w:type="dxa"/>
            <w:tcBorders>
              <w:top w:val="nil"/>
              <w:left w:val="nil"/>
              <w:bottom w:val="nil"/>
              <w:right w:val="nil"/>
            </w:tcBorders>
            <w:shd w:val="clear" w:color="auto" w:fill="auto"/>
            <w:noWrap/>
            <w:vAlign w:val="bottom"/>
            <w:hideMark/>
          </w:tcPr>
          <w:p w14:paraId="7EBE4D4B"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Other</w:t>
            </w:r>
          </w:p>
        </w:tc>
        <w:tc>
          <w:tcPr>
            <w:tcW w:w="960" w:type="dxa"/>
            <w:tcBorders>
              <w:top w:val="nil"/>
              <w:left w:val="nil"/>
              <w:bottom w:val="nil"/>
              <w:right w:val="single" w:sz="4" w:space="0" w:color="auto"/>
            </w:tcBorders>
            <w:shd w:val="clear" w:color="auto" w:fill="auto"/>
            <w:noWrap/>
            <w:vAlign w:val="bottom"/>
            <w:hideMark/>
          </w:tcPr>
          <w:p w14:paraId="65A82B22"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67</w:t>
            </w:r>
          </w:p>
        </w:tc>
        <w:tc>
          <w:tcPr>
            <w:tcW w:w="900" w:type="dxa"/>
            <w:tcBorders>
              <w:top w:val="nil"/>
              <w:left w:val="nil"/>
              <w:bottom w:val="nil"/>
              <w:right w:val="nil"/>
            </w:tcBorders>
            <w:shd w:val="clear" w:color="auto" w:fill="auto"/>
            <w:noWrap/>
            <w:vAlign w:val="bottom"/>
            <w:hideMark/>
          </w:tcPr>
          <w:p w14:paraId="7F8B9EF9"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92</w:t>
            </w:r>
          </w:p>
        </w:tc>
        <w:tc>
          <w:tcPr>
            <w:tcW w:w="1180" w:type="dxa"/>
            <w:tcBorders>
              <w:top w:val="nil"/>
              <w:left w:val="nil"/>
              <w:bottom w:val="nil"/>
              <w:right w:val="nil"/>
            </w:tcBorders>
            <w:shd w:val="clear" w:color="auto" w:fill="auto"/>
            <w:noWrap/>
            <w:vAlign w:val="bottom"/>
            <w:hideMark/>
          </w:tcPr>
          <w:p w14:paraId="2A5EBEAE"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160 898</w:t>
            </w:r>
          </w:p>
        </w:tc>
        <w:tc>
          <w:tcPr>
            <w:tcW w:w="900" w:type="dxa"/>
            <w:tcBorders>
              <w:top w:val="nil"/>
              <w:left w:val="nil"/>
              <w:bottom w:val="nil"/>
              <w:right w:val="nil"/>
            </w:tcBorders>
            <w:shd w:val="clear" w:color="auto" w:fill="auto"/>
            <w:noWrap/>
            <w:vAlign w:val="bottom"/>
            <w:hideMark/>
          </w:tcPr>
          <w:p w14:paraId="0FC5D562"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456</w:t>
            </w:r>
          </w:p>
        </w:tc>
        <w:tc>
          <w:tcPr>
            <w:tcW w:w="1180" w:type="dxa"/>
            <w:tcBorders>
              <w:top w:val="nil"/>
              <w:left w:val="nil"/>
              <w:bottom w:val="nil"/>
              <w:right w:val="nil"/>
            </w:tcBorders>
            <w:shd w:val="clear" w:color="auto" w:fill="auto"/>
            <w:noWrap/>
            <w:vAlign w:val="bottom"/>
            <w:hideMark/>
          </w:tcPr>
          <w:p w14:paraId="3397BE9C"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800 209</w:t>
            </w:r>
          </w:p>
        </w:tc>
      </w:tr>
      <w:tr w:rsidR="009644A2" w:rsidRPr="009644A2" w14:paraId="12646DC4" w14:textId="77777777" w:rsidTr="009644A2">
        <w:trPr>
          <w:trHeight w:val="315"/>
        </w:trPr>
        <w:tc>
          <w:tcPr>
            <w:tcW w:w="3820" w:type="dxa"/>
            <w:tcBorders>
              <w:top w:val="nil"/>
              <w:left w:val="nil"/>
              <w:bottom w:val="single" w:sz="4" w:space="0" w:color="auto"/>
              <w:right w:val="nil"/>
            </w:tcBorders>
            <w:shd w:val="clear" w:color="auto" w:fill="auto"/>
            <w:noWrap/>
            <w:vAlign w:val="bottom"/>
            <w:hideMark/>
          </w:tcPr>
          <w:p w14:paraId="20981290" w14:textId="77777777" w:rsidR="009644A2" w:rsidRPr="009644A2" w:rsidRDefault="009644A2" w:rsidP="009644A2">
            <w:pPr>
              <w:tabs>
                <w:tab w:val="clear" w:pos="567"/>
              </w:tabs>
              <w:spacing w:after="0" w:line="240" w:lineRule="auto"/>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Total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50CD131"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1 519</w:t>
            </w:r>
          </w:p>
        </w:tc>
        <w:tc>
          <w:tcPr>
            <w:tcW w:w="900" w:type="dxa"/>
            <w:tcBorders>
              <w:top w:val="single" w:sz="4" w:space="0" w:color="auto"/>
              <w:left w:val="nil"/>
              <w:bottom w:val="single" w:sz="4" w:space="0" w:color="auto"/>
              <w:right w:val="nil"/>
            </w:tcBorders>
            <w:shd w:val="clear" w:color="auto" w:fill="auto"/>
            <w:vAlign w:val="center"/>
            <w:hideMark/>
          </w:tcPr>
          <w:p w14:paraId="57C20517"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3 168</w:t>
            </w:r>
          </w:p>
        </w:tc>
        <w:tc>
          <w:tcPr>
            <w:tcW w:w="1180" w:type="dxa"/>
            <w:tcBorders>
              <w:top w:val="single" w:sz="4" w:space="0" w:color="auto"/>
              <w:left w:val="nil"/>
              <w:bottom w:val="single" w:sz="4" w:space="0" w:color="auto"/>
              <w:right w:val="nil"/>
            </w:tcBorders>
            <w:shd w:val="clear" w:color="auto" w:fill="auto"/>
            <w:vAlign w:val="center"/>
            <w:hideMark/>
          </w:tcPr>
          <w:p w14:paraId="494A175A"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5 562 278</w:t>
            </w:r>
          </w:p>
        </w:tc>
        <w:tc>
          <w:tcPr>
            <w:tcW w:w="900" w:type="dxa"/>
            <w:tcBorders>
              <w:top w:val="single" w:sz="4" w:space="0" w:color="auto"/>
              <w:left w:val="nil"/>
              <w:bottom w:val="single" w:sz="4" w:space="0" w:color="auto"/>
              <w:right w:val="nil"/>
            </w:tcBorders>
            <w:shd w:val="clear" w:color="auto" w:fill="auto"/>
            <w:vAlign w:val="center"/>
            <w:hideMark/>
          </w:tcPr>
          <w:p w14:paraId="3A6EA2ED"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3 980</w:t>
            </w:r>
          </w:p>
        </w:tc>
        <w:tc>
          <w:tcPr>
            <w:tcW w:w="1180" w:type="dxa"/>
            <w:tcBorders>
              <w:top w:val="single" w:sz="4" w:space="0" w:color="auto"/>
              <w:left w:val="nil"/>
              <w:bottom w:val="single" w:sz="4" w:space="0" w:color="auto"/>
              <w:right w:val="nil"/>
            </w:tcBorders>
            <w:shd w:val="clear" w:color="auto" w:fill="auto"/>
            <w:vAlign w:val="center"/>
            <w:hideMark/>
          </w:tcPr>
          <w:p w14:paraId="416D1FA9" w14:textId="77777777" w:rsidR="009644A2" w:rsidRPr="009644A2" w:rsidRDefault="009644A2" w:rsidP="009644A2">
            <w:pPr>
              <w:tabs>
                <w:tab w:val="clear" w:pos="567"/>
              </w:tabs>
              <w:spacing w:after="0" w:line="240" w:lineRule="auto"/>
              <w:jc w:val="right"/>
              <w:rPr>
                <w:rFonts w:ascii="Calibri" w:eastAsia="Times New Roman" w:hAnsi="Calibri" w:cs="Calibri"/>
                <w:sz w:val="20"/>
                <w:szCs w:val="20"/>
                <w:lang w:eastAsia="en-AU"/>
              </w:rPr>
            </w:pPr>
            <w:r w:rsidRPr="009644A2">
              <w:rPr>
                <w:rFonts w:ascii="Calibri" w:eastAsia="Times New Roman" w:hAnsi="Calibri" w:cs="Calibri"/>
                <w:sz w:val="20"/>
                <w:szCs w:val="20"/>
                <w:lang w:eastAsia="en-AU"/>
              </w:rPr>
              <w:t>6 989 701</w:t>
            </w:r>
          </w:p>
        </w:tc>
      </w:tr>
    </w:tbl>
    <w:p w14:paraId="31D3A3BD" w14:textId="77777777" w:rsidR="00254729" w:rsidRPr="00D3438A" w:rsidRDefault="00254729" w:rsidP="00254729">
      <w:pPr>
        <w:pStyle w:val="CGCTableFootnote"/>
        <w:numPr>
          <w:ilvl w:val="4"/>
          <w:numId w:val="2"/>
        </w:numPr>
        <w:ind w:left="567" w:hanging="567"/>
      </w:pPr>
      <w:r>
        <w:t xml:space="preserve">The difference between assessed and actual expenses is partly due to the inability to dissect actual expenses by function. </w:t>
      </w:r>
      <w:r w:rsidRPr="00D3438A">
        <w:t xml:space="preserve"> </w:t>
      </w:r>
    </w:p>
    <w:p w14:paraId="1F3D5198" w14:textId="77777777" w:rsidR="00F246BF" w:rsidRDefault="00F246BF" w:rsidP="00F246BF">
      <w:pPr>
        <w:pStyle w:val="CGCTableFootnote"/>
      </w:pPr>
      <w:r>
        <w:t>Source:</w:t>
      </w:r>
      <w:r>
        <w:tab/>
        <w:t>Commission staff calculation</w:t>
      </w:r>
    </w:p>
    <w:p w14:paraId="0E6FF616" w14:textId="7821439C" w:rsidR="009676B5" w:rsidRDefault="0086279A" w:rsidP="009676B5">
      <w:pPr>
        <w:pStyle w:val="CGCNumberedPara"/>
        <w:numPr>
          <w:ilvl w:val="1"/>
          <w:numId w:val="3"/>
        </w:numPr>
        <w:tabs>
          <w:tab w:val="clear" w:pos="567"/>
        </w:tabs>
      </w:pPr>
      <w:r>
        <w:fldChar w:fldCharType="begin"/>
      </w:r>
      <w:r>
        <w:instrText xml:space="preserve"> REF _Ref22109761 \h </w:instrText>
      </w:r>
      <w:r>
        <w:fldChar w:fldCharType="separate"/>
      </w:r>
      <w:r w:rsidR="00DE7AA1">
        <w:t xml:space="preserve">Table </w:t>
      </w:r>
      <w:r w:rsidR="00DE7AA1">
        <w:rPr>
          <w:noProof/>
        </w:rPr>
        <w:t>8</w:t>
      </w:r>
      <w:r>
        <w:fldChar w:fldCharType="end"/>
      </w:r>
      <w:r>
        <w:t xml:space="preserve"> </w:t>
      </w:r>
      <w:r w:rsidR="009676B5">
        <w:t>s</w:t>
      </w:r>
      <w:r w:rsidR="008F5E4F">
        <w:t>uggest</w:t>
      </w:r>
      <w:r w:rsidR="009676B5">
        <w:t xml:space="preserve">s that Norfolk Island would need to spend $3 168 per capita ($5.6 million) to deliver local government services comparable to those provided in the rest of Australia. </w:t>
      </w:r>
    </w:p>
    <w:p w14:paraId="78405081" w14:textId="77777777" w:rsidR="009676B5" w:rsidRPr="00A11874" w:rsidRDefault="009676B5" w:rsidP="009676B5">
      <w:pPr>
        <w:pStyle w:val="CGCBulletlist"/>
      </w:pPr>
      <w:r>
        <w:t xml:space="preserve">Norfolk Island’s assessed local government expenses are above the amount for </w:t>
      </w:r>
      <w:r w:rsidRPr="00A11874">
        <w:t>comparable communities in all areas except debt charges.</w:t>
      </w:r>
    </w:p>
    <w:p w14:paraId="565D4CA3" w14:textId="77777777" w:rsidR="009676B5" w:rsidRPr="00A11874" w:rsidRDefault="009676B5" w:rsidP="009676B5">
      <w:pPr>
        <w:pStyle w:val="CGCBulletlist"/>
      </w:pPr>
      <w:r w:rsidRPr="00A11874">
        <w:t xml:space="preserve">The above average general administration assessed expenses arise because councils with small populations have higher per capita minimum governance requirements. </w:t>
      </w:r>
    </w:p>
    <w:p w14:paraId="5451F915" w14:textId="77777777" w:rsidR="009676B5" w:rsidRPr="00A11874" w:rsidRDefault="009676B5" w:rsidP="009676B5">
      <w:pPr>
        <w:pStyle w:val="CGCBulletlist"/>
      </w:pPr>
      <w:r w:rsidRPr="00A11874">
        <w:t>The above average assessed expenses for tourism are due to the importance of the tourist industry on Norfolk Island. The assessed expenses for local government</w:t>
      </w:r>
      <w:r w:rsidRPr="00A11874">
        <w:noBreakHyphen/>
        <w:t xml:space="preserve">type tourism expenses are about one third of the total assessed spending on State and local government-type tourism functions. </w:t>
      </w:r>
    </w:p>
    <w:p w14:paraId="67CD7BBC" w14:textId="77777777" w:rsidR="009676B5" w:rsidRPr="00A11874" w:rsidRDefault="009676B5" w:rsidP="009676B5">
      <w:pPr>
        <w:pStyle w:val="CGCBulletlist"/>
      </w:pPr>
      <w:r w:rsidRPr="00A11874">
        <w:t>The higher than average assessed cost of environmental services reflects the particular challenges of dealing with waste management on a geographically small and remote island.</w:t>
      </w:r>
    </w:p>
    <w:p w14:paraId="5110C4B8" w14:textId="77777777" w:rsidR="009676B5" w:rsidRDefault="009676B5" w:rsidP="009676B5">
      <w:pPr>
        <w:pStyle w:val="CGCBulletlist"/>
      </w:pPr>
      <w:r w:rsidRPr="00A11874">
        <w:t>The assessed cost</w:t>
      </w:r>
      <w:r>
        <w:t xml:space="preserve"> of maintaining roads on the Island is above the average. This reflects the effects of remoteness and isolation on the cost of some inputs used for road construction, and the requirement to provide a higher standard of roads, including signage, due to tourism. The same factors explain the above average roads depreciation expenses.</w:t>
      </w:r>
    </w:p>
    <w:p w14:paraId="0B57B67E" w14:textId="77777777" w:rsidR="009676B5" w:rsidRDefault="00FB5AD5" w:rsidP="009676B5">
      <w:pPr>
        <w:pStyle w:val="CGCNumberedPara"/>
      </w:pPr>
      <w:r>
        <w:lastRenderedPageBreak/>
        <w:t>S</w:t>
      </w:r>
      <w:r w:rsidR="009676B5" w:rsidRPr="00F968BA">
        <w:t xml:space="preserve">ome of these </w:t>
      </w:r>
      <w:r>
        <w:t xml:space="preserve">Local Government </w:t>
      </w:r>
      <w:r w:rsidR="009676B5" w:rsidRPr="00F968BA">
        <w:t xml:space="preserve">expenses appear to relate to other functions including general administration and recreation and culture. As noted in Attachment B, there is limited information in </w:t>
      </w:r>
      <w:r w:rsidR="009676B5">
        <w:t xml:space="preserve">NIRC’s </w:t>
      </w:r>
      <w:r w:rsidR="009676B5" w:rsidRPr="00F968BA">
        <w:t xml:space="preserve">financial statements to allocate all expenses by </w:t>
      </w:r>
      <w:r w:rsidR="009676B5">
        <w:t xml:space="preserve">level of government and </w:t>
      </w:r>
      <w:r w:rsidR="009676B5" w:rsidRPr="00F968BA">
        <w:t xml:space="preserve">function. </w:t>
      </w:r>
    </w:p>
    <w:p w14:paraId="3F00A59D" w14:textId="77777777" w:rsidR="009676B5" w:rsidRPr="009676B5" w:rsidRDefault="009676B5" w:rsidP="009676B5">
      <w:pPr>
        <w:pStyle w:val="CGCNumberedPara"/>
      </w:pPr>
      <w:r>
        <w:t>Compared with the 2011 report, assessed expenses increased by 32% or $777 per capita, less than the increase in Norfolk Island’s actual expenses (57% or $1 437 per capita).</w:t>
      </w:r>
    </w:p>
    <w:p w14:paraId="16DE4776" w14:textId="77777777" w:rsidR="00F246BF" w:rsidRDefault="00F246BF" w:rsidP="00F246BF">
      <w:pPr>
        <w:pStyle w:val="Heading3"/>
      </w:pPr>
      <w:bookmarkStart w:id="376" w:name="_Toc17105401"/>
      <w:bookmarkStart w:id="377" w:name="_Toc17105453"/>
      <w:bookmarkStart w:id="378" w:name="_Toc17105609"/>
      <w:bookmarkStart w:id="379" w:name="_Toc17380476"/>
      <w:bookmarkStart w:id="380" w:name="_Toc19262928"/>
      <w:bookmarkStart w:id="381" w:name="_Toc23847473"/>
      <w:r>
        <w:t>Overall results</w:t>
      </w:r>
      <w:bookmarkEnd w:id="376"/>
      <w:bookmarkEnd w:id="377"/>
      <w:bookmarkEnd w:id="378"/>
      <w:bookmarkEnd w:id="379"/>
      <w:bookmarkEnd w:id="380"/>
      <w:bookmarkEnd w:id="381"/>
    </w:p>
    <w:p w14:paraId="68684205" w14:textId="76398403" w:rsidR="00B87477" w:rsidRDefault="008F5E4F" w:rsidP="00F246BF">
      <w:pPr>
        <w:pStyle w:val="CGCNumberedPara"/>
        <w:numPr>
          <w:ilvl w:val="1"/>
          <w:numId w:val="3"/>
        </w:numPr>
        <w:tabs>
          <w:tab w:val="clear" w:pos="567"/>
        </w:tabs>
      </w:pPr>
      <w:r>
        <w:fldChar w:fldCharType="begin"/>
      </w:r>
      <w:r>
        <w:instrText xml:space="preserve"> REF _Ref22048988 \h </w:instrText>
      </w:r>
      <w:r>
        <w:fldChar w:fldCharType="separate"/>
      </w:r>
      <w:r w:rsidR="00DE7AA1">
        <w:t xml:space="preserve">Table </w:t>
      </w:r>
      <w:r w:rsidR="00DE7AA1">
        <w:rPr>
          <w:noProof/>
        </w:rPr>
        <w:t>9</w:t>
      </w:r>
      <w:r>
        <w:fldChar w:fldCharType="end"/>
      </w:r>
      <w:r>
        <w:t xml:space="preserve"> </w:t>
      </w:r>
      <w:r w:rsidR="00F246BF" w:rsidRPr="00CA6446">
        <w:t xml:space="preserve">compares what Norfolk Island </w:t>
      </w:r>
      <w:r w:rsidR="00B363EE">
        <w:t xml:space="preserve">actually </w:t>
      </w:r>
      <w:r w:rsidR="00F246BF" w:rsidRPr="00CA6446">
        <w:t xml:space="preserve">spent and raised in </w:t>
      </w:r>
      <w:r w:rsidR="00F246BF">
        <w:t>2017</w:t>
      </w:r>
      <w:r w:rsidR="00F246BF">
        <w:noBreakHyphen/>
        <w:t>18</w:t>
      </w:r>
      <w:r w:rsidR="00F246BF" w:rsidRPr="00CA6446">
        <w:t xml:space="preserve"> with what it would have spen</w:t>
      </w:r>
      <w:r w:rsidR="00576F53">
        <w:t>t</w:t>
      </w:r>
      <w:r w:rsidR="00F246BF" w:rsidRPr="00CA6446">
        <w:t xml:space="preserve"> and raised if it operated like comparable communities. In </w:t>
      </w:r>
      <w:r w:rsidR="00F246BF">
        <w:t>2017</w:t>
      </w:r>
      <w:r w:rsidR="00F246BF">
        <w:noBreakHyphen/>
        <w:t>18</w:t>
      </w:r>
      <w:r w:rsidR="00F246BF" w:rsidRPr="00CA6446">
        <w:t xml:space="preserve">, there was a </w:t>
      </w:r>
      <w:r w:rsidR="0002384A">
        <w:t>difference</w:t>
      </w:r>
      <w:r w:rsidR="00F246BF" w:rsidRPr="00CA6446">
        <w:t xml:space="preserve"> of $</w:t>
      </w:r>
      <w:r w:rsidR="00400FB2">
        <w:t>26.6</w:t>
      </w:r>
      <w:r w:rsidR="00F246BF">
        <w:t xml:space="preserve"> </w:t>
      </w:r>
      <w:r w:rsidR="00F246BF" w:rsidRPr="00CA6446">
        <w:t xml:space="preserve">million between the Norfolk Island State and local government </w:t>
      </w:r>
      <w:r w:rsidR="00F246BF">
        <w:t xml:space="preserve">assessed revenues and expenses. This is the net amount needed to </w:t>
      </w:r>
      <w:r w:rsidR="00576F53">
        <w:t>provide</w:t>
      </w:r>
      <w:r w:rsidR="00F246BF">
        <w:t xml:space="preserve"> </w:t>
      </w:r>
      <w:r w:rsidR="00F246BF" w:rsidRPr="00CA6446">
        <w:t xml:space="preserve">comparable State and local government services at average levels of efficiency, </w:t>
      </w:r>
      <w:r w:rsidR="00F246BF">
        <w:t xml:space="preserve">if </w:t>
      </w:r>
      <w:r w:rsidR="00F246BF" w:rsidRPr="00CA6446">
        <w:t>comparable State and local government revenues</w:t>
      </w:r>
      <w:r w:rsidR="00576F53">
        <w:t xml:space="preserve"> were raised</w:t>
      </w:r>
      <w:r w:rsidR="00F246BF">
        <w:t xml:space="preserve">. </w:t>
      </w:r>
    </w:p>
    <w:p w14:paraId="02B9B6F3" w14:textId="77777777" w:rsidR="006E6638" w:rsidRDefault="00F246BF" w:rsidP="00F246BF">
      <w:pPr>
        <w:pStyle w:val="CGCNumberedPara"/>
        <w:numPr>
          <w:ilvl w:val="1"/>
          <w:numId w:val="3"/>
        </w:numPr>
        <w:tabs>
          <w:tab w:val="clear" w:pos="567"/>
        </w:tabs>
      </w:pPr>
      <w:r>
        <w:t xml:space="preserve">The </w:t>
      </w:r>
      <w:r w:rsidR="0002384A">
        <w:t>difference</w:t>
      </w:r>
      <w:r w:rsidR="008D46A9">
        <w:t xml:space="preserve"> </w:t>
      </w:r>
      <w:r>
        <w:t>between State-type</w:t>
      </w:r>
      <w:r w:rsidR="00400FB2">
        <w:t xml:space="preserve"> revenues and expenses was $28.</w:t>
      </w:r>
      <w:r w:rsidR="00307A8B">
        <w:t>8</w:t>
      </w:r>
      <w:r>
        <w:t xml:space="preserve"> million. </w:t>
      </w:r>
      <w:r w:rsidR="006A3206">
        <w:t xml:space="preserve">However, </w:t>
      </w:r>
      <w:r>
        <w:t xml:space="preserve">local government grants </w:t>
      </w:r>
      <w:r w:rsidR="006A3206">
        <w:t xml:space="preserve">(including the assessed revenue from State-type grants) </w:t>
      </w:r>
      <w:r>
        <w:t xml:space="preserve">and own source </w:t>
      </w:r>
      <w:r w:rsidR="00C46748">
        <w:t xml:space="preserve">local government </w:t>
      </w:r>
      <w:r>
        <w:t xml:space="preserve">revenue exceeded the amount needed to provide comparable </w:t>
      </w:r>
      <w:r w:rsidR="001F4552">
        <w:t xml:space="preserve">local government </w:t>
      </w:r>
      <w:r>
        <w:t>services.</w:t>
      </w:r>
      <w:r w:rsidR="001F4552">
        <w:t xml:space="preserve"> The assessed local government surplus would provide </w:t>
      </w:r>
      <w:r w:rsidR="002F3330">
        <w:t xml:space="preserve">NIRC </w:t>
      </w:r>
      <w:r w:rsidR="001F4552">
        <w:t xml:space="preserve">with the capacity to fund </w:t>
      </w:r>
      <w:r w:rsidR="00F14DC2">
        <w:t xml:space="preserve">some </w:t>
      </w:r>
      <w:r w:rsidR="001F4552">
        <w:t>capital expenditure on new local government-type infrastructure.</w:t>
      </w:r>
    </w:p>
    <w:p w14:paraId="29AC48CB" w14:textId="77777777" w:rsidR="006E6638" w:rsidRDefault="006E6638">
      <w:pPr>
        <w:tabs>
          <w:tab w:val="clear" w:pos="567"/>
        </w:tabs>
        <w:spacing w:after="200" w:line="276" w:lineRule="auto"/>
        <w:rPr>
          <w:szCs w:val="24"/>
        </w:rPr>
      </w:pPr>
      <w:r>
        <w:br w:type="page"/>
      </w:r>
    </w:p>
    <w:p w14:paraId="51715649" w14:textId="57238C3D" w:rsidR="00F246BF" w:rsidRDefault="00BF3913" w:rsidP="00BF3913">
      <w:pPr>
        <w:pStyle w:val="Caption"/>
      </w:pPr>
      <w:bookmarkStart w:id="382" w:name="_Ref22048988"/>
      <w:r>
        <w:lastRenderedPageBreak/>
        <w:t xml:space="preserve">Table </w:t>
      </w:r>
      <w:r w:rsidR="00150A14">
        <w:fldChar w:fldCharType="begin"/>
      </w:r>
      <w:r w:rsidR="00150A14">
        <w:instrText xml:space="preserve"> SEQ Table \* ARABIC </w:instrText>
      </w:r>
      <w:r w:rsidR="00150A14">
        <w:fldChar w:fldCharType="separate"/>
      </w:r>
      <w:r w:rsidR="00DE7AA1">
        <w:rPr>
          <w:noProof/>
        </w:rPr>
        <w:t>9</w:t>
      </w:r>
      <w:r w:rsidR="00150A14">
        <w:rPr>
          <w:noProof/>
        </w:rPr>
        <w:fldChar w:fldCharType="end"/>
      </w:r>
      <w:bookmarkEnd w:id="382"/>
      <w:r w:rsidR="00F246BF">
        <w:tab/>
        <w:t>Comparison of Norfolk Island revenue and expenses with assessed revenue and expenses, 2017-18</w:t>
      </w:r>
    </w:p>
    <w:tbl>
      <w:tblPr>
        <w:tblW w:w="8980" w:type="dxa"/>
        <w:tblLook w:val="04A0" w:firstRow="1" w:lastRow="0" w:firstColumn="1" w:lastColumn="0" w:noHBand="0" w:noVBand="1"/>
      </w:tblPr>
      <w:tblGrid>
        <w:gridCol w:w="1860"/>
        <w:gridCol w:w="2161"/>
        <w:gridCol w:w="1399"/>
        <w:gridCol w:w="2161"/>
        <w:gridCol w:w="1399"/>
      </w:tblGrid>
      <w:tr w:rsidR="001824FD" w:rsidRPr="001824FD" w14:paraId="35E4AAA7" w14:textId="77777777" w:rsidTr="001824FD">
        <w:trPr>
          <w:trHeight w:val="555"/>
        </w:trPr>
        <w:tc>
          <w:tcPr>
            <w:tcW w:w="1860" w:type="dxa"/>
            <w:tcBorders>
              <w:top w:val="single" w:sz="4" w:space="0" w:color="auto"/>
              <w:left w:val="nil"/>
              <w:bottom w:val="single" w:sz="4" w:space="0" w:color="auto"/>
              <w:right w:val="nil"/>
            </w:tcBorders>
            <w:shd w:val="clear" w:color="auto" w:fill="auto"/>
            <w:noWrap/>
            <w:vAlign w:val="bottom"/>
            <w:hideMark/>
          </w:tcPr>
          <w:p w14:paraId="04080464" w14:textId="77777777" w:rsidR="001824FD" w:rsidRPr="001824FD" w:rsidRDefault="001824FD" w:rsidP="001824FD">
            <w:pPr>
              <w:tabs>
                <w:tab w:val="clear" w:pos="567"/>
              </w:tabs>
              <w:spacing w:after="0" w:line="240" w:lineRule="auto"/>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 </w:t>
            </w:r>
          </w:p>
        </w:tc>
        <w:tc>
          <w:tcPr>
            <w:tcW w:w="3560" w:type="dxa"/>
            <w:gridSpan w:val="2"/>
            <w:tcBorders>
              <w:top w:val="single" w:sz="4" w:space="0" w:color="auto"/>
              <w:left w:val="nil"/>
              <w:bottom w:val="single" w:sz="4" w:space="0" w:color="auto"/>
              <w:right w:val="nil"/>
            </w:tcBorders>
            <w:shd w:val="clear" w:color="auto" w:fill="auto"/>
            <w:noWrap/>
            <w:vAlign w:val="center"/>
            <w:hideMark/>
          </w:tcPr>
          <w:p w14:paraId="429D29F3" w14:textId="77777777" w:rsidR="001824FD" w:rsidRPr="001824FD" w:rsidRDefault="001824FD" w:rsidP="001B1A91">
            <w:pPr>
              <w:tabs>
                <w:tab w:val="clear" w:pos="567"/>
              </w:tabs>
              <w:spacing w:after="0" w:line="240" w:lineRule="auto"/>
              <w:jc w:val="right"/>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 xml:space="preserve">Norfolk Island </w:t>
            </w:r>
            <w:r w:rsidR="00BA73EB">
              <w:rPr>
                <w:rFonts w:ascii="Calibri" w:eastAsia="Times New Roman" w:hAnsi="Calibri" w:cs="Calibri"/>
                <w:sz w:val="20"/>
                <w:szCs w:val="20"/>
                <w:lang w:eastAsia="en-AU"/>
              </w:rPr>
              <w:t>assessed</w:t>
            </w:r>
          </w:p>
        </w:tc>
        <w:tc>
          <w:tcPr>
            <w:tcW w:w="3560" w:type="dxa"/>
            <w:gridSpan w:val="2"/>
            <w:tcBorders>
              <w:top w:val="single" w:sz="4" w:space="0" w:color="auto"/>
              <w:left w:val="nil"/>
              <w:bottom w:val="single" w:sz="4" w:space="0" w:color="auto"/>
              <w:right w:val="nil"/>
            </w:tcBorders>
            <w:shd w:val="clear" w:color="auto" w:fill="auto"/>
            <w:noWrap/>
            <w:vAlign w:val="center"/>
            <w:hideMark/>
          </w:tcPr>
          <w:p w14:paraId="225F1CE8" w14:textId="77777777" w:rsidR="001824FD" w:rsidRPr="001824FD" w:rsidRDefault="001824FD" w:rsidP="001B1A91">
            <w:pPr>
              <w:tabs>
                <w:tab w:val="clear" w:pos="567"/>
              </w:tabs>
              <w:spacing w:after="0" w:line="240" w:lineRule="auto"/>
              <w:jc w:val="right"/>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 xml:space="preserve">Norfolk Island </w:t>
            </w:r>
            <w:r w:rsidR="00BA73EB">
              <w:rPr>
                <w:rFonts w:ascii="Calibri" w:eastAsia="Times New Roman" w:hAnsi="Calibri" w:cs="Calibri"/>
                <w:sz w:val="20"/>
                <w:szCs w:val="20"/>
                <w:lang w:eastAsia="en-AU"/>
              </w:rPr>
              <w:t>actuals</w:t>
            </w:r>
          </w:p>
        </w:tc>
      </w:tr>
      <w:tr w:rsidR="001824FD" w:rsidRPr="001824FD" w14:paraId="1B73B467" w14:textId="77777777" w:rsidTr="001824FD">
        <w:trPr>
          <w:trHeight w:val="259"/>
        </w:trPr>
        <w:tc>
          <w:tcPr>
            <w:tcW w:w="1860" w:type="dxa"/>
            <w:tcBorders>
              <w:top w:val="nil"/>
              <w:left w:val="nil"/>
              <w:bottom w:val="nil"/>
              <w:right w:val="nil"/>
            </w:tcBorders>
            <w:shd w:val="clear" w:color="auto" w:fill="auto"/>
            <w:noWrap/>
            <w:vAlign w:val="bottom"/>
            <w:hideMark/>
          </w:tcPr>
          <w:p w14:paraId="20738F41" w14:textId="77777777" w:rsidR="001824FD" w:rsidRPr="001824FD" w:rsidRDefault="001824FD" w:rsidP="001824FD">
            <w:pPr>
              <w:tabs>
                <w:tab w:val="clear" w:pos="567"/>
              </w:tabs>
              <w:spacing w:after="0" w:line="240" w:lineRule="auto"/>
              <w:jc w:val="center"/>
              <w:rPr>
                <w:rFonts w:ascii="Calibri" w:eastAsia="Times New Roman" w:hAnsi="Calibri" w:cs="Calibri"/>
                <w:sz w:val="20"/>
                <w:szCs w:val="20"/>
                <w:lang w:eastAsia="en-AU"/>
              </w:rPr>
            </w:pPr>
          </w:p>
        </w:tc>
        <w:tc>
          <w:tcPr>
            <w:tcW w:w="2161" w:type="dxa"/>
            <w:tcBorders>
              <w:top w:val="nil"/>
              <w:left w:val="nil"/>
              <w:bottom w:val="nil"/>
              <w:right w:val="nil"/>
            </w:tcBorders>
            <w:shd w:val="clear" w:color="auto" w:fill="auto"/>
            <w:noWrap/>
            <w:vAlign w:val="center"/>
            <w:hideMark/>
          </w:tcPr>
          <w:p w14:paraId="0C4B6823" w14:textId="77777777" w:rsidR="001824FD" w:rsidRPr="001824FD" w:rsidRDefault="001824FD" w:rsidP="001824FD">
            <w:pPr>
              <w:tabs>
                <w:tab w:val="clear" w:pos="567"/>
              </w:tabs>
              <w:spacing w:after="0" w:line="240" w:lineRule="auto"/>
              <w:jc w:val="right"/>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$pc</w:t>
            </w:r>
          </w:p>
        </w:tc>
        <w:tc>
          <w:tcPr>
            <w:tcW w:w="1399" w:type="dxa"/>
            <w:tcBorders>
              <w:top w:val="nil"/>
              <w:left w:val="nil"/>
              <w:bottom w:val="nil"/>
              <w:right w:val="nil"/>
            </w:tcBorders>
            <w:shd w:val="clear" w:color="auto" w:fill="auto"/>
            <w:noWrap/>
            <w:vAlign w:val="center"/>
            <w:hideMark/>
          </w:tcPr>
          <w:p w14:paraId="43E6D10B" w14:textId="77777777" w:rsidR="001824FD" w:rsidRPr="001824FD" w:rsidRDefault="001824FD" w:rsidP="001824FD">
            <w:pPr>
              <w:tabs>
                <w:tab w:val="clear" w:pos="567"/>
              </w:tabs>
              <w:spacing w:after="0" w:line="240" w:lineRule="auto"/>
              <w:jc w:val="right"/>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$m</w:t>
            </w:r>
          </w:p>
        </w:tc>
        <w:tc>
          <w:tcPr>
            <w:tcW w:w="2161" w:type="dxa"/>
            <w:tcBorders>
              <w:top w:val="nil"/>
              <w:left w:val="nil"/>
              <w:bottom w:val="nil"/>
              <w:right w:val="nil"/>
            </w:tcBorders>
            <w:shd w:val="clear" w:color="auto" w:fill="auto"/>
            <w:noWrap/>
            <w:vAlign w:val="center"/>
            <w:hideMark/>
          </w:tcPr>
          <w:p w14:paraId="08EE7408" w14:textId="77777777" w:rsidR="001824FD" w:rsidRPr="001824FD" w:rsidRDefault="001824FD" w:rsidP="001824FD">
            <w:pPr>
              <w:tabs>
                <w:tab w:val="clear" w:pos="567"/>
              </w:tabs>
              <w:spacing w:after="0" w:line="240" w:lineRule="auto"/>
              <w:jc w:val="right"/>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$pc</w:t>
            </w:r>
          </w:p>
        </w:tc>
        <w:tc>
          <w:tcPr>
            <w:tcW w:w="1399" w:type="dxa"/>
            <w:tcBorders>
              <w:top w:val="nil"/>
              <w:left w:val="nil"/>
              <w:bottom w:val="nil"/>
              <w:right w:val="nil"/>
            </w:tcBorders>
            <w:shd w:val="clear" w:color="auto" w:fill="auto"/>
            <w:noWrap/>
            <w:vAlign w:val="center"/>
            <w:hideMark/>
          </w:tcPr>
          <w:p w14:paraId="3EE61300" w14:textId="77777777" w:rsidR="001824FD" w:rsidRPr="001824FD" w:rsidRDefault="001824FD" w:rsidP="001824FD">
            <w:pPr>
              <w:tabs>
                <w:tab w:val="clear" w:pos="567"/>
              </w:tabs>
              <w:spacing w:after="0" w:line="240" w:lineRule="auto"/>
              <w:jc w:val="right"/>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$m</w:t>
            </w:r>
          </w:p>
        </w:tc>
      </w:tr>
      <w:tr w:rsidR="001824FD" w:rsidRPr="001824FD" w14:paraId="779AC788" w14:textId="77777777" w:rsidTr="001824FD">
        <w:trPr>
          <w:trHeight w:val="315"/>
        </w:trPr>
        <w:tc>
          <w:tcPr>
            <w:tcW w:w="1860" w:type="dxa"/>
            <w:tcBorders>
              <w:top w:val="nil"/>
              <w:left w:val="nil"/>
              <w:bottom w:val="nil"/>
              <w:right w:val="nil"/>
            </w:tcBorders>
            <w:shd w:val="clear" w:color="auto" w:fill="auto"/>
            <w:noWrap/>
            <w:vAlign w:val="bottom"/>
            <w:hideMark/>
          </w:tcPr>
          <w:p w14:paraId="40DC9F3F" w14:textId="77777777" w:rsidR="001824FD" w:rsidRPr="001824FD" w:rsidRDefault="001824FD" w:rsidP="001824FD">
            <w:pPr>
              <w:tabs>
                <w:tab w:val="clear" w:pos="567"/>
              </w:tabs>
              <w:spacing w:after="0" w:line="240" w:lineRule="auto"/>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Revenue</w:t>
            </w:r>
          </w:p>
        </w:tc>
        <w:tc>
          <w:tcPr>
            <w:tcW w:w="2161" w:type="dxa"/>
            <w:tcBorders>
              <w:top w:val="nil"/>
              <w:left w:val="nil"/>
              <w:bottom w:val="nil"/>
              <w:right w:val="nil"/>
            </w:tcBorders>
            <w:shd w:val="clear" w:color="auto" w:fill="auto"/>
            <w:noWrap/>
            <w:vAlign w:val="bottom"/>
            <w:hideMark/>
          </w:tcPr>
          <w:p w14:paraId="6AD606D4" w14:textId="77777777" w:rsidR="001824FD" w:rsidRPr="001824FD" w:rsidRDefault="001824FD" w:rsidP="001824FD">
            <w:pPr>
              <w:tabs>
                <w:tab w:val="clear" w:pos="567"/>
              </w:tabs>
              <w:spacing w:after="0" w:line="240" w:lineRule="auto"/>
              <w:rPr>
                <w:rFonts w:ascii="Calibri" w:eastAsia="Times New Roman" w:hAnsi="Calibri" w:cs="Calibri"/>
                <w:sz w:val="20"/>
                <w:szCs w:val="20"/>
                <w:lang w:eastAsia="en-AU"/>
              </w:rPr>
            </w:pPr>
          </w:p>
        </w:tc>
        <w:tc>
          <w:tcPr>
            <w:tcW w:w="1399" w:type="dxa"/>
            <w:tcBorders>
              <w:top w:val="nil"/>
              <w:left w:val="nil"/>
              <w:bottom w:val="nil"/>
              <w:right w:val="nil"/>
            </w:tcBorders>
            <w:shd w:val="clear" w:color="auto" w:fill="auto"/>
            <w:noWrap/>
            <w:vAlign w:val="bottom"/>
            <w:hideMark/>
          </w:tcPr>
          <w:p w14:paraId="2FD0F624" w14:textId="77777777" w:rsidR="001824FD" w:rsidRPr="001824FD" w:rsidRDefault="001824FD" w:rsidP="001824FD">
            <w:pPr>
              <w:tabs>
                <w:tab w:val="clear" w:pos="567"/>
              </w:tabs>
              <w:spacing w:after="0" w:line="240" w:lineRule="auto"/>
              <w:rPr>
                <w:rFonts w:ascii="Times New Roman" w:eastAsia="Times New Roman" w:hAnsi="Times New Roman" w:cs="Times New Roman"/>
                <w:sz w:val="20"/>
                <w:szCs w:val="20"/>
                <w:lang w:eastAsia="en-AU"/>
              </w:rPr>
            </w:pPr>
          </w:p>
        </w:tc>
        <w:tc>
          <w:tcPr>
            <w:tcW w:w="2161" w:type="dxa"/>
            <w:tcBorders>
              <w:top w:val="nil"/>
              <w:left w:val="nil"/>
              <w:bottom w:val="nil"/>
              <w:right w:val="nil"/>
            </w:tcBorders>
            <w:shd w:val="clear" w:color="auto" w:fill="auto"/>
            <w:noWrap/>
            <w:vAlign w:val="bottom"/>
            <w:hideMark/>
          </w:tcPr>
          <w:p w14:paraId="7E7F981E" w14:textId="77777777" w:rsidR="001824FD" w:rsidRPr="001824FD" w:rsidRDefault="001824FD" w:rsidP="001824FD">
            <w:pPr>
              <w:tabs>
                <w:tab w:val="clear" w:pos="567"/>
              </w:tabs>
              <w:spacing w:after="0" w:line="240" w:lineRule="auto"/>
              <w:rPr>
                <w:rFonts w:ascii="Times New Roman" w:eastAsia="Times New Roman" w:hAnsi="Times New Roman" w:cs="Times New Roman"/>
                <w:sz w:val="20"/>
                <w:szCs w:val="20"/>
                <w:lang w:eastAsia="en-AU"/>
              </w:rPr>
            </w:pPr>
          </w:p>
        </w:tc>
        <w:tc>
          <w:tcPr>
            <w:tcW w:w="1399" w:type="dxa"/>
            <w:tcBorders>
              <w:top w:val="nil"/>
              <w:left w:val="nil"/>
              <w:bottom w:val="nil"/>
              <w:right w:val="nil"/>
            </w:tcBorders>
            <w:shd w:val="clear" w:color="auto" w:fill="auto"/>
            <w:noWrap/>
            <w:vAlign w:val="bottom"/>
            <w:hideMark/>
          </w:tcPr>
          <w:p w14:paraId="7FFBBD51" w14:textId="77777777" w:rsidR="001824FD" w:rsidRPr="001824FD" w:rsidRDefault="001824FD" w:rsidP="001824FD">
            <w:pPr>
              <w:tabs>
                <w:tab w:val="clear" w:pos="567"/>
              </w:tabs>
              <w:spacing w:after="0" w:line="240" w:lineRule="auto"/>
              <w:rPr>
                <w:rFonts w:ascii="Times New Roman" w:eastAsia="Times New Roman" w:hAnsi="Times New Roman" w:cs="Times New Roman"/>
                <w:sz w:val="20"/>
                <w:szCs w:val="20"/>
                <w:lang w:eastAsia="en-AU"/>
              </w:rPr>
            </w:pPr>
          </w:p>
        </w:tc>
      </w:tr>
      <w:tr w:rsidR="009F2AC9" w:rsidRPr="001824FD" w14:paraId="595CE3BD" w14:textId="77777777" w:rsidTr="00BA73EB">
        <w:trPr>
          <w:trHeight w:val="315"/>
        </w:trPr>
        <w:tc>
          <w:tcPr>
            <w:tcW w:w="1860" w:type="dxa"/>
            <w:tcBorders>
              <w:top w:val="nil"/>
              <w:left w:val="nil"/>
              <w:bottom w:val="nil"/>
              <w:right w:val="nil"/>
            </w:tcBorders>
            <w:shd w:val="clear" w:color="auto" w:fill="auto"/>
            <w:noWrap/>
            <w:vAlign w:val="bottom"/>
            <w:hideMark/>
          </w:tcPr>
          <w:p w14:paraId="07E59708" w14:textId="77777777" w:rsidR="009F2AC9" w:rsidRPr="001824FD" w:rsidRDefault="009F2AC9" w:rsidP="009F2AC9">
            <w:pPr>
              <w:tabs>
                <w:tab w:val="clear" w:pos="567"/>
              </w:tabs>
              <w:spacing w:after="0" w:line="240" w:lineRule="auto"/>
              <w:ind w:firstLineChars="100" w:firstLine="200"/>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State</w:t>
            </w:r>
          </w:p>
        </w:tc>
        <w:tc>
          <w:tcPr>
            <w:tcW w:w="2161" w:type="dxa"/>
            <w:tcBorders>
              <w:top w:val="nil"/>
              <w:left w:val="nil"/>
              <w:bottom w:val="nil"/>
              <w:right w:val="nil"/>
            </w:tcBorders>
            <w:shd w:val="clear" w:color="auto" w:fill="auto"/>
            <w:noWrap/>
            <w:vAlign w:val="bottom"/>
          </w:tcPr>
          <w:p w14:paraId="0DDFD3AB"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1 824</w:t>
            </w:r>
          </w:p>
        </w:tc>
        <w:tc>
          <w:tcPr>
            <w:tcW w:w="1399" w:type="dxa"/>
            <w:tcBorders>
              <w:top w:val="nil"/>
              <w:left w:val="nil"/>
              <w:bottom w:val="nil"/>
              <w:right w:val="nil"/>
            </w:tcBorders>
            <w:shd w:val="clear" w:color="auto" w:fill="auto"/>
            <w:noWrap/>
            <w:vAlign w:val="bottom"/>
          </w:tcPr>
          <w:p w14:paraId="5EC7FEB7"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3.2</w:t>
            </w:r>
          </w:p>
        </w:tc>
        <w:tc>
          <w:tcPr>
            <w:tcW w:w="2161" w:type="dxa"/>
            <w:tcBorders>
              <w:top w:val="nil"/>
              <w:left w:val="nil"/>
              <w:bottom w:val="nil"/>
              <w:right w:val="nil"/>
            </w:tcBorders>
            <w:shd w:val="clear" w:color="auto" w:fill="auto"/>
            <w:noWrap/>
            <w:vAlign w:val="bottom"/>
          </w:tcPr>
          <w:p w14:paraId="3983AA24"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1 335</w:t>
            </w:r>
          </w:p>
        </w:tc>
        <w:tc>
          <w:tcPr>
            <w:tcW w:w="1399" w:type="dxa"/>
            <w:tcBorders>
              <w:top w:val="nil"/>
              <w:left w:val="nil"/>
              <w:bottom w:val="nil"/>
              <w:right w:val="nil"/>
            </w:tcBorders>
            <w:shd w:val="clear" w:color="auto" w:fill="auto"/>
            <w:noWrap/>
            <w:vAlign w:val="bottom"/>
          </w:tcPr>
          <w:p w14:paraId="0B2303FE"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2.3</w:t>
            </w:r>
          </w:p>
        </w:tc>
      </w:tr>
      <w:tr w:rsidR="009F2AC9" w:rsidRPr="001824FD" w14:paraId="2F1D5767" w14:textId="77777777" w:rsidTr="00BA73EB">
        <w:trPr>
          <w:trHeight w:val="315"/>
        </w:trPr>
        <w:tc>
          <w:tcPr>
            <w:tcW w:w="1860" w:type="dxa"/>
            <w:tcBorders>
              <w:top w:val="nil"/>
              <w:left w:val="nil"/>
              <w:bottom w:val="nil"/>
              <w:right w:val="nil"/>
            </w:tcBorders>
            <w:shd w:val="clear" w:color="auto" w:fill="auto"/>
            <w:noWrap/>
            <w:vAlign w:val="bottom"/>
            <w:hideMark/>
          </w:tcPr>
          <w:p w14:paraId="5B99B9E7" w14:textId="77777777" w:rsidR="009F2AC9" w:rsidRPr="001824FD" w:rsidRDefault="009F2AC9" w:rsidP="009F2AC9">
            <w:pPr>
              <w:tabs>
                <w:tab w:val="clear" w:pos="567"/>
              </w:tabs>
              <w:spacing w:after="0" w:line="240" w:lineRule="auto"/>
              <w:ind w:firstLineChars="100" w:firstLine="200"/>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Local</w:t>
            </w:r>
          </w:p>
        </w:tc>
        <w:tc>
          <w:tcPr>
            <w:tcW w:w="2161" w:type="dxa"/>
            <w:tcBorders>
              <w:top w:val="nil"/>
              <w:left w:val="nil"/>
              <w:bottom w:val="single" w:sz="4" w:space="0" w:color="auto"/>
              <w:right w:val="nil"/>
            </w:tcBorders>
            <w:shd w:val="clear" w:color="auto" w:fill="auto"/>
            <w:noWrap/>
            <w:vAlign w:val="bottom"/>
          </w:tcPr>
          <w:p w14:paraId="337DB081"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4 460</w:t>
            </w:r>
          </w:p>
        </w:tc>
        <w:tc>
          <w:tcPr>
            <w:tcW w:w="1399" w:type="dxa"/>
            <w:tcBorders>
              <w:top w:val="nil"/>
              <w:left w:val="nil"/>
              <w:bottom w:val="single" w:sz="4" w:space="0" w:color="auto"/>
              <w:right w:val="nil"/>
            </w:tcBorders>
            <w:shd w:val="clear" w:color="auto" w:fill="auto"/>
            <w:noWrap/>
            <w:vAlign w:val="bottom"/>
          </w:tcPr>
          <w:p w14:paraId="77E919AE"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7.8</w:t>
            </w:r>
          </w:p>
        </w:tc>
        <w:tc>
          <w:tcPr>
            <w:tcW w:w="2161" w:type="dxa"/>
            <w:tcBorders>
              <w:top w:val="nil"/>
              <w:left w:val="nil"/>
              <w:bottom w:val="single" w:sz="4" w:space="0" w:color="auto"/>
              <w:right w:val="nil"/>
            </w:tcBorders>
            <w:shd w:val="clear" w:color="auto" w:fill="auto"/>
            <w:noWrap/>
            <w:vAlign w:val="bottom"/>
          </w:tcPr>
          <w:p w14:paraId="448B19BA"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4 698</w:t>
            </w:r>
          </w:p>
        </w:tc>
        <w:tc>
          <w:tcPr>
            <w:tcW w:w="1399" w:type="dxa"/>
            <w:tcBorders>
              <w:top w:val="nil"/>
              <w:left w:val="nil"/>
              <w:bottom w:val="single" w:sz="4" w:space="0" w:color="auto"/>
              <w:right w:val="nil"/>
            </w:tcBorders>
            <w:shd w:val="clear" w:color="auto" w:fill="auto"/>
            <w:noWrap/>
            <w:vAlign w:val="bottom"/>
          </w:tcPr>
          <w:p w14:paraId="2766D59B"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8.2</w:t>
            </w:r>
          </w:p>
        </w:tc>
      </w:tr>
      <w:tr w:rsidR="009F2AC9" w:rsidRPr="001824FD" w14:paraId="7A781B73" w14:textId="77777777" w:rsidTr="00BA73EB">
        <w:trPr>
          <w:trHeight w:val="315"/>
        </w:trPr>
        <w:tc>
          <w:tcPr>
            <w:tcW w:w="1860" w:type="dxa"/>
            <w:tcBorders>
              <w:top w:val="nil"/>
              <w:left w:val="nil"/>
              <w:bottom w:val="nil"/>
              <w:right w:val="nil"/>
            </w:tcBorders>
            <w:shd w:val="clear" w:color="auto" w:fill="auto"/>
            <w:noWrap/>
            <w:vAlign w:val="bottom"/>
            <w:hideMark/>
          </w:tcPr>
          <w:p w14:paraId="13AED7D2" w14:textId="77777777" w:rsidR="009F2AC9" w:rsidRPr="001824FD" w:rsidRDefault="009F2AC9" w:rsidP="009F2AC9">
            <w:pPr>
              <w:tabs>
                <w:tab w:val="clear" w:pos="567"/>
              </w:tabs>
              <w:spacing w:after="0" w:line="240" w:lineRule="auto"/>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Total</w:t>
            </w:r>
          </w:p>
        </w:tc>
        <w:tc>
          <w:tcPr>
            <w:tcW w:w="2161" w:type="dxa"/>
            <w:tcBorders>
              <w:top w:val="nil"/>
              <w:left w:val="nil"/>
              <w:bottom w:val="nil"/>
              <w:right w:val="nil"/>
            </w:tcBorders>
            <w:shd w:val="clear" w:color="auto" w:fill="auto"/>
            <w:noWrap/>
            <w:vAlign w:val="bottom"/>
          </w:tcPr>
          <w:p w14:paraId="359A5F1E"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6 284</w:t>
            </w:r>
          </w:p>
        </w:tc>
        <w:tc>
          <w:tcPr>
            <w:tcW w:w="1399" w:type="dxa"/>
            <w:tcBorders>
              <w:top w:val="nil"/>
              <w:left w:val="nil"/>
              <w:bottom w:val="nil"/>
              <w:right w:val="nil"/>
            </w:tcBorders>
            <w:shd w:val="clear" w:color="auto" w:fill="auto"/>
            <w:noWrap/>
            <w:vAlign w:val="bottom"/>
          </w:tcPr>
          <w:p w14:paraId="7E3FD4D7"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11.0</w:t>
            </w:r>
          </w:p>
        </w:tc>
        <w:tc>
          <w:tcPr>
            <w:tcW w:w="2161" w:type="dxa"/>
            <w:tcBorders>
              <w:top w:val="nil"/>
              <w:left w:val="nil"/>
              <w:bottom w:val="nil"/>
              <w:right w:val="nil"/>
            </w:tcBorders>
            <w:shd w:val="clear" w:color="auto" w:fill="auto"/>
            <w:noWrap/>
            <w:vAlign w:val="bottom"/>
          </w:tcPr>
          <w:p w14:paraId="71D53F3A"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6 033</w:t>
            </w:r>
          </w:p>
        </w:tc>
        <w:tc>
          <w:tcPr>
            <w:tcW w:w="1399" w:type="dxa"/>
            <w:tcBorders>
              <w:top w:val="nil"/>
              <w:left w:val="nil"/>
              <w:bottom w:val="nil"/>
              <w:right w:val="nil"/>
            </w:tcBorders>
            <w:shd w:val="clear" w:color="auto" w:fill="auto"/>
            <w:noWrap/>
            <w:vAlign w:val="bottom"/>
          </w:tcPr>
          <w:p w14:paraId="1CE78F7B"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10.6</w:t>
            </w:r>
          </w:p>
        </w:tc>
      </w:tr>
      <w:tr w:rsidR="009F2AC9" w:rsidRPr="001824FD" w14:paraId="3EB1BEED" w14:textId="77777777" w:rsidTr="00BA73EB">
        <w:trPr>
          <w:trHeight w:val="315"/>
        </w:trPr>
        <w:tc>
          <w:tcPr>
            <w:tcW w:w="1860" w:type="dxa"/>
            <w:tcBorders>
              <w:top w:val="nil"/>
              <w:left w:val="nil"/>
              <w:bottom w:val="nil"/>
              <w:right w:val="nil"/>
            </w:tcBorders>
            <w:shd w:val="clear" w:color="auto" w:fill="auto"/>
            <w:noWrap/>
            <w:vAlign w:val="bottom"/>
            <w:hideMark/>
          </w:tcPr>
          <w:p w14:paraId="6CC20CB3" w14:textId="77777777" w:rsidR="009F2AC9" w:rsidRPr="001824FD" w:rsidRDefault="009F2AC9" w:rsidP="009F2AC9">
            <w:pPr>
              <w:tabs>
                <w:tab w:val="clear" w:pos="567"/>
              </w:tabs>
              <w:spacing w:after="0" w:line="240" w:lineRule="auto"/>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Expenses</w:t>
            </w:r>
          </w:p>
        </w:tc>
        <w:tc>
          <w:tcPr>
            <w:tcW w:w="2161" w:type="dxa"/>
            <w:tcBorders>
              <w:top w:val="nil"/>
              <w:left w:val="nil"/>
              <w:bottom w:val="nil"/>
              <w:right w:val="nil"/>
            </w:tcBorders>
            <w:shd w:val="clear" w:color="auto" w:fill="auto"/>
            <w:noWrap/>
            <w:vAlign w:val="bottom"/>
          </w:tcPr>
          <w:p w14:paraId="6B6E2E07" w14:textId="77777777" w:rsidR="009F2AC9" w:rsidRPr="001824FD" w:rsidRDefault="009F2AC9" w:rsidP="009F2AC9">
            <w:pPr>
              <w:tabs>
                <w:tab w:val="clear" w:pos="567"/>
              </w:tabs>
              <w:spacing w:after="0" w:line="240" w:lineRule="auto"/>
              <w:rPr>
                <w:rFonts w:ascii="Calibri" w:eastAsia="Times New Roman" w:hAnsi="Calibri" w:cs="Calibri"/>
                <w:sz w:val="20"/>
                <w:szCs w:val="20"/>
                <w:lang w:eastAsia="en-AU"/>
              </w:rPr>
            </w:pPr>
          </w:p>
        </w:tc>
        <w:tc>
          <w:tcPr>
            <w:tcW w:w="1399" w:type="dxa"/>
            <w:tcBorders>
              <w:top w:val="nil"/>
              <w:left w:val="nil"/>
              <w:bottom w:val="nil"/>
              <w:right w:val="nil"/>
            </w:tcBorders>
            <w:shd w:val="clear" w:color="auto" w:fill="auto"/>
            <w:noWrap/>
            <w:vAlign w:val="bottom"/>
          </w:tcPr>
          <w:p w14:paraId="7CE8BE3F" w14:textId="77777777" w:rsidR="009F2AC9" w:rsidRPr="001824FD" w:rsidRDefault="009F2AC9" w:rsidP="009F2AC9">
            <w:pPr>
              <w:tabs>
                <w:tab w:val="clear" w:pos="567"/>
              </w:tabs>
              <w:spacing w:after="0" w:line="240" w:lineRule="auto"/>
              <w:rPr>
                <w:rFonts w:ascii="Times New Roman" w:eastAsia="Times New Roman" w:hAnsi="Times New Roman" w:cs="Times New Roman"/>
                <w:sz w:val="20"/>
                <w:szCs w:val="20"/>
                <w:lang w:eastAsia="en-AU"/>
              </w:rPr>
            </w:pPr>
          </w:p>
        </w:tc>
        <w:tc>
          <w:tcPr>
            <w:tcW w:w="2161" w:type="dxa"/>
            <w:tcBorders>
              <w:top w:val="nil"/>
              <w:left w:val="nil"/>
              <w:bottom w:val="nil"/>
              <w:right w:val="nil"/>
            </w:tcBorders>
            <w:shd w:val="clear" w:color="auto" w:fill="auto"/>
            <w:noWrap/>
            <w:vAlign w:val="bottom"/>
          </w:tcPr>
          <w:p w14:paraId="07D772E6" w14:textId="77777777" w:rsidR="009F2AC9" w:rsidRPr="001824FD" w:rsidRDefault="009F2AC9" w:rsidP="009F2AC9">
            <w:pPr>
              <w:tabs>
                <w:tab w:val="clear" w:pos="567"/>
              </w:tabs>
              <w:spacing w:after="0" w:line="240" w:lineRule="auto"/>
              <w:rPr>
                <w:rFonts w:ascii="Times New Roman" w:eastAsia="Times New Roman" w:hAnsi="Times New Roman" w:cs="Times New Roman"/>
                <w:sz w:val="20"/>
                <w:szCs w:val="20"/>
                <w:lang w:eastAsia="en-AU"/>
              </w:rPr>
            </w:pPr>
          </w:p>
        </w:tc>
        <w:tc>
          <w:tcPr>
            <w:tcW w:w="1399" w:type="dxa"/>
            <w:tcBorders>
              <w:top w:val="nil"/>
              <w:left w:val="nil"/>
              <w:bottom w:val="nil"/>
              <w:right w:val="nil"/>
            </w:tcBorders>
            <w:shd w:val="clear" w:color="auto" w:fill="auto"/>
            <w:noWrap/>
            <w:vAlign w:val="bottom"/>
          </w:tcPr>
          <w:p w14:paraId="6F5F8658" w14:textId="77777777" w:rsidR="009F2AC9" w:rsidRPr="001824FD" w:rsidRDefault="009F2AC9" w:rsidP="009F2AC9">
            <w:pPr>
              <w:tabs>
                <w:tab w:val="clear" w:pos="567"/>
              </w:tabs>
              <w:spacing w:after="0" w:line="240" w:lineRule="auto"/>
              <w:rPr>
                <w:rFonts w:ascii="Times New Roman" w:eastAsia="Times New Roman" w:hAnsi="Times New Roman" w:cs="Times New Roman"/>
                <w:sz w:val="20"/>
                <w:szCs w:val="20"/>
                <w:lang w:eastAsia="en-AU"/>
              </w:rPr>
            </w:pPr>
          </w:p>
        </w:tc>
      </w:tr>
      <w:tr w:rsidR="009F2AC9" w:rsidRPr="001824FD" w14:paraId="6090FFF2" w14:textId="77777777" w:rsidTr="00BA73EB">
        <w:trPr>
          <w:trHeight w:val="315"/>
        </w:trPr>
        <w:tc>
          <w:tcPr>
            <w:tcW w:w="1860" w:type="dxa"/>
            <w:tcBorders>
              <w:top w:val="nil"/>
              <w:left w:val="nil"/>
              <w:bottom w:val="nil"/>
              <w:right w:val="nil"/>
            </w:tcBorders>
            <w:shd w:val="clear" w:color="auto" w:fill="auto"/>
            <w:noWrap/>
            <w:vAlign w:val="bottom"/>
            <w:hideMark/>
          </w:tcPr>
          <w:p w14:paraId="43F665BC" w14:textId="77777777" w:rsidR="009F2AC9" w:rsidRPr="001824FD" w:rsidRDefault="009F2AC9" w:rsidP="009F2AC9">
            <w:pPr>
              <w:tabs>
                <w:tab w:val="clear" w:pos="567"/>
              </w:tabs>
              <w:spacing w:after="0" w:line="240" w:lineRule="auto"/>
              <w:ind w:firstLineChars="100" w:firstLine="200"/>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State</w:t>
            </w:r>
          </w:p>
        </w:tc>
        <w:tc>
          <w:tcPr>
            <w:tcW w:w="2161" w:type="dxa"/>
            <w:tcBorders>
              <w:top w:val="nil"/>
              <w:left w:val="nil"/>
              <w:bottom w:val="nil"/>
              <w:right w:val="nil"/>
            </w:tcBorders>
            <w:shd w:val="clear" w:color="auto" w:fill="auto"/>
            <w:noWrap/>
            <w:vAlign w:val="bottom"/>
          </w:tcPr>
          <w:p w14:paraId="5EA9BCC1"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18 237</w:t>
            </w:r>
          </w:p>
        </w:tc>
        <w:tc>
          <w:tcPr>
            <w:tcW w:w="1399" w:type="dxa"/>
            <w:tcBorders>
              <w:top w:val="nil"/>
              <w:left w:val="nil"/>
              <w:bottom w:val="nil"/>
              <w:right w:val="nil"/>
            </w:tcBorders>
            <w:shd w:val="clear" w:color="auto" w:fill="auto"/>
            <w:noWrap/>
            <w:vAlign w:val="bottom"/>
          </w:tcPr>
          <w:p w14:paraId="30BB21B0"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32.0</w:t>
            </w:r>
          </w:p>
        </w:tc>
        <w:tc>
          <w:tcPr>
            <w:tcW w:w="2161" w:type="dxa"/>
            <w:tcBorders>
              <w:top w:val="nil"/>
              <w:left w:val="nil"/>
              <w:bottom w:val="nil"/>
              <w:right w:val="nil"/>
            </w:tcBorders>
            <w:shd w:val="clear" w:color="auto" w:fill="auto"/>
            <w:noWrap/>
            <w:vAlign w:val="bottom"/>
          </w:tcPr>
          <w:p w14:paraId="16083428"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18 954</w:t>
            </w:r>
          </w:p>
        </w:tc>
        <w:tc>
          <w:tcPr>
            <w:tcW w:w="1399" w:type="dxa"/>
            <w:tcBorders>
              <w:top w:val="nil"/>
              <w:left w:val="nil"/>
              <w:bottom w:val="nil"/>
              <w:right w:val="nil"/>
            </w:tcBorders>
            <w:shd w:val="clear" w:color="auto" w:fill="auto"/>
            <w:noWrap/>
            <w:vAlign w:val="bottom"/>
          </w:tcPr>
          <w:p w14:paraId="53C5A67E"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33.3</w:t>
            </w:r>
          </w:p>
        </w:tc>
      </w:tr>
      <w:tr w:rsidR="009F2AC9" w:rsidRPr="001824FD" w14:paraId="06E8B4A8" w14:textId="77777777" w:rsidTr="00BA73EB">
        <w:trPr>
          <w:trHeight w:val="315"/>
        </w:trPr>
        <w:tc>
          <w:tcPr>
            <w:tcW w:w="1860" w:type="dxa"/>
            <w:tcBorders>
              <w:top w:val="nil"/>
              <w:left w:val="nil"/>
              <w:bottom w:val="nil"/>
              <w:right w:val="nil"/>
            </w:tcBorders>
            <w:shd w:val="clear" w:color="auto" w:fill="auto"/>
            <w:noWrap/>
            <w:vAlign w:val="bottom"/>
            <w:hideMark/>
          </w:tcPr>
          <w:p w14:paraId="35B7CE64" w14:textId="77777777" w:rsidR="009F2AC9" w:rsidRPr="001824FD" w:rsidRDefault="009F2AC9" w:rsidP="009F2AC9">
            <w:pPr>
              <w:tabs>
                <w:tab w:val="clear" w:pos="567"/>
              </w:tabs>
              <w:spacing w:after="0" w:line="240" w:lineRule="auto"/>
              <w:ind w:firstLineChars="100" w:firstLine="200"/>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Local</w:t>
            </w:r>
          </w:p>
        </w:tc>
        <w:tc>
          <w:tcPr>
            <w:tcW w:w="2161" w:type="dxa"/>
            <w:tcBorders>
              <w:top w:val="nil"/>
              <w:left w:val="nil"/>
              <w:bottom w:val="single" w:sz="4" w:space="0" w:color="auto"/>
              <w:right w:val="nil"/>
            </w:tcBorders>
            <w:shd w:val="clear" w:color="auto" w:fill="auto"/>
            <w:noWrap/>
            <w:vAlign w:val="bottom"/>
          </w:tcPr>
          <w:p w14:paraId="6775A63F"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3 168</w:t>
            </w:r>
          </w:p>
        </w:tc>
        <w:tc>
          <w:tcPr>
            <w:tcW w:w="1399" w:type="dxa"/>
            <w:tcBorders>
              <w:top w:val="nil"/>
              <w:left w:val="nil"/>
              <w:bottom w:val="single" w:sz="4" w:space="0" w:color="auto"/>
              <w:right w:val="nil"/>
            </w:tcBorders>
            <w:shd w:val="clear" w:color="auto" w:fill="auto"/>
            <w:noWrap/>
            <w:vAlign w:val="bottom"/>
          </w:tcPr>
          <w:p w14:paraId="2777A983"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5.6</w:t>
            </w:r>
          </w:p>
        </w:tc>
        <w:tc>
          <w:tcPr>
            <w:tcW w:w="2161" w:type="dxa"/>
            <w:tcBorders>
              <w:top w:val="nil"/>
              <w:left w:val="nil"/>
              <w:bottom w:val="single" w:sz="4" w:space="0" w:color="auto"/>
              <w:right w:val="nil"/>
            </w:tcBorders>
            <w:shd w:val="clear" w:color="auto" w:fill="auto"/>
            <w:noWrap/>
            <w:vAlign w:val="bottom"/>
          </w:tcPr>
          <w:p w14:paraId="34AECC46"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3 980</w:t>
            </w:r>
          </w:p>
        </w:tc>
        <w:tc>
          <w:tcPr>
            <w:tcW w:w="1399" w:type="dxa"/>
            <w:tcBorders>
              <w:top w:val="nil"/>
              <w:left w:val="nil"/>
              <w:bottom w:val="single" w:sz="4" w:space="0" w:color="auto"/>
              <w:right w:val="nil"/>
            </w:tcBorders>
            <w:shd w:val="clear" w:color="auto" w:fill="auto"/>
            <w:noWrap/>
            <w:vAlign w:val="bottom"/>
          </w:tcPr>
          <w:p w14:paraId="30DF706C"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7.0</w:t>
            </w:r>
          </w:p>
        </w:tc>
      </w:tr>
      <w:tr w:rsidR="009F2AC9" w:rsidRPr="001824FD" w14:paraId="5C0341FD" w14:textId="77777777" w:rsidTr="00BA73EB">
        <w:trPr>
          <w:trHeight w:val="315"/>
        </w:trPr>
        <w:tc>
          <w:tcPr>
            <w:tcW w:w="1860" w:type="dxa"/>
            <w:tcBorders>
              <w:top w:val="nil"/>
              <w:left w:val="nil"/>
              <w:bottom w:val="nil"/>
              <w:right w:val="nil"/>
            </w:tcBorders>
            <w:shd w:val="clear" w:color="auto" w:fill="auto"/>
            <w:noWrap/>
            <w:vAlign w:val="bottom"/>
            <w:hideMark/>
          </w:tcPr>
          <w:p w14:paraId="28674735" w14:textId="77777777" w:rsidR="009F2AC9" w:rsidRPr="001824FD" w:rsidRDefault="009F2AC9" w:rsidP="009F2AC9">
            <w:pPr>
              <w:tabs>
                <w:tab w:val="clear" w:pos="567"/>
              </w:tabs>
              <w:spacing w:after="0" w:line="240" w:lineRule="auto"/>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Total</w:t>
            </w:r>
          </w:p>
        </w:tc>
        <w:tc>
          <w:tcPr>
            <w:tcW w:w="2161" w:type="dxa"/>
            <w:tcBorders>
              <w:top w:val="nil"/>
              <w:left w:val="nil"/>
              <w:bottom w:val="nil"/>
              <w:right w:val="nil"/>
            </w:tcBorders>
            <w:shd w:val="clear" w:color="auto" w:fill="auto"/>
            <w:noWrap/>
            <w:vAlign w:val="bottom"/>
          </w:tcPr>
          <w:p w14:paraId="1D237C3F"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21 405</w:t>
            </w:r>
          </w:p>
        </w:tc>
        <w:tc>
          <w:tcPr>
            <w:tcW w:w="1399" w:type="dxa"/>
            <w:tcBorders>
              <w:top w:val="nil"/>
              <w:left w:val="nil"/>
              <w:bottom w:val="nil"/>
              <w:right w:val="nil"/>
            </w:tcBorders>
            <w:shd w:val="clear" w:color="auto" w:fill="auto"/>
            <w:noWrap/>
            <w:vAlign w:val="bottom"/>
          </w:tcPr>
          <w:p w14:paraId="75623501"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37.6</w:t>
            </w:r>
          </w:p>
        </w:tc>
        <w:tc>
          <w:tcPr>
            <w:tcW w:w="2161" w:type="dxa"/>
            <w:tcBorders>
              <w:top w:val="nil"/>
              <w:left w:val="nil"/>
              <w:bottom w:val="nil"/>
              <w:right w:val="nil"/>
            </w:tcBorders>
            <w:shd w:val="clear" w:color="auto" w:fill="auto"/>
            <w:noWrap/>
            <w:vAlign w:val="bottom"/>
          </w:tcPr>
          <w:p w14:paraId="53986970"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22 934</w:t>
            </w:r>
          </w:p>
        </w:tc>
        <w:tc>
          <w:tcPr>
            <w:tcW w:w="1399" w:type="dxa"/>
            <w:tcBorders>
              <w:top w:val="nil"/>
              <w:left w:val="nil"/>
              <w:bottom w:val="nil"/>
              <w:right w:val="nil"/>
            </w:tcBorders>
            <w:shd w:val="clear" w:color="auto" w:fill="auto"/>
            <w:noWrap/>
            <w:vAlign w:val="bottom"/>
          </w:tcPr>
          <w:p w14:paraId="1911D41E"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40.3</w:t>
            </w:r>
          </w:p>
        </w:tc>
      </w:tr>
      <w:tr w:rsidR="009F2AC9" w:rsidRPr="001824FD" w14:paraId="09C76F4E" w14:textId="77777777" w:rsidTr="00BA73EB">
        <w:trPr>
          <w:trHeight w:val="315"/>
        </w:trPr>
        <w:tc>
          <w:tcPr>
            <w:tcW w:w="1860" w:type="dxa"/>
            <w:tcBorders>
              <w:top w:val="nil"/>
              <w:left w:val="nil"/>
              <w:bottom w:val="nil"/>
              <w:right w:val="nil"/>
            </w:tcBorders>
            <w:shd w:val="clear" w:color="auto" w:fill="auto"/>
            <w:noWrap/>
            <w:vAlign w:val="bottom"/>
            <w:hideMark/>
          </w:tcPr>
          <w:p w14:paraId="04075E81" w14:textId="77777777" w:rsidR="009F2AC9" w:rsidRPr="001824FD" w:rsidRDefault="009F2AC9" w:rsidP="009F2AC9">
            <w:pPr>
              <w:tabs>
                <w:tab w:val="clear" w:pos="567"/>
              </w:tabs>
              <w:spacing w:after="0" w:line="240" w:lineRule="auto"/>
              <w:rPr>
                <w:rFonts w:ascii="Calibri" w:eastAsia="Times New Roman" w:hAnsi="Calibri" w:cs="Calibri"/>
                <w:sz w:val="20"/>
                <w:szCs w:val="20"/>
                <w:lang w:eastAsia="en-AU"/>
              </w:rPr>
            </w:pPr>
            <w:r w:rsidRPr="008B0AA9">
              <w:rPr>
                <w:rFonts w:ascii="Calibri" w:eastAsia="Times New Roman" w:hAnsi="Calibri" w:cs="Calibri"/>
                <w:sz w:val="20"/>
                <w:szCs w:val="20"/>
                <w:lang w:eastAsia="en-AU"/>
              </w:rPr>
              <w:t xml:space="preserve">Funding </w:t>
            </w:r>
            <w:r>
              <w:rPr>
                <w:rFonts w:ascii="Calibri" w:eastAsia="Times New Roman" w:hAnsi="Calibri" w:cs="Calibri"/>
                <w:sz w:val="20"/>
                <w:szCs w:val="20"/>
                <w:lang w:eastAsia="en-AU"/>
              </w:rPr>
              <w:t>difference</w:t>
            </w:r>
          </w:p>
        </w:tc>
        <w:tc>
          <w:tcPr>
            <w:tcW w:w="2161" w:type="dxa"/>
            <w:tcBorders>
              <w:top w:val="nil"/>
              <w:left w:val="nil"/>
              <w:bottom w:val="nil"/>
              <w:right w:val="nil"/>
            </w:tcBorders>
            <w:shd w:val="clear" w:color="auto" w:fill="auto"/>
            <w:noWrap/>
            <w:vAlign w:val="bottom"/>
          </w:tcPr>
          <w:p w14:paraId="29C13B4E" w14:textId="77777777" w:rsidR="009F2AC9" w:rsidRPr="001824FD" w:rsidRDefault="009F2AC9" w:rsidP="009F2AC9">
            <w:pPr>
              <w:tabs>
                <w:tab w:val="clear" w:pos="567"/>
              </w:tabs>
              <w:spacing w:after="0" w:line="240" w:lineRule="auto"/>
              <w:rPr>
                <w:rFonts w:ascii="Calibri" w:eastAsia="Times New Roman" w:hAnsi="Calibri" w:cs="Calibri"/>
                <w:sz w:val="20"/>
                <w:szCs w:val="20"/>
                <w:lang w:eastAsia="en-AU"/>
              </w:rPr>
            </w:pPr>
          </w:p>
        </w:tc>
        <w:tc>
          <w:tcPr>
            <w:tcW w:w="1399" w:type="dxa"/>
            <w:tcBorders>
              <w:top w:val="nil"/>
              <w:left w:val="nil"/>
              <w:bottom w:val="nil"/>
              <w:right w:val="nil"/>
            </w:tcBorders>
            <w:shd w:val="clear" w:color="auto" w:fill="auto"/>
            <w:noWrap/>
            <w:vAlign w:val="bottom"/>
          </w:tcPr>
          <w:p w14:paraId="750CDAE7" w14:textId="77777777" w:rsidR="009F2AC9" w:rsidRPr="001824FD" w:rsidRDefault="009F2AC9" w:rsidP="009F2AC9">
            <w:pPr>
              <w:tabs>
                <w:tab w:val="clear" w:pos="567"/>
              </w:tabs>
              <w:spacing w:after="0" w:line="240" w:lineRule="auto"/>
              <w:rPr>
                <w:rFonts w:ascii="Times New Roman" w:eastAsia="Times New Roman" w:hAnsi="Times New Roman" w:cs="Times New Roman"/>
                <w:sz w:val="20"/>
                <w:szCs w:val="20"/>
                <w:lang w:eastAsia="en-AU"/>
              </w:rPr>
            </w:pPr>
          </w:p>
        </w:tc>
        <w:tc>
          <w:tcPr>
            <w:tcW w:w="2161" w:type="dxa"/>
            <w:tcBorders>
              <w:top w:val="nil"/>
              <w:left w:val="nil"/>
              <w:bottom w:val="nil"/>
              <w:right w:val="nil"/>
            </w:tcBorders>
            <w:shd w:val="clear" w:color="auto" w:fill="auto"/>
            <w:noWrap/>
            <w:vAlign w:val="bottom"/>
          </w:tcPr>
          <w:p w14:paraId="0936B945" w14:textId="77777777" w:rsidR="009F2AC9" w:rsidRPr="001824FD" w:rsidRDefault="009F2AC9" w:rsidP="009F2AC9">
            <w:pPr>
              <w:tabs>
                <w:tab w:val="clear" w:pos="567"/>
              </w:tabs>
              <w:spacing w:after="0" w:line="240" w:lineRule="auto"/>
              <w:rPr>
                <w:rFonts w:ascii="Times New Roman" w:eastAsia="Times New Roman" w:hAnsi="Times New Roman" w:cs="Times New Roman"/>
                <w:sz w:val="20"/>
                <w:szCs w:val="20"/>
                <w:lang w:eastAsia="en-AU"/>
              </w:rPr>
            </w:pPr>
          </w:p>
        </w:tc>
        <w:tc>
          <w:tcPr>
            <w:tcW w:w="1399" w:type="dxa"/>
            <w:tcBorders>
              <w:top w:val="nil"/>
              <w:left w:val="nil"/>
              <w:bottom w:val="nil"/>
              <w:right w:val="nil"/>
            </w:tcBorders>
            <w:shd w:val="clear" w:color="auto" w:fill="auto"/>
            <w:noWrap/>
            <w:vAlign w:val="bottom"/>
          </w:tcPr>
          <w:p w14:paraId="136E4E88" w14:textId="77777777" w:rsidR="009F2AC9" w:rsidRPr="001824FD" w:rsidRDefault="009F2AC9" w:rsidP="009F2AC9">
            <w:pPr>
              <w:tabs>
                <w:tab w:val="clear" w:pos="567"/>
              </w:tabs>
              <w:spacing w:after="0" w:line="240" w:lineRule="auto"/>
              <w:rPr>
                <w:rFonts w:ascii="Times New Roman" w:eastAsia="Times New Roman" w:hAnsi="Times New Roman" w:cs="Times New Roman"/>
                <w:sz w:val="20"/>
                <w:szCs w:val="20"/>
                <w:lang w:eastAsia="en-AU"/>
              </w:rPr>
            </w:pPr>
          </w:p>
        </w:tc>
      </w:tr>
      <w:tr w:rsidR="009F2AC9" w:rsidRPr="001824FD" w14:paraId="2456616E" w14:textId="77777777" w:rsidTr="00BA73EB">
        <w:trPr>
          <w:trHeight w:val="315"/>
        </w:trPr>
        <w:tc>
          <w:tcPr>
            <w:tcW w:w="1860" w:type="dxa"/>
            <w:tcBorders>
              <w:top w:val="nil"/>
              <w:left w:val="nil"/>
              <w:bottom w:val="nil"/>
              <w:right w:val="nil"/>
            </w:tcBorders>
            <w:shd w:val="clear" w:color="auto" w:fill="auto"/>
            <w:noWrap/>
            <w:vAlign w:val="bottom"/>
            <w:hideMark/>
          </w:tcPr>
          <w:p w14:paraId="4305CA25" w14:textId="77777777" w:rsidR="009F2AC9" w:rsidRPr="001824FD" w:rsidRDefault="009F2AC9" w:rsidP="009F2AC9">
            <w:pPr>
              <w:tabs>
                <w:tab w:val="clear" w:pos="567"/>
              </w:tabs>
              <w:spacing w:after="0" w:line="240" w:lineRule="auto"/>
              <w:ind w:firstLineChars="100" w:firstLine="200"/>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State</w:t>
            </w:r>
          </w:p>
        </w:tc>
        <w:tc>
          <w:tcPr>
            <w:tcW w:w="2161" w:type="dxa"/>
            <w:tcBorders>
              <w:top w:val="nil"/>
              <w:left w:val="nil"/>
              <w:bottom w:val="nil"/>
              <w:right w:val="nil"/>
            </w:tcBorders>
            <w:shd w:val="clear" w:color="auto" w:fill="auto"/>
            <w:noWrap/>
            <w:vAlign w:val="bottom"/>
          </w:tcPr>
          <w:p w14:paraId="5028B9DE"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-16 413</w:t>
            </w:r>
          </w:p>
        </w:tc>
        <w:tc>
          <w:tcPr>
            <w:tcW w:w="1399" w:type="dxa"/>
            <w:tcBorders>
              <w:top w:val="nil"/>
              <w:left w:val="nil"/>
              <w:bottom w:val="nil"/>
              <w:right w:val="nil"/>
            </w:tcBorders>
            <w:shd w:val="clear" w:color="auto" w:fill="auto"/>
            <w:noWrap/>
            <w:vAlign w:val="bottom"/>
          </w:tcPr>
          <w:p w14:paraId="456F5DFA"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-28.8</w:t>
            </w:r>
          </w:p>
        </w:tc>
        <w:tc>
          <w:tcPr>
            <w:tcW w:w="2161" w:type="dxa"/>
            <w:tcBorders>
              <w:top w:val="nil"/>
              <w:left w:val="nil"/>
              <w:bottom w:val="nil"/>
              <w:right w:val="nil"/>
            </w:tcBorders>
            <w:shd w:val="clear" w:color="auto" w:fill="auto"/>
            <w:noWrap/>
            <w:vAlign w:val="bottom"/>
          </w:tcPr>
          <w:p w14:paraId="5C7521FA"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-17 619</w:t>
            </w:r>
          </w:p>
        </w:tc>
        <w:tc>
          <w:tcPr>
            <w:tcW w:w="1399" w:type="dxa"/>
            <w:tcBorders>
              <w:top w:val="nil"/>
              <w:left w:val="nil"/>
              <w:bottom w:val="nil"/>
              <w:right w:val="nil"/>
            </w:tcBorders>
            <w:shd w:val="clear" w:color="auto" w:fill="auto"/>
            <w:noWrap/>
            <w:vAlign w:val="bottom"/>
          </w:tcPr>
          <w:p w14:paraId="14A54BB7"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-30.9</w:t>
            </w:r>
          </w:p>
        </w:tc>
      </w:tr>
      <w:tr w:rsidR="009F2AC9" w:rsidRPr="001824FD" w14:paraId="42A58D29" w14:textId="77777777" w:rsidTr="00BA73EB">
        <w:trPr>
          <w:trHeight w:val="315"/>
        </w:trPr>
        <w:tc>
          <w:tcPr>
            <w:tcW w:w="1860" w:type="dxa"/>
            <w:tcBorders>
              <w:top w:val="nil"/>
              <w:left w:val="nil"/>
              <w:bottom w:val="nil"/>
              <w:right w:val="nil"/>
            </w:tcBorders>
            <w:shd w:val="clear" w:color="auto" w:fill="auto"/>
            <w:noWrap/>
            <w:vAlign w:val="bottom"/>
            <w:hideMark/>
          </w:tcPr>
          <w:p w14:paraId="20E48A69" w14:textId="77777777" w:rsidR="009F2AC9" w:rsidRPr="001824FD" w:rsidRDefault="009F2AC9" w:rsidP="009F2AC9">
            <w:pPr>
              <w:tabs>
                <w:tab w:val="clear" w:pos="567"/>
              </w:tabs>
              <w:spacing w:after="0" w:line="240" w:lineRule="auto"/>
              <w:ind w:firstLineChars="100" w:firstLine="200"/>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Local</w:t>
            </w:r>
          </w:p>
        </w:tc>
        <w:tc>
          <w:tcPr>
            <w:tcW w:w="2161" w:type="dxa"/>
            <w:tcBorders>
              <w:top w:val="nil"/>
              <w:left w:val="nil"/>
              <w:bottom w:val="single" w:sz="4" w:space="0" w:color="auto"/>
              <w:right w:val="nil"/>
            </w:tcBorders>
            <w:shd w:val="clear" w:color="auto" w:fill="auto"/>
            <w:noWrap/>
            <w:vAlign w:val="bottom"/>
          </w:tcPr>
          <w:p w14:paraId="7A9EA2A0"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1 292</w:t>
            </w:r>
          </w:p>
        </w:tc>
        <w:tc>
          <w:tcPr>
            <w:tcW w:w="1399" w:type="dxa"/>
            <w:tcBorders>
              <w:top w:val="nil"/>
              <w:left w:val="nil"/>
              <w:bottom w:val="single" w:sz="4" w:space="0" w:color="auto"/>
              <w:right w:val="nil"/>
            </w:tcBorders>
            <w:shd w:val="clear" w:color="auto" w:fill="auto"/>
            <w:noWrap/>
            <w:vAlign w:val="bottom"/>
          </w:tcPr>
          <w:p w14:paraId="32D1D514"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2.3</w:t>
            </w:r>
          </w:p>
        </w:tc>
        <w:tc>
          <w:tcPr>
            <w:tcW w:w="2161" w:type="dxa"/>
            <w:tcBorders>
              <w:top w:val="nil"/>
              <w:left w:val="nil"/>
              <w:bottom w:val="single" w:sz="4" w:space="0" w:color="auto"/>
              <w:right w:val="nil"/>
            </w:tcBorders>
            <w:shd w:val="clear" w:color="auto" w:fill="auto"/>
            <w:noWrap/>
            <w:vAlign w:val="bottom"/>
          </w:tcPr>
          <w:p w14:paraId="36E82AF8"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717</w:t>
            </w:r>
          </w:p>
        </w:tc>
        <w:tc>
          <w:tcPr>
            <w:tcW w:w="1399" w:type="dxa"/>
            <w:tcBorders>
              <w:top w:val="nil"/>
              <w:left w:val="nil"/>
              <w:bottom w:val="single" w:sz="4" w:space="0" w:color="auto"/>
              <w:right w:val="nil"/>
            </w:tcBorders>
            <w:shd w:val="clear" w:color="auto" w:fill="auto"/>
            <w:noWrap/>
            <w:vAlign w:val="bottom"/>
          </w:tcPr>
          <w:p w14:paraId="03C5499C"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1.3</w:t>
            </w:r>
          </w:p>
        </w:tc>
      </w:tr>
      <w:tr w:rsidR="009F2AC9" w:rsidRPr="001824FD" w14:paraId="27F15033" w14:textId="77777777" w:rsidTr="00BA73EB">
        <w:trPr>
          <w:trHeight w:val="315"/>
        </w:trPr>
        <w:tc>
          <w:tcPr>
            <w:tcW w:w="1860" w:type="dxa"/>
            <w:tcBorders>
              <w:top w:val="nil"/>
              <w:left w:val="nil"/>
              <w:bottom w:val="single" w:sz="4" w:space="0" w:color="auto"/>
              <w:right w:val="nil"/>
            </w:tcBorders>
            <w:shd w:val="clear" w:color="auto" w:fill="auto"/>
            <w:noWrap/>
            <w:vAlign w:val="bottom"/>
            <w:hideMark/>
          </w:tcPr>
          <w:p w14:paraId="64252D2B" w14:textId="77777777" w:rsidR="009F2AC9" w:rsidRPr="001824FD" w:rsidRDefault="009F2AC9" w:rsidP="009F2AC9">
            <w:pPr>
              <w:tabs>
                <w:tab w:val="clear" w:pos="567"/>
              </w:tabs>
              <w:spacing w:after="0" w:line="240" w:lineRule="auto"/>
              <w:rPr>
                <w:rFonts w:ascii="Calibri" w:eastAsia="Times New Roman" w:hAnsi="Calibri" w:cs="Calibri"/>
                <w:sz w:val="20"/>
                <w:szCs w:val="20"/>
                <w:lang w:eastAsia="en-AU"/>
              </w:rPr>
            </w:pPr>
            <w:r w:rsidRPr="001824FD">
              <w:rPr>
                <w:rFonts w:ascii="Calibri" w:eastAsia="Times New Roman" w:hAnsi="Calibri" w:cs="Calibri"/>
                <w:sz w:val="20"/>
                <w:szCs w:val="20"/>
                <w:lang w:eastAsia="en-AU"/>
              </w:rPr>
              <w:t>Total</w:t>
            </w:r>
          </w:p>
        </w:tc>
        <w:tc>
          <w:tcPr>
            <w:tcW w:w="2161" w:type="dxa"/>
            <w:tcBorders>
              <w:top w:val="nil"/>
              <w:left w:val="nil"/>
              <w:bottom w:val="single" w:sz="4" w:space="0" w:color="auto"/>
              <w:right w:val="nil"/>
            </w:tcBorders>
            <w:shd w:val="clear" w:color="auto" w:fill="auto"/>
            <w:noWrap/>
            <w:vAlign w:val="bottom"/>
          </w:tcPr>
          <w:p w14:paraId="0142AB35"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-15 121</w:t>
            </w:r>
          </w:p>
        </w:tc>
        <w:tc>
          <w:tcPr>
            <w:tcW w:w="1399" w:type="dxa"/>
            <w:tcBorders>
              <w:top w:val="nil"/>
              <w:left w:val="nil"/>
              <w:bottom w:val="single" w:sz="4" w:space="0" w:color="auto"/>
              <w:right w:val="nil"/>
            </w:tcBorders>
            <w:shd w:val="clear" w:color="auto" w:fill="auto"/>
            <w:noWrap/>
            <w:vAlign w:val="bottom"/>
          </w:tcPr>
          <w:p w14:paraId="75AEC8E6"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-26.6</w:t>
            </w:r>
          </w:p>
        </w:tc>
        <w:tc>
          <w:tcPr>
            <w:tcW w:w="2161" w:type="dxa"/>
            <w:tcBorders>
              <w:top w:val="nil"/>
              <w:left w:val="nil"/>
              <w:bottom w:val="single" w:sz="4" w:space="0" w:color="auto"/>
              <w:right w:val="nil"/>
            </w:tcBorders>
            <w:shd w:val="clear" w:color="auto" w:fill="auto"/>
            <w:noWrap/>
            <w:vAlign w:val="bottom"/>
          </w:tcPr>
          <w:p w14:paraId="4D5E05AF"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-16 901</w:t>
            </w:r>
          </w:p>
        </w:tc>
        <w:tc>
          <w:tcPr>
            <w:tcW w:w="1399" w:type="dxa"/>
            <w:tcBorders>
              <w:top w:val="nil"/>
              <w:left w:val="nil"/>
              <w:bottom w:val="single" w:sz="4" w:space="0" w:color="auto"/>
              <w:right w:val="nil"/>
            </w:tcBorders>
            <w:shd w:val="clear" w:color="auto" w:fill="auto"/>
            <w:noWrap/>
            <w:vAlign w:val="bottom"/>
          </w:tcPr>
          <w:p w14:paraId="2B0CDFC5" w14:textId="77777777" w:rsidR="009F2AC9" w:rsidRPr="001824FD" w:rsidRDefault="009F2AC9" w:rsidP="009F2AC9">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-29.7</w:t>
            </w:r>
          </w:p>
        </w:tc>
      </w:tr>
    </w:tbl>
    <w:p w14:paraId="6F9E80E0" w14:textId="77777777" w:rsidR="00F246BF" w:rsidRDefault="00F246BF" w:rsidP="00F246BF">
      <w:pPr>
        <w:pStyle w:val="CGCTableFootnote"/>
      </w:pPr>
      <w:r>
        <w:t>Source:</w:t>
      </w:r>
      <w:r>
        <w:tab/>
        <w:t xml:space="preserve">Commission staff </w:t>
      </w:r>
      <w:r w:rsidR="00E62A64">
        <w:t>calculation</w:t>
      </w:r>
      <w:r>
        <w:t>.</w:t>
      </w:r>
    </w:p>
    <w:p w14:paraId="2EC3151A" w14:textId="77777777" w:rsidR="00F246BF" w:rsidRDefault="00F246BF" w:rsidP="00366FA1">
      <w:pPr>
        <w:pStyle w:val="CGCNumberedPara"/>
        <w:numPr>
          <w:ilvl w:val="1"/>
          <w:numId w:val="3"/>
        </w:numPr>
        <w:tabs>
          <w:tab w:val="clear" w:pos="567"/>
        </w:tabs>
      </w:pPr>
      <w:r>
        <w:t xml:space="preserve">The service delivery arrangements on </w:t>
      </w:r>
      <w:r w:rsidR="006A3206">
        <w:t>Norfolk</w:t>
      </w:r>
      <w:r>
        <w:t xml:space="preserve"> </w:t>
      </w:r>
      <w:r w:rsidR="00B96429">
        <w:t xml:space="preserve">Island </w:t>
      </w:r>
      <w:r>
        <w:t>are such that the allocation of actual revenues and expenses between</w:t>
      </w:r>
      <w:r w:rsidR="006A3206">
        <w:t xml:space="preserve"> the</w:t>
      </w:r>
      <w:r>
        <w:t xml:space="preserve"> State and local government</w:t>
      </w:r>
      <w:r w:rsidR="006A3206">
        <w:t xml:space="preserve"> levels</w:t>
      </w:r>
      <w:r>
        <w:t xml:space="preserve"> are more accurate than in previous inquiries. The main</w:t>
      </w:r>
      <w:r w:rsidR="006A3206">
        <w:t xml:space="preserve"> exception </w:t>
      </w:r>
      <w:r w:rsidR="001F4552">
        <w:t>is</w:t>
      </w:r>
      <w:r w:rsidR="006A3206">
        <w:t xml:space="preserve"> </w:t>
      </w:r>
      <w:r>
        <w:t>tourism expenses</w:t>
      </w:r>
      <w:r w:rsidR="006A3206">
        <w:t xml:space="preserve"> where the actual shares of State and local government tourism expenses for Australia</w:t>
      </w:r>
      <w:r w:rsidR="00AA4C3D">
        <w:t xml:space="preserve"> were used to allocate total assessed tourism expenses for Norfolk</w:t>
      </w:r>
      <w:r w:rsidR="00E32472">
        <w:t xml:space="preserve"> Island</w:t>
      </w:r>
      <w:r w:rsidR="00AA4C3D">
        <w:t>.</w:t>
      </w:r>
      <w:r>
        <w:t xml:space="preserve"> If more tourism expenses were allocated to local government, the assessed surplus for </w:t>
      </w:r>
      <w:r w:rsidR="00AA4C3D">
        <w:t xml:space="preserve">local government services </w:t>
      </w:r>
      <w:r>
        <w:t xml:space="preserve">would </w:t>
      </w:r>
      <w:r w:rsidR="001F4552">
        <w:t>be</w:t>
      </w:r>
      <w:r>
        <w:t xml:space="preserve"> smaller. </w:t>
      </w:r>
    </w:p>
    <w:p w14:paraId="0D0D4683" w14:textId="77777777" w:rsidR="00F246BF" w:rsidRDefault="00F246BF" w:rsidP="00F246BF">
      <w:pPr>
        <w:pStyle w:val="Heading3"/>
      </w:pPr>
      <w:bookmarkStart w:id="383" w:name="_Toc17105402"/>
      <w:bookmarkStart w:id="384" w:name="_Toc17105454"/>
      <w:bookmarkStart w:id="385" w:name="_Toc17105610"/>
      <w:bookmarkStart w:id="386" w:name="_Toc17380477"/>
      <w:bookmarkStart w:id="387" w:name="_Toc19262929"/>
      <w:bookmarkStart w:id="388" w:name="_Toc23847474"/>
      <w:r>
        <w:t>Infrastructure</w:t>
      </w:r>
      <w:bookmarkEnd w:id="383"/>
      <w:bookmarkEnd w:id="384"/>
      <w:bookmarkEnd w:id="385"/>
      <w:bookmarkEnd w:id="386"/>
      <w:bookmarkEnd w:id="387"/>
      <w:bookmarkEnd w:id="388"/>
    </w:p>
    <w:p w14:paraId="5156CEAE" w14:textId="77777777" w:rsidR="00F246BF" w:rsidRDefault="00AA4C3D" w:rsidP="00F246BF">
      <w:pPr>
        <w:pStyle w:val="CGCNumberedPara"/>
        <w:numPr>
          <w:ilvl w:val="1"/>
          <w:numId w:val="3"/>
        </w:numPr>
        <w:tabs>
          <w:tab w:val="clear" w:pos="567"/>
        </w:tabs>
      </w:pPr>
      <w:r>
        <w:t xml:space="preserve">Our assessments </w:t>
      </w:r>
      <w:r w:rsidR="00F246BF">
        <w:t>allow for the replacement of infrastructure at the rate and level in comparable communities through a depreciation allowance. However, they make no allowance</w:t>
      </w:r>
      <w:r w:rsidR="00B363EE">
        <w:t xml:space="preserve"> for</w:t>
      </w:r>
      <w:r w:rsidR="00F246BF">
        <w:t>:</w:t>
      </w:r>
    </w:p>
    <w:p w14:paraId="0A43C0CE" w14:textId="77777777" w:rsidR="00F246BF" w:rsidRDefault="00F246BF" w:rsidP="00F246BF">
      <w:pPr>
        <w:pStyle w:val="CGCBulletlist"/>
        <w:tabs>
          <w:tab w:val="clear" w:pos="927"/>
        </w:tabs>
        <w:ind w:left="1134" w:hanging="567"/>
      </w:pPr>
      <w:r>
        <w:t xml:space="preserve">capital expenditure on new </w:t>
      </w:r>
      <w:r w:rsidR="00B363EE">
        <w:t>infrastructure</w:t>
      </w:r>
      <w:r>
        <w:t xml:space="preserve"> assets at a rate comparable to that in comparable communities</w:t>
      </w:r>
    </w:p>
    <w:p w14:paraId="64485F46" w14:textId="77777777" w:rsidR="00F246BF" w:rsidRDefault="00F246BF" w:rsidP="00F246BF">
      <w:pPr>
        <w:pStyle w:val="CGCBulletlist"/>
        <w:tabs>
          <w:tab w:val="clear" w:pos="927"/>
        </w:tabs>
        <w:ind w:left="1134" w:hanging="567"/>
      </w:pPr>
      <w:r>
        <w:t xml:space="preserve">any infrastructure backlog compared to other communities </w:t>
      </w:r>
    </w:p>
    <w:p w14:paraId="477BE25C" w14:textId="77777777" w:rsidR="00F246BF" w:rsidRDefault="00F246BF" w:rsidP="00F246BF">
      <w:pPr>
        <w:pStyle w:val="CGCBulletlist"/>
        <w:tabs>
          <w:tab w:val="clear" w:pos="927"/>
        </w:tabs>
        <w:ind w:left="1134" w:hanging="567"/>
      </w:pPr>
      <w:r>
        <w:t>any capital expenditure or depreciation for assets</w:t>
      </w:r>
      <w:r w:rsidR="00B363EE">
        <w:t xml:space="preserve"> of government business enterprises</w:t>
      </w:r>
      <w:r>
        <w:t xml:space="preserve">, including the airport runway, port and telecommunications assets, although the net financial flows between </w:t>
      </w:r>
      <w:r w:rsidR="00AA4C3D">
        <w:t>those enterprises</w:t>
      </w:r>
      <w:r>
        <w:t xml:space="preserve"> and </w:t>
      </w:r>
      <w:r w:rsidR="00007084">
        <w:t xml:space="preserve">NIRC </w:t>
      </w:r>
      <w:r>
        <w:t xml:space="preserve">are included in the estimated </w:t>
      </w:r>
      <w:r w:rsidR="002B3677">
        <w:t>difference</w:t>
      </w:r>
      <w:r w:rsidR="001C5638">
        <w:t>. F</w:t>
      </w:r>
      <w:r>
        <w:t xml:space="preserve">or example, the subsidy for the operation of port and net profit of the airport </w:t>
      </w:r>
      <w:r w:rsidR="001C5638">
        <w:t>and other government business enterprises are</w:t>
      </w:r>
      <w:r>
        <w:t xml:space="preserve"> included</w:t>
      </w:r>
      <w:r w:rsidR="001C5638">
        <w:t xml:space="preserve"> in other revenue</w:t>
      </w:r>
      <w:r>
        <w:t>.</w:t>
      </w:r>
    </w:p>
    <w:p w14:paraId="76A7CCC5" w14:textId="77777777" w:rsidR="00F246BF" w:rsidRDefault="00F246BF" w:rsidP="00F246BF">
      <w:pPr>
        <w:pStyle w:val="CGCNumberedPara"/>
        <w:numPr>
          <w:ilvl w:val="1"/>
          <w:numId w:val="3"/>
        </w:numPr>
        <w:tabs>
          <w:tab w:val="clear" w:pos="567"/>
        </w:tabs>
      </w:pPr>
      <w:r>
        <w:lastRenderedPageBreak/>
        <w:t xml:space="preserve">Our estimates assume that depreciation provides for the replacement of assets, either </w:t>
      </w:r>
      <w:r w:rsidR="00B363EE">
        <w:t>annually</w:t>
      </w:r>
      <w:r>
        <w:t xml:space="preserve">, or through accumulated financial balances. To the extent that appropriate financial balances have not been accumulated, including </w:t>
      </w:r>
      <w:r w:rsidR="00B363EE">
        <w:t>for</w:t>
      </w:r>
      <w:r>
        <w:t xml:space="preserve"> </w:t>
      </w:r>
      <w:r w:rsidR="00AA4C3D">
        <w:t>business enterprises</w:t>
      </w:r>
      <w:r>
        <w:t xml:space="preserve"> such as the electricity</w:t>
      </w:r>
      <w:r w:rsidR="001C5638">
        <w:t>, telecommunications</w:t>
      </w:r>
      <w:r>
        <w:t xml:space="preserve"> and </w:t>
      </w:r>
      <w:r w:rsidR="00B363EE">
        <w:t xml:space="preserve">the </w:t>
      </w:r>
      <w:r>
        <w:t xml:space="preserve">airport, then </w:t>
      </w:r>
      <w:r w:rsidR="00AA4C3D">
        <w:t xml:space="preserve">additional funding may be required </w:t>
      </w:r>
      <w:r>
        <w:t>when major assets need replacing.</w:t>
      </w:r>
      <w:r w:rsidR="001F4552">
        <w:t xml:space="preserve"> </w:t>
      </w:r>
    </w:p>
    <w:p w14:paraId="1E678A3E" w14:textId="77777777" w:rsidR="001C5638" w:rsidRDefault="00007084" w:rsidP="00F246BF">
      <w:pPr>
        <w:pStyle w:val="CGCNumberedPara"/>
        <w:numPr>
          <w:ilvl w:val="1"/>
          <w:numId w:val="3"/>
        </w:numPr>
        <w:tabs>
          <w:tab w:val="clear" w:pos="567"/>
        </w:tabs>
      </w:pPr>
      <w:r>
        <w:t xml:space="preserve">NIRC’s </w:t>
      </w:r>
      <w:r w:rsidR="001C5638">
        <w:t>financial statements for 2017</w:t>
      </w:r>
      <w:r w:rsidR="001C5638">
        <w:noBreakHyphen/>
        <w:t xml:space="preserve">18 include depreciation expenses for all government business enterprises. </w:t>
      </w:r>
      <w:r w:rsidR="003B5485">
        <w:t>However, i</w:t>
      </w:r>
      <w:r w:rsidR="001C5638">
        <w:t xml:space="preserve">t is unclear whether these funds are being used to finance the replacement of assets as they age. </w:t>
      </w:r>
    </w:p>
    <w:p w14:paraId="052F3CED" w14:textId="77777777" w:rsidR="001C5638" w:rsidRDefault="001C5638" w:rsidP="00F246BF">
      <w:pPr>
        <w:pStyle w:val="CGCNumberedPara"/>
        <w:numPr>
          <w:ilvl w:val="1"/>
          <w:numId w:val="3"/>
        </w:numPr>
        <w:tabs>
          <w:tab w:val="clear" w:pos="567"/>
        </w:tabs>
      </w:pPr>
      <w:r>
        <w:t>The following sections include further observations about major economic infrastructure owned by</w:t>
      </w:r>
      <w:r w:rsidR="00673C3A">
        <w:t xml:space="preserve"> NIRC</w:t>
      </w:r>
      <w:r>
        <w:t>, and observations about how this infrastructure is provided in comparable communities.</w:t>
      </w:r>
    </w:p>
    <w:p w14:paraId="0040FFC2" w14:textId="77777777" w:rsidR="00B363EE" w:rsidRDefault="00B363EE" w:rsidP="00B363EE">
      <w:pPr>
        <w:pStyle w:val="Heading4"/>
      </w:pPr>
      <w:bookmarkStart w:id="389" w:name="_Toc17105403"/>
      <w:bookmarkStart w:id="390" w:name="_Toc17105455"/>
      <w:bookmarkStart w:id="391" w:name="_Toc17105611"/>
      <w:bookmarkStart w:id="392" w:name="_Toc17380478"/>
      <w:bookmarkStart w:id="393" w:name="_Toc19262930"/>
      <w:bookmarkStart w:id="394" w:name="_Toc23847475"/>
      <w:r>
        <w:t>Ports</w:t>
      </w:r>
      <w:bookmarkEnd w:id="389"/>
      <w:bookmarkEnd w:id="390"/>
      <w:bookmarkEnd w:id="391"/>
      <w:bookmarkEnd w:id="392"/>
      <w:bookmarkEnd w:id="393"/>
      <w:bookmarkEnd w:id="394"/>
    </w:p>
    <w:p w14:paraId="58A056AB" w14:textId="77777777" w:rsidR="00D7416A" w:rsidRDefault="004D2ED1" w:rsidP="00B363EE">
      <w:pPr>
        <w:pStyle w:val="CGCNumberedPara"/>
      </w:pPr>
      <w:r>
        <w:t xml:space="preserve">NIRC </w:t>
      </w:r>
      <w:r w:rsidR="00B363EE">
        <w:t xml:space="preserve">operates the </w:t>
      </w:r>
      <w:r w:rsidR="003B5485">
        <w:t xml:space="preserve">Island’s </w:t>
      </w:r>
      <w:r w:rsidR="00252D82">
        <w:t>three</w:t>
      </w:r>
      <w:r w:rsidR="003B5485">
        <w:t xml:space="preserve"> ports</w:t>
      </w:r>
      <w:r w:rsidR="00896B42">
        <w:rPr>
          <w:rStyle w:val="FootnoteReference"/>
        </w:rPr>
        <w:footnoteReference w:id="8"/>
      </w:r>
      <w:r w:rsidR="003B5485">
        <w:t xml:space="preserve"> and the </w:t>
      </w:r>
      <w:r w:rsidR="00B363EE">
        <w:t>lighterage services for loading and unloading sea freight</w:t>
      </w:r>
      <w:r w:rsidR="00D7416A">
        <w:t xml:space="preserve">. Since this is </w:t>
      </w:r>
      <w:r w:rsidR="003B5485">
        <w:t xml:space="preserve">usually </w:t>
      </w:r>
      <w:r w:rsidR="00480118">
        <w:t xml:space="preserve">a State-type service, </w:t>
      </w:r>
      <w:r w:rsidR="008F4885">
        <w:t>the Department</w:t>
      </w:r>
      <w:r w:rsidR="00480118">
        <w:t xml:space="preserve"> </w:t>
      </w:r>
      <w:r w:rsidR="00D7416A">
        <w:t xml:space="preserve">through a service delivery agreement funds the net cost of this service. </w:t>
      </w:r>
    </w:p>
    <w:p w14:paraId="1A29C9DF" w14:textId="77777777" w:rsidR="00B363EE" w:rsidRDefault="00B363EE" w:rsidP="00B363EE">
      <w:pPr>
        <w:pStyle w:val="CGCNumberedPara"/>
      </w:pPr>
      <w:r>
        <w:t xml:space="preserve">In </w:t>
      </w:r>
      <w:r w:rsidR="00D7416A">
        <w:t xml:space="preserve">the </w:t>
      </w:r>
      <w:r>
        <w:t xml:space="preserve">States, </w:t>
      </w:r>
      <w:r w:rsidR="00D7416A">
        <w:t xml:space="preserve">port </w:t>
      </w:r>
      <w:r>
        <w:t>operations are conducted on a full cost recovery basis, so there is generally no impact on State budgets</w:t>
      </w:r>
      <w:r w:rsidR="00D7416A">
        <w:t>, other than through the receipt of dividends and tax equivalent payments</w:t>
      </w:r>
      <w:r>
        <w:t>.</w:t>
      </w:r>
      <w:r w:rsidR="00D7416A">
        <w:rPr>
          <w:rStyle w:val="FootnoteReference"/>
        </w:rPr>
        <w:footnoteReference w:id="9"/>
      </w:r>
      <w:r>
        <w:t xml:space="preserve"> </w:t>
      </w:r>
      <w:r w:rsidR="0059707B">
        <w:t xml:space="preserve">However, </w:t>
      </w:r>
      <w:r w:rsidR="005E03C2">
        <w:t xml:space="preserve">the </w:t>
      </w:r>
      <w:r w:rsidR="0059707B">
        <w:t>relatively low levels of traffic and high overheads</w:t>
      </w:r>
      <w:r w:rsidR="005E03C2">
        <w:t xml:space="preserve"> on the Island</w:t>
      </w:r>
      <w:r w:rsidR="0059707B">
        <w:t xml:space="preserve"> mean any </w:t>
      </w:r>
      <w:r>
        <w:t>at</w:t>
      </w:r>
      <w:r w:rsidR="00D7416A">
        <w:t xml:space="preserve">tempt to fully recover operating and capital </w:t>
      </w:r>
      <w:r w:rsidR="0059707B">
        <w:t>costs</w:t>
      </w:r>
      <w:r>
        <w:t xml:space="preserve"> would make freight </w:t>
      </w:r>
      <w:r w:rsidR="00D7416A">
        <w:t xml:space="preserve">charges extremely prohibitive. </w:t>
      </w:r>
      <w:r>
        <w:t>It would impose substantial costs on the community compared to the status quo</w:t>
      </w:r>
      <w:r w:rsidR="00D7416A">
        <w:t xml:space="preserve">. </w:t>
      </w:r>
    </w:p>
    <w:p w14:paraId="50323984" w14:textId="77777777" w:rsidR="0080539A" w:rsidRDefault="0080539A" w:rsidP="00B363EE">
      <w:pPr>
        <w:pStyle w:val="CGCNumberedPara"/>
      </w:pPr>
      <w:r>
        <w:t xml:space="preserve">We understand that the current </w:t>
      </w:r>
      <w:r w:rsidR="0059707B">
        <w:t xml:space="preserve">charges on Norfolk </w:t>
      </w:r>
      <w:r w:rsidR="005E03C2">
        <w:t xml:space="preserve">Island </w:t>
      </w:r>
      <w:r w:rsidR="0059707B">
        <w:t xml:space="preserve">are </w:t>
      </w:r>
      <w:r>
        <w:t xml:space="preserve">only intended to </w:t>
      </w:r>
      <w:r w:rsidR="0059707B">
        <w:t>re</w:t>
      </w:r>
      <w:r>
        <w:t xml:space="preserve">cover the costs of managing and operating the port, and that there is no provision for capital expenditure to replace or upgrade the assets. </w:t>
      </w:r>
      <w:r w:rsidR="00EF793B">
        <w:t>However, the Commonwealth did provide the capital funds neces</w:t>
      </w:r>
      <w:r w:rsidR="005E03C2">
        <w:t>sary</w:t>
      </w:r>
      <w:r w:rsidR="00566DFD">
        <w:t xml:space="preserve"> to</w:t>
      </w:r>
      <w:r w:rsidR="005E03C2">
        <w:t xml:space="preserve"> undertake the upgrades to </w:t>
      </w:r>
      <w:r w:rsidR="00EF793B">
        <w:t>the Cascade Pier completed in early 2018.</w:t>
      </w:r>
    </w:p>
    <w:p w14:paraId="31D55E10" w14:textId="77777777" w:rsidR="0080539A" w:rsidRDefault="0080539A" w:rsidP="0080539A">
      <w:pPr>
        <w:pStyle w:val="Heading4"/>
      </w:pPr>
      <w:bookmarkStart w:id="395" w:name="_Toc17105404"/>
      <w:bookmarkStart w:id="396" w:name="_Toc17105456"/>
      <w:bookmarkStart w:id="397" w:name="_Toc17105612"/>
      <w:bookmarkStart w:id="398" w:name="_Toc17380479"/>
      <w:bookmarkStart w:id="399" w:name="_Toc19262931"/>
      <w:bookmarkStart w:id="400" w:name="_Toc23847476"/>
      <w:r>
        <w:t>Airport</w:t>
      </w:r>
      <w:bookmarkEnd w:id="395"/>
      <w:bookmarkEnd w:id="396"/>
      <w:bookmarkEnd w:id="397"/>
      <w:bookmarkEnd w:id="398"/>
      <w:bookmarkEnd w:id="399"/>
      <w:bookmarkEnd w:id="400"/>
    </w:p>
    <w:p w14:paraId="61864EDF" w14:textId="77777777" w:rsidR="009B419F" w:rsidRDefault="004D2ED1" w:rsidP="0080539A">
      <w:pPr>
        <w:pStyle w:val="CGCNumberedPara"/>
      </w:pPr>
      <w:r>
        <w:t xml:space="preserve">NIRC </w:t>
      </w:r>
      <w:r w:rsidR="0080539A">
        <w:t xml:space="preserve">operates the airport and terminal facilities at the standard of an international airport and there are regular, </w:t>
      </w:r>
      <w:r w:rsidR="001661EB">
        <w:t>underwritten</w:t>
      </w:r>
      <w:r w:rsidR="0080539A">
        <w:t>, commercial air services to and from Sydney and Brisbane. The Norfolk Island airport is un</w:t>
      </w:r>
      <w:r w:rsidR="009B419F">
        <w:t>like</w:t>
      </w:r>
      <w:r w:rsidR="0080539A">
        <w:t xml:space="preserve"> airports operated by </w:t>
      </w:r>
      <w:r w:rsidR="009B419F">
        <w:t xml:space="preserve">mainland </w:t>
      </w:r>
      <w:r w:rsidR="0080539A">
        <w:t xml:space="preserve">local governments. Although </w:t>
      </w:r>
      <w:r w:rsidR="009B419F">
        <w:t>Norfolk</w:t>
      </w:r>
      <w:r w:rsidR="0080539A">
        <w:t xml:space="preserve"> is </w:t>
      </w:r>
      <w:r w:rsidR="009B419F">
        <w:t xml:space="preserve">a </w:t>
      </w:r>
      <w:r w:rsidR="0080539A">
        <w:t>small</w:t>
      </w:r>
      <w:r w:rsidR="009B419F">
        <w:t xml:space="preserve">, </w:t>
      </w:r>
      <w:r w:rsidR="0080539A">
        <w:t xml:space="preserve">very remote </w:t>
      </w:r>
      <w:r w:rsidR="009B419F">
        <w:t>community</w:t>
      </w:r>
      <w:r w:rsidR="0080539A">
        <w:t xml:space="preserve">, </w:t>
      </w:r>
      <w:r w:rsidR="009B419F">
        <w:t xml:space="preserve">the airport must </w:t>
      </w:r>
      <w:r w:rsidR="0080539A">
        <w:t>accommodate</w:t>
      </w:r>
      <w:r w:rsidR="009B419F">
        <w:t xml:space="preserve"> the</w:t>
      </w:r>
      <w:r w:rsidR="0080539A">
        <w:t xml:space="preserve"> large jets major airlines</w:t>
      </w:r>
      <w:r w:rsidR="009B419F">
        <w:t xml:space="preserve"> use to provide services over the long distance to Sydney and Brisbane</w:t>
      </w:r>
      <w:r w:rsidR="0080539A">
        <w:t xml:space="preserve">. Comparable communities in very </w:t>
      </w:r>
      <w:r w:rsidR="0080539A">
        <w:lastRenderedPageBreak/>
        <w:t>remote areas of Australia have small landing strips that are frequently unpaved</w:t>
      </w:r>
      <w:r w:rsidR="009B419F">
        <w:t xml:space="preserve"> as they usually</w:t>
      </w:r>
      <w:r w:rsidR="0080539A">
        <w:t xml:space="preserve"> accommodate much smaller and </w:t>
      </w:r>
      <w:r w:rsidR="009B419F">
        <w:t xml:space="preserve">more </w:t>
      </w:r>
      <w:r w:rsidR="0080539A">
        <w:t xml:space="preserve">rugged aircraft. </w:t>
      </w:r>
    </w:p>
    <w:p w14:paraId="788CB0A7" w14:textId="77777777" w:rsidR="0080539A" w:rsidRDefault="0080539A" w:rsidP="0080539A">
      <w:pPr>
        <w:pStyle w:val="CGCNumberedPara"/>
      </w:pPr>
      <w:r>
        <w:t xml:space="preserve">While </w:t>
      </w:r>
      <w:r w:rsidR="004D2ED1">
        <w:t xml:space="preserve">NIRC </w:t>
      </w:r>
      <w:r>
        <w:t xml:space="preserve">has been able to </w:t>
      </w:r>
      <w:r w:rsidR="009B419F">
        <w:t>recover</w:t>
      </w:r>
      <w:r>
        <w:t xml:space="preserve"> operating costs through airport fees and charges, we consider that it cannot fund capital expenditure to replace or upgrade the assets due to factors beyond its control, </w:t>
      </w:r>
      <w:r w:rsidR="001C5638">
        <w:t>namely</w:t>
      </w:r>
      <w:r>
        <w:t xml:space="preserve">: </w:t>
      </w:r>
    </w:p>
    <w:p w14:paraId="4861E93C" w14:textId="77777777" w:rsidR="0080539A" w:rsidRDefault="0080539A" w:rsidP="0080539A">
      <w:pPr>
        <w:pStyle w:val="CGCBulletlist"/>
      </w:pPr>
      <w:r>
        <w:t>its distance fro</w:t>
      </w:r>
      <w:r w:rsidR="00CD494A">
        <w:t>m other centres (for example, 1 </w:t>
      </w:r>
      <w:r>
        <w:t>653 kilometres from Sydney) means larger aircraft are necessary compared to other remote centres</w:t>
      </w:r>
    </w:p>
    <w:p w14:paraId="6F3D724B" w14:textId="77777777" w:rsidR="0080539A" w:rsidRDefault="0080539A" w:rsidP="0080539A">
      <w:pPr>
        <w:pStyle w:val="CGCBulletlist"/>
      </w:pPr>
      <w:r>
        <w:t>Norfolk Island’s isolation, yet extreme dependency on tourism, is unusual for Australian very remote communities</w:t>
      </w:r>
    </w:p>
    <w:p w14:paraId="23569CBC" w14:textId="77777777" w:rsidR="0080539A" w:rsidRDefault="009B419F" w:rsidP="0080539A">
      <w:pPr>
        <w:pStyle w:val="CGCBulletlist"/>
      </w:pPr>
      <w:r>
        <w:t>i</w:t>
      </w:r>
      <w:r w:rsidR="0080539A">
        <w:t xml:space="preserve">ts status as a divergence airport means it </w:t>
      </w:r>
      <w:r w:rsidR="006A47BE">
        <w:t>must</w:t>
      </w:r>
      <w:r w:rsidR="0080539A">
        <w:t xml:space="preserve"> maintain a</w:t>
      </w:r>
      <w:r w:rsidR="00EF793B">
        <w:t xml:space="preserve"> capability to</w:t>
      </w:r>
      <w:r w:rsidR="0080539A">
        <w:t xml:space="preserve"> tak</w:t>
      </w:r>
      <w:r w:rsidR="00EF793B">
        <w:t>e</w:t>
      </w:r>
      <w:r w:rsidR="0080539A">
        <w:t xml:space="preserve"> la</w:t>
      </w:r>
      <w:r w:rsidR="006156E4">
        <w:t>rge jets traversing the Tasman S</w:t>
      </w:r>
      <w:r w:rsidR="0080539A">
        <w:t xml:space="preserve">ea, </w:t>
      </w:r>
      <w:r w:rsidR="006A47BE">
        <w:t xml:space="preserve">but </w:t>
      </w:r>
      <w:r w:rsidR="0080539A">
        <w:t>it does earn some fees from this capability.</w:t>
      </w:r>
    </w:p>
    <w:p w14:paraId="4CC7AAF1" w14:textId="77777777" w:rsidR="0080539A" w:rsidRDefault="0080539A" w:rsidP="003B4CC2">
      <w:pPr>
        <w:pStyle w:val="CGCNumberedPara"/>
      </w:pPr>
      <w:r>
        <w:t xml:space="preserve">Similar to ports, </w:t>
      </w:r>
      <w:r w:rsidR="006A47BE">
        <w:t xml:space="preserve">any </w:t>
      </w:r>
      <w:r>
        <w:t xml:space="preserve">attempts to fully cost recover </w:t>
      </w:r>
      <w:r w:rsidR="006A47BE">
        <w:t xml:space="preserve">operating and </w:t>
      </w:r>
      <w:r>
        <w:t xml:space="preserve">capital </w:t>
      </w:r>
      <w:r w:rsidR="006A47BE">
        <w:t xml:space="preserve">spending would lead to higher airport charges, which </w:t>
      </w:r>
      <w:r>
        <w:t>would likely have adverse consequences for the tourism industry</w:t>
      </w:r>
      <w:r w:rsidR="006156E4">
        <w:t xml:space="preserve">. We </w:t>
      </w:r>
      <w:r w:rsidR="006A47BE">
        <w:t xml:space="preserve">also </w:t>
      </w:r>
      <w:r w:rsidR="006156E4">
        <w:t>note that</w:t>
      </w:r>
      <w:r w:rsidR="006A47BE">
        <w:t xml:space="preserve"> airports in</w:t>
      </w:r>
      <w:r w:rsidR="006156E4">
        <w:t xml:space="preserve"> o</w:t>
      </w:r>
      <w:r>
        <w:t xml:space="preserve">ther regional centres in Australia receive substantial subsidies from the Commonwealth for infrastructure upgrades under </w:t>
      </w:r>
      <w:r w:rsidR="008F4885">
        <w:t>the Department</w:t>
      </w:r>
      <w:r w:rsidR="00480118">
        <w:t xml:space="preserve">’s </w:t>
      </w:r>
      <w:r>
        <w:t>Regional Aviation</w:t>
      </w:r>
      <w:r w:rsidR="00C51C33">
        <w:t xml:space="preserve"> Access</w:t>
      </w:r>
      <w:r>
        <w:t xml:space="preserve"> Program</w:t>
      </w:r>
      <w:r w:rsidR="00F61B5D">
        <w:t xml:space="preserve">. </w:t>
      </w:r>
      <w:r w:rsidR="00C51C33">
        <w:rPr>
          <w:rStyle w:val="FootnoteReference"/>
        </w:rPr>
        <w:footnoteReference w:id="10"/>
      </w:r>
    </w:p>
    <w:p w14:paraId="22F5C6CE" w14:textId="77777777" w:rsidR="001C5638" w:rsidRDefault="0080539A" w:rsidP="00F36C50">
      <w:pPr>
        <w:pStyle w:val="CGCNumberedPara"/>
      </w:pPr>
      <w:r>
        <w:t>We have thus concluded that</w:t>
      </w:r>
      <w:r w:rsidR="004D2ED1">
        <w:t xml:space="preserve"> NIRC</w:t>
      </w:r>
      <w:r w:rsidR="001C5638">
        <w:t>, which</w:t>
      </w:r>
      <w:r w:rsidR="006156E4">
        <w:t xml:space="preserve"> owns and operates the airport</w:t>
      </w:r>
      <w:r w:rsidR="001C5638">
        <w:t>,</w:t>
      </w:r>
      <w:r>
        <w:t xml:space="preserve"> has a limited capacity to fund capital expenditures</w:t>
      </w:r>
      <w:r w:rsidR="001C5638">
        <w:t>. This appears to be the reason</w:t>
      </w:r>
      <w:r>
        <w:t xml:space="preserve"> the Commonwealth has generally fulfilled this function since the early 2000s. </w:t>
      </w:r>
      <w:r w:rsidR="006156E4">
        <w:t>Our assessments did not include a subsidy for the airport</w:t>
      </w:r>
      <w:r>
        <w:t xml:space="preserve">. </w:t>
      </w:r>
    </w:p>
    <w:p w14:paraId="49D88BDA" w14:textId="77777777" w:rsidR="006156E4" w:rsidRDefault="006156E4" w:rsidP="006156E4">
      <w:pPr>
        <w:pStyle w:val="Heading4"/>
      </w:pPr>
      <w:bookmarkStart w:id="401" w:name="_Toc17105405"/>
      <w:bookmarkStart w:id="402" w:name="_Toc17105457"/>
      <w:bookmarkStart w:id="403" w:name="_Toc17105613"/>
      <w:bookmarkStart w:id="404" w:name="_Toc17380480"/>
      <w:bookmarkStart w:id="405" w:name="_Toc19262932"/>
      <w:bookmarkStart w:id="406" w:name="_Toc23847477"/>
      <w:r>
        <w:t>Telecommunications (Norfolk Telecom)</w:t>
      </w:r>
      <w:bookmarkEnd w:id="401"/>
      <w:bookmarkEnd w:id="402"/>
      <w:bookmarkEnd w:id="403"/>
      <w:bookmarkEnd w:id="404"/>
      <w:bookmarkEnd w:id="405"/>
      <w:bookmarkEnd w:id="406"/>
    </w:p>
    <w:p w14:paraId="1379FAD2" w14:textId="77777777" w:rsidR="006156E4" w:rsidRDefault="005E03C2" w:rsidP="003B4CC2">
      <w:pPr>
        <w:pStyle w:val="CGCNumberedPara"/>
      </w:pPr>
      <w:r>
        <w:t>The Island’s</w:t>
      </w:r>
      <w:r w:rsidR="006156E4">
        <w:t xml:space="preserve"> telecommunications services are also characterised by </w:t>
      </w:r>
      <w:r w:rsidR="008056F0">
        <w:t>unique circumstances</w:t>
      </w:r>
      <w:r w:rsidR="006156E4">
        <w:t xml:space="preserve">. There is no other jurisdiction in Australia that operates its own telecommunications </w:t>
      </w:r>
      <w:r w:rsidR="00E62A64">
        <w:t>Government Business Enterprise (GBE)</w:t>
      </w:r>
      <w:r w:rsidR="006156E4">
        <w:t xml:space="preserve">. </w:t>
      </w:r>
      <w:r w:rsidR="00036FAC">
        <w:t xml:space="preserve">For example, </w:t>
      </w:r>
      <w:r w:rsidR="00CD494A">
        <w:t>Christmas </w:t>
      </w:r>
      <w:r w:rsidR="006156E4">
        <w:t xml:space="preserve">Island is part of the Australian network with services provided by Telstra </w:t>
      </w:r>
      <w:r w:rsidR="005D271F">
        <w:t xml:space="preserve">and </w:t>
      </w:r>
      <w:r w:rsidR="006156E4">
        <w:t xml:space="preserve">calls to and from the rest of Australia </w:t>
      </w:r>
      <w:r w:rsidR="005D271F">
        <w:t xml:space="preserve">are </w:t>
      </w:r>
      <w:r w:rsidR="00CD494A">
        <w:t xml:space="preserve">priced as </w:t>
      </w:r>
      <w:r w:rsidR="006156E4">
        <w:t>domestic calls.</w:t>
      </w:r>
      <w:r w:rsidR="00B011EE">
        <w:t xml:space="preserve"> More broadly, Telstra </w:t>
      </w:r>
      <w:r w:rsidR="00B011EE" w:rsidRPr="00B011EE">
        <w:t>has a Universal Service Obligation to ensure standard telephone</w:t>
      </w:r>
      <w:r w:rsidR="00CD494A">
        <w:t>, mobile</w:t>
      </w:r>
      <w:r w:rsidR="00B011EE" w:rsidRPr="00B011EE">
        <w:t xml:space="preserve"> services and payphones are reasonably accessible to all people in Australia on an equitable basis, wherever they work or live.</w:t>
      </w:r>
      <w:r w:rsidR="00B011EE">
        <w:t xml:space="preserve"> This does not extend to Norfolk Island. The absence of comparable services on Norfolk Island </w:t>
      </w:r>
      <w:r w:rsidR="006156E4">
        <w:t xml:space="preserve">may </w:t>
      </w:r>
      <w:r w:rsidR="00625C6F">
        <w:t>be a legacy of</w:t>
      </w:r>
      <w:r w:rsidR="006156E4">
        <w:t xml:space="preserve"> the service provision approach </w:t>
      </w:r>
      <w:r w:rsidR="00B011EE">
        <w:t xml:space="preserve">of the former </w:t>
      </w:r>
      <w:r w:rsidR="006156E4">
        <w:t xml:space="preserve">Norfolk Island </w:t>
      </w:r>
      <w:r w:rsidR="00B011EE">
        <w:t>Government</w:t>
      </w:r>
      <w:r w:rsidR="005D271F">
        <w:t xml:space="preserve"> or the operating difficulties a commercial provider </w:t>
      </w:r>
      <w:r w:rsidR="00B26CE4">
        <w:t>would face</w:t>
      </w:r>
      <w:r w:rsidR="00B011EE">
        <w:t xml:space="preserve">. </w:t>
      </w:r>
    </w:p>
    <w:p w14:paraId="49980ED9" w14:textId="77777777" w:rsidR="00C10454" w:rsidRDefault="005E3291" w:rsidP="00EF793B">
      <w:pPr>
        <w:pStyle w:val="CGCNumberedPara"/>
      </w:pPr>
      <w:r>
        <w:t>Norfolk Telecom recorded a net operating result of $</w:t>
      </w:r>
      <w:r w:rsidR="00C42E01">
        <w:t xml:space="preserve">329 000 </w:t>
      </w:r>
      <w:r>
        <w:t>in 2017</w:t>
      </w:r>
      <w:r>
        <w:noBreakHyphen/>
        <w:t>18. Since telecommunicat</w:t>
      </w:r>
      <w:r w:rsidR="00263303">
        <w:t xml:space="preserve">ions is a Commonwealth function, </w:t>
      </w:r>
      <w:r w:rsidR="00EF793B">
        <w:t>we excluded that amount from</w:t>
      </w:r>
      <w:r>
        <w:t xml:space="preserve"> the </w:t>
      </w:r>
      <w:r w:rsidR="005E03C2">
        <w:lastRenderedPageBreak/>
        <w:t xml:space="preserve">assessed </w:t>
      </w:r>
      <w:r>
        <w:t>local government</w:t>
      </w:r>
      <w:r w:rsidR="00EF793B">
        <w:t>-type figures</w:t>
      </w:r>
      <w:r>
        <w:t xml:space="preserve"> for 2017</w:t>
      </w:r>
      <w:r>
        <w:noBreakHyphen/>
        <w:t>18.</w:t>
      </w:r>
      <w:r w:rsidR="00EF793B">
        <w:rPr>
          <w:rStyle w:val="FootnoteReference"/>
        </w:rPr>
        <w:footnoteReference w:id="11"/>
      </w:r>
      <w:r>
        <w:t xml:space="preserve"> </w:t>
      </w:r>
      <w:r w:rsidR="004D2ED1">
        <w:t xml:space="preserve">NIRC </w:t>
      </w:r>
      <w:r>
        <w:t>received a grant of $3.5 million through the Commonwealth’s Building Better Regions</w:t>
      </w:r>
      <w:r w:rsidR="00AE1D37">
        <w:t xml:space="preserve"> Fund</w:t>
      </w:r>
      <w:r>
        <w:t xml:space="preserve"> program (Round 2) to install a 4G network on Norfolk Isl</w:t>
      </w:r>
      <w:r w:rsidR="00CD494A">
        <w:t xml:space="preserve">and to replace the obsolete </w:t>
      </w:r>
      <w:r>
        <w:t xml:space="preserve">2G network. The total project cost </w:t>
      </w:r>
      <w:r w:rsidR="00EF793B">
        <w:t>wa</w:t>
      </w:r>
      <w:r>
        <w:t>s expected to be $4.6 million.</w:t>
      </w:r>
    </w:p>
    <w:p w14:paraId="697E7C63" w14:textId="77777777" w:rsidR="00C10454" w:rsidRDefault="00C10454">
      <w:pPr>
        <w:tabs>
          <w:tab w:val="clear" w:pos="567"/>
        </w:tabs>
        <w:spacing w:after="200" w:line="276" w:lineRule="auto"/>
        <w:rPr>
          <w:szCs w:val="24"/>
        </w:rPr>
      </w:pPr>
      <w:r>
        <w:br w:type="page"/>
      </w:r>
    </w:p>
    <w:p w14:paraId="3476CED6" w14:textId="77777777" w:rsidR="00C10454" w:rsidRDefault="00072BE9" w:rsidP="0058218B">
      <w:pPr>
        <w:pStyle w:val="Heading2"/>
      </w:pPr>
      <w:bookmarkStart w:id="407" w:name="_Ref16864160"/>
      <w:bookmarkStart w:id="408" w:name="_Toc17380481"/>
      <w:bookmarkStart w:id="409" w:name="_Toc19262933"/>
      <w:bookmarkStart w:id="410" w:name="_Toc23847478"/>
      <w:r>
        <w:lastRenderedPageBreak/>
        <w:t>A</w:t>
      </w:r>
      <w:r w:rsidR="00607A47">
        <w:t xml:space="preserve">ttachment </w:t>
      </w:r>
      <w:r>
        <w:t>A</w:t>
      </w:r>
      <w:r w:rsidR="00607A47">
        <w:t xml:space="preserve">: </w:t>
      </w:r>
      <w:r w:rsidR="00C10454" w:rsidRPr="0058218B">
        <w:t>Current</w:t>
      </w:r>
      <w:r w:rsidR="00C10454">
        <w:t xml:space="preserve"> service delivery arrangements for Norfolk Island</w:t>
      </w:r>
      <w:bookmarkEnd w:id="407"/>
      <w:bookmarkEnd w:id="408"/>
      <w:bookmarkEnd w:id="409"/>
      <w:bookmarkEnd w:id="410"/>
    </w:p>
    <w:p w14:paraId="4CE9BEA9" w14:textId="77777777" w:rsidR="00C10454" w:rsidRDefault="00C10454" w:rsidP="001E4105">
      <w:pPr>
        <w:pStyle w:val="CGCNumberedPara"/>
        <w:tabs>
          <w:tab w:val="num" w:pos="567"/>
        </w:tabs>
      </w:pPr>
      <w:r>
        <w:t>Figure A-1 provides an overview of the arrangements that existed in late 2018 for the delivery of services to Norfolk Island.</w:t>
      </w:r>
    </w:p>
    <w:p w14:paraId="3E4427D8" w14:textId="77777777" w:rsidR="00C10454" w:rsidRDefault="00C10454" w:rsidP="001E4105">
      <w:pPr>
        <w:pStyle w:val="CGCNumberedPara"/>
        <w:tabs>
          <w:tab w:val="num" w:pos="567"/>
        </w:tabs>
      </w:pPr>
      <w:r>
        <w:t>It shows:</w:t>
      </w:r>
    </w:p>
    <w:p w14:paraId="57B96A20" w14:textId="77777777" w:rsidR="00C10454" w:rsidRPr="0039738C" w:rsidRDefault="00C10454" w:rsidP="0039738C">
      <w:pPr>
        <w:pStyle w:val="CGCBulletlist"/>
        <w:numPr>
          <w:ilvl w:val="0"/>
          <w:numId w:val="15"/>
        </w:numPr>
      </w:pPr>
      <w:r>
        <w:t xml:space="preserve">the </w:t>
      </w:r>
      <w:r w:rsidRPr="0039738C">
        <w:t>Australian Government agencies that are responsible for delivering Commonwealth services on Norfolk Island</w:t>
      </w:r>
    </w:p>
    <w:p w14:paraId="7F293399" w14:textId="77777777" w:rsidR="00C10454" w:rsidRPr="0039738C" w:rsidRDefault="00C10454" w:rsidP="0039738C">
      <w:pPr>
        <w:pStyle w:val="CGCBulletlist"/>
      </w:pPr>
      <w:r w:rsidRPr="0039738C">
        <w:t>the service delivery partners the Department of Infrastructure,</w:t>
      </w:r>
      <w:r w:rsidR="009C1A7D">
        <w:t xml:space="preserve"> Transport, Cities and</w:t>
      </w:r>
      <w:r w:rsidRPr="0039738C">
        <w:t xml:space="preserve"> Regional Development has engaged to deliver State-type services on Norfolk Island</w:t>
      </w:r>
    </w:p>
    <w:p w14:paraId="6AAD7CF3" w14:textId="77777777" w:rsidR="00C10454" w:rsidRDefault="00C10454" w:rsidP="0039738C">
      <w:pPr>
        <w:pStyle w:val="CGCBulletlist"/>
      </w:pPr>
      <w:r w:rsidRPr="0039738C">
        <w:t>the main</w:t>
      </w:r>
      <w:r>
        <w:t xml:space="preserve"> local government-type services provided by the Norfolk Island Regional Council.</w:t>
      </w:r>
    </w:p>
    <w:p w14:paraId="1C9F6699" w14:textId="77777777" w:rsidR="00C10454" w:rsidRDefault="00C10454" w:rsidP="00C10454">
      <w:pPr>
        <w:tabs>
          <w:tab w:val="clear" w:pos="567"/>
        </w:tabs>
        <w:spacing w:after="0" w:line="240" w:lineRule="auto"/>
        <w:rPr>
          <w:szCs w:val="20"/>
        </w:rPr>
        <w:sectPr w:rsidR="00C10454">
          <w:pgSz w:w="11899" w:h="16838"/>
          <w:pgMar w:top="1701" w:right="1474" w:bottom="1701" w:left="1474" w:header="709" w:footer="709" w:gutter="0"/>
          <w:cols w:space="720"/>
        </w:sectPr>
      </w:pPr>
    </w:p>
    <w:p w14:paraId="2A2FB9C6" w14:textId="77777777" w:rsidR="00C10454" w:rsidRDefault="00C10454" w:rsidP="00C10454">
      <w:pPr>
        <w:pStyle w:val="Caption"/>
      </w:pPr>
      <w:r>
        <w:rPr>
          <w:noProof/>
          <w:lang w:eastAsia="en-AU"/>
        </w:rPr>
        <w:lastRenderedPageBreak/>
        <w:drawing>
          <wp:anchor distT="0" distB="0" distL="114300" distR="114300" simplePos="0" relativeHeight="251658240" behindDoc="1" locked="0" layoutInCell="1" allowOverlap="1" wp14:anchorId="108CCC1D" wp14:editId="047F33EE">
            <wp:simplePos x="0" y="0"/>
            <wp:positionH relativeFrom="column">
              <wp:posOffset>-60960</wp:posOffset>
            </wp:positionH>
            <wp:positionV relativeFrom="paragraph">
              <wp:posOffset>378460</wp:posOffset>
            </wp:positionV>
            <wp:extent cx="8591550" cy="5048250"/>
            <wp:effectExtent l="0" t="0" r="0" b="0"/>
            <wp:wrapTight wrapText="bothSides">
              <wp:wrapPolygon edited="0">
                <wp:start x="0" y="0"/>
                <wp:lineTo x="0" y="21518"/>
                <wp:lineTo x="21552" y="21518"/>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91550" cy="5048250"/>
                    </a:xfrm>
                    <a:prstGeom prst="rect">
                      <a:avLst/>
                    </a:prstGeom>
                    <a:noFill/>
                  </pic:spPr>
                </pic:pic>
              </a:graphicData>
            </a:graphic>
            <wp14:sizeRelH relativeFrom="page">
              <wp14:pctWidth>0</wp14:pctWidth>
            </wp14:sizeRelH>
            <wp14:sizeRelV relativeFrom="page">
              <wp14:pctHeight>0</wp14:pctHeight>
            </wp14:sizeRelV>
          </wp:anchor>
        </w:drawing>
      </w:r>
      <w:r>
        <w:t>Figure A-</w:t>
      </w:r>
      <w:r w:rsidR="007B4BD5">
        <w:t>1</w:t>
      </w:r>
      <w:r>
        <w:tab/>
        <w:t>Service delivery arrangements in Norfolk Island, 2018</w:t>
      </w:r>
    </w:p>
    <w:p w14:paraId="03F6B1A2" w14:textId="77777777" w:rsidR="0027063F" w:rsidRDefault="0027063F" w:rsidP="00C10454">
      <w:pPr>
        <w:pStyle w:val="CGCNumberedPara"/>
        <w:numPr>
          <w:ilvl w:val="0"/>
          <w:numId w:val="0"/>
        </w:numPr>
        <w:ind w:left="567" w:hanging="567"/>
        <w:rPr>
          <w:sz w:val="22"/>
        </w:rPr>
        <w:sectPr w:rsidR="0027063F" w:rsidSect="0027063F">
          <w:pgSz w:w="16838" w:h="11899" w:orient="landscape" w:code="9"/>
          <w:pgMar w:top="1474" w:right="1701" w:bottom="1474" w:left="1701" w:header="709" w:footer="709" w:gutter="0"/>
          <w:cols w:space="708"/>
          <w:titlePg/>
          <w:docGrid w:linePitch="326"/>
        </w:sectPr>
      </w:pPr>
    </w:p>
    <w:p w14:paraId="2A093905" w14:textId="77777777" w:rsidR="00C35EB3" w:rsidRDefault="00333DD1" w:rsidP="0058218B">
      <w:pPr>
        <w:pStyle w:val="Heading2"/>
      </w:pPr>
      <w:bookmarkStart w:id="411" w:name="_Toc19262934"/>
      <w:bookmarkStart w:id="412" w:name="_Toc23847479"/>
      <w:r>
        <w:lastRenderedPageBreak/>
        <w:t xml:space="preserve">Attachment </w:t>
      </w:r>
      <w:r w:rsidR="009E175D">
        <w:t>B</w:t>
      </w:r>
      <w:r>
        <w:t xml:space="preserve">: </w:t>
      </w:r>
      <w:bookmarkEnd w:id="411"/>
      <w:r w:rsidR="00F43845">
        <w:t>Norfolk Island Revenue and Expenses</w:t>
      </w:r>
      <w:bookmarkEnd w:id="412"/>
    </w:p>
    <w:p w14:paraId="3EDD2BE4" w14:textId="77777777" w:rsidR="00C35EB3" w:rsidRDefault="00F43845" w:rsidP="00C35EB3">
      <w:pPr>
        <w:pStyle w:val="Heading3"/>
      </w:pPr>
      <w:bookmarkStart w:id="413" w:name="_Toc23847480"/>
      <w:r>
        <w:t>Introduction</w:t>
      </w:r>
      <w:bookmarkEnd w:id="413"/>
    </w:p>
    <w:p w14:paraId="45E990B6" w14:textId="77777777" w:rsidR="00C35EB3" w:rsidRDefault="00C35EB3" w:rsidP="001E4105">
      <w:pPr>
        <w:pStyle w:val="CGCNumberedPara"/>
        <w:tabs>
          <w:tab w:val="num" w:pos="567"/>
        </w:tabs>
      </w:pPr>
      <w:r>
        <w:t>Commonwealth, State and local-government type services and taxes are provided and raised on Norfolk Island. This attachment provides information on how Commission staff estimated and classified the r</w:t>
      </w:r>
      <w:r w:rsidR="00ED3BCF">
        <w:t>evenues and expenses of Norfolk </w:t>
      </w:r>
      <w:r>
        <w:t>Island by level of government, revenue source and expense function, to enable the assessment of Norfolk Island’s revenue raising capacities and costs of service provision. The calculations are for 2017-18 only because data collected for 2016-17 covered a year of major change and were considered unrepresentative of the longer term situation on the Island.</w:t>
      </w:r>
    </w:p>
    <w:p w14:paraId="2C616984" w14:textId="77777777" w:rsidR="00C35EB3" w:rsidRDefault="00F43845" w:rsidP="00C35EB3">
      <w:pPr>
        <w:pStyle w:val="Heading3"/>
      </w:pPr>
      <w:bookmarkStart w:id="414" w:name="_Toc23847481"/>
      <w:r>
        <w:t>Data sources</w:t>
      </w:r>
      <w:bookmarkEnd w:id="414"/>
    </w:p>
    <w:p w14:paraId="3019A6CD" w14:textId="77777777" w:rsidR="00C35EB3" w:rsidRDefault="00C35EB3" w:rsidP="001E4105">
      <w:pPr>
        <w:pStyle w:val="CGCNumberedPara"/>
        <w:tabs>
          <w:tab w:val="num" w:pos="567"/>
        </w:tabs>
      </w:pPr>
      <w:r>
        <w:t xml:space="preserve">Data on revenues and expenses relating to Norfolk Island were collected from the following sources.  </w:t>
      </w:r>
    </w:p>
    <w:p w14:paraId="6320C2A3" w14:textId="77777777" w:rsidR="00C35EB3" w:rsidRDefault="00C35EB3" w:rsidP="0039738C">
      <w:pPr>
        <w:pStyle w:val="CGCBulletlist"/>
        <w:numPr>
          <w:ilvl w:val="0"/>
          <w:numId w:val="15"/>
        </w:numPr>
      </w:pPr>
      <w:r>
        <w:t xml:space="preserve">The </w:t>
      </w:r>
      <w:r w:rsidRPr="0039738C">
        <w:t>Department</w:t>
      </w:r>
      <w:r>
        <w:t xml:space="preserve"> of Infrastructure, </w:t>
      </w:r>
      <w:r w:rsidR="009C1A7D">
        <w:t xml:space="preserve">Transport, Cities and </w:t>
      </w:r>
      <w:r>
        <w:t>Regional Development (</w:t>
      </w:r>
      <w:r w:rsidR="008F4885">
        <w:t>the Department</w:t>
      </w:r>
      <w:r>
        <w:t xml:space="preserve">), which provided information on: </w:t>
      </w:r>
    </w:p>
    <w:p w14:paraId="7AD7E1F2" w14:textId="77777777" w:rsidR="00C35EB3" w:rsidRPr="0039738C" w:rsidRDefault="00C35EB3" w:rsidP="0039738C">
      <w:pPr>
        <w:pStyle w:val="CGCSubbulletlist"/>
      </w:pPr>
      <w:r>
        <w:t xml:space="preserve">spending </w:t>
      </w:r>
      <w:r w:rsidRPr="0039738C">
        <w:t>on the direct provision of services for the Island (such as airline subsidies and payments for magistrates and legal officers)</w:t>
      </w:r>
    </w:p>
    <w:p w14:paraId="4703EEFC" w14:textId="77777777" w:rsidR="00C35EB3" w:rsidRPr="0039738C" w:rsidRDefault="00C35EB3" w:rsidP="0039738C">
      <w:pPr>
        <w:pStyle w:val="CGCSubbulletlist"/>
      </w:pPr>
      <w:r w:rsidRPr="0039738C">
        <w:t>payments to other agencies which provide services to the Island on its behalf, including other Commonwealth agencies (such as the Australian Federal Police), New South Wales agencies (including the Departments of Premier and Cabinet, Education, Health and Local Government), the Norfolk Island Regional Council (NIRC), other on-island service providers (such as Norfolk Island Health and Residential Aged Care Service) and non-government service providers</w:t>
      </w:r>
    </w:p>
    <w:p w14:paraId="7CF40CF0" w14:textId="77777777" w:rsidR="00C35EB3" w:rsidRDefault="00C35EB3" w:rsidP="0039738C">
      <w:pPr>
        <w:pStyle w:val="CGCSubbulletlist"/>
      </w:pPr>
      <w:r w:rsidRPr="0039738C">
        <w:t>other legislative and</w:t>
      </w:r>
      <w:r>
        <w:t xml:space="preserve"> service provision arrangements for Norfolk Island.</w:t>
      </w:r>
    </w:p>
    <w:p w14:paraId="39A159C2" w14:textId="77777777" w:rsidR="00C35EB3" w:rsidRDefault="00C35EB3" w:rsidP="00C53597">
      <w:pPr>
        <w:pStyle w:val="CGCBulletlist"/>
        <w:numPr>
          <w:ilvl w:val="0"/>
          <w:numId w:val="15"/>
        </w:numPr>
      </w:pPr>
      <w:r>
        <w:t xml:space="preserve">NIRC’s financial statements for 2017-18 provided details of NIRC’s revenues and expenses including details of the revenues NIRC collected from taxes, charges and other sources (including fees and charges imposed under the service delivery </w:t>
      </w:r>
      <w:r w:rsidRPr="00C53597">
        <w:t>agreement</w:t>
      </w:r>
      <w:r>
        <w:t xml:space="preserve"> with </w:t>
      </w:r>
      <w:r w:rsidR="008F4885">
        <w:t>the Department</w:t>
      </w:r>
      <w:r>
        <w:t>). However, while the financial statements provided information on NIRC expenses classified by type of expense (employee benefits, material and depreciation), they contained limited data on expenses attributable to each type of service provided by NIRC and to each of its business undertakings.</w:t>
      </w:r>
    </w:p>
    <w:p w14:paraId="7DFD4A01" w14:textId="77777777" w:rsidR="00C35EB3" w:rsidRDefault="00C35EB3" w:rsidP="00C53597">
      <w:pPr>
        <w:pStyle w:val="CGCBulletlist"/>
        <w:numPr>
          <w:ilvl w:val="0"/>
          <w:numId w:val="15"/>
        </w:numPr>
      </w:pPr>
      <w:r>
        <w:lastRenderedPageBreak/>
        <w:t xml:space="preserve">NIRC’s </w:t>
      </w:r>
      <w:r w:rsidRPr="00C53597">
        <w:rPr>
          <w:i/>
        </w:rPr>
        <w:t>State Services Delivery Annual Report 2017-18</w:t>
      </w:r>
      <w:r>
        <w:t xml:space="preserve"> provided details of NIRC’s total expenses associated with each State-type service it provided under the service delivery agreement with </w:t>
      </w:r>
      <w:r w:rsidR="008F4885">
        <w:t>the Department</w:t>
      </w:r>
      <w:r>
        <w:t>. It also contained details of the revenues NIRC collected from State-type taxes and charges imposed under the service delivery agreement.</w:t>
      </w:r>
      <w:r>
        <w:rPr>
          <w:rStyle w:val="FootnoteReference"/>
        </w:rPr>
        <w:footnoteReference w:id="12"/>
      </w:r>
      <w:r>
        <w:t xml:space="preserve"> </w:t>
      </w:r>
    </w:p>
    <w:p w14:paraId="790D0318" w14:textId="77777777" w:rsidR="00C35EB3" w:rsidRPr="00C53597" w:rsidRDefault="00C35EB3" w:rsidP="00C53597">
      <w:pPr>
        <w:pStyle w:val="CGCBulletlist"/>
        <w:numPr>
          <w:ilvl w:val="0"/>
          <w:numId w:val="15"/>
        </w:numPr>
      </w:pPr>
      <w:r>
        <w:t xml:space="preserve">Supplementary data on expenses of NIRC’s major business undertakings and the costs of </w:t>
      </w:r>
      <w:r w:rsidRPr="00C53597">
        <w:t xml:space="preserve">some services provided by NIRC in response to Commission data requests. </w:t>
      </w:r>
    </w:p>
    <w:p w14:paraId="033C9DF1" w14:textId="77777777" w:rsidR="00C35EB3" w:rsidRDefault="00C35EB3" w:rsidP="00C53597">
      <w:pPr>
        <w:pStyle w:val="CGCBulletlist"/>
      </w:pPr>
      <w:r w:rsidRPr="00C53597">
        <w:t>The 2017-18 annual reports of major service providers (such as the Norfolk Island Health</w:t>
      </w:r>
      <w:r>
        <w:t xml:space="preserve"> and Residential Aged Care Service).</w:t>
      </w:r>
    </w:p>
    <w:p w14:paraId="4783E185" w14:textId="77777777" w:rsidR="00C35EB3" w:rsidRDefault="00F43845" w:rsidP="00C35EB3">
      <w:pPr>
        <w:pStyle w:val="Heading3"/>
      </w:pPr>
      <w:bookmarkStart w:id="415" w:name="_Toc23847482"/>
      <w:r>
        <w:t>Methods</w:t>
      </w:r>
      <w:bookmarkEnd w:id="415"/>
    </w:p>
    <w:p w14:paraId="296F8349" w14:textId="77777777" w:rsidR="00C35EB3" w:rsidRDefault="00C35EB3" w:rsidP="001E4105">
      <w:pPr>
        <w:pStyle w:val="CGCNumberedPara"/>
        <w:tabs>
          <w:tab w:val="num" w:pos="567"/>
        </w:tabs>
      </w:pPr>
      <w:r>
        <w:t xml:space="preserve">Staff classified the Norfolk Island revenues and expenses to Commonwealth, State or local government-type activities on the basis of the level of government that collects/delivers them in the States. </w:t>
      </w:r>
    </w:p>
    <w:p w14:paraId="360C5B71" w14:textId="77777777" w:rsidR="00C35EB3" w:rsidRDefault="00C35EB3" w:rsidP="001E4105">
      <w:pPr>
        <w:pStyle w:val="CGCNumberedPara"/>
        <w:tabs>
          <w:tab w:val="num" w:pos="567"/>
        </w:tabs>
      </w:pPr>
      <w:r>
        <w:t>The classification of some services in this inquiry differs from t</w:t>
      </w:r>
      <w:r w:rsidR="003C641E">
        <w:t>hat in the 2011 Norfolk Island i</w:t>
      </w:r>
      <w:r>
        <w:t>nquiry. For example, revenues and expenses related to the Kingston and Arthur’s Vale Historic Area (KAVHA) are classified as Commonwealth</w:t>
      </w:r>
      <w:r w:rsidR="00F547A5">
        <w:t xml:space="preserve"> revenues and expenses in this i</w:t>
      </w:r>
      <w:r>
        <w:t xml:space="preserve">nquiry, but were classified as State items in the 2011 </w:t>
      </w:r>
      <w:r w:rsidR="00F547A5">
        <w:t>i</w:t>
      </w:r>
      <w:r>
        <w:t>nquiry.</w:t>
      </w:r>
    </w:p>
    <w:p w14:paraId="131CC250" w14:textId="77777777" w:rsidR="00C35EB3" w:rsidRDefault="00C35EB3" w:rsidP="001E4105">
      <w:pPr>
        <w:pStyle w:val="CGCNumberedPara"/>
        <w:tabs>
          <w:tab w:val="num" w:pos="567"/>
        </w:tabs>
      </w:pPr>
      <w:r>
        <w:t>Some of NIRC’s services are provided through commercial business operations. They include telecommunication services, electricity provision, waste management, sewerage, airport management and the Liquor Bond. The services provided by some of those undertakings would be provided by other levels of government in other parts of Australia. We applied the following classifications to their activities:</w:t>
      </w:r>
    </w:p>
    <w:p w14:paraId="51573CBF" w14:textId="77777777" w:rsidR="00C35EB3" w:rsidRPr="00C53597" w:rsidRDefault="00C35EB3" w:rsidP="00C53597">
      <w:pPr>
        <w:pStyle w:val="CGCBulletlist"/>
        <w:numPr>
          <w:ilvl w:val="0"/>
          <w:numId w:val="15"/>
        </w:numPr>
      </w:pPr>
      <w:r w:rsidRPr="00C53597">
        <w:t xml:space="preserve">Norfolk Telecom was classified as a Commonwealth type undertaking </w:t>
      </w:r>
    </w:p>
    <w:p w14:paraId="1AC24262" w14:textId="77777777" w:rsidR="00C35EB3" w:rsidRPr="00C53597" w:rsidRDefault="00C35EB3" w:rsidP="00C53597">
      <w:pPr>
        <w:pStyle w:val="CGCBulletlist"/>
      </w:pPr>
      <w:r w:rsidRPr="00C53597">
        <w:t xml:space="preserve">the electricity and sewerage undertakings were classified as State-type activities </w:t>
      </w:r>
    </w:p>
    <w:p w14:paraId="297958A9" w14:textId="77777777" w:rsidR="00C35EB3" w:rsidRDefault="00C35EB3" w:rsidP="00C53597">
      <w:pPr>
        <w:pStyle w:val="CGCBulletlist"/>
      </w:pPr>
      <w:r w:rsidRPr="00C53597">
        <w:t>the airport, waste management and Liquor Bond were classified as local government</w:t>
      </w:r>
      <w:r>
        <w:t xml:space="preserve"> activities.</w:t>
      </w:r>
    </w:p>
    <w:p w14:paraId="2F4B0192" w14:textId="77777777" w:rsidR="00C35EB3" w:rsidRDefault="00C35EB3" w:rsidP="001E4105">
      <w:pPr>
        <w:pStyle w:val="CGCNumberedPara"/>
        <w:tabs>
          <w:tab w:val="num" w:pos="567"/>
        </w:tabs>
      </w:pPr>
      <w:r>
        <w:t xml:space="preserve">The revenues and expenses of most business undertakings (with the major exception of the waste management services) have been included in the analysis on a net basis. That is, revenue from the relevant fees and charges has been deducted from the gross expenses of the service. The resulting net amount has been classified as NIRC revenue if the business makes a profit and as NIRC expenses if it incurs a loss. This is consistent with the treatment adopted by the States, which generally record contributions by business undertakings if they make a profit or subsidies to business </w:t>
      </w:r>
      <w:r>
        <w:lastRenderedPageBreak/>
        <w:t>undertakings if they run at a loss. However, we have shown the gross expenses and revenues associated with th</w:t>
      </w:r>
      <w:r w:rsidR="00420D59">
        <w:t xml:space="preserve">e waste management operations. </w:t>
      </w:r>
    </w:p>
    <w:p w14:paraId="6B87FE07" w14:textId="77777777" w:rsidR="00C35EB3" w:rsidRDefault="00C35EB3" w:rsidP="001E4105">
      <w:pPr>
        <w:pStyle w:val="CGCNumberedPara"/>
        <w:tabs>
          <w:tab w:val="num" w:pos="567"/>
        </w:tabs>
      </w:pPr>
      <w:r>
        <w:t xml:space="preserve">Reflecting this </w:t>
      </w:r>
      <w:r w:rsidR="00F547A5">
        <w:t>i</w:t>
      </w:r>
      <w:r>
        <w:t>nquiry’s focus on State and local government-type activities, our analysis of government budgets does not include:</w:t>
      </w:r>
    </w:p>
    <w:p w14:paraId="5B293107" w14:textId="77777777" w:rsidR="00C35EB3" w:rsidRPr="0026199F" w:rsidRDefault="00C35EB3" w:rsidP="0026199F">
      <w:pPr>
        <w:pStyle w:val="CGCBulletlist"/>
        <w:numPr>
          <w:ilvl w:val="0"/>
          <w:numId w:val="15"/>
        </w:numPr>
      </w:pPr>
      <w:r>
        <w:t xml:space="preserve">spending by other Australian Government agencies associated with the discharge of Commonwealth activities, such as social security payments, </w:t>
      </w:r>
      <w:r w:rsidRPr="0026199F">
        <w:t>Medicare and pharmaceutical benefits and expenses for the Norfolk Island National Park and the KAVHA</w:t>
      </w:r>
    </w:p>
    <w:p w14:paraId="564AB554" w14:textId="77777777" w:rsidR="00C35EB3" w:rsidRPr="0026199F" w:rsidRDefault="00C35EB3" w:rsidP="0026199F">
      <w:pPr>
        <w:pStyle w:val="CGCBulletlist"/>
      </w:pPr>
      <w:r w:rsidRPr="0026199F">
        <w:t xml:space="preserve">revenues collected from Commonwealth taxes imposed on the Island, especially income tax </w:t>
      </w:r>
    </w:p>
    <w:p w14:paraId="0B1B44EA" w14:textId="77777777" w:rsidR="00C35EB3" w:rsidRPr="0026199F" w:rsidRDefault="00C35EB3" w:rsidP="0026199F">
      <w:pPr>
        <w:pStyle w:val="CGCBulletlist"/>
      </w:pPr>
      <w:r w:rsidRPr="0026199F">
        <w:t>salaries of the Administrator of Norfolk Island</w:t>
      </w:r>
      <w:r w:rsidRPr="00445557">
        <w:rPr>
          <w:rStyle w:val="FootnoteReference"/>
        </w:rPr>
        <w:footnoteReference w:id="13"/>
      </w:r>
    </w:p>
    <w:p w14:paraId="302F7FFA" w14:textId="77777777" w:rsidR="00C35EB3" w:rsidRPr="0026199F" w:rsidRDefault="00C35EB3" w:rsidP="0026199F">
      <w:pPr>
        <w:pStyle w:val="CGCBulletlist"/>
      </w:pPr>
      <w:r w:rsidRPr="0026199F">
        <w:t xml:space="preserve">salaries and other costs incurred by </w:t>
      </w:r>
      <w:r w:rsidR="008F4885">
        <w:t>the Department</w:t>
      </w:r>
      <w:r w:rsidRPr="0026199F">
        <w:t xml:space="preserve"> for managing Norfolk Island matters</w:t>
      </w:r>
    </w:p>
    <w:p w14:paraId="294D71CA" w14:textId="77777777" w:rsidR="00C35EB3" w:rsidRDefault="00C35EB3" w:rsidP="0026199F">
      <w:pPr>
        <w:pStyle w:val="CGCBulletlist"/>
      </w:pPr>
      <w:r w:rsidRPr="0026199F">
        <w:t>airline and</w:t>
      </w:r>
      <w:r>
        <w:t xml:space="preserve"> freight subsidies.</w:t>
      </w:r>
    </w:p>
    <w:p w14:paraId="1B130F4D" w14:textId="77777777" w:rsidR="00C35EB3" w:rsidRDefault="00C35EB3" w:rsidP="001E4105">
      <w:pPr>
        <w:pStyle w:val="CGCNumberedPara"/>
        <w:tabs>
          <w:tab w:val="num" w:pos="567"/>
        </w:tabs>
      </w:pPr>
      <w:r>
        <w:t>Furthermore, staff were unable to calculate amounts for infrastructure investment but did include the equivalent of general government depreciation expenses.</w:t>
      </w:r>
    </w:p>
    <w:p w14:paraId="453ECA4C" w14:textId="77777777" w:rsidR="00C35EB3" w:rsidRDefault="00C35EB3" w:rsidP="00C35EB3">
      <w:pPr>
        <w:pStyle w:val="Heading3"/>
      </w:pPr>
      <w:bookmarkStart w:id="416" w:name="_Toc17380485"/>
      <w:bookmarkStart w:id="417" w:name="_Toc19262938"/>
      <w:bookmarkStart w:id="418" w:name="_Toc23847483"/>
      <w:r>
        <w:t>Norfolk island revenues and expenses</w:t>
      </w:r>
      <w:bookmarkEnd w:id="416"/>
      <w:bookmarkEnd w:id="417"/>
      <w:bookmarkEnd w:id="418"/>
    </w:p>
    <w:p w14:paraId="14E3B0D6" w14:textId="0B18D047" w:rsidR="00C35EB3" w:rsidRDefault="00ED3BCF" w:rsidP="001E4105">
      <w:pPr>
        <w:pStyle w:val="CGCNumberedPara"/>
        <w:tabs>
          <w:tab w:val="num" w:pos="567"/>
        </w:tabs>
      </w:pPr>
      <w:r>
        <w:t xml:space="preserve">Table B-1 </w:t>
      </w:r>
      <w:r w:rsidR="00C35EB3">
        <w:t xml:space="preserve">shows the estimated Norfolk Island revenues and expenses for 2017-18 classified by the level of government usually responsible for them. </w:t>
      </w:r>
      <w:r w:rsidR="00C35EB3">
        <w:fldChar w:fldCharType="begin"/>
      </w:r>
      <w:r w:rsidR="00C35EB3">
        <w:instrText xml:space="preserve"> REF _Ref16864728 \h </w:instrText>
      </w:r>
      <w:r w:rsidR="00C35EB3">
        <w:fldChar w:fldCharType="separate"/>
      </w:r>
      <w:r w:rsidR="00DE7AA1">
        <w:t>Table B-</w:t>
      </w:r>
      <w:r w:rsidR="00C35EB3">
        <w:fldChar w:fldCharType="end"/>
      </w:r>
      <w:r w:rsidR="00F927F7">
        <w:t>2</w:t>
      </w:r>
      <w:r w:rsidR="00C35EB3">
        <w:t xml:space="preserve"> provides the amounts per </w:t>
      </w:r>
      <w:r w:rsidR="007C0799">
        <w:t>capita</w:t>
      </w:r>
      <w:r w:rsidR="00C35EB3">
        <w:t xml:space="preserve"> </w:t>
      </w:r>
      <w:r w:rsidR="007C0799">
        <w:t xml:space="preserve">for </w:t>
      </w:r>
      <w:r w:rsidR="00C35EB3">
        <w:t>the Norfolk Island population.</w:t>
      </w:r>
    </w:p>
    <w:p w14:paraId="7E03B271" w14:textId="77777777" w:rsidR="00C35EB3" w:rsidRDefault="00ED3BCF" w:rsidP="001E4105">
      <w:pPr>
        <w:pStyle w:val="CGCNumberedPara"/>
        <w:tabs>
          <w:tab w:val="num" w:pos="567"/>
        </w:tabs>
      </w:pPr>
      <w:r>
        <w:t>Table B-1</w:t>
      </w:r>
      <w:r w:rsidR="00C35EB3">
        <w:t xml:space="preserve"> shows that the 2017-18 total expenses are higher than total revenue for both Commonwealth and State type functions. However, total revenue exceeds total expenses for local government type services, which provides some funds for investment in additional local government assets and infrastructure.</w:t>
      </w:r>
    </w:p>
    <w:p w14:paraId="6EE19BCC" w14:textId="77777777" w:rsidR="00C35EB3" w:rsidRDefault="00C35EB3" w:rsidP="001E4105">
      <w:pPr>
        <w:pStyle w:val="CGCNumberedPara"/>
        <w:tabs>
          <w:tab w:val="num" w:pos="567"/>
        </w:tabs>
      </w:pPr>
      <w:r>
        <w:t>The major contributors to the State-type revenue are NIRC’s collections from land title fees, motor registration fees and tourism charges (part of the Other revenue item in the tables).</w:t>
      </w:r>
    </w:p>
    <w:p w14:paraId="6022DFF6" w14:textId="77777777" w:rsidR="00C35EB3" w:rsidRDefault="00C35EB3" w:rsidP="001E4105">
      <w:pPr>
        <w:pStyle w:val="CGCNumberedPara"/>
        <w:tabs>
          <w:tab w:val="num" w:pos="567"/>
        </w:tabs>
      </w:pPr>
      <w:r>
        <w:t>The biggest contributors to the local government type own-source revenue for Norfolk Island is the net sales revenue of the Liquor Bond and the municipal rates and other revenue. Other revenue consisted of user charges, fees and charges which included NIRC’s rental i</w:t>
      </w:r>
      <w:r w:rsidR="00C04841">
        <w:t xml:space="preserve">ncome from </w:t>
      </w:r>
      <w:r w:rsidR="00C04841" w:rsidRPr="002A4234">
        <w:t>its</w:t>
      </w:r>
      <w:r w:rsidR="00EE21E6" w:rsidRPr="002A4234">
        <w:t xml:space="preserve"> </w:t>
      </w:r>
      <w:r w:rsidR="002F4150">
        <w:t xml:space="preserve">Department of Civil Aviation circle </w:t>
      </w:r>
      <w:r w:rsidR="00084C37" w:rsidRPr="002A4234">
        <w:t>housing</w:t>
      </w:r>
      <w:r w:rsidR="00C04841" w:rsidRPr="002A4234">
        <w:t xml:space="preserve"> pr</w:t>
      </w:r>
      <w:r w:rsidR="00C04841">
        <w:t xml:space="preserve">operties </w:t>
      </w:r>
      <w:r>
        <w:t>and charges for pri</w:t>
      </w:r>
      <w:r w:rsidR="00C04841">
        <w:t>vate works ($293 </w:t>
      </w:r>
      <w:r>
        <w:t xml:space="preserve">000). </w:t>
      </w:r>
    </w:p>
    <w:p w14:paraId="34F6CE23" w14:textId="77777777" w:rsidR="00C35EB3" w:rsidRDefault="00C35EB3" w:rsidP="001E4105">
      <w:pPr>
        <w:pStyle w:val="CGCNumberedPara"/>
        <w:tabs>
          <w:tab w:val="num" w:pos="567"/>
        </w:tabs>
      </w:pPr>
      <w:r>
        <w:t>On the expense side of the budgets, the largest State-type items are:</w:t>
      </w:r>
    </w:p>
    <w:p w14:paraId="7B4EF286" w14:textId="77777777" w:rsidR="00C35EB3" w:rsidRPr="0026199F" w:rsidRDefault="00C35EB3" w:rsidP="0026199F">
      <w:pPr>
        <w:pStyle w:val="CGCBulletlist"/>
        <w:numPr>
          <w:ilvl w:val="0"/>
          <w:numId w:val="15"/>
        </w:numPr>
      </w:pPr>
      <w:r>
        <w:lastRenderedPageBreak/>
        <w:t xml:space="preserve">health services (including the aged care services provided by the Norfolk Island </w:t>
      </w:r>
      <w:r w:rsidRPr="0026199F">
        <w:t>Health and Residential Aged Care Service) and 62% of those expenses was attributable to hospital and aged care services, 22% to community and public health and 16% to patient transport</w:t>
      </w:r>
    </w:p>
    <w:p w14:paraId="1EBAE868" w14:textId="77777777" w:rsidR="00C35EB3" w:rsidRPr="0026199F" w:rsidRDefault="00C35EB3" w:rsidP="0026199F">
      <w:pPr>
        <w:pStyle w:val="CGCBulletlist"/>
      </w:pPr>
      <w:r w:rsidRPr="0026199F">
        <w:t>schools, which covers primary and secondary students (including the $856</w:t>
      </w:r>
      <w:r w:rsidR="00CF5D0D">
        <w:t> </w:t>
      </w:r>
      <w:r w:rsidRPr="0026199F">
        <w:t xml:space="preserve">000 spent on the broadband satellite internet for the Norfolk Island Central School) as </w:t>
      </w:r>
      <w:r w:rsidR="009D7E09">
        <w:t xml:space="preserve">there was </w:t>
      </w:r>
      <w:r w:rsidR="00F927F7">
        <w:t xml:space="preserve">no </w:t>
      </w:r>
      <w:r w:rsidRPr="0026199F">
        <w:t xml:space="preserve">separate spending on </w:t>
      </w:r>
      <w:r w:rsidR="00A55D75" w:rsidRPr="0026199F">
        <w:t xml:space="preserve">post-secondary education </w:t>
      </w:r>
      <w:r w:rsidRPr="0026199F">
        <w:t xml:space="preserve">in 2017-18 </w:t>
      </w:r>
    </w:p>
    <w:p w14:paraId="03729CA6" w14:textId="77777777" w:rsidR="00C35EB3" w:rsidRDefault="00CF5D0D" w:rsidP="0026199F">
      <w:pPr>
        <w:pStyle w:val="CGCBulletlist"/>
      </w:pPr>
      <w:r>
        <w:t>other expenses includes $742 </w:t>
      </w:r>
      <w:r w:rsidR="00C35EB3" w:rsidRPr="0026199F">
        <w:t xml:space="preserve">000 </w:t>
      </w:r>
      <w:r w:rsidR="008F4885">
        <w:t>the Department</w:t>
      </w:r>
      <w:r w:rsidR="00C35EB3" w:rsidRPr="0026199F">
        <w:t xml:space="preserve"> paid the New South Wales Department of Premier </w:t>
      </w:r>
      <w:r w:rsidR="007C0799">
        <w:t>&amp;</w:t>
      </w:r>
      <w:r w:rsidR="00C35EB3" w:rsidRPr="0026199F">
        <w:t xml:space="preserve"> Cabinet for coordinating the provision of services by New</w:t>
      </w:r>
      <w:r w:rsidR="00C35EB3">
        <w:t xml:space="preserve"> South Wales</w:t>
      </w:r>
      <w:r w:rsidR="007C0799">
        <w:t xml:space="preserve"> Government</w:t>
      </w:r>
      <w:r w:rsidR="00C35EB3">
        <w:t xml:space="preserve"> agencies on Norfolk Island. It also includes spending on registration and licencing services, staff for the Office of the Administrator on the island (but not the Administrator’s salary) and miscellaneous administration services, including NIRC’s expenses on managing the service delivery agreement.</w:t>
      </w:r>
    </w:p>
    <w:p w14:paraId="5EF04EFD" w14:textId="77777777" w:rsidR="00C35EB3" w:rsidRDefault="00C35EB3" w:rsidP="001E4105">
      <w:pPr>
        <w:pStyle w:val="CGCNumberedPara"/>
        <w:tabs>
          <w:tab w:val="num" w:pos="567"/>
        </w:tabs>
      </w:pPr>
      <w:r>
        <w:t>The largest local government type expenses are for depreciation, roads and other services. Other services includes NIRC expenses which cannot be allocated to separate functions.</w:t>
      </w:r>
      <w:r w:rsidR="007C0799">
        <w:t xml:space="preserve">  </w:t>
      </w:r>
    </w:p>
    <w:p w14:paraId="44133313" w14:textId="77777777" w:rsidR="00C35EB3" w:rsidRDefault="00C35EB3" w:rsidP="001E4105">
      <w:pPr>
        <w:pStyle w:val="CGCNumberedPara"/>
        <w:tabs>
          <w:tab w:val="num" w:pos="567"/>
        </w:tabs>
      </w:pPr>
      <w:r>
        <w:br w:type="page"/>
      </w:r>
    </w:p>
    <w:p w14:paraId="2F9B40B6" w14:textId="77777777" w:rsidR="00C35EB3" w:rsidRDefault="00C35EB3" w:rsidP="00C35EB3">
      <w:pPr>
        <w:pStyle w:val="CGCTableHeading"/>
      </w:pPr>
      <w:bookmarkStart w:id="419" w:name="_Ref16864683"/>
      <w:r>
        <w:lastRenderedPageBreak/>
        <w:t>Table B-</w:t>
      </w:r>
      <w:bookmarkEnd w:id="419"/>
      <w:r w:rsidR="00CF5D0D">
        <w:t>1</w:t>
      </w:r>
      <w:r>
        <w:tab/>
        <w:t>Norfolk Island revenue and expenses, 2017-18</w:t>
      </w:r>
    </w:p>
    <w:tbl>
      <w:tblPr>
        <w:tblW w:w="8840" w:type="dxa"/>
        <w:tblLook w:val="04A0" w:firstRow="1" w:lastRow="0" w:firstColumn="1" w:lastColumn="0" w:noHBand="0" w:noVBand="1"/>
      </w:tblPr>
      <w:tblGrid>
        <w:gridCol w:w="3880"/>
        <w:gridCol w:w="1300"/>
        <w:gridCol w:w="1300"/>
        <w:gridCol w:w="1300"/>
        <w:gridCol w:w="1060"/>
      </w:tblGrid>
      <w:tr w:rsidR="008F5E4F" w:rsidRPr="008F5E4F" w14:paraId="15BE7A93" w14:textId="77777777" w:rsidTr="008F5E4F">
        <w:trPr>
          <w:trHeight w:val="315"/>
        </w:trPr>
        <w:tc>
          <w:tcPr>
            <w:tcW w:w="3880" w:type="dxa"/>
            <w:tcBorders>
              <w:top w:val="single" w:sz="4" w:space="0" w:color="auto"/>
              <w:left w:val="nil"/>
              <w:bottom w:val="single" w:sz="4" w:space="0" w:color="auto"/>
              <w:right w:val="nil"/>
            </w:tcBorders>
            <w:shd w:val="clear" w:color="auto" w:fill="auto"/>
            <w:vAlign w:val="center"/>
            <w:hideMark/>
          </w:tcPr>
          <w:p w14:paraId="720E53AA"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w:t>
            </w:r>
          </w:p>
        </w:tc>
        <w:tc>
          <w:tcPr>
            <w:tcW w:w="1300" w:type="dxa"/>
            <w:tcBorders>
              <w:top w:val="single" w:sz="4" w:space="0" w:color="auto"/>
              <w:left w:val="nil"/>
              <w:bottom w:val="single" w:sz="4" w:space="0" w:color="auto"/>
              <w:right w:val="nil"/>
            </w:tcBorders>
            <w:shd w:val="clear" w:color="auto" w:fill="auto"/>
            <w:vAlign w:val="center"/>
            <w:hideMark/>
          </w:tcPr>
          <w:p w14:paraId="2AACA0E3"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Federal-type</w:t>
            </w:r>
          </w:p>
        </w:tc>
        <w:tc>
          <w:tcPr>
            <w:tcW w:w="1300" w:type="dxa"/>
            <w:tcBorders>
              <w:top w:val="single" w:sz="4" w:space="0" w:color="auto"/>
              <w:left w:val="nil"/>
              <w:bottom w:val="single" w:sz="4" w:space="0" w:color="auto"/>
              <w:right w:val="nil"/>
            </w:tcBorders>
            <w:shd w:val="clear" w:color="auto" w:fill="auto"/>
            <w:vAlign w:val="center"/>
            <w:hideMark/>
          </w:tcPr>
          <w:p w14:paraId="3BA4EF52"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State-type</w:t>
            </w:r>
          </w:p>
        </w:tc>
        <w:tc>
          <w:tcPr>
            <w:tcW w:w="1300" w:type="dxa"/>
            <w:tcBorders>
              <w:top w:val="single" w:sz="4" w:space="0" w:color="auto"/>
              <w:left w:val="nil"/>
              <w:bottom w:val="single" w:sz="4" w:space="0" w:color="auto"/>
              <w:right w:val="nil"/>
            </w:tcBorders>
            <w:shd w:val="clear" w:color="auto" w:fill="auto"/>
            <w:vAlign w:val="center"/>
            <w:hideMark/>
          </w:tcPr>
          <w:p w14:paraId="417DE1E0"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Local-type</w:t>
            </w:r>
          </w:p>
        </w:tc>
        <w:tc>
          <w:tcPr>
            <w:tcW w:w="1060" w:type="dxa"/>
            <w:tcBorders>
              <w:top w:val="single" w:sz="4" w:space="0" w:color="auto"/>
              <w:left w:val="nil"/>
              <w:bottom w:val="single" w:sz="4" w:space="0" w:color="auto"/>
              <w:right w:val="nil"/>
            </w:tcBorders>
            <w:shd w:val="clear" w:color="auto" w:fill="auto"/>
            <w:vAlign w:val="center"/>
            <w:hideMark/>
          </w:tcPr>
          <w:p w14:paraId="154F13FC"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Total</w:t>
            </w:r>
          </w:p>
        </w:tc>
      </w:tr>
      <w:tr w:rsidR="008F5E4F" w:rsidRPr="008F5E4F" w14:paraId="46CF11AE" w14:textId="77777777" w:rsidTr="00F04026">
        <w:trPr>
          <w:trHeight w:val="113"/>
        </w:trPr>
        <w:tc>
          <w:tcPr>
            <w:tcW w:w="3880" w:type="dxa"/>
            <w:tcBorders>
              <w:top w:val="nil"/>
              <w:left w:val="nil"/>
              <w:bottom w:val="nil"/>
              <w:right w:val="nil"/>
            </w:tcBorders>
            <w:shd w:val="clear" w:color="auto" w:fill="auto"/>
            <w:vAlign w:val="center"/>
            <w:hideMark/>
          </w:tcPr>
          <w:p w14:paraId="47710C94"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56FC65ED"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$000</w:t>
            </w:r>
          </w:p>
        </w:tc>
        <w:tc>
          <w:tcPr>
            <w:tcW w:w="1300" w:type="dxa"/>
            <w:tcBorders>
              <w:top w:val="nil"/>
              <w:left w:val="nil"/>
              <w:bottom w:val="nil"/>
              <w:right w:val="nil"/>
            </w:tcBorders>
            <w:shd w:val="clear" w:color="auto" w:fill="auto"/>
            <w:vAlign w:val="center"/>
            <w:hideMark/>
          </w:tcPr>
          <w:p w14:paraId="2BDF1EF9"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$000</w:t>
            </w:r>
          </w:p>
        </w:tc>
        <w:tc>
          <w:tcPr>
            <w:tcW w:w="1300" w:type="dxa"/>
            <w:tcBorders>
              <w:top w:val="nil"/>
              <w:left w:val="nil"/>
              <w:bottom w:val="nil"/>
              <w:right w:val="nil"/>
            </w:tcBorders>
            <w:shd w:val="clear" w:color="auto" w:fill="auto"/>
            <w:vAlign w:val="center"/>
            <w:hideMark/>
          </w:tcPr>
          <w:p w14:paraId="29B4032F"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$000</w:t>
            </w:r>
          </w:p>
        </w:tc>
        <w:tc>
          <w:tcPr>
            <w:tcW w:w="1060" w:type="dxa"/>
            <w:tcBorders>
              <w:top w:val="nil"/>
              <w:left w:val="nil"/>
              <w:bottom w:val="nil"/>
              <w:right w:val="nil"/>
            </w:tcBorders>
            <w:shd w:val="clear" w:color="auto" w:fill="auto"/>
            <w:vAlign w:val="center"/>
            <w:hideMark/>
          </w:tcPr>
          <w:p w14:paraId="79EAFBE9"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$000</w:t>
            </w:r>
          </w:p>
        </w:tc>
      </w:tr>
      <w:tr w:rsidR="008F5E4F" w:rsidRPr="008F5E4F" w14:paraId="5DC0937D" w14:textId="77777777" w:rsidTr="00F04026">
        <w:trPr>
          <w:trHeight w:val="215"/>
        </w:trPr>
        <w:tc>
          <w:tcPr>
            <w:tcW w:w="3880" w:type="dxa"/>
            <w:tcBorders>
              <w:top w:val="nil"/>
              <w:left w:val="nil"/>
              <w:bottom w:val="nil"/>
              <w:right w:val="nil"/>
            </w:tcBorders>
            <w:shd w:val="clear" w:color="auto" w:fill="auto"/>
            <w:vAlign w:val="center"/>
            <w:hideMark/>
          </w:tcPr>
          <w:p w14:paraId="10E619C1" w14:textId="77777777" w:rsidR="008F5E4F" w:rsidRPr="008F5E4F" w:rsidRDefault="008F5E4F" w:rsidP="008F5E4F">
            <w:pPr>
              <w:tabs>
                <w:tab w:val="clear" w:pos="567"/>
              </w:tabs>
              <w:spacing w:after="0" w:line="240" w:lineRule="auto"/>
              <w:rPr>
                <w:rFonts w:ascii="Calibri" w:eastAsia="Times New Roman" w:hAnsi="Calibri" w:cs="Calibri"/>
                <w:b/>
                <w:bCs/>
                <w:sz w:val="20"/>
                <w:szCs w:val="20"/>
                <w:lang w:eastAsia="en-AU"/>
              </w:rPr>
            </w:pPr>
            <w:r w:rsidRPr="008F5E4F">
              <w:rPr>
                <w:rFonts w:ascii="Calibri" w:eastAsia="Times New Roman" w:hAnsi="Calibri" w:cs="Calibri"/>
                <w:b/>
                <w:bCs/>
                <w:sz w:val="20"/>
                <w:szCs w:val="20"/>
                <w:lang w:eastAsia="en-AU"/>
              </w:rPr>
              <w:t>Revenue</w:t>
            </w:r>
          </w:p>
        </w:tc>
        <w:tc>
          <w:tcPr>
            <w:tcW w:w="1300" w:type="dxa"/>
            <w:tcBorders>
              <w:top w:val="nil"/>
              <w:left w:val="nil"/>
              <w:bottom w:val="nil"/>
              <w:right w:val="nil"/>
            </w:tcBorders>
            <w:shd w:val="clear" w:color="auto" w:fill="auto"/>
            <w:vAlign w:val="center"/>
            <w:hideMark/>
          </w:tcPr>
          <w:p w14:paraId="6676B6E9" w14:textId="77777777" w:rsidR="008F5E4F" w:rsidRPr="008F5E4F" w:rsidRDefault="008F5E4F" w:rsidP="008F5E4F">
            <w:pPr>
              <w:tabs>
                <w:tab w:val="clear" w:pos="567"/>
              </w:tabs>
              <w:spacing w:after="0" w:line="240" w:lineRule="auto"/>
              <w:rPr>
                <w:rFonts w:ascii="Calibri" w:eastAsia="Times New Roman" w:hAnsi="Calibri" w:cs="Calibri"/>
                <w:b/>
                <w:bCs/>
                <w:sz w:val="20"/>
                <w:szCs w:val="20"/>
                <w:lang w:eastAsia="en-AU"/>
              </w:rPr>
            </w:pPr>
          </w:p>
        </w:tc>
        <w:tc>
          <w:tcPr>
            <w:tcW w:w="1300" w:type="dxa"/>
            <w:tcBorders>
              <w:top w:val="nil"/>
              <w:left w:val="nil"/>
              <w:bottom w:val="nil"/>
              <w:right w:val="nil"/>
            </w:tcBorders>
            <w:shd w:val="clear" w:color="auto" w:fill="auto"/>
            <w:vAlign w:val="center"/>
            <w:hideMark/>
          </w:tcPr>
          <w:p w14:paraId="7353F284"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768BA50A"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060" w:type="dxa"/>
            <w:tcBorders>
              <w:top w:val="nil"/>
              <w:left w:val="nil"/>
              <w:bottom w:val="nil"/>
              <w:right w:val="nil"/>
            </w:tcBorders>
            <w:shd w:val="clear" w:color="auto" w:fill="auto"/>
            <w:vAlign w:val="center"/>
            <w:hideMark/>
          </w:tcPr>
          <w:p w14:paraId="664770D5"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r>
      <w:tr w:rsidR="008F5E4F" w:rsidRPr="008F5E4F" w14:paraId="75B618FC" w14:textId="77777777" w:rsidTr="00F04026">
        <w:trPr>
          <w:trHeight w:val="215"/>
        </w:trPr>
        <w:tc>
          <w:tcPr>
            <w:tcW w:w="3880" w:type="dxa"/>
            <w:tcBorders>
              <w:top w:val="nil"/>
              <w:left w:val="nil"/>
              <w:bottom w:val="nil"/>
              <w:right w:val="nil"/>
            </w:tcBorders>
            <w:shd w:val="clear" w:color="auto" w:fill="auto"/>
            <w:vAlign w:val="center"/>
            <w:hideMark/>
          </w:tcPr>
          <w:p w14:paraId="3FE702C5"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Commonwealth grants and support</w:t>
            </w:r>
          </w:p>
        </w:tc>
        <w:tc>
          <w:tcPr>
            <w:tcW w:w="1300" w:type="dxa"/>
            <w:tcBorders>
              <w:top w:val="nil"/>
              <w:left w:val="nil"/>
              <w:bottom w:val="nil"/>
              <w:right w:val="nil"/>
            </w:tcBorders>
            <w:shd w:val="clear" w:color="auto" w:fill="auto"/>
            <w:vAlign w:val="center"/>
            <w:hideMark/>
          </w:tcPr>
          <w:p w14:paraId="1C6209AC"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7819D79C"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30 101</w:t>
            </w:r>
          </w:p>
        </w:tc>
        <w:tc>
          <w:tcPr>
            <w:tcW w:w="1300" w:type="dxa"/>
            <w:tcBorders>
              <w:top w:val="nil"/>
              <w:left w:val="nil"/>
              <w:bottom w:val="nil"/>
              <w:right w:val="nil"/>
            </w:tcBorders>
            <w:shd w:val="clear" w:color="auto" w:fill="auto"/>
            <w:vAlign w:val="center"/>
            <w:hideMark/>
          </w:tcPr>
          <w:p w14:paraId="12716A7E"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2 839</w:t>
            </w:r>
          </w:p>
        </w:tc>
        <w:tc>
          <w:tcPr>
            <w:tcW w:w="1060" w:type="dxa"/>
            <w:tcBorders>
              <w:top w:val="nil"/>
              <w:left w:val="nil"/>
              <w:bottom w:val="nil"/>
              <w:right w:val="nil"/>
            </w:tcBorders>
            <w:shd w:val="clear" w:color="auto" w:fill="auto"/>
            <w:vAlign w:val="center"/>
            <w:hideMark/>
          </w:tcPr>
          <w:p w14:paraId="240F3021"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32 940</w:t>
            </w:r>
          </w:p>
        </w:tc>
      </w:tr>
      <w:tr w:rsidR="008F5E4F" w:rsidRPr="008F5E4F" w14:paraId="364EEF7F" w14:textId="77777777" w:rsidTr="00F04026">
        <w:trPr>
          <w:trHeight w:val="215"/>
        </w:trPr>
        <w:tc>
          <w:tcPr>
            <w:tcW w:w="3880" w:type="dxa"/>
            <w:tcBorders>
              <w:top w:val="nil"/>
              <w:left w:val="nil"/>
              <w:bottom w:val="nil"/>
              <w:right w:val="nil"/>
            </w:tcBorders>
            <w:shd w:val="clear" w:color="auto" w:fill="auto"/>
            <w:vAlign w:val="center"/>
            <w:hideMark/>
          </w:tcPr>
          <w:p w14:paraId="65E961D2"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Local government FAGs – general purpose</w:t>
            </w:r>
          </w:p>
        </w:tc>
        <w:tc>
          <w:tcPr>
            <w:tcW w:w="1300" w:type="dxa"/>
            <w:tcBorders>
              <w:top w:val="nil"/>
              <w:left w:val="nil"/>
              <w:bottom w:val="nil"/>
              <w:right w:val="nil"/>
            </w:tcBorders>
            <w:shd w:val="clear" w:color="auto" w:fill="auto"/>
            <w:vAlign w:val="center"/>
            <w:hideMark/>
          </w:tcPr>
          <w:p w14:paraId="455AB33E"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439B3853"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34CCAA16"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2 344</w:t>
            </w:r>
          </w:p>
        </w:tc>
        <w:tc>
          <w:tcPr>
            <w:tcW w:w="1060" w:type="dxa"/>
            <w:tcBorders>
              <w:top w:val="nil"/>
              <w:left w:val="nil"/>
              <w:bottom w:val="nil"/>
              <w:right w:val="nil"/>
            </w:tcBorders>
            <w:shd w:val="clear" w:color="auto" w:fill="auto"/>
            <w:vAlign w:val="center"/>
            <w:hideMark/>
          </w:tcPr>
          <w:p w14:paraId="2AA5D0FB"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2 344</w:t>
            </w:r>
          </w:p>
        </w:tc>
      </w:tr>
      <w:tr w:rsidR="008F5E4F" w:rsidRPr="008F5E4F" w14:paraId="0276BB1E" w14:textId="77777777" w:rsidTr="00F04026">
        <w:trPr>
          <w:trHeight w:val="215"/>
        </w:trPr>
        <w:tc>
          <w:tcPr>
            <w:tcW w:w="3880" w:type="dxa"/>
            <w:tcBorders>
              <w:top w:val="nil"/>
              <w:left w:val="nil"/>
              <w:bottom w:val="nil"/>
              <w:right w:val="nil"/>
            </w:tcBorders>
            <w:shd w:val="clear" w:color="auto" w:fill="auto"/>
            <w:vAlign w:val="center"/>
            <w:hideMark/>
          </w:tcPr>
          <w:p w14:paraId="0D46AB77"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Local government FAGs – local roads</w:t>
            </w:r>
          </w:p>
        </w:tc>
        <w:tc>
          <w:tcPr>
            <w:tcW w:w="1300" w:type="dxa"/>
            <w:tcBorders>
              <w:top w:val="nil"/>
              <w:left w:val="nil"/>
              <w:bottom w:val="nil"/>
              <w:right w:val="nil"/>
            </w:tcBorders>
            <w:shd w:val="clear" w:color="auto" w:fill="auto"/>
            <w:vAlign w:val="center"/>
            <w:hideMark/>
          </w:tcPr>
          <w:p w14:paraId="6B2C9CEA"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298CAF0D"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15244AE2"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106</w:t>
            </w:r>
          </w:p>
        </w:tc>
        <w:tc>
          <w:tcPr>
            <w:tcW w:w="1060" w:type="dxa"/>
            <w:tcBorders>
              <w:top w:val="nil"/>
              <w:left w:val="nil"/>
              <w:bottom w:val="nil"/>
              <w:right w:val="nil"/>
            </w:tcBorders>
            <w:shd w:val="clear" w:color="auto" w:fill="auto"/>
            <w:vAlign w:val="center"/>
            <w:hideMark/>
          </w:tcPr>
          <w:p w14:paraId="2C598CAE"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106</w:t>
            </w:r>
          </w:p>
        </w:tc>
      </w:tr>
      <w:tr w:rsidR="008F5E4F" w:rsidRPr="008F5E4F" w14:paraId="43F8CC09" w14:textId="77777777" w:rsidTr="00F04026">
        <w:trPr>
          <w:trHeight w:val="215"/>
        </w:trPr>
        <w:tc>
          <w:tcPr>
            <w:tcW w:w="3880" w:type="dxa"/>
            <w:tcBorders>
              <w:top w:val="nil"/>
              <w:left w:val="nil"/>
              <w:bottom w:val="nil"/>
              <w:right w:val="nil"/>
            </w:tcBorders>
            <w:shd w:val="clear" w:color="auto" w:fill="auto"/>
            <w:vAlign w:val="center"/>
            <w:hideMark/>
          </w:tcPr>
          <w:p w14:paraId="1FF52174"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Specific purpose grants</w:t>
            </w:r>
          </w:p>
        </w:tc>
        <w:tc>
          <w:tcPr>
            <w:tcW w:w="1300" w:type="dxa"/>
            <w:tcBorders>
              <w:top w:val="nil"/>
              <w:left w:val="nil"/>
              <w:bottom w:val="nil"/>
              <w:right w:val="nil"/>
            </w:tcBorders>
            <w:shd w:val="clear" w:color="auto" w:fill="auto"/>
            <w:vAlign w:val="center"/>
            <w:hideMark/>
          </w:tcPr>
          <w:p w14:paraId="1A11116C"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1BD62225"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00E8AAFB"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68</w:t>
            </w:r>
          </w:p>
        </w:tc>
        <w:tc>
          <w:tcPr>
            <w:tcW w:w="1060" w:type="dxa"/>
            <w:tcBorders>
              <w:top w:val="nil"/>
              <w:left w:val="nil"/>
              <w:bottom w:val="nil"/>
              <w:right w:val="nil"/>
            </w:tcBorders>
            <w:shd w:val="clear" w:color="auto" w:fill="auto"/>
            <w:vAlign w:val="center"/>
            <w:hideMark/>
          </w:tcPr>
          <w:p w14:paraId="78F401DF"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68</w:t>
            </w:r>
          </w:p>
        </w:tc>
      </w:tr>
      <w:tr w:rsidR="008F5E4F" w:rsidRPr="008F5E4F" w14:paraId="5D04CD16" w14:textId="77777777" w:rsidTr="00F04026">
        <w:trPr>
          <w:trHeight w:val="215"/>
        </w:trPr>
        <w:tc>
          <w:tcPr>
            <w:tcW w:w="3880" w:type="dxa"/>
            <w:tcBorders>
              <w:top w:val="nil"/>
              <w:left w:val="nil"/>
              <w:bottom w:val="nil"/>
              <w:right w:val="nil"/>
            </w:tcBorders>
            <w:shd w:val="clear" w:color="auto" w:fill="auto"/>
            <w:vAlign w:val="center"/>
            <w:hideMark/>
          </w:tcPr>
          <w:p w14:paraId="3AB85C99" w14:textId="1AA624DF" w:rsidR="008F5E4F" w:rsidRPr="008F5E4F" w:rsidRDefault="008F5E4F" w:rsidP="002B6D5B">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NIRC-</w:t>
            </w:r>
            <w:r w:rsidR="002B6D5B">
              <w:rPr>
                <w:rFonts w:ascii="Calibri" w:eastAsia="Times New Roman" w:hAnsi="Calibri" w:cs="Calibri"/>
                <w:i/>
                <w:iCs/>
                <w:sz w:val="20"/>
                <w:szCs w:val="20"/>
                <w:lang w:eastAsia="en-AU"/>
              </w:rPr>
              <w:t>DITCRD</w:t>
            </w:r>
            <w:r w:rsidRPr="008F5E4F">
              <w:rPr>
                <w:rFonts w:ascii="Calibri" w:eastAsia="Times New Roman" w:hAnsi="Calibri" w:cs="Calibri"/>
                <w:i/>
                <w:iCs/>
                <w:sz w:val="20"/>
                <w:szCs w:val="20"/>
                <w:lang w:eastAsia="en-AU"/>
              </w:rPr>
              <w:t xml:space="preserve"> service delivery agreement (a)</w:t>
            </w:r>
          </w:p>
        </w:tc>
        <w:tc>
          <w:tcPr>
            <w:tcW w:w="1300" w:type="dxa"/>
            <w:tcBorders>
              <w:top w:val="nil"/>
              <w:left w:val="nil"/>
              <w:bottom w:val="nil"/>
              <w:right w:val="nil"/>
            </w:tcBorders>
            <w:shd w:val="clear" w:color="auto" w:fill="auto"/>
            <w:vAlign w:val="center"/>
            <w:hideMark/>
          </w:tcPr>
          <w:p w14:paraId="4DC51F91"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1E58CA2E"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3 036</w:t>
            </w:r>
          </w:p>
        </w:tc>
        <w:tc>
          <w:tcPr>
            <w:tcW w:w="1300" w:type="dxa"/>
            <w:tcBorders>
              <w:top w:val="nil"/>
              <w:left w:val="nil"/>
              <w:bottom w:val="nil"/>
              <w:right w:val="nil"/>
            </w:tcBorders>
            <w:shd w:val="clear" w:color="auto" w:fill="auto"/>
            <w:vAlign w:val="center"/>
            <w:hideMark/>
          </w:tcPr>
          <w:p w14:paraId="4F510BA5"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p>
        </w:tc>
        <w:tc>
          <w:tcPr>
            <w:tcW w:w="1060" w:type="dxa"/>
            <w:tcBorders>
              <w:top w:val="nil"/>
              <w:left w:val="nil"/>
              <w:bottom w:val="nil"/>
              <w:right w:val="nil"/>
            </w:tcBorders>
            <w:shd w:val="clear" w:color="auto" w:fill="auto"/>
            <w:vAlign w:val="center"/>
            <w:hideMark/>
          </w:tcPr>
          <w:p w14:paraId="733896F9"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3 036</w:t>
            </w:r>
          </w:p>
        </w:tc>
      </w:tr>
      <w:tr w:rsidR="008F5E4F" w:rsidRPr="008F5E4F" w14:paraId="2B1A4965" w14:textId="77777777" w:rsidTr="00F04026">
        <w:trPr>
          <w:trHeight w:val="215"/>
        </w:trPr>
        <w:tc>
          <w:tcPr>
            <w:tcW w:w="3880" w:type="dxa"/>
            <w:tcBorders>
              <w:top w:val="nil"/>
              <w:left w:val="nil"/>
              <w:bottom w:val="nil"/>
              <w:right w:val="nil"/>
            </w:tcBorders>
            <w:shd w:val="clear" w:color="auto" w:fill="auto"/>
            <w:vAlign w:val="center"/>
            <w:hideMark/>
          </w:tcPr>
          <w:p w14:paraId="1C3C9DEF" w14:textId="3BE6EC1A" w:rsidR="008F5E4F" w:rsidRPr="008F5E4F" w:rsidRDefault="002B6D5B" w:rsidP="008F5E4F">
            <w:pPr>
              <w:tabs>
                <w:tab w:val="clear" w:pos="567"/>
              </w:tabs>
              <w:spacing w:after="0" w:line="240" w:lineRule="auto"/>
              <w:rPr>
                <w:rFonts w:ascii="Calibri" w:eastAsia="Times New Roman" w:hAnsi="Calibri" w:cs="Calibri"/>
                <w:i/>
                <w:iCs/>
                <w:sz w:val="20"/>
                <w:szCs w:val="20"/>
                <w:lang w:eastAsia="en-AU"/>
              </w:rPr>
            </w:pPr>
            <w:r>
              <w:rPr>
                <w:rFonts w:ascii="Calibri" w:eastAsia="Times New Roman" w:hAnsi="Calibri" w:cs="Calibri"/>
                <w:i/>
                <w:iCs/>
                <w:sz w:val="20"/>
                <w:szCs w:val="20"/>
                <w:lang w:eastAsia="en-AU"/>
              </w:rPr>
              <w:t>DITCRD</w:t>
            </w:r>
            <w:r w:rsidR="008F5E4F" w:rsidRPr="008F5E4F">
              <w:rPr>
                <w:rFonts w:ascii="Calibri" w:eastAsia="Times New Roman" w:hAnsi="Calibri" w:cs="Calibri"/>
                <w:i/>
                <w:iCs/>
                <w:sz w:val="20"/>
                <w:szCs w:val="20"/>
                <w:lang w:eastAsia="en-AU"/>
              </w:rPr>
              <w:t xml:space="preserve"> payments to various agencies</w:t>
            </w:r>
          </w:p>
        </w:tc>
        <w:tc>
          <w:tcPr>
            <w:tcW w:w="1300" w:type="dxa"/>
            <w:tcBorders>
              <w:top w:val="nil"/>
              <w:left w:val="nil"/>
              <w:bottom w:val="nil"/>
              <w:right w:val="nil"/>
            </w:tcBorders>
            <w:shd w:val="clear" w:color="auto" w:fill="auto"/>
            <w:vAlign w:val="center"/>
            <w:hideMark/>
          </w:tcPr>
          <w:p w14:paraId="5C83A49A"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414E8C6D"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27 065</w:t>
            </w:r>
          </w:p>
        </w:tc>
        <w:tc>
          <w:tcPr>
            <w:tcW w:w="1300" w:type="dxa"/>
            <w:tcBorders>
              <w:top w:val="nil"/>
              <w:left w:val="nil"/>
              <w:bottom w:val="nil"/>
              <w:right w:val="nil"/>
            </w:tcBorders>
            <w:shd w:val="clear" w:color="auto" w:fill="auto"/>
            <w:vAlign w:val="center"/>
            <w:hideMark/>
          </w:tcPr>
          <w:p w14:paraId="7D6DFB53"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p>
        </w:tc>
        <w:tc>
          <w:tcPr>
            <w:tcW w:w="1060" w:type="dxa"/>
            <w:tcBorders>
              <w:top w:val="nil"/>
              <w:left w:val="nil"/>
              <w:bottom w:val="nil"/>
              <w:right w:val="nil"/>
            </w:tcBorders>
            <w:shd w:val="clear" w:color="auto" w:fill="auto"/>
            <w:vAlign w:val="center"/>
            <w:hideMark/>
          </w:tcPr>
          <w:p w14:paraId="7F4F9529"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27 065</w:t>
            </w:r>
          </w:p>
        </w:tc>
      </w:tr>
      <w:tr w:rsidR="008F5E4F" w:rsidRPr="008F5E4F" w14:paraId="014C7A65" w14:textId="77777777" w:rsidTr="00F04026">
        <w:trPr>
          <w:trHeight w:val="215"/>
        </w:trPr>
        <w:tc>
          <w:tcPr>
            <w:tcW w:w="3880" w:type="dxa"/>
            <w:tcBorders>
              <w:top w:val="nil"/>
              <w:left w:val="nil"/>
              <w:bottom w:val="nil"/>
              <w:right w:val="nil"/>
            </w:tcBorders>
            <w:shd w:val="clear" w:color="auto" w:fill="auto"/>
            <w:vAlign w:val="center"/>
            <w:hideMark/>
          </w:tcPr>
          <w:p w14:paraId="2A7E7924"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Roads levy (b)</w:t>
            </w:r>
          </w:p>
        </w:tc>
        <w:tc>
          <w:tcPr>
            <w:tcW w:w="1300" w:type="dxa"/>
            <w:tcBorders>
              <w:top w:val="nil"/>
              <w:left w:val="nil"/>
              <w:bottom w:val="nil"/>
              <w:right w:val="nil"/>
            </w:tcBorders>
            <w:shd w:val="clear" w:color="auto" w:fill="auto"/>
            <w:vAlign w:val="center"/>
            <w:hideMark/>
          </w:tcPr>
          <w:p w14:paraId="50FA1E90"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267354E7"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318CEC8C"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322</w:t>
            </w:r>
          </w:p>
        </w:tc>
        <w:tc>
          <w:tcPr>
            <w:tcW w:w="1060" w:type="dxa"/>
            <w:tcBorders>
              <w:top w:val="nil"/>
              <w:left w:val="nil"/>
              <w:bottom w:val="nil"/>
              <w:right w:val="nil"/>
            </w:tcBorders>
            <w:shd w:val="clear" w:color="auto" w:fill="auto"/>
            <w:vAlign w:val="center"/>
            <w:hideMark/>
          </w:tcPr>
          <w:p w14:paraId="065B8D68"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322</w:t>
            </w:r>
          </w:p>
        </w:tc>
      </w:tr>
      <w:tr w:rsidR="008F5E4F" w:rsidRPr="008F5E4F" w14:paraId="3AD0CFB3" w14:textId="77777777" w:rsidTr="00F04026">
        <w:trPr>
          <w:trHeight w:val="215"/>
        </w:trPr>
        <w:tc>
          <w:tcPr>
            <w:tcW w:w="3880" w:type="dxa"/>
            <w:tcBorders>
              <w:top w:val="nil"/>
              <w:left w:val="nil"/>
              <w:bottom w:val="nil"/>
              <w:right w:val="nil"/>
            </w:tcBorders>
            <w:shd w:val="clear" w:color="auto" w:fill="auto"/>
            <w:vAlign w:val="center"/>
            <w:hideMark/>
          </w:tcPr>
          <w:p w14:paraId="6E001D3A"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Own-source revenue</w:t>
            </w:r>
          </w:p>
        </w:tc>
        <w:tc>
          <w:tcPr>
            <w:tcW w:w="1300" w:type="dxa"/>
            <w:tcBorders>
              <w:top w:val="nil"/>
              <w:left w:val="nil"/>
              <w:bottom w:val="nil"/>
              <w:right w:val="nil"/>
            </w:tcBorders>
            <w:shd w:val="clear" w:color="auto" w:fill="auto"/>
            <w:vAlign w:val="center"/>
            <w:hideMark/>
          </w:tcPr>
          <w:p w14:paraId="156E1E2E"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329</w:t>
            </w:r>
          </w:p>
        </w:tc>
        <w:tc>
          <w:tcPr>
            <w:tcW w:w="1300" w:type="dxa"/>
            <w:tcBorders>
              <w:top w:val="nil"/>
              <w:left w:val="nil"/>
              <w:bottom w:val="nil"/>
              <w:right w:val="nil"/>
            </w:tcBorders>
            <w:shd w:val="clear" w:color="auto" w:fill="auto"/>
            <w:vAlign w:val="center"/>
            <w:hideMark/>
          </w:tcPr>
          <w:p w14:paraId="3C887D23"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2 344</w:t>
            </w:r>
          </w:p>
        </w:tc>
        <w:tc>
          <w:tcPr>
            <w:tcW w:w="1300" w:type="dxa"/>
            <w:tcBorders>
              <w:top w:val="nil"/>
              <w:left w:val="nil"/>
              <w:bottom w:val="nil"/>
              <w:right w:val="nil"/>
            </w:tcBorders>
            <w:shd w:val="clear" w:color="auto" w:fill="auto"/>
            <w:vAlign w:val="center"/>
            <w:hideMark/>
          </w:tcPr>
          <w:p w14:paraId="5B358AEB"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5 732</w:t>
            </w:r>
          </w:p>
        </w:tc>
        <w:tc>
          <w:tcPr>
            <w:tcW w:w="1060" w:type="dxa"/>
            <w:tcBorders>
              <w:top w:val="nil"/>
              <w:left w:val="nil"/>
              <w:bottom w:val="nil"/>
              <w:right w:val="nil"/>
            </w:tcBorders>
            <w:shd w:val="clear" w:color="auto" w:fill="auto"/>
            <w:vAlign w:val="center"/>
            <w:hideMark/>
          </w:tcPr>
          <w:p w14:paraId="301F4618"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8 405</w:t>
            </w:r>
          </w:p>
        </w:tc>
      </w:tr>
      <w:tr w:rsidR="008F5E4F" w:rsidRPr="008F5E4F" w14:paraId="11BB4376" w14:textId="77777777" w:rsidTr="00F04026">
        <w:trPr>
          <w:trHeight w:val="215"/>
        </w:trPr>
        <w:tc>
          <w:tcPr>
            <w:tcW w:w="3880" w:type="dxa"/>
            <w:tcBorders>
              <w:top w:val="nil"/>
              <w:left w:val="nil"/>
              <w:bottom w:val="nil"/>
              <w:right w:val="nil"/>
            </w:tcBorders>
            <w:shd w:val="clear" w:color="auto" w:fill="auto"/>
            <w:vAlign w:val="center"/>
            <w:hideMark/>
          </w:tcPr>
          <w:p w14:paraId="77BCDCB7"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Municipal rates</w:t>
            </w:r>
          </w:p>
        </w:tc>
        <w:tc>
          <w:tcPr>
            <w:tcW w:w="1300" w:type="dxa"/>
            <w:tcBorders>
              <w:top w:val="nil"/>
              <w:left w:val="nil"/>
              <w:bottom w:val="nil"/>
              <w:right w:val="nil"/>
            </w:tcBorders>
            <w:shd w:val="clear" w:color="auto" w:fill="auto"/>
            <w:vAlign w:val="center"/>
            <w:hideMark/>
          </w:tcPr>
          <w:p w14:paraId="236C5EC1"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0F7BD8C6"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1D37E26C"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1 218</w:t>
            </w:r>
          </w:p>
        </w:tc>
        <w:tc>
          <w:tcPr>
            <w:tcW w:w="1060" w:type="dxa"/>
            <w:tcBorders>
              <w:top w:val="nil"/>
              <w:left w:val="nil"/>
              <w:bottom w:val="nil"/>
              <w:right w:val="nil"/>
            </w:tcBorders>
            <w:shd w:val="clear" w:color="auto" w:fill="auto"/>
            <w:vAlign w:val="center"/>
            <w:hideMark/>
          </w:tcPr>
          <w:p w14:paraId="03F60F72"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1 218</w:t>
            </w:r>
          </w:p>
        </w:tc>
      </w:tr>
      <w:tr w:rsidR="008F5E4F" w:rsidRPr="008F5E4F" w14:paraId="6468F11C" w14:textId="77777777" w:rsidTr="00F04026">
        <w:trPr>
          <w:trHeight w:val="215"/>
        </w:trPr>
        <w:tc>
          <w:tcPr>
            <w:tcW w:w="3880" w:type="dxa"/>
            <w:tcBorders>
              <w:top w:val="nil"/>
              <w:left w:val="nil"/>
              <w:bottom w:val="nil"/>
              <w:right w:val="nil"/>
            </w:tcBorders>
            <w:shd w:val="clear" w:color="auto" w:fill="auto"/>
            <w:vAlign w:val="center"/>
            <w:hideMark/>
          </w:tcPr>
          <w:p w14:paraId="5817BE70"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Stamp duty on conveyances (land title fees)</w:t>
            </w:r>
          </w:p>
        </w:tc>
        <w:tc>
          <w:tcPr>
            <w:tcW w:w="1300" w:type="dxa"/>
            <w:tcBorders>
              <w:top w:val="nil"/>
              <w:left w:val="nil"/>
              <w:bottom w:val="nil"/>
              <w:right w:val="nil"/>
            </w:tcBorders>
            <w:shd w:val="clear" w:color="auto" w:fill="auto"/>
            <w:vAlign w:val="center"/>
            <w:hideMark/>
          </w:tcPr>
          <w:p w14:paraId="21F1ADD9"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4FA72B88"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869</w:t>
            </w:r>
          </w:p>
        </w:tc>
        <w:tc>
          <w:tcPr>
            <w:tcW w:w="1300" w:type="dxa"/>
            <w:tcBorders>
              <w:top w:val="nil"/>
              <w:left w:val="nil"/>
              <w:bottom w:val="nil"/>
              <w:right w:val="nil"/>
            </w:tcBorders>
            <w:shd w:val="clear" w:color="auto" w:fill="auto"/>
            <w:vAlign w:val="center"/>
            <w:hideMark/>
          </w:tcPr>
          <w:p w14:paraId="5B3DE81B"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p>
        </w:tc>
        <w:tc>
          <w:tcPr>
            <w:tcW w:w="1060" w:type="dxa"/>
            <w:tcBorders>
              <w:top w:val="nil"/>
              <w:left w:val="nil"/>
              <w:bottom w:val="nil"/>
              <w:right w:val="nil"/>
            </w:tcBorders>
            <w:shd w:val="clear" w:color="auto" w:fill="auto"/>
            <w:vAlign w:val="center"/>
            <w:hideMark/>
          </w:tcPr>
          <w:p w14:paraId="70FE3CA1"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869</w:t>
            </w:r>
          </w:p>
        </w:tc>
      </w:tr>
      <w:tr w:rsidR="008F5E4F" w:rsidRPr="008F5E4F" w14:paraId="2CEBC475" w14:textId="77777777" w:rsidTr="00F04026">
        <w:trPr>
          <w:trHeight w:val="215"/>
        </w:trPr>
        <w:tc>
          <w:tcPr>
            <w:tcW w:w="3880" w:type="dxa"/>
            <w:tcBorders>
              <w:top w:val="nil"/>
              <w:left w:val="nil"/>
              <w:bottom w:val="nil"/>
              <w:right w:val="nil"/>
            </w:tcBorders>
            <w:shd w:val="clear" w:color="auto" w:fill="auto"/>
            <w:vAlign w:val="center"/>
            <w:hideMark/>
          </w:tcPr>
          <w:p w14:paraId="28F6AC7E"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Motor taxes</w:t>
            </w:r>
          </w:p>
        </w:tc>
        <w:tc>
          <w:tcPr>
            <w:tcW w:w="1300" w:type="dxa"/>
            <w:tcBorders>
              <w:top w:val="nil"/>
              <w:left w:val="nil"/>
              <w:bottom w:val="nil"/>
              <w:right w:val="nil"/>
            </w:tcBorders>
            <w:shd w:val="clear" w:color="auto" w:fill="auto"/>
            <w:vAlign w:val="center"/>
            <w:hideMark/>
          </w:tcPr>
          <w:p w14:paraId="1A443824"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462A72CD"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707</w:t>
            </w:r>
          </w:p>
        </w:tc>
        <w:tc>
          <w:tcPr>
            <w:tcW w:w="1300" w:type="dxa"/>
            <w:tcBorders>
              <w:top w:val="nil"/>
              <w:left w:val="nil"/>
              <w:bottom w:val="nil"/>
              <w:right w:val="nil"/>
            </w:tcBorders>
            <w:shd w:val="clear" w:color="auto" w:fill="auto"/>
            <w:vAlign w:val="center"/>
            <w:hideMark/>
          </w:tcPr>
          <w:p w14:paraId="65830560"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p>
        </w:tc>
        <w:tc>
          <w:tcPr>
            <w:tcW w:w="1060" w:type="dxa"/>
            <w:tcBorders>
              <w:top w:val="nil"/>
              <w:left w:val="nil"/>
              <w:bottom w:val="nil"/>
              <w:right w:val="nil"/>
            </w:tcBorders>
            <w:shd w:val="clear" w:color="auto" w:fill="auto"/>
            <w:vAlign w:val="center"/>
            <w:hideMark/>
          </w:tcPr>
          <w:p w14:paraId="6E722B15"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707</w:t>
            </w:r>
          </w:p>
        </w:tc>
      </w:tr>
      <w:tr w:rsidR="008F5E4F" w:rsidRPr="008F5E4F" w14:paraId="4D72763C" w14:textId="77777777" w:rsidTr="00F04026">
        <w:trPr>
          <w:trHeight w:val="215"/>
        </w:trPr>
        <w:tc>
          <w:tcPr>
            <w:tcW w:w="3880" w:type="dxa"/>
            <w:tcBorders>
              <w:top w:val="nil"/>
              <w:left w:val="nil"/>
              <w:bottom w:val="nil"/>
              <w:right w:val="nil"/>
            </w:tcBorders>
            <w:shd w:val="clear" w:color="auto" w:fill="auto"/>
            <w:vAlign w:val="center"/>
            <w:hideMark/>
          </w:tcPr>
          <w:p w14:paraId="6BDC91D8"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Mining revenue (quarry revenue)</w:t>
            </w:r>
          </w:p>
        </w:tc>
        <w:tc>
          <w:tcPr>
            <w:tcW w:w="1300" w:type="dxa"/>
            <w:tcBorders>
              <w:top w:val="nil"/>
              <w:left w:val="nil"/>
              <w:bottom w:val="nil"/>
              <w:right w:val="nil"/>
            </w:tcBorders>
            <w:shd w:val="clear" w:color="auto" w:fill="auto"/>
            <w:vAlign w:val="center"/>
            <w:hideMark/>
          </w:tcPr>
          <w:p w14:paraId="07D40767"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6C2CBEAD"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146</w:t>
            </w:r>
          </w:p>
        </w:tc>
        <w:tc>
          <w:tcPr>
            <w:tcW w:w="1300" w:type="dxa"/>
            <w:tcBorders>
              <w:top w:val="nil"/>
              <w:left w:val="nil"/>
              <w:bottom w:val="nil"/>
              <w:right w:val="nil"/>
            </w:tcBorders>
            <w:shd w:val="clear" w:color="auto" w:fill="auto"/>
            <w:vAlign w:val="center"/>
            <w:hideMark/>
          </w:tcPr>
          <w:p w14:paraId="0B9BDEE6"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p>
        </w:tc>
        <w:tc>
          <w:tcPr>
            <w:tcW w:w="1060" w:type="dxa"/>
            <w:tcBorders>
              <w:top w:val="nil"/>
              <w:left w:val="nil"/>
              <w:bottom w:val="nil"/>
              <w:right w:val="nil"/>
            </w:tcBorders>
            <w:shd w:val="clear" w:color="auto" w:fill="auto"/>
            <w:vAlign w:val="center"/>
            <w:hideMark/>
          </w:tcPr>
          <w:p w14:paraId="75C2CE54"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146</w:t>
            </w:r>
          </w:p>
        </w:tc>
      </w:tr>
      <w:tr w:rsidR="008F5E4F" w:rsidRPr="008F5E4F" w14:paraId="7004FFA4" w14:textId="77777777" w:rsidTr="00F04026">
        <w:trPr>
          <w:trHeight w:val="215"/>
        </w:trPr>
        <w:tc>
          <w:tcPr>
            <w:tcW w:w="3880" w:type="dxa"/>
            <w:tcBorders>
              <w:top w:val="nil"/>
              <w:left w:val="nil"/>
              <w:bottom w:val="nil"/>
              <w:right w:val="nil"/>
            </w:tcBorders>
            <w:shd w:val="clear" w:color="auto" w:fill="auto"/>
            <w:vAlign w:val="center"/>
            <w:hideMark/>
          </w:tcPr>
          <w:p w14:paraId="3B2EB03E"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Gambling revenue</w:t>
            </w:r>
          </w:p>
        </w:tc>
        <w:tc>
          <w:tcPr>
            <w:tcW w:w="1300" w:type="dxa"/>
            <w:tcBorders>
              <w:top w:val="nil"/>
              <w:left w:val="nil"/>
              <w:bottom w:val="nil"/>
              <w:right w:val="nil"/>
            </w:tcBorders>
            <w:shd w:val="clear" w:color="auto" w:fill="auto"/>
            <w:vAlign w:val="center"/>
            <w:hideMark/>
          </w:tcPr>
          <w:p w14:paraId="092C0934"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7969B8B9"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124</w:t>
            </w:r>
          </w:p>
        </w:tc>
        <w:tc>
          <w:tcPr>
            <w:tcW w:w="1300" w:type="dxa"/>
            <w:tcBorders>
              <w:top w:val="nil"/>
              <w:left w:val="nil"/>
              <w:bottom w:val="nil"/>
              <w:right w:val="nil"/>
            </w:tcBorders>
            <w:shd w:val="clear" w:color="auto" w:fill="auto"/>
            <w:vAlign w:val="center"/>
            <w:hideMark/>
          </w:tcPr>
          <w:p w14:paraId="67E0912F"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p>
        </w:tc>
        <w:tc>
          <w:tcPr>
            <w:tcW w:w="1060" w:type="dxa"/>
            <w:tcBorders>
              <w:top w:val="nil"/>
              <w:left w:val="nil"/>
              <w:bottom w:val="nil"/>
              <w:right w:val="nil"/>
            </w:tcBorders>
            <w:shd w:val="clear" w:color="auto" w:fill="auto"/>
            <w:vAlign w:val="center"/>
            <w:hideMark/>
          </w:tcPr>
          <w:p w14:paraId="2D2E9B35"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124</w:t>
            </w:r>
          </w:p>
        </w:tc>
      </w:tr>
      <w:tr w:rsidR="008F5E4F" w:rsidRPr="008F5E4F" w14:paraId="3F01F596" w14:textId="77777777" w:rsidTr="00F04026">
        <w:trPr>
          <w:trHeight w:val="215"/>
        </w:trPr>
        <w:tc>
          <w:tcPr>
            <w:tcW w:w="3880" w:type="dxa"/>
            <w:tcBorders>
              <w:top w:val="nil"/>
              <w:left w:val="nil"/>
              <w:bottom w:val="nil"/>
              <w:right w:val="nil"/>
            </w:tcBorders>
            <w:shd w:val="clear" w:color="auto" w:fill="auto"/>
            <w:vAlign w:val="center"/>
            <w:hideMark/>
          </w:tcPr>
          <w:p w14:paraId="0AD02A0C"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Interest income</w:t>
            </w:r>
          </w:p>
        </w:tc>
        <w:tc>
          <w:tcPr>
            <w:tcW w:w="1300" w:type="dxa"/>
            <w:tcBorders>
              <w:top w:val="nil"/>
              <w:left w:val="nil"/>
              <w:bottom w:val="nil"/>
              <w:right w:val="nil"/>
            </w:tcBorders>
            <w:shd w:val="clear" w:color="auto" w:fill="auto"/>
            <w:vAlign w:val="center"/>
            <w:hideMark/>
          </w:tcPr>
          <w:p w14:paraId="6EE9BE63"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1839C65E"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7B7BB4EC"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299</w:t>
            </w:r>
          </w:p>
        </w:tc>
        <w:tc>
          <w:tcPr>
            <w:tcW w:w="1060" w:type="dxa"/>
            <w:tcBorders>
              <w:top w:val="nil"/>
              <w:left w:val="nil"/>
              <w:bottom w:val="nil"/>
              <w:right w:val="nil"/>
            </w:tcBorders>
            <w:shd w:val="clear" w:color="auto" w:fill="auto"/>
            <w:vAlign w:val="center"/>
            <w:hideMark/>
          </w:tcPr>
          <w:p w14:paraId="53D8CB74"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299</w:t>
            </w:r>
          </w:p>
        </w:tc>
      </w:tr>
      <w:tr w:rsidR="008F5E4F" w:rsidRPr="008F5E4F" w14:paraId="39816FA3" w14:textId="77777777" w:rsidTr="00F04026">
        <w:trPr>
          <w:trHeight w:val="215"/>
        </w:trPr>
        <w:tc>
          <w:tcPr>
            <w:tcW w:w="3880" w:type="dxa"/>
            <w:tcBorders>
              <w:top w:val="nil"/>
              <w:left w:val="nil"/>
              <w:bottom w:val="nil"/>
              <w:right w:val="nil"/>
            </w:tcBorders>
            <w:shd w:val="clear" w:color="auto" w:fill="auto"/>
            <w:vAlign w:val="center"/>
            <w:hideMark/>
          </w:tcPr>
          <w:p w14:paraId="49374A2B"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Waste charges</w:t>
            </w:r>
          </w:p>
        </w:tc>
        <w:tc>
          <w:tcPr>
            <w:tcW w:w="1300" w:type="dxa"/>
            <w:tcBorders>
              <w:top w:val="nil"/>
              <w:left w:val="nil"/>
              <w:bottom w:val="nil"/>
              <w:right w:val="nil"/>
            </w:tcBorders>
            <w:shd w:val="clear" w:color="auto" w:fill="auto"/>
            <w:vAlign w:val="center"/>
            <w:hideMark/>
          </w:tcPr>
          <w:p w14:paraId="692522D1"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50B5ABE7"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6490A00C"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693</w:t>
            </w:r>
          </w:p>
        </w:tc>
        <w:tc>
          <w:tcPr>
            <w:tcW w:w="1060" w:type="dxa"/>
            <w:tcBorders>
              <w:top w:val="nil"/>
              <w:left w:val="nil"/>
              <w:bottom w:val="nil"/>
              <w:right w:val="nil"/>
            </w:tcBorders>
            <w:shd w:val="clear" w:color="auto" w:fill="auto"/>
            <w:vAlign w:val="center"/>
            <w:hideMark/>
          </w:tcPr>
          <w:p w14:paraId="1B58D21D"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693</w:t>
            </w:r>
          </w:p>
        </w:tc>
      </w:tr>
      <w:tr w:rsidR="008F5E4F" w:rsidRPr="008F5E4F" w14:paraId="60A1733C" w14:textId="77777777" w:rsidTr="00F04026">
        <w:trPr>
          <w:trHeight w:val="215"/>
        </w:trPr>
        <w:tc>
          <w:tcPr>
            <w:tcW w:w="3880" w:type="dxa"/>
            <w:tcBorders>
              <w:top w:val="nil"/>
              <w:left w:val="nil"/>
              <w:bottom w:val="nil"/>
              <w:right w:val="nil"/>
            </w:tcBorders>
            <w:shd w:val="clear" w:color="auto" w:fill="auto"/>
            <w:vAlign w:val="center"/>
            <w:hideMark/>
          </w:tcPr>
          <w:p w14:paraId="35A49688"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Other revenue</w:t>
            </w:r>
          </w:p>
        </w:tc>
        <w:tc>
          <w:tcPr>
            <w:tcW w:w="1300" w:type="dxa"/>
            <w:tcBorders>
              <w:top w:val="nil"/>
              <w:left w:val="nil"/>
              <w:bottom w:val="nil"/>
              <w:right w:val="nil"/>
            </w:tcBorders>
            <w:shd w:val="clear" w:color="auto" w:fill="auto"/>
            <w:vAlign w:val="center"/>
            <w:hideMark/>
          </w:tcPr>
          <w:p w14:paraId="062FC2D7"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71526701"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498</w:t>
            </w:r>
          </w:p>
        </w:tc>
        <w:tc>
          <w:tcPr>
            <w:tcW w:w="1300" w:type="dxa"/>
            <w:tcBorders>
              <w:top w:val="nil"/>
              <w:left w:val="nil"/>
              <w:bottom w:val="nil"/>
              <w:right w:val="nil"/>
            </w:tcBorders>
            <w:shd w:val="clear" w:color="auto" w:fill="auto"/>
            <w:vAlign w:val="center"/>
            <w:hideMark/>
          </w:tcPr>
          <w:p w14:paraId="01467459"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1 142</w:t>
            </w:r>
          </w:p>
        </w:tc>
        <w:tc>
          <w:tcPr>
            <w:tcW w:w="1060" w:type="dxa"/>
            <w:tcBorders>
              <w:top w:val="nil"/>
              <w:left w:val="nil"/>
              <w:bottom w:val="nil"/>
              <w:right w:val="nil"/>
            </w:tcBorders>
            <w:shd w:val="clear" w:color="auto" w:fill="auto"/>
            <w:vAlign w:val="center"/>
            <w:hideMark/>
          </w:tcPr>
          <w:p w14:paraId="06EA2BDD"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1 640</w:t>
            </w:r>
          </w:p>
        </w:tc>
      </w:tr>
      <w:tr w:rsidR="008F5E4F" w:rsidRPr="008F5E4F" w14:paraId="0AD2CA36" w14:textId="77777777" w:rsidTr="00F04026">
        <w:trPr>
          <w:trHeight w:val="215"/>
        </w:trPr>
        <w:tc>
          <w:tcPr>
            <w:tcW w:w="3880" w:type="dxa"/>
            <w:tcBorders>
              <w:top w:val="nil"/>
              <w:left w:val="nil"/>
              <w:bottom w:val="nil"/>
              <w:right w:val="nil"/>
            </w:tcBorders>
            <w:shd w:val="clear" w:color="auto" w:fill="auto"/>
            <w:vAlign w:val="center"/>
            <w:hideMark/>
          </w:tcPr>
          <w:p w14:paraId="2CCEA1BF"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Airport (net)</w:t>
            </w:r>
          </w:p>
        </w:tc>
        <w:tc>
          <w:tcPr>
            <w:tcW w:w="1300" w:type="dxa"/>
            <w:tcBorders>
              <w:top w:val="nil"/>
              <w:left w:val="nil"/>
              <w:bottom w:val="nil"/>
              <w:right w:val="nil"/>
            </w:tcBorders>
            <w:shd w:val="clear" w:color="auto" w:fill="auto"/>
            <w:vAlign w:val="center"/>
            <w:hideMark/>
          </w:tcPr>
          <w:p w14:paraId="0E1FEF8F"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7A360C40"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0680E226"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29</w:t>
            </w:r>
          </w:p>
        </w:tc>
        <w:tc>
          <w:tcPr>
            <w:tcW w:w="1060" w:type="dxa"/>
            <w:tcBorders>
              <w:top w:val="nil"/>
              <w:left w:val="nil"/>
              <w:bottom w:val="nil"/>
              <w:right w:val="nil"/>
            </w:tcBorders>
            <w:shd w:val="clear" w:color="auto" w:fill="auto"/>
            <w:vAlign w:val="center"/>
            <w:hideMark/>
          </w:tcPr>
          <w:p w14:paraId="197078B0"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29</w:t>
            </w:r>
          </w:p>
        </w:tc>
      </w:tr>
      <w:tr w:rsidR="008F5E4F" w:rsidRPr="008F5E4F" w14:paraId="060E6528" w14:textId="77777777" w:rsidTr="00F04026">
        <w:trPr>
          <w:trHeight w:val="215"/>
        </w:trPr>
        <w:tc>
          <w:tcPr>
            <w:tcW w:w="3880" w:type="dxa"/>
            <w:tcBorders>
              <w:top w:val="nil"/>
              <w:left w:val="nil"/>
              <w:bottom w:val="nil"/>
              <w:right w:val="nil"/>
            </w:tcBorders>
            <w:shd w:val="clear" w:color="auto" w:fill="auto"/>
            <w:vAlign w:val="center"/>
            <w:hideMark/>
          </w:tcPr>
          <w:p w14:paraId="53A43E07"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Liquor Bond (net)</w:t>
            </w:r>
          </w:p>
        </w:tc>
        <w:tc>
          <w:tcPr>
            <w:tcW w:w="1300" w:type="dxa"/>
            <w:tcBorders>
              <w:top w:val="nil"/>
              <w:left w:val="nil"/>
              <w:bottom w:val="nil"/>
              <w:right w:val="nil"/>
            </w:tcBorders>
            <w:shd w:val="clear" w:color="auto" w:fill="auto"/>
            <w:vAlign w:val="center"/>
            <w:hideMark/>
          </w:tcPr>
          <w:p w14:paraId="5EEC6629"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p>
        </w:tc>
        <w:tc>
          <w:tcPr>
            <w:tcW w:w="1300" w:type="dxa"/>
            <w:tcBorders>
              <w:top w:val="nil"/>
              <w:left w:val="nil"/>
              <w:bottom w:val="nil"/>
              <w:right w:val="nil"/>
            </w:tcBorders>
            <w:shd w:val="clear" w:color="auto" w:fill="auto"/>
            <w:vAlign w:val="center"/>
            <w:hideMark/>
          </w:tcPr>
          <w:p w14:paraId="2E182802"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6FC3AAE4"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2 351</w:t>
            </w:r>
          </w:p>
        </w:tc>
        <w:tc>
          <w:tcPr>
            <w:tcW w:w="1060" w:type="dxa"/>
            <w:tcBorders>
              <w:top w:val="nil"/>
              <w:left w:val="nil"/>
              <w:bottom w:val="nil"/>
              <w:right w:val="nil"/>
            </w:tcBorders>
            <w:shd w:val="clear" w:color="auto" w:fill="auto"/>
            <w:vAlign w:val="center"/>
            <w:hideMark/>
          </w:tcPr>
          <w:p w14:paraId="407FE8AF"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2 351</w:t>
            </w:r>
          </w:p>
        </w:tc>
      </w:tr>
      <w:tr w:rsidR="008F5E4F" w:rsidRPr="008F5E4F" w14:paraId="55AE63C5" w14:textId="77777777" w:rsidTr="00F04026">
        <w:trPr>
          <w:trHeight w:val="215"/>
        </w:trPr>
        <w:tc>
          <w:tcPr>
            <w:tcW w:w="3880" w:type="dxa"/>
            <w:tcBorders>
              <w:top w:val="nil"/>
              <w:left w:val="nil"/>
              <w:bottom w:val="nil"/>
              <w:right w:val="nil"/>
            </w:tcBorders>
            <w:shd w:val="clear" w:color="auto" w:fill="auto"/>
            <w:vAlign w:val="center"/>
            <w:hideMark/>
          </w:tcPr>
          <w:p w14:paraId="714B725D" w14:textId="77777777" w:rsidR="008F5E4F" w:rsidRPr="008F5E4F" w:rsidRDefault="008F5E4F" w:rsidP="008F5E4F">
            <w:pPr>
              <w:tabs>
                <w:tab w:val="clear" w:pos="567"/>
              </w:tabs>
              <w:spacing w:after="0" w:line="240" w:lineRule="auto"/>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Telecom (net)</w:t>
            </w:r>
          </w:p>
        </w:tc>
        <w:tc>
          <w:tcPr>
            <w:tcW w:w="1300" w:type="dxa"/>
            <w:tcBorders>
              <w:top w:val="nil"/>
              <w:left w:val="nil"/>
              <w:bottom w:val="single" w:sz="4" w:space="0" w:color="auto"/>
              <w:right w:val="nil"/>
            </w:tcBorders>
            <w:shd w:val="clear" w:color="auto" w:fill="auto"/>
            <w:vAlign w:val="center"/>
            <w:hideMark/>
          </w:tcPr>
          <w:p w14:paraId="766F5AE2"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329</w:t>
            </w:r>
          </w:p>
        </w:tc>
        <w:tc>
          <w:tcPr>
            <w:tcW w:w="1300" w:type="dxa"/>
            <w:tcBorders>
              <w:top w:val="nil"/>
              <w:left w:val="nil"/>
              <w:bottom w:val="single" w:sz="4" w:space="0" w:color="auto"/>
              <w:right w:val="nil"/>
            </w:tcBorders>
            <w:shd w:val="clear" w:color="auto" w:fill="auto"/>
            <w:vAlign w:val="center"/>
            <w:hideMark/>
          </w:tcPr>
          <w:p w14:paraId="28FE8F1B"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w:t>
            </w:r>
          </w:p>
        </w:tc>
        <w:tc>
          <w:tcPr>
            <w:tcW w:w="1300" w:type="dxa"/>
            <w:tcBorders>
              <w:top w:val="nil"/>
              <w:left w:val="nil"/>
              <w:bottom w:val="single" w:sz="4" w:space="0" w:color="auto"/>
              <w:right w:val="nil"/>
            </w:tcBorders>
            <w:shd w:val="clear" w:color="auto" w:fill="auto"/>
            <w:vAlign w:val="center"/>
            <w:hideMark/>
          </w:tcPr>
          <w:p w14:paraId="48C4D427"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w:t>
            </w:r>
          </w:p>
        </w:tc>
        <w:tc>
          <w:tcPr>
            <w:tcW w:w="1060" w:type="dxa"/>
            <w:tcBorders>
              <w:top w:val="nil"/>
              <w:left w:val="nil"/>
              <w:bottom w:val="single" w:sz="4" w:space="0" w:color="auto"/>
              <w:right w:val="nil"/>
            </w:tcBorders>
            <w:shd w:val="clear" w:color="auto" w:fill="auto"/>
            <w:vAlign w:val="center"/>
            <w:hideMark/>
          </w:tcPr>
          <w:p w14:paraId="420BB1BC" w14:textId="77777777" w:rsidR="008F5E4F" w:rsidRPr="008F5E4F" w:rsidRDefault="008F5E4F" w:rsidP="008F5E4F">
            <w:pPr>
              <w:tabs>
                <w:tab w:val="clear" w:pos="567"/>
              </w:tabs>
              <w:spacing w:after="0" w:line="240" w:lineRule="auto"/>
              <w:jc w:val="right"/>
              <w:rPr>
                <w:rFonts w:ascii="Calibri" w:eastAsia="Times New Roman" w:hAnsi="Calibri" w:cs="Calibri"/>
                <w:i/>
                <w:iCs/>
                <w:sz w:val="20"/>
                <w:szCs w:val="20"/>
                <w:lang w:eastAsia="en-AU"/>
              </w:rPr>
            </w:pPr>
            <w:r w:rsidRPr="008F5E4F">
              <w:rPr>
                <w:rFonts w:ascii="Calibri" w:eastAsia="Times New Roman" w:hAnsi="Calibri" w:cs="Calibri"/>
                <w:i/>
                <w:iCs/>
                <w:sz w:val="20"/>
                <w:szCs w:val="20"/>
                <w:lang w:eastAsia="en-AU"/>
              </w:rPr>
              <w:t xml:space="preserve"> 329</w:t>
            </w:r>
          </w:p>
        </w:tc>
      </w:tr>
      <w:tr w:rsidR="008F5E4F" w:rsidRPr="008F5E4F" w14:paraId="7E9338F3" w14:textId="77777777" w:rsidTr="00F04026">
        <w:trPr>
          <w:trHeight w:val="215"/>
        </w:trPr>
        <w:tc>
          <w:tcPr>
            <w:tcW w:w="3880" w:type="dxa"/>
            <w:tcBorders>
              <w:top w:val="nil"/>
              <w:left w:val="nil"/>
              <w:bottom w:val="nil"/>
              <w:right w:val="nil"/>
            </w:tcBorders>
            <w:shd w:val="clear" w:color="auto" w:fill="auto"/>
            <w:vAlign w:val="center"/>
            <w:hideMark/>
          </w:tcPr>
          <w:p w14:paraId="1E365AAE"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Total revenue</w:t>
            </w:r>
          </w:p>
        </w:tc>
        <w:tc>
          <w:tcPr>
            <w:tcW w:w="1300" w:type="dxa"/>
            <w:tcBorders>
              <w:top w:val="nil"/>
              <w:left w:val="nil"/>
              <w:bottom w:val="nil"/>
              <w:right w:val="nil"/>
            </w:tcBorders>
            <w:shd w:val="clear" w:color="auto" w:fill="auto"/>
            <w:vAlign w:val="center"/>
            <w:hideMark/>
          </w:tcPr>
          <w:p w14:paraId="26417E15"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329</w:t>
            </w:r>
          </w:p>
        </w:tc>
        <w:tc>
          <w:tcPr>
            <w:tcW w:w="1300" w:type="dxa"/>
            <w:tcBorders>
              <w:top w:val="nil"/>
              <w:left w:val="nil"/>
              <w:bottom w:val="nil"/>
              <w:right w:val="nil"/>
            </w:tcBorders>
            <w:shd w:val="clear" w:color="auto" w:fill="auto"/>
            <w:vAlign w:val="center"/>
            <w:hideMark/>
          </w:tcPr>
          <w:p w14:paraId="398EC04C"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32 445</w:t>
            </w:r>
          </w:p>
        </w:tc>
        <w:tc>
          <w:tcPr>
            <w:tcW w:w="1300" w:type="dxa"/>
            <w:tcBorders>
              <w:top w:val="nil"/>
              <w:left w:val="nil"/>
              <w:bottom w:val="nil"/>
              <w:right w:val="nil"/>
            </w:tcBorders>
            <w:shd w:val="clear" w:color="auto" w:fill="auto"/>
            <w:vAlign w:val="center"/>
            <w:hideMark/>
          </w:tcPr>
          <w:p w14:paraId="34740731"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8 571</w:t>
            </w:r>
          </w:p>
        </w:tc>
        <w:tc>
          <w:tcPr>
            <w:tcW w:w="1060" w:type="dxa"/>
            <w:tcBorders>
              <w:top w:val="nil"/>
              <w:left w:val="nil"/>
              <w:bottom w:val="nil"/>
              <w:right w:val="nil"/>
            </w:tcBorders>
            <w:shd w:val="clear" w:color="auto" w:fill="auto"/>
            <w:vAlign w:val="center"/>
            <w:hideMark/>
          </w:tcPr>
          <w:p w14:paraId="6244A5A3"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41 345</w:t>
            </w:r>
          </w:p>
        </w:tc>
      </w:tr>
      <w:tr w:rsidR="008F5E4F" w:rsidRPr="008F5E4F" w14:paraId="428BE268" w14:textId="77777777" w:rsidTr="00F04026">
        <w:trPr>
          <w:trHeight w:val="215"/>
        </w:trPr>
        <w:tc>
          <w:tcPr>
            <w:tcW w:w="3880" w:type="dxa"/>
            <w:tcBorders>
              <w:top w:val="nil"/>
              <w:left w:val="nil"/>
              <w:bottom w:val="nil"/>
              <w:right w:val="nil"/>
            </w:tcBorders>
            <w:shd w:val="clear" w:color="auto" w:fill="auto"/>
            <w:vAlign w:val="center"/>
            <w:hideMark/>
          </w:tcPr>
          <w:p w14:paraId="70FCC134" w14:textId="77777777" w:rsidR="008F5E4F" w:rsidRPr="008F5E4F" w:rsidRDefault="008F5E4F" w:rsidP="008F5E4F">
            <w:pPr>
              <w:tabs>
                <w:tab w:val="clear" w:pos="567"/>
              </w:tabs>
              <w:spacing w:after="0" w:line="240" w:lineRule="auto"/>
              <w:rPr>
                <w:rFonts w:ascii="Calibri" w:eastAsia="Times New Roman" w:hAnsi="Calibri" w:cs="Calibri"/>
                <w:b/>
                <w:bCs/>
                <w:sz w:val="20"/>
                <w:szCs w:val="20"/>
                <w:lang w:eastAsia="en-AU"/>
              </w:rPr>
            </w:pPr>
            <w:r w:rsidRPr="008F5E4F">
              <w:rPr>
                <w:rFonts w:ascii="Calibri" w:eastAsia="Times New Roman" w:hAnsi="Calibri" w:cs="Calibri"/>
                <w:b/>
                <w:bCs/>
                <w:sz w:val="20"/>
                <w:szCs w:val="20"/>
                <w:lang w:eastAsia="en-AU"/>
              </w:rPr>
              <w:t>Expenses</w:t>
            </w:r>
          </w:p>
        </w:tc>
        <w:tc>
          <w:tcPr>
            <w:tcW w:w="1300" w:type="dxa"/>
            <w:tcBorders>
              <w:top w:val="nil"/>
              <w:left w:val="nil"/>
              <w:bottom w:val="nil"/>
              <w:right w:val="nil"/>
            </w:tcBorders>
            <w:shd w:val="clear" w:color="auto" w:fill="auto"/>
            <w:vAlign w:val="center"/>
            <w:hideMark/>
          </w:tcPr>
          <w:p w14:paraId="2B8CDCB5" w14:textId="77777777" w:rsidR="008F5E4F" w:rsidRPr="008F5E4F" w:rsidRDefault="008F5E4F" w:rsidP="008F5E4F">
            <w:pPr>
              <w:tabs>
                <w:tab w:val="clear" w:pos="567"/>
              </w:tabs>
              <w:spacing w:after="0" w:line="240" w:lineRule="auto"/>
              <w:rPr>
                <w:rFonts w:ascii="Calibri" w:eastAsia="Times New Roman" w:hAnsi="Calibri" w:cs="Calibri"/>
                <w:b/>
                <w:bCs/>
                <w:sz w:val="20"/>
                <w:szCs w:val="20"/>
                <w:lang w:eastAsia="en-AU"/>
              </w:rPr>
            </w:pPr>
          </w:p>
        </w:tc>
        <w:tc>
          <w:tcPr>
            <w:tcW w:w="1300" w:type="dxa"/>
            <w:tcBorders>
              <w:top w:val="nil"/>
              <w:left w:val="nil"/>
              <w:bottom w:val="nil"/>
              <w:right w:val="nil"/>
            </w:tcBorders>
            <w:shd w:val="clear" w:color="auto" w:fill="auto"/>
            <w:vAlign w:val="center"/>
            <w:hideMark/>
          </w:tcPr>
          <w:p w14:paraId="55FBC61F"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36EC8035"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060" w:type="dxa"/>
            <w:tcBorders>
              <w:top w:val="nil"/>
              <w:left w:val="nil"/>
              <w:bottom w:val="nil"/>
              <w:right w:val="nil"/>
            </w:tcBorders>
            <w:shd w:val="clear" w:color="auto" w:fill="auto"/>
            <w:vAlign w:val="center"/>
            <w:hideMark/>
          </w:tcPr>
          <w:p w14:paraId="29FF4F24"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r>
      <w:tr w:rsidR="008F5E4F" w:rsidRPr="008F5E4F" w14:paraId="4D5C3839" w14:textId="77777777" w:rsidTr="00F04026">
        <w:trPr>
          <w:trHeight w:val="215"/>
        </w:trPr>
        <w:tc>
          <w:tcPr>
            <w:tcW w:w="3880" w:type="dxa"/>
            <w:tcBorders>
              <w:top w:val="nil"/>
              <w:left w:val="nil"/>
              <w:bottom w:val="nil"/>
              <w:right w:val="nil"/>
            </w:tcBorders>
            <w:shd w:val="clear" w:color="auto" w:fill="auto"/>
            <w:vAlign w:val="center"/>
            <w:hideMark/>
          </w:tcPr>
          <w:p w14:paraId="0B7990D1"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Schools</w:t>
            </w:r>
          </w:p>
        </w:tc>
        <w:tc>
          <w:tcPr>
            <w:tcW w:w="1300" w:type="dxa"/>
            <w:tcBorders>
              <w:top w:val="nil"/>
              <w:left w:val="nil"/>
              <w:bottom w:val="nil"/>
              <w:right w:val="nil"/>
            </w:tcBorders>
            <w:shd w:val="clear" w:color="auto" w:fill="auto"/>
            <w:vAlign w:val="center"/>
            <w:hideMark/>
          </w:tcPr>
          <w:p w14:paraId="51B55E04"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35E4B338"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7 293</w:t>
            </w:r>
          </w:p>
        </w:tc>
        <w:tc>
          <w:tcPr>
            <w:tcW w:w="1300" w:type="dxa"/>
            <w:tcBorders>
              <w:top w:val="nil"/>
              <w:left w:val="nil"/>
              <w:bottom w:val="nil"/>
              <w:right w:val="nil"/>
            </w:tcBorders>
            <w:shd w:val="clear" w:color="auto" w:fill="auto"/>
            <w:vAlign w:val="center"/>
            <w:hideMark/>
          </w:tcPr>
          <w:p w14:paraId="21BC372C"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p>
        </w:tc>
        <w:tc>
          <w:tcPr>
            <w:tcW w:w="1060" w:type="dxa"/>
            <w:tcBorders>
              <w:top w:val="nil"/>
              <w:left w:val="nil"/>
              <w:bottom w:val="nil"/>
              <w:right w:val="nil"/>
            </w:tcBorders>
            <w:shd w:val="clear" w:color="auto" w:fill="auto"/>
            <w:vAlign w:val="center"/>
            <w:hideMark/>
          </w:tcPr>
          <w:p w14:paraId="4C9D65EE"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7 293</w:t>
            </w:r>
          </w:p>
        </w:tc>
      </w:tr>
      <w:tr w:rsidR="008F5E4F" w:rsidRPr="008F5E4F" w14:paraId="7252D29A" w14:textId="77777777" w:rsidTr="00F04026">
        <w:trPr>
          <w:trHeight w:val="215"/>
        </w:trPr>
        <w:tc>
          <w:tcPr>
            <w:tcW w:w="3880" w:type="dxa"/>
            <w:tcBorders>
              <w:top w:val="nil"/>
              <w:left w:val="nil"/>
              <w:bottom w:val="nil"/>
              <w:right w:val="nil"/>
            </w:tcBorders>
            <w:shd w:val="clear" w:color="auto" w:fill="auto"/>
            <w:vAlign w:val="center"/>
            <w:hideMark/>
          </w:tcPr>
          <w:p w14:paraId="65E5B799" w14:textId="5C7EDCC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Health</w:t>
            </w:r>
            <w:r w:rsidR="002B6D5B">
              <w:rPr>
                <w:rFonts w:ascii="Calibri" w:eastAsia="Times New Roman" w:hAnsi="Calibri" w:cs="Calibri"/>
                <w:sz w:val="20"/>
                <w:szCs w:val="20"/>
                <w:lang w:eastAsia="en-AU"/>
              </w:rPr>
              <w:t xml:space="preserve"> (c)</w:t>
            </w:r>
          </w:p>
        </w:tc>
        <w:tc>
          <w:tcPr>
            <w:tcW w:w="1300" w:type="dxa"/>
            <w:tcBorders>
              <w:top w:val="nil"/>
              <w:left w:val="nil"/>
              <w:bottom w:val="nil"/>
              <w:right w:val="nil"/>
            </w:tcBorders>
            <w:shd w:val="clear" w:color="auto" w:fill="auto"/>
            <w:vAlign w:val="center"/>
            <w:hideMark/>
          </w:tcPr>
          <w:p w14:paraId="38C16111"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6DB5A602"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13 365</w:t>
            </w:r>
          </w:p>
        </w:tc>
        <w:tc>
          <w:tcPr>
            <w:tcW w:w="1300" w:type="dxa"/>
            <w:tcBorders>
              <w:top w:val="nil"/>
              <w:left w:val="nil"/>
              <w:bottom w:val="nil"/>
              <w:right w:val="nil"/>
            </w:tcBorders>
            <w:shd w:val="clear" w:color="auto" w:fill="auto"/>
            <w:vAlign w:val="center"/>
            <w:hideMark/>
          </w:tcPr>
          <w:p w14:paraId="6CAE9CF3"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p>
        </w:tc>
        <w:tc>
          <w:tcPr>
            <w:tcW w:w="1060" w:type="dxa"/>
            <w:tcBorders>
              <w:top w:val="nil"/>
              <w:left w:val="nil"/>
              <w:bottom w:val="nil"/>
              <w:right w:val="nil"/>
            </w:tcBorders>
            <w:shd w:val="clear" w:color="auto" w:fill="auto"/>
            <w:vAlign w:val="center"/>
            <w:hideMark/>
          </w:tcPr>
          <w:p w14:paraId="01C80ACC"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13 365</w:t>
            </w:r>
          </w:p>
        </w:tc>
      </w:tr>
      <w:tr w:rsidR="008F5E4F" w:rsidRPr="008F5E4F" w14:paraId="6920C87F" w14:textId="77777777" w:rsidTr="00F04026">
        <w:trPr>
          <w:trHeight w:val="215"/>
        </w:trPr>
        <w:tc>
          <w:tcPr>
            <w:tcW w:w="3880" w:type="dxa"/>
            <w:tcBorders>
              <w:top w:val="nil"/>
              <w:left w:val="nil"/>
              <w:bottom w:val="nil"/>
              <w:right w:val="nil"/>
            </w:tcBorders>
            <w:shd w:val="clear" w:color="auto" w:fill="auto"/>
            <w:vAlign w:val="center"/>
            <w:hideMark/>
          </w:tcPr>
          <w:p w14:paraId="6E665B60" w14:textId="1A8C500A"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Welfare</w:t>
            </w:r>
            <w:r w:rsidR="002B6D5B">
              <w:rPr>
                <w:rFonts w:ascii="Calibri" w:eastAsia="Times New Roman" w:hAnsi="Calibri" w:cs="Calibri"/>
                <w:sz w:val="20"/>
                <w:szCs w:val="20"/>
                <w:lang w:eastAsia="en-AU"/>
              </w:rPr>
              <w:t xml:space="preserve"> </w:t>
            </w:r>
            <w:r w:rsidR="00B777CC">
              <w:rPr>
                <w:rFonts w:ascii="Calibri" w:eastAsia="Times New Roman" w:hAnsi="Calibri" w:cs="Calibri"/>
                <w:sz w:val="20"/>
                <w:szCs w:val="20"/>
                <w:lang w:eastAsia="en-AU"/>
              </w:rPr>
              <w:t>(c)</w:t>
            </w:r>
          </w:p>
        </w:tc>
        <w:tc>
          <w:tcPr>
            <w:tcW w:w="1300" w:type="dxa"/>
            <w:tcBorders>
              <w:top w:val="nil"/>
              <w:left w:val="nil"/>
              <w:bottom w:val="nil"/>
              <w:right w:val="nil"/>
            </w:tcBorders>
            <w:shd w:val="clear" w:color="auto" w:fill="auto"/>
            <w:vAlign w:val="center"/>
            <w:hideMark/>
          </w:tcPr>
          <w:p w14:paraId="67CC6556"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27589100"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2 390</w:t>
            </w:r>
          </w:p>
        </w:tc>
        <w:tc>
          <w:tcPr>
            <w:tcW w:w="1300" w:type="dxa"/>
            <w:tcBorders>
              <w:top w:val="nil"/>
              <w:left w:val="nil"/>
              <w:bottom w:val="nil"/>
              <w:right w:val="nil"/>
            </w:tcBorders>
            <w:shd w:val="clear" w:color="auto" w:fill="auto"/>
            <w:vAlign w:val="center"/>
            <w:hideMark/>
          </w:tcPr>
          <w:p w14:paraId="0BBF710A"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p>
        </w:tc>
        <w:tc>
          <w:tcPr>
            <w:tcW w:w="1060" w:type="dxa"/>
            <w:tcBorders>
              <w:top w:val="nil"/>
              <w:left w:val="nil"/>
              <w:bottom w:val="nil"/>
              <w:right w:val="nil"/>
            </w:tcBorders>
            <w:shd w:val="clear" w:color="auto" w:fill="auto"/>
            <w:vAlign w:val="center"/>
            <w:hideMark/>
          </w:tcPr>
          <w:p w14:paraId="4A603D69"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2 390</w:t>
            </w:r>
          </w:p>
        </w:tc>
      </w:tr>
      <w:tr w:rsidR="008F5E4F" w:rsidRPr="008F5E4F" w14:paraId="2369C279" w14:textId="77777777" w:rsidTr="00F04026">
        <w:trPr>
          <w:trHeight w:val="215"/>
        </w:trPr>
        <w:tc>
          <w:tcPr>
            <w:tcW w:w="3880" w:type="dxa"/>
            <w:tcBorders>
              <w:top w:val="nil"/>
              <w:left w:val="nil"/>
              <w:bottom w:val="nil"/>
              <w:right w:val="nil"/>
            </w:tcBorders>
            <w:shd w:val="clear" w:color="auto" w:fill="auto"/>
            <w:vAlign w:val="center"/>
            <w:hideMark/>
          </w:tcPr>
          <w:p w14:paraId="29B8AACC"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Justice – police</w:t>
            </w:r>
          </w:p>
        </w:tc>
        <w:tc>
          <w:tcPr>
            <w:tcW w:w="1300" w:type="dxa"/>
            <w:tcBorders>
              <w:top w:val="nil"/>
              <w:left w:val="nil"/>
              <w:bottom w:val="nil"/>
              <w:right w:val="nil"/>
            </w:tcBorders>
            <w:shd w:val="clear" w:color="auto" w:fill="auto"/>
            <w:vAlign w:val="center"/>
            <w:hideMark/>
          </w:tcPr>
          <w:p w14:paraId="2C7D14D9"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5595A046"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2 151</w:t>
            </w:r>
          </w:p>
        </w:tc>
        <w:tc>
          <w:tcPr>
            <w:tcW w:w="1300" w:type="dxa"/>
            <w:tcBorders>
              <w:top w:val="nil"/>
              <w:left w:val="nil"/>
              <w:bottom w:val="nil"/>
              <w:right w:val="nil"/>
            </w:tcBorders>
            <w:shd w:val="clear" w:color="auto" w:fill="auto"/>
            <w:vAlign w:val="center"/>
            <w:hideMark/>
          </w:tcPr>
          <w:p w14:paraId="6832764B"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p>
        </w:tc>
        <w:tc>
          <w:tcPr>
            <w:tcW w:w="1060" w:type="dxa"/>
            <w:tcBorders>
              <w:top w:val="nil"/>
              <w:left w:val="nil"/>
              <w:bottom w:val="nil"/>
              <w:right w:val="nil"/>
            </w:tcBorders>
            <w:shd w:val="clear" w:color="auto" w:fill="auto"/>
            <w:vAlign w:val="center"/>
            <w:hideMark/>
          </w:tcPr>
          <w:p w14:paraId="72F1056B"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2 151</w:t>
            </w:r>
          </w:p>
        </w:tc>
      </w:tr>
      <w:tr w:rsidR="008F5E4F" w:rsidRPr="008F5E4F" w14:paraId="1FAF5373" w14:textId="77777777" w:rsidTr="00F04026">
        <w:trPr>
          <w:trHeight w:val="215"/>
        </w:trPr>
        <w:tc>
          <w:tcPr>
            <w:tcW w:w="3880" w:type="dxa"/>
            <w:tcBorders>
              <w:top w:val="nil"/>
              <w:left w:val="nil"/>
              <w:bottom w:val="nil"/>
              <w:right w:val="nil"/>
            </w:tcBorders>
            <w:shd w:val="clear" w:color="auto" w:fill="auto"/>
            <w:vAlign w:val="center"/>
            <w:hideMark/>
          </w:tcPr>
          <w:p w14:paraId="2B566550"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Justice – other</w:t>
            </w:r>
          </w:p>
        </w:tc>
        <w:tc>
          <w:tcPr>
            <w:tcW w:w="1300" w:type="dxa"/>
            <w:tcBorders>
              <w:top w:val="nil"/>
              <w:left w:val="nil"/>
              <w:bottom w:val="nil"/>
              <w:right w:val="nil"/>
            </w:tcBorders>
            <w:shd w:val="clear" w:color="auto" w:fill="auto"/>
            <w:vAlign w:val="center"/>
            <w:hideMark/>
          </w:tcPr>
          <w:p w14:paraId="2C79813C"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4C5FA619"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1 017</w:t>
            </w:r>
          </w:p>
        </w:tc>
        <w:tc>
          <w:tcPr>
            <w:tcW w:w="1300" w:type="dxa"/>
            <w:tcBorders>
              <w:top w:val="nil"/>
              <w:left w:val="nil"/>
              <w:bottom w:val="nil"/>
              <w:right w:val="nil"/>
            </w:tcBorders>
            <w:shd w:val="clear" w:color="auto" w:fill="auto"/>
            <w:vAlign w:val="center"/>
            <w:hideMark/>
          </w:tcPr>
          <w:p w14:paraId="0C73FBFB"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p>
        </w:tc>
        <w:tc>
          <w:tcPr>
            <w:tcW w:w="1060" w:type="dxa"/>
            <w:tcBorders>
              <w:top w:val="nil"/>
              <w:left w:val="nil"/>
              <w:bottom w:val="nil"/>
              <w:right w:val="nil"/>
            </w:tcBorders>
            <w:shd w:val="clear" w:color="auto" w:fill="auto"/>
            <w:vAlign w:val="center"/>
            <w:hideMark/>
          </w:tcPr>
          <w:p w14:paraId="58967911"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1 017</w:t>
            </w:r>
          </w:p>
        </w:tc>
      </w:tr>
      <w:tr w:rsidR="008F5E4F" w:rsidRPr="008F5E4F" w14:paraId="27CA5C0A" w14:textId="77777777" w:rsidTr="00F04026">
        <w:trPr>
          <w:trHeight w:val="215"/>
        </w:trPr>
        <w:tc>
          <w:tcPr>
            <w:tcW w:w="3880" w:type="dxa"/>
            <w:tcBorders>
              <w:top w:val="nil"/>
              <w:left w:val="nil"/>
              <w:bottom w:val="nil"/>
              <w:right w:val="nil"/>
            </w:tcBorders>
            <w:shd w:val="clear" w:color="auto" w:fill="auto"/>
            <w:vAlign w:val="center"/>
            <w:hideMark/>
          </w:tcPr>
          <w:p w14:paraId="24212730"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Water and waste water (net)</w:t>
            </w:r>
          </w:p>
        </w:tc>
        <w:tc>
          <w:tcPr>
            <w:tcW w:w="1300" w:type="dxa"/>
            <w:tcBorders>
              <w:top w:val="nil"/>
              <w:left w:val="nil"/>
              <w:bottom w:val="nil"/>
              <w:right w:val="nil"/>
            </w:tcBorders>
            <w:shd w:val="clear" w:color="auto" w:fill="auto"/>
            <w:vAlign w:val="center"/>
            <w:hideMark/>
          </w:tcPr>
          <w:p w14:paraId="26E9300F"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5AE57E33"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65</w:t>
            </w:r>
          </w:p>
        </w:tc>
        <w:tc>
          <w:tcPr>
            <w:tcW w:w="1300" w:type="dxa"/>
            <w:tcBorders>
              <w:top w:val="nil"/>
              <w:left w:val="nil"/>
              <w:bottom w:val="nil"/>
              <w:right w:val="nil"/>
            </w:tcBorders>
            <w:shd w:val="clear" w:color="auto" w:fill="auto"/>
            <w:vAlign w:val="center"/>
            <w:hideMark/>
          </w:tcPr>
          <w:p w14:paraId="312740B2"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p>
        </w:tc>
        <w:tc>
          <w:tcPr>
            <w:tcW w:w="1060" w:type="dxa"/>
            <w:tcBorders>
              <w:top w:val="nil"/>
              <w:left w:val="nil"/>
              <w:bottom w:val="nil"/>
              <w:right w:val="nil"/>
            </w:tcBorders>
            <w:shd w:val="clear" w:color="auto" w:fill="auto"/>
            <w:vAlign w:val="center"/>
            <w:hideMark/>
          </w:tcPr>
          <w:p w14:paraId="49E9C228"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65</w:t>
            </w:r>
          </w:p>
        </w:tc>
      </w:tr>
      <w:tr w:rsidR="008F5E4F" w:rsidRPr="008F5E4F" w14:paraId="76521772" w14:textId="77777777" w:rsidTr="00F04026">
        <w:trPr>
          <w:trHeight w:val="215"/>
        </w:trPr>
        <w:tc>
          <w:tcPr>
            <w:tcW w:w="3880" w:type="dxa"/>
            <w:tcBorders>
              <w:top w:val="nil"/>
              <w:left w:val="nil"/>
              <w:bottom w:val="nil"/>
              <w:right w:val="nil"/>
            </w:tcBorders>
            <w:shd w:val="clear" w:color="auto" w:fill="auto"/>
            <w:vAlign w:val="center"/>
            <w:hideMark/>
          </w:tcPr>
          <w:p w14:paraId="1939A781"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Electricity (net)</w:t>
            </w:r>
          </w:p>
        </w:tc>
        <w:tc>
          <w:tcPr>
            <w:tcW w:w="1300" w:type="dxa"/>
            <w:tcBorders>
              <w:top w:val="nil"/>
              <w:left w:val="nil"/>
              <w:bottom w:val="nil"/>
              <w:right w:val="nil"/>
            </w:tcBorders>
            <w:shd w:val="clear" w:color="auto" w:fill="auto"/>
            <w:vAlign w:val="center"/>
            <w:hideMark/>
          </w:tcPr>
          <w:p w14:paraId="53DBB85C"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2F3C799D"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833</w:t>
            </w:r>
          </w:p>
        </w:tc>
        <w:tc>
          <w:tcPr>
            <w:tcW w:w="1300" w:type="dxa"/>
            <w:tcBorders>
              <w:top w:val="nil"/>
              <w:left w:val="nil"/>
              <w:bottom w:val="nil"/>
              <w:right w:val="nil"/>
            </w:tcBorders>
            <w:shd w:val="clear" w:color="auto" w:fill="auto"/>
            <w:vAlign w:val="center"/>
            <w:hideMark/>
          </w:tcPr>
          <w:p w14:paraId="3E124DDB"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p>
        </w:tc>
        <w:tc>
          <w:tcPr>
            <w:tcW w:w="1060" w:type="dxa"/>
            <w:tcBorders>
              <w:top w:val="nil"/>
              <w:left w:val="nil"/>
              <w:bottom w:val="nil"/>
              <w:right w:val="nil"/>
            </w:tcBorders>
            <w:shd w:val="clear" w:color="auto" w:fill="auto"/>
            <w:vAlign w:val="center"/>
            <w:hideMark/>
          </w:tcPr>
          <w:p w14:paraId="5F41B1E2"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833</w:t>
            </w:r>
          </w:p>
        </w:tc>
      </w:tr>
      <w:tr w:rsidR="008F5E4F" w:rsidRPr="008F5E4F" w14:paraId="42B4914D" w14:textId="77777777" w:rsidTr="00F04026">
        <w:trPr>
          <w:trHeight w:val="215"/>
        </w:trPr>
        <w:tc>
          <w:tcPr>
            <w:tcW w:w="3880" w:type="dxa"/>
            <w:tcBorders>
              <w:top w:val="nil"/>
              <w:left w:val="nil"/>
              <w:bottom w:val="nil"/>
              <w:right w:val="nil"/>
            </w:tcBorders>
            <w:shd w:val="clear" w:color="auto" w:fill="auto"/>
            <w:vAlign w:val="center"/>
            <w:hideMark/>
          </w:tcPr>
          <w:p w14:paraId="465A6347"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Waste management</w:t>
            </w:r>
          </w:p>
        </w:tc>
        <w:tc>
          <w:tcPr>
            <w:tcW w:w="1300" w:type="dxa"/>
            <w:tcBorders>
              <w:top w:val="nil"/>
              <w:left w:val="nil"/>
              <w:bottom w:val="nil"/>
              <w:right w:val="nil"/>
            </w:tcBorders>
            <w:shd w:val="clear" w:color="auto" w:fill="auto"/>
            <w:vAlign w:val="center"/>
            <w:hideMark/>
          </w:tcPr>
          <w:p w14:paraId="149F862B"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46EADE43"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3B5D847C"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929</w:t>
            </w:r>
          </w:p>
        </w:tc>
        <w:tc>
          <w:tcPr>
            <w:tcW w:w="1060" w:type="dxa"/>
            <w:tcBorders>
              <w:top w:val="nil"/>
              <w:left w:val="nil"/>
              <w:bottom w:val="nil"/>
              <w:right w:val="nil"/>
            </w:tcBorders>
            <w:shd w:val="clear" w:color="auto" w:fill="auto"/>
            <w:vAlign w:val="center"/>
            <w:hideMark/>
          </w:tcPr>
          <w:p w14:paraId="0DB06237"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929</w:t>
            </w:r>
          </w:p>
        </w:tc>
      </w:tr>
      <w:tr w:rsidR="008F5E4F" w:rsidRPr="008F5E4F" w14:paraId="6D6C167F" w14:textId="77777777" w:rsidTr="00F04026">
        <w:trPr>
          <w:trHeight w:val="215"/>
        </w:trPr>
        <w:tc>
          <w:tcPr>
            <w:tcW w:w="3880" w:type="dxa"/>
            <w:tcBorders>
              <w:top w:val="nil"/>
              <w:left w:val="nil"/>
              <w:bottom w:val="nil"/>
              <w:right w:val="nil"/>
            </w:tcBorders>
            <w:shd w:val="clear" w:color="auto" w:fill="auto"/>
            <w:vAlign w:val="center"/>
            <w:hideMark/>
          </w:tcPr>
          <w:p w14:paraId="24370F17"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Environmental protection – other</w:t>
            </w:r>
          </w:p>
        </w:tc>
        <w:tc>
          <w:tcPr>
            <w:tcW w:w="1300" w:type="dxa"/>
            <w:tcBorders>
              <w:top w:val="nil"/>
              <w:left w:val="nil"/>
              <w:bottom w:val="nil"/>
              <w:right w:val="nil"/>
            </w:tcBorders>
            <w:shd w:val="clear" w:color="auto" w:fill="auto"/>
            <w:vAlign w:val="center"/>
            <w:hideMark/>
          </w:tcPr>
          <w:p w14:paraId="6F4AB035"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1F56CCB4"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321</w:t>
            </w:r>
          </w:p>
        </w:tc>
        <w:tc>
          <w:tcPr>
            <w:tcW w:w="1300" w:type="dxa"/>
            <w:tcBorders>
              <w:top w:val="nil"/>
              <w:left w:val="nil"/>
              <w:bottom w:val="nil"/>
              <w:right w:val="nil"/>
            </w:tcBorders>
            <w:shd w:val="clear" w:color="auto" w:fill="auto"/>
            <w:vAlign w:val="center"/>
            <w:hideMark/>
          </w:tcPr>
          <w:p w14:paraId="5FF7DB26"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p>
        </w:tc>
        <w:tc>
          <w:tcPr>
            <w:tcW w:w="1060" w:type="dxa"/>
            <w:tcBorders>
              <w:top w:val="nil"/>
              <w:left w:val="nil"/>
              <w:bottom w:val="nil"/>
              <w:right w:val="nil"/>
            </w:tcBorders>
            <w:shd w:val="clear" w:color="auto" w:fill="auto"/>
            <w:vAlign w:val="center"/>
            <w:hideMark/>
          </w:tcPr>
          <w:p w14:paraId="429F1EC4"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321</w:t>
            </w:r>
          </w:p>
        </w:tc>
      </w:tr>
      <w:tr w:rsidR="008F5E4F" w:rsidRPr="008F5E4F" w14:paraId="4A146EB6" w14:textId="77777777" w:rsidTr="00F04026">
        <w:trPr>
          <w:trHeight w:val="215"/>
        </w:trPr>
        <w:tc>
          <w:tcPr>
            <w:tcW w:w="3880" w:type="dxa"/>
            <w:tcBorders>
              <w:top w:val="nil"/>
              <w:left w:val="nil"/>
              <w:bottom w:val="nil"/>
              <w:right w:val="nil"/>
            </w:tcBorders>
            <w:shd w:val="clear" w:color="auto" w:fill="auto"/>
            <w:vAlign w:val="center"/>
            <w:hideMark/>
          </w:tcPr>
          <w:p w14:paraId="66A80969"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Community amenities</w:t>
            </w:r>
          </w:p>
        </w:tc>
        <w:tc>
          <w:tcPr>
            <w:tcW w:w="1300" w:type="dxa"/>
            <w:tcBorders>
              <w:top w:val="nil"/>
              <w:left w:val="nil"/>
              <w:bottom w:val="nil"/>
              <w:right w:val="nil"/>
            </w:tcBorders>
            <w:shd w:val="clear" w:color="auto" w:fill="auto"/>
            <w:vAlign w:val="center"/>
            <w:hideMark/>
          </w:tcPr>
          <w:p w14:paraId="577DE3F9"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139FB7B4"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71572B9C"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922</w:t>
            </w:r>
          </w:p>
        </w:tc>
        <w:tc>
          <w:tcPr>
            <w:tcW w:w="1060" w:type="dxa"/>
            <w:tcBorders>
              <w:top w:val="nil"/>
              <w:left w:val="nil"/>
              <w:bottom w:val="nil"/>
              <w:right w:val="nil"/>
            </w:tcBorders>
            <w:shd w:val="clear" w:color="auto" w:fill="auto"/>
            <w:vAlign w:val="center"/>
            <w:hideMark/>
          </w:tcPr>
          <w:p w14:paraId="3830FADB"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922</w:t>
            </w:r>
          </w:p>
        </w:tc>
      </w:tr>
      <w:tr w:rsidR="008F5E4F" w:rsidRPr="008F5E4F" w14:paraId="3FD108EF" w14:textId="77777777" w:rsidTr="00F04026">
        <w:trPr>
          <w:trHeight w:val="215"/>
        </w:trPr>
        <w:tc>
          <w:tcPr>
            <w:tcW w:w="3880" w:type="dxa"/>
            <w:tcBorders>
              <w:top w:val="nil"/>
              <w:left w:val="nil"/>
              <w:bottom w:val="nil"/>
              <w:right w:val="nil"/>
            </w:tcBorders>
            <w:shd w:val="clear" w:color="auto" w:fill="auto"/>
            <w:vAlign w:val="center"/>
            <w:hideMark/>
          </w:tcPr>
          <w:p w14:paraId="0CE81D14"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Roads</w:t>
            </w:r>
          </w:p>
        </w:tc>
        <w:tc>
          <w:tcPr>
            <w:tcW w:w="1300" w:type="dxa"/>
            <w:tcBorders>
              <w:top w:val="nil"/>
              <w:left w:val="nil"/>
              <w:bottom w:val="nil"/>
              <w:right w:val="nil"/>
            </w:tcBorders>
            <w:shd w:val="clear" w:color="auto" w:fill="auto"/>
            <w:vAlign w:val="center"/>
            <w:hideMark/>
          </w:tcPr>
          <w:p w14:paraId="3FB03D64"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672FF6D9"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361DD4A6"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1 408</w:t>
            </w:r>
          </w:p>
        </w:tc>
        <w:tc>
          <w:tcPr>
            <w:tcW w:w="1060" w:type="dxa"/>
            <w:tcBorders>
              <w:top w:val="nil"/>
              <w:left w:val="nil"/>
              <w:bottom w:val="nil"/>
              <w:right w:val="nil"/>
            </w:tcBorders>
            <w:shd w:val="clear" w:color="auto" w:fill="auto"/>
            <w:vAlign w:val="center"/>
            <w:hideMark/>
          </w:tcPr>
          <w:p w14:paraId="3173BAC6"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1 408</w:t>
            </w:r>
          </w:p>
        </w:tc>
      </w:tr>
      <w:tr w:rsidR="008F5E4F" w:rsidRPr="008F5E4F" w14:paraId="6DDACBE6" w14:textId="77777777" w:rsidTr="00F04026">
        <w:trPr>
          <w:trHeight w:val="215"/>
        </w:trPr>
        <w:tc>
          <w:tcPr>
            <w:tcW w:w="3880" w:type="dxa"/>
            <w:tcBorders>
              <w:top w:val="nil"/>
              <w:left w:val="nil"/>
              <w:bottom w:val="nil"/>
              <w:right w:val="nil"/>
            </w:tcBorders>
            <w:shd w:val="clear" w:color="auto" w:fill="auto"/>
            <w:vAlign w:val="center"/>
            <w:hideMark/>
          </w:tcPr>
          <w:p w14:paraId="51508BD8"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Ports and lighterage (net)</w:t>
            </w:r>
          </w:p>
        </w:tc>
        <w:tc>
          <w:tcPr>
            <w:tcW w:w="1300" w:type="dxa"/>
            <w:tcBorders>
              <w:top w:val="nil"/>
              <w:left w:val="nil"/>
              <w:bottom w:val="nil"/>
              <w:right w:val="nil"/>
            </w:tcBorders>
            <w:shd w:val="clear" w:color="auto" w:fill="auto"/>
            <w:vAlign w:val="center"/>
            <w:hideMark/>
          </w:tcPr>
          <w:p w14:paraId="1A11C133"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362D924D"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495</w:t>
            </w:r>
          </w:p>
        </w:tc>
        <w:tc>
          <w:tcPr>
            <w:tcW w:w="1300" w:type="dxa"/>
            <w:tcBorders>
              <w:top w:val="nil"/>
              <w:left w:val="nil"/>
              <w:bottom w:val="nil"/>
              <w:right w:val="nil"/>
            </w:tcBorders>
            <w:shd w:val="clear" w:color="auto" w:fill="auto"/>
            <w:vAlign w:val="center"/>
            <w:hideMark/>
          </w:tcPr>
          <w:p w14:paraId="0D526679"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p>
        </w:tc>
        <w:tc>
          <w:tcPr>
            <w:tcW w:w="1060" w:type="dxa"/>
            <w:tcBorders>
              <w:top w:val="nil"/>
              <w:left w:val="nil"/>
              <w:bottom w:val="nil"/>
              <w:right w:val="nil"/>
            </w:tcBorders>
            <w:shd w:val="clear" w:color="auto" w:fill="auto"/>
            <w:vAlign w:val="center"/>
            <w:hideMark/>
          </w:tcPr>
          <w:p w14:paraId="2D31E2E9"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495</w:t>
            </w:r>
          </w:p>
        </w:tc>
      </w:tr>
      <w:tr w:rsidR="008F5E4F" w:rsidRPr="008F5E4F" w14:paraId="75DD1ACE" w14:textId="77777777" w:rsidTr="00F04026">
        <w:trPr>
          <w:trHeight w:val="215"/>
        </w:trPr>
        <w:tc>
          <w:tcPr>
            <w:tcW w:w="3880" w:type="dxa"/>
            <w:tcBorders>
              <w:top w:val="nil"/>
              <w:left w:val="nil"/>
              <w:bottom w:val="nil"/>
              <w:right w:val="nil"/>
            </w:tcBorders>
            <w:shd w:val="clear" w:color="auto" w:fill="auto"/>
            <w:vAlign w:val="center"/>
            <w:hideMark/>
          </w:tcPr>
          <w:p w14:paraId="7DCD2CCA" w14:textId="716AC192"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Tourism</w:t>
            </w:r>
            <w:r w:rsidR="002B6D5B">
              <w:rPr>
                <w:rFonts w:ascii="Calibri" w:eastAsia="Times New Roman" w:hAnsi="Calibri" w:cs="Calibri"/>
                <w:sz w:val="20"/>
                <w:szCs w:val="20"/>
                <w:lang w:eastAsia="en-AU"/>
              </w:rPr>
              <w:t xml:space="preserve"> (d)</w:t>
            </w:r>
          </w:p>
        </w:tc>
        <w:tc>
          <w:tcPr>
            <w:tcW w:w="1300" w:type="dxa"/>
            <w:tcBorders>
              <w:top w:val="nil"/>
              <w:left w:val="nil"/>
              <w:bottom w:val="nil"/>
              <w:right w:val="nil"/>
            </w:tcBorders>
            <w:shd w:val="clear" w:color="auto" w:fill="auto"/>
            <w:vAlign w:val="center"/>
            <w:hideMark/>
          </w:tcPr>
          <w:p w14:paraId="433C3380"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7790818D"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1 048</w:t>
            </w:r>
          </w:p>
        </w:tc>
        <w:tc>
          <w:tcPr>
            <w:tcW w:w="1300" w:type="dxa"/>
            <w:tcBorders>
              <w:top w:val="nil"/>
              <w:left w:val="nil"/>
              <w:bottom w:val="nil"/>
              <w:right w:val="nil"/>
            </w:tcBorders>
            <w:shd w:val="clear" w:color="auto" w:fill="auto"/>
            <w:vAlign w:val="center"/>
            <w:hideMark/>
          </w:tcPr>
          <w:p w14:paraId="7DC6E612"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498</w:t>
            </w:r>
          </w:p>
        </w:tc>
        <w:tc>
          <w:tcPr>
            <w:tcW w:w="1060" w:type="dxa"/>
            <w:tcBorders>
              <w:top w:val="nil"/>
              <w:left w:val="nil"/>
              <w:bottom w:val="nil"/>
              <w:right w:val="nil"/>
            </w:tcBorders>
            <w:shd w:val="clear" w:color="auto" w:fill="auto"/>
            <w:vAlign w:val="center"/>
            <w:hideMark/>
          </w:tcPr>
          <w:p w14:paraId="52753773"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1 546</w:t>
            </w:r>
          </w:p>
        </w:tc>
      </w:tr>
      <w:tr w:rsidR="008F5E4F" w:rsidRPr="008F5E4F" w14:paraId="4647CB6B" w14:textId="77777777" w:rsidTr="00F04026">
        <w:trPr>
          <w:trHeight w:val="215"/>
        </w:trPr>
        <w:tc>
          <w:tcPr>
            <w:tcW w:w="3880" w:type="dxa"/>
            <w:tcBorders>
              <w:top w:val="nil"/>
              <w:left w:val="nil"/>
              <w:bottom w:val="nil"/>
              <w:right w:val="nil"/>
            </w:tcBorders>
            <w:shd w:val="clear" w:color="auto" w:fill="auto"/>
            <w:vAlign w:val="center"/>
            <w:hideMark/>
          </w:tcPr>
          <w:p w14:paraId="3E5A3D7B"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KAVHA (net)</w:t>
            </w:r>
          </w:p>
        </w:tc>
        <w:tc>
          <w:tcPr>
            <w:tcW w:w="1300" w:type="dxa"/>
            <w:tcBorders>
              <w:top w:val="nil"/>
              <w:left w:val="nil"/>
              <w:bottom w:val="nil"/>
              <w:right w:val="nil"/>
            </w:tcBorders>
            <w:shd w:val="clear" w:color="auto" w:fill="auto"/>
            <w:vAlign w:val="center"/>
            <w:hideMark/>
          </w:tcPr>
          <w:p w14:paraId="26F58036"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1 072</w:t>
            </w:r>
          </w:p>
        </w:tc>
        <w:tc>
          <w:tcPr>
            <w:tcW w:w="1300" w:type="dxa"/>
            <w:tcBorders>
              <w:top w:val="nil"/>
              <w:left w:val="nil"/>
              <w:bottom w:val="nil"/>
              <w:right w:val="nil"/>
            </w:tcBorders>
            <w:shd w:val="clear" w:color="auto" w:fill="auto"/>
            <w:vAlign w:val="center"/>
            <w:hideMark/>
          </w:tcPr>
          <w:p w14:paraId="33445A01"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603DAFA7"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060" w:type="dxa"/>
            <w:tcBorders>
              <w:top w:val="nil"/>
              <w:left w:val="nil"/>
              <w:bottom w:val="nil"/>
              <w:right w:val="nil"/>
            </w:tcBorders>
            <w:shd w:val="clear" w:color="auto" w:fill="auto"/>
            <w:vAlign w:val="center"/>
            <w:hideMark/>
          </w:tcPr>
          <w:p w14:paraId="39888AF6"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1 072</w:t>
            </w:r>
          </w:p>
        </w:tc>
      </w:tr>
      <w:tr w:rsidR="008F5E4F" w:rsidRPr="008F5E4F" w14:paraId="06F411E0" w14:textId="77777777" w:rsidTr="00F04026">
        <w:trPr>
          <w:trHeight w:val="215"/>
        </w:trPr>
        <w:tc>
          <w:tcPr>
            <w:tcW w:w="3880" w:type="dxa"/>
            <w:tcBorders>
              <w:top w:val="nil"/>
              <w:left w:val="nil"/>
              <w:bottom w:val="nil"/>
              <w:right w:val="nil"/>
            </w:tcBorders>
            <w:shd w:val="clear" w:color="auto" w:fill="auto"/>
            <w:vAlign w:val="center"/>
            <w:hideMark/>
          </w:tcPr>
          <w:p w14:paraId="4B53AFB9"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Other expenses – public safety</w:t>
            </w:r>
          </w:p>
        </w:tc>
        <w:tc>
          <w:tcPr>
            <w:tcW w:w="1300" w:type="dxa"/>
            <w:tcBorders>
              <w:top w:val="nil"/>
              <w:left w:val="nil"/>
              <w:bottom w:val="nil"/>
              <w:right w:val="nil"/>
            </w:tcBorders>
            <w:shd w:val="clear" w:color="auto" w:fill="auto"/>
            <w:vAlign w:val="center"/>
            <w:hideMark/>
          </w:tcPr>
          <w:p w14:paraId="64891C9A"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7B1B3C53"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1 156</w:t>
            </w:r>
          </w:p>
        </w:tc>
        <w:tc>
          <w:tcPr>
            <w:tcW w:w="1300" w:type="dxa"/>
            <w:tcBorders>
              <w:top w:val="nil"/>
              <w:left w:val="nil"/>
              <w:bottom w:val="nil"/>
              <w:right w:val="nil"/>
            </w:tcBorders>
            <w:shd w:val="clear" w:color="auto" w:fill="auto"/>
            <w:vAlign w:val="center"/>
            <w:hideMark/>
          </w:tcPr>
          <w:p w14:paraId="5EE62A12"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p>
        </w:tc>
        <w:tc>
          <w:tcPr>
            <w:tcW w:w="1060" w:type="dxa"/>
            <w:tcBorders>
              <w:top w:val="nil"/>
              <w:left w:val="nil"/>
              <w:bottom w:val="nil"/>
              <w:right w:val="nil"/>
            </w:tcBorders>
            <w:shd w:val="clear" w:color="auto" w:fill="auto"/>
            <w:vAlign w:val="center"/>
            <w:hideMark/>
          </w:tcPr>
          <w:p w14:paraId="3EE8E05C"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1 156</w:t>
            </w:r>
          </w:p>
        </w:tc>
      </w:tr>
      <w:tr w:rsidR="008F5E4F" w:rsidRPr="008F5E4F" w14:paraId="72F0E7A5" w14:textId="77777777" w:rsidTr="00F04026">
        <w:trPr>
          <w:trHeight w:val="215"/>
        </w:trPr>
        <w:tc>
          <w:tcPr>
            <w:tcW w:w="3880" w:type="dxa"/>
            <w:tcBorders>
              <w:top w:val="nil"/>
              <w:left w:val="nil"/>
              <w:bottom w:val="nil"/>
              <w:right w:val="nil"/>
            </w:tcBorders>
            <w:shd w:val="clear" w:color="auto" w:fill="auto"/>
            <w:vAlign w:val="center"/>
            <w:hideMark/>
          </w:tcPr>
          <w:p w14:paraId="5C5E79CB"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Other expenses — other services</w:t>
            </w:r>
          </w:p>
        </w:tc>
        <w:tc>
          <w:tcPr>
            <w:tcW w:w="1300" w:type="dxa"/>
            <w:tcBorders>
              <w:top w:val="nil"/>
              <w:left w:val="nil"/>
              <w:bottom w:val="nil"/>
              <w:right w:val="nil"/>
            </w:tcBorders>
            <w:shd w:val="clear" w:color="auto" w:fill="auto"/>
            <w:vAlign w:val="center"/>
            <w:hideMark/>
          </w:tcPr>
          <w:p w14:paraId="2F733C29"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72D7BB72"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3 149</w:t>
            </w:r>
          </w:p>
        </w:tc>
        <w:tc>
          <w:tcPr>
            <w:tcW w:w="1300" w:type="dxa"/>
            <w:tcBorders>
              <w:top w:val="nil"/>
              <w:left w:val="nil"/>
              <w:bottom w:val="nil"/>
              <w:right w:val="nil"/>
            </w:tcBorders>
            <w:shd w:val="clear" w:color="auto" w:fill="auto"/>
            <w:vAlign w:val="center"/>
            <w:hideMark/>
          </w:tcPr>
          <w:p w14:paraId="593EFA5A"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1 600</w:t>
            </w:r>
          </w:p>
        </w:tc>
        <w:tc>
          <w:tcPr>
            <w:tcW w:w="1060" w:type="dxa"/>
            <w:tcBorders>
              <w:top w:val="nil"/>
              <w:left w:val="nil"/>
              <w:bottom w:val="nil"/>
              <w:right w:val="nil"/>
            </w:tcBorders>
            <w:shd w:val="clear" w:color="auto" w:fill="auto"/>
            <w:vAlign w:val="center"/>
            <w:hideMark/>
          </w:tcPr>
          <w:p w14:paraId="601724F0"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4 749</w:t>
            </w:r>
          </w:p>
        </w:tc>
      </w:tr>
      <w:tr w:rsidR="008F5E4F" w:rsidRPr="008F5E4F" w14:paraId="0A8932B5" w14:textId="77777777" w:rsidTr="00B777CC">
        <w:trPr>
          <w:trHeight w:val="215"/>
        </w:trPr>
        <w:tc>
          <w:tcPr>
            <w:tcW w:w="3880" w:type="dxa"/>
            <w:tcBorders>
              <w:top w:val="nil"/>
              <w:left w:val="nil"/>
              <w:bottom w:val="single" w:sz="4" w:space="0" w:color="auto"/>
              <w:right w:val="nil"/>
            </w:tcBorders>
            <w:shd w:val="clear" w:color="auto" w:fill="auto"/>
            <w:vAlign w:val="center"/>
            <w:hideMark/>
          </w:tcPr>
          <w:p w14:paraId="1EF3AAB1"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Depreciation — assets other than GBEs’</w:t>
            </w:r>
          </w:p>
        </w:tc>
        <w:tc>
          <w:tcPr>
            <w:tcW w:w="1300" w:type="dxa"/>
            <w:tcBorders>
              <w:top w:val="nil"/>
              <w:left w:val="nil"/>
              <w:bottom w:val="single" w:sz="4" w:space="0" w:color="auto"/>
              <w:right w:val="nil"/>
            </w:tcBorders>
            <w:shd w:val="clear" w:color="auto" w:fill="auto"/>
            <w:vAlign w:val="center"/>
            <w:hideMark/>
          </w:tcPr>
          <w:p w14:paraId="04E8049F"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p>
        </w:tc>
        <w:tc>
          <w:tcPr>
            <w:tcW w:w="1300" w:type="dxa"/>
            <w:tcBorders>
              <w:top w:val="nil"/>
              <w:left w:val="nil"/>
              <w:bottom w:val="single" w:sz="4" w:space="0" w:color="auto"/>
              <w:right w:val="nil"/>
            </w:tcBorders>
            <w:shd w:val="clear" w:color="auto" w:fill="auto"/>
            <w:vAlign w:val="center"/>
            <w:hideMark/>
          </w:tcPr>
          <w:p w14:paraId="540603B4" w14:textId="77777777" w:rsidR="008F5E4F" w:rsidRPr="008F5E4F" w:rsidRDefault="008F5E4F" w:rsidP="008F5E4F">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single" w:sz="4" w:space="0" w:color="auto"/>
              <w:right w:val="nil"/>
            </w:tcBorders>
            <w:shd w:val="clear" w:color="auto" w:fill="auto"/>
            <w:vAlign w:val="center"/>
            <w:hideMark/>
          </w:tcPr>
          <w:p w14:paraId="05C8F639"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1 633</w:t>
            </w:r>
          </w:p>
        </w:tc>
        <w:tc>
          <w:tcPr>
            <w:tcW w:w="1060" w:type="dxa"/>
            <w:tcBorders>
              <w:top w:val="nil"/>
              <w:left w:val="nil"/>
              <w:bottom w:val="single" w:sz="4" w:space="0" w:color="auto"/>
              <w:right w:val="nil"/>
            </w:tcBorders>
            <w:shd w:val="clear" w:color="auto" w:fill="auto"/>
            <w:vAlign w:val="center"/>
            <w:hideMark/>
          </w:tcPr>
          <w:p w14:paraId="099A966B"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1 633</w:t>
            </w:r>
          </w:p>
        </w:tc>
      </w:tr>
      <w:tr w:rsidR="008F5E4F" w:rsidRPr="008F5E4F" w14:paraId="649A7B2E" w14:textId="77777777" w:rsidTr="00B777CC">
        <w:trPr>
          <w:trHeight w:val="215"/>
        </w:trPr>
        <w:tc>
          <w:tcPr>
            <w:tcW w:w="3880" w:type="dxa"/>
            <w:tcBorders>
              <w:top w:val="single" w:sz="4" w:space="0" w:color="auto"/>
              <w:left w:val="nil"/>
              <w:bottom w:val="single" w:sz="4" w:space="0" w:color="auto"/>
              <w:right w:val="nil"/>
            </w:tcBorders>
            <w:shd w:val="clear" w:color="auto" w:fill="auto"/>
            <w:vAlign w:val="center"/>
            <w:hideMark/>
          </w:tcPr>
          <w:p w14:paraId="4C6B0732"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Total expenses</w:t>
            </w:r>
          </w:p>
        </w:tc>
        <w:tc>
          <w:tcPr>
            <w:tcW w:w="1300" w:type="dxa"/>
            <w:tcBorders>
              <w:top w:val="single" w:sz="4" w:space="0" w:color="auto"/>
              <w:left w:val="nil"/>
              <w:bottom w:val="single" w:sz="4" w:space="0" w:color="auto"/>
              <w:right w:val="nil"/>
            </w:tcBorders>
            <w:shd w:val="clear" w:color="auto" w:fill="auto"/>
            <w:vAlign w:val="center"/>
            <w:hideMark/>
          </w:tcPr>
          <w:p w14:paraId="40FFE0E8"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1 072</w:t>
            </w:r>
          </w:p>
        </w:tc>
        <w:tc>
          <w:tcPr>
            <w:tcW w:w="1300" w:type="dxa"/>
            <w:tcBorders>
              <w:top w:val="single" w:sz="4" w:space="0" w:color="auto"/>
              <w:left w:val="nil"/>
              <w:bottom w:val="single" w:sz="4" w:space="0" w:color="auto"/>
              <w:right w:val="nil"/>
            </w:tcBorders>
            <w:shd w:val="clear" w:color="auto" w:fill="auto"/>
            <w:vAlign w:val="center"/>
            <w:hideMark/>
          </w:tcPr>
          <w:p w14:paraId="3363F2A8"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33 283</w:t>
            </w:r>
          </w:p>
        </w:tc>
        <w:tc>
          <w:tcPr>
            <w:tcW w:w="1300" w:type="dxa"/>
            <w:tcBorders>
              <w:top w:val="single" w:sz="4" w:space="0" w:color="auto"/>
              <w:left w:val="nil"/>
              <w:bottom w:val="single" w:sz="4" w:space="0" w:color="auto"/>
              <w:right w:val="nil"/>
            </w:tcBorders>
            <w:shd w:val="clear" w:color="auto" w:fill="auto"/>
            <w:vAlign w:val="center"/>
            <w:hideMark/>
          </w:tcPr>
          <w:p w14:paraId="1C60F0B9"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6 990</w:t>
            </w:r>
          </w:p>
        </w:tc>
        <w:tc>
          <w:tcPr>
            <w:tcW w:w="1060" w:type="dxa"/>
            <w:tcBorders>
              <w:top w:val="single" w:sz="4" w:space="0" w:color="auto"/>
              <w:left w:val="nil"/>
              <w:bottom w:val="single" w:sz="4" w:space="0" w:color="auto"/>
              <w:right w:val="nil"/>
            </w:tcBorders>
            <w:shd w:val="clear" w:color="auto" w:fill="auto"/>
            <w:vAlign w:val="center"/>
            <w:hideMark/>
          </w:tcPr>
          <w:p w14:paraId="4DFFACF1"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41 344</w:t>
            </w:r>
          </w:p>
        </w:tc>
      </w:tr>
      <w:tr w:rsidR="008F5E4F" w:rsidRPr="008F5E4F" w14:paraId="200B9D14" w14:textId="77777777" w:rsidTr="00B777CC">
        <w:trPr>
          <w:trHeight w:val="215"/>
        </w:trPr>
        <w:tc>
          <w:tcPr>
            <w:tcW w:w="3880" w:type="dxa"/>
            <w:tcBorders>
              <w:top w:val="single" w:sz="4" w:space="0" w:color="auto"/>
              <w:left w:val="nil"/>
              <w:bottom w:val="single" w:sz="4" w:space="0" w:color="auto"/>
              <w:right w:val="nil"/>
            </w:tcBorders>
            <w:shd w:val="clear" w:color="auto" w:fill="auto"/>
            <w:vAlign w:val="center"/>
            <w:hideMark/>
          </w:tcPr>
          <w:p w14:paraId="1574878E" w14:textId="77777777" w:rsidR="008F5E4F" w:rsidRPr="008F5E4F" w:rsidRDefault="008F5E4F" w:rsidP="008F5E4F">
            <w:pPr>
              <w:tabs>
                <w:tab w:val="clear" w:pos="567"/>
              </w:tabs>
              <w:spacing w:after="0" w:line="240" w:lineRule="auto"/>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Net expenses(+)/Net income(-)</w:t>
            </w:r>
          </w:p>
        </w:tc>
        <w:tc>
          <w:tcPr>
            <w:tcW w:w="1300" w:type="dxa"/>
            <w:tcBorders>
              <w:top w:val="single" w:sz="4" w:space="0" w:color="auto"/>
              <w:left w:val="nil"/>
              <w:bottom w:val="single" w:sz="4" w:space="0" w:color="auto"/>
              <w:right w:val="nil"/>
            </w:tcBorders>
            <w:shd w:val="clear" w:color="auto" w:fill="auto"/>
            <w:vAlign w:val="center"/>
            <w:hideMark/>
          </w:tcPr>
          <w:p w14:paraId="3280FF05"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743</w:t>
            </w:r>
          </w:p>
        </w:tc>
        <w:tc>
          <w:tcPr>
            <w:tcW w:w="1300" w:type="dxa"/>
            <w:tcBorders>
              <w:top w:val="single" w:sz="4" w:space="0" w:color="auto"/>
              <w:left w:val="nil"/>
              <w:bottom w:val="single" w:sz="4" w:space="0" w:color="auto"/>
              <w:right w:val="nil"/>
            </w:tcBorders>
            <w:shd w:val="clear" w:color="auto" w:fill="auto"/>
            <w:vAlign w:val="center"/>
            <w:hideMark/>
          </w:tcPr>
          <w:p w14:paraId="19C431A5"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xml:space="preserve"> 838</w:t>
            </w:r>
          </w:p>
        </w:tc>
        <w:tc>
          <w:tcPr>
            <w:tcW w:w="1300" w:type="dxa"/>
            <w:tcBorders>
              <w:top w:val="single" w:sz="4" w:space="0" w:color="auto"/>
              <w:left w:val="nil"/>
              <w:bottom w:val="single" w:sz="4" w:space="0" w:color="auto"/>
              <w:right w:val="nil"/>
            </w:tcBorders>
            <w:shd w:val="clear" w:color="auto" w:fill="auto"/>
            <w:vAlign w:val="center"/>
            <w:hideMark/>
          </w:tcPr>
          <w:p w14:paraId="16B13DB8"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-1 581</w:t>
            </w:r>
          </w:p>
        </w:tc>
        <w:tc>
          <w:tcPr>
            <w:tcW w:w="1060" w:type="dxa"/>
            <w:tcBorders>
              <w:top w:val="single" w:sz="4" w:space="0" w:color="auto"/>
              <w:left w:val="nil"/>
              <w:bottom w:val="single" w:sz="4" w:space="0" w:color="auto"/>
              <w:right w:val="nil"/>
            </w:tcBorders>
            <w:shd w:val="clear" w:color="auto" w:fill="auto"/>
            <w:vAlign w:val="center"/>
            <w:hideMark/>
          </w:tcPr>
          <w:p w14:paraId="289966DB" w14:textId="77777777" w:rsidR="008F5E4F" w:rsidRPr="008F5E4F" w:rsidRDefault="008F5E4F" w:rsidP="008F5E4F">
            <w:pPr>
              <w:tabs>
                <w:tab w:val="clear" w:pos="567"/>
              </w:tabs>
              <w:spacing w:after="0" w:line="240" w:lineRule="auto"/>
              <w:jc w:val="right"/>
              <w:rPr>
                <w:rFonts w:ascii="Calibri" w:eastAsia="Times New Roman" w:hAnsi="Calibri" w:cs="Calibri"/>
                <w:sz w:val="20"/>
                <w:szCs w:val="20"/>
                <w:lang w:eastAsia="en-AU"/>
              </w:rPr>
            </w:pPr>
            <w:r w:rsidRPr="008F5E4F">
              <w:rPr>
                <w:rFonts w:ascii="Calibri" w:eastAsia="Times New Roman" w:hAnsi="Calibri" w:cs="Calibri"/>
                <w:sz w:val="20"/>
                <w:szCs w:val="20"/>
                <w:lang w:eastAsia="en-AU"/>
              </w:rPr>
              <w:t>- 1</w:t>
            </w:r>
          </w:p>
        </w:tc>
      </w:tr>
    </w:tbl>
    <w:p w14:paraId="7895C09C" w14:textId="77777777" w:rsidR="00C35EB3" w:rsidRPr="00F04026" w:rsidRDefault="00C35EB3" w:rsidP="00C35EB3">
      <w:pPr>
        <w:pStyle w:val="CGCTableFootnote"/>
        <w:spacing w:line="200" w:lineRule="atLeast"/>
        <w:rPr>
          <w:sz w:val="18"/>
          <w:szCs w:val="18"/>
        </w:rPr>
      </w:pPr>
      <w:r>
        <w:t>(a)</w:t>
      </w:r>
      <w:r>
        <w:tab/>
      </w:r>
      <w:r w:rsidRPr="00F04026">
        <w:rPr>
          <w:sz w:val="18"/>
          <w:szCs w:val="18"/>
        </w:rPr>
        <w:t xml:space="preserve">Under the agreement between </w:t>
      </w:r>
      <w:r w:rsidR="008F4885" w:rsidRPr="00F04026">
        <w:rPr>
          <w:sz w:val="18"/>
          <w:szCs w:val="18"/>
        </w:rPr>
        <w:t>the Department</w:t>
      </w:r>
      <w:r w:rsidRPr="00F04026">
        <w:rPr>
          <w:sz w:val="18"/>
          <w:szCs w:val="18"/>
        </w:rPr>
        <w:t xml:space="preserve"> and NIRC, NIRC imposes some State-type taxes, fees and charges and retains the revenues. The amount shown is the net amount NIRC receives for services delivered after those retained revenues are deducted from gross costs.</w:t>
      </w:r>
    </w:p>
    <w:p w14:paraId="240B114B" w14:textId="77777777" w:rsidR="00C35EB3" w:rsidRPr="00F04026" w:rsidRDefault="00C35EB3" w:rsidP="00C35EB3">
      <w:pPr>
        <w:pStyle w:val="CGCTableFootnote"/>
        <w:spacing w:line="200" w:lineRule="atLeast"/>
        <w:rPr>
          <w:sz w:val="18"/>
          <w:szCs w:val="18"/>
        </w:rPr>
      </w:pPr>
      <w:r w:rsidRPr="00F04026">
        <w:rPr>
          <w:sz w:val="18"/>
          <w:szCs w:val="18"/>
        </w:rPr>
        <w:t>(b)</w:t>
      </w:r>
      <w:r w:rsidRPr="00F04026">
        <w:rPr>
          <w:sz w:val="18"/>
          <w:szCs w:val="18"/>
        </w:rPr>
        <w:tab/>
        <w:t xml:space="preserve">This is </w:t>
      </w:r>
      <w:r w:rsidR="00767AF8" w:rsidRPr="00F04026">
        <w:rPr>
          <w:sz w:val="18"/>
          <w:szCs w:val="18"/>
        </w:rPr>
        <w:t>similar</w:t>
      </w:r>
      <w:r w:rsidRPr="00F04026">
        <w:rPr>
          <w:sz w:val="18"/>
          <w:szCs w:val="18"/>
        </w:rPr>
        <w:t xml:space="preserve"> to the Commonwealth fuel excise imposed by NIRC which retains the revenue.</w:t>
      </w:r>
    </w:p>
    <w:p w14:paraId="57A31E05" w14:textId="77777777" w:rsidR="00C35EB3" w:rsidRPr="00F04026" w:rsidRDefault="00C35EB3" w:rsidP="00C35EB3">
      <w:pPr>
        <w:pStyle w:val="CGCTableFootnote"/>
        <w:spacing w:line="200" w:lineRule="atLeast"/>
        <w:rPr>
          <w:sz w:val="18"/>
          <w:szCs w:val="18"/>
        </w:rPr>
      </w:pPr>
      <w:r w:rsidRPr="00F04026">
        <w:rPr>
          <w:sz w:val="18"/>
          <w:szCs w:val="18"/>
        </w:rPr>
        <w:t>(c)</w:t>
      </w:r>
      <w:r w:rsidRPr="00F04026">
        <w:rPr>
          <w:sz w:val="18"/>
          <w:szCs w:val="18"/>
        </w:rPr>
        <w:tab/>
        <w:t xml:space="preserve">The allocation of health and welfare expenses in the assessed budget is different to the allocation in this table. This is to reflect service delivery arrangements on the island where the Norfolk Island Health and Residential Aged Care Services provides general welfare services. </w:t>
      </w:r>
    </w:p>
    <w:p w14:paraId="27C3935D" w14:textId="77777777" w:rsidR="00C35EB3" w:rsidRPr="00F04026" w:rsidRDefault="00C35EB3" w:rsidP="00C35EB3">
      <w:pPr>
        <w:pStyle w:val="CGCTableFootnote"/>
        <w:spacing w:line="200" w:lineRule="atLeast"/>
        <w:rPr>
          <w:sz w:val="18"/>
          <w:szCs w:val="18"/>
        </w:rPr>
      </w:pPr>
      <w:r w:rsidRPr="00F04026">
        <w:rPr>
          <w:sz w:val="18"/>
          <w:szCs w:val="18"/>
        </w:rPr>
        <w:t>(d)</w:t>
      </w:r>
      <w:r w:rsidRPr="00F04026">
        <w:rPr>
          <w:sz w:val="18"/>
          <w:szCs w:val="18"/>
        </w:rPr>
        <w:tab/>
        <w:t>Tourism spending is split between State and local government type of services using the actual shares of St</w:t>
      </w:r>
      <w:r w:rsidR="00F04026">
        <w:rPr>
          <w:sz w:val="18"/>
          <w:szCs w:val="18"/>
        </w:rPr>
        <w:t>ate and local tourism expenses.</w:t>
      </w:r>
    </w:p>
    <w:p w14:paraId="14F91FB1" w14:textId="77777777" w:rsidR="005F5FD2" w:rsidRPr="00F04026" w:rsidRDefault="00C35EB3" w:rsidP="005F5FD2">
      <w:pPr>
        <w:pStyle w:val="CGCTableFootnote"/>
        <w:spacing w:line="200" w:lineRule="atLeast"/>
        <w:rPr>
          <w:sz w:val="18"/>
          <w:szCs w:val="18"/>
        </w:rPr>
      </w:pPr>
      <w:r w:rsidRPr="00F04026">
        <w:rPr>
          <w:sz w:val="18"/>
          <w:szCs w:val="18"/>
        </w:rPr>
        <w:t>Source:</w:t>
      </w:r>
      <w:r w:rsidRPr="00F04026">
        <w:rPr>
          <w:sz w:val="18"/>
          <w:szCs w:val="18"/>
        </w:rPr>
        <w:tab/>
      </w:r>
      <w:r w:rsidRPr="00F04026">
        <w:rPr>
          <w:i/>
          <w:sz w:val="18"/>
          <w:szCs w:val="18"/>
        </w:rPr>
        <w:t>NIRC annual report for 2017-18</w:t>
      </w:r>
      <w:r w:rsidRPr="00F04026">
        <w:rPr>
          <w:sz w:val="18"/>
          <w:szCs w:val="18"/>
        </w:rPr>
        <w:t xml:space="preserve"> and information provided by the </w:t>
      </w:r>
      <w:r w:rsidR="008F4885" w:rsidRPr="00F04026">
        <w:rPr>
          <w:sz w:val="18"/>
          <w:szCs w:val="18"/>
        </w:rPr>
        <w:t>Department</w:t>
      </w:r>
      <w:r w:rsidRPr="00F04026">
        <w:rPr>
          <w:sz w:val="18"/>
          <w:szCs w:val="18"/>
        </w:rPr>
        <w:t xml:space="preserve"> and NIRC.</w:t>
      </w:r>
    </w:p>
    <w:p w14:paraId="34419907" w14:textId="77777777" w:rsidR="00C35EB3" w:rsidRDefault="00C35EB3" w:rsidP="00C35EB3">
      <w:pPr>
        <w:pStyle w:val="CGCTableHeading"/>
      </w:pPr>
      <w:bookmarkStart w:id="420" w:name="_Ref16864728"/>
      <w:r>
        <w:lastRenderedPageBreak/>
        <w:t>Table B-</w:t>
      </w:r>
      <w:bookmarkEnd w:id="420"/>
      <w:r w:rsidR="00CF5D0D">
        <w:t>2</w:t>
      </w:r>
      <w:r>
        <w:tab/>
        <w:t>Norfolk Island revenue and expenses, average per capita, 2017-18</w:t>
      </w:r>
    </w:p>
    <w:tbl>
      <w:tblPr>
        <w:tblW w:w="8840" w:type="dxa"/>
        <w:tblLook w:val="04A0" w:firstRow="1" w:lastRow="0" w:firstColumn="1" w:lastColumn="0" w:noHBand="0" w:noVBand="1"/>
      </w:tblPr>
      <w:tblGrid>
        <w:gridCol w:w="3880"/>
        <w:gridCol w:w="1300"/>
        <w:gridCol w:w="1300"/>
        <w:gridCol w:w="1300"/>
        <w:gridCol w:w="1060"/>
      </w:tblGrid>
      <w:tr w:rsidR="00F04026" w:rsidRPr="00F04026" w14:paraId="248BE1E9" w14:textId="77777777" w:rsidTr="00F04026">
        <w:trPr>
          <w:trHeight w:val="315"/>
        </w:trPr>
        <w:tc>
          <w:tcPr>
            <w:tcW w:w="3880" w:type="dxa"/>
            <w:tcBorders>
              <w:top w:val="single" w:sz="4" w:space="0" w:color="auto"/>
              <w:left w:val="nil"/>
              <w:bottom w:val="single" w:sz="4" w:space="0" w:color="auto"/>
              <w:right w:val="nil"/>
            </w:tcBorders>
            <w:shd w:val="clear" w:color="auto" w:fill="auto"/>
            <w:vAlign w:val="center"/>
            <w:hideMark/>
          </w:tcPr>
          <w:p w14:paraId="53985F35"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w:t>
            </w:r>
          </w:p>
        </w:tc>
        <w:tc>
          <w:tcPr>
            <w:tcW w:w="1300" w:type="dxa"/>
            <w:tcBorders>
              <w:top w:val="single" w:sz="4" w:space="0" w:color="auto"/>
              <w:left w:val="nil"/>
              <w:bottom w:val="single" w:sz="4" w:space="0" w:color="auto"/>
              <w:right w:val="nil"/>
            </w:tcBorders>
            <w:shd w:val="clear" w:color="auto" w:fill="auto"/>
            <w:vAlign w:val="center"/>
            <w:hideMark/>
          </w:tcPr>
          <w:p w14:paraId="178960E7"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Federal-type</w:t>
            </w:r>
          </w:p>
        </w:tc>
        <w:tc>
          <w:tcPr>
            <w:tcW w:w="1300" w:type="dxa"/>
            <w:tcBorders>
              <w:top w:val="single" w:sz="4" w:space="0" w:color="auto"/>
              <w:left w:val="nil"/>
              <w:bottom w:val="single" w:sz="4" w:space="0" w:color="auto"/>
              <w:right w:val="nil"/>
            </w:tcBorders>
            <w:shd w:val="clear" w:color="auto" w:fill="auto"/>
            <w:vAlign w:val="center"/>
            <w:hideMark/>
          </w:tcPr>
          <w:p w14:paraId="0C573FEF"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State-type</w:t>
            </w:r>
          </w:p>
        </w:tc>
        <w:tc>
          <w:tcPr>
            <w:tcW w:w="1300" w:type="dxa"/>
            <w:tcBorders>
              <w:top w:val="single" w:sz="4" w:space="0" w:color="auto"/>
              <w:left w:val="nil"/>
              <w:bottom w:val="single" w:sz="4" w:space="0" w:color="auto"/>
              <w:right w:val="nil"/>
            </w:tcBorders>
            <w:shd w:val="clear" w:color="auto" w:fill="auto"/>
            <w:vAlign w:val="center"/>
            <w:hideMark/>
          </w:tcPr>
          <w:p w14:paraId="0A3C6847"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Local-type</w:t>
            </w:r>
          </w:p>
        </w:tc>
        <w:tc>
          <w:tcPr>
            <w:tcW w:w="1060" w:type="dxa"/>
            <w:tcBorders>
              <w:top w:val="single" w:sz="4" w:space="0" w:color="auto"/>
              <w:left w:val="nil"/>
              <w:bottom w:val="single" w:sz="4" w:space="0" w:color="auto"/>
              <w:right w:val="nil"/>
            </w:tcBorders>
            <w:shd w:val="clear" w:color="auto" w:fill="auto"/>
            <w:vAlign w:val="center"/>
            <w:hideMark/>
          </w:tcPr>
          <w:p w14:paraId="4A7924F7"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Total</w:t>
            </w:r>
          </w:p>
        </w:tc>
      </w:tr>
      <w:tr w:rsidR="00F04026" w:rsidRPr="00F04026" w14:paraId="4EAD5F39" w14:textId="77777777" w:rsidTr="00F04026">
        <w:trPr>
          <w:trHeight w:val="255"/>
        </w:trPr>
        <w:tc>
          <w:tcPr>
            <w:tcW w:w="3880" w:type="dxa"/>
            <w:tcBorders>
              <w:top w:val="nil"/>
              <w:left w:val="nil"/>
              <w:bottom w:val="nil"/>
              <w:right w:val="nil"/>
            </w:tcBorders>
            <w:shd w:val="clear" w:color="auto" w:fill="auto"/>
            <w:vAlign w:val="center"/>
            <w:hideMark/>
          </w:tcPr>
          <w:p w14:paraId="25667ABE"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p>
        </w:tc>
        <w:tc>
          <w:tcPr>
            <w:tcW w:w="1300" w:type="dxa"/>
            <w:tcBorders>
              <w:top w:val="nil"/>
              <w:left w:val="nil"/>
              <w:bottom w:val="nil"/>
              <w:right w:val="nil"/>
            </w:tcBorders>
            <w:shd w:val="clear" w:color="auto" w:fill="auto"/>
            <w:vAlign w:val="center"/>
            <w:hideMark/>
          </w:tcPr>
          <w:p w14:paraId="677F8F5B"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$pc</w:t>
            </w:r>
          </w:p>
        </w:tc>
        <w:tc>
          <w:tcPr>
            <w:tcW w:w="1300" w:type="dxa"/>
            <w:tcBorders>
              <w:top w:val="nil"/>
              <w:left w:val="nil"/>
              <w:bottom w:val="nil"/>
              <w:right w:val="nil"/>
            </w:tcBorders>
            <w:shd w:val="clear" w:color="auto" w:fill="auto"/>
            <w:vAlign w:val="center"/>
            <w:hideMark/>
          </w:tcPr>
          <w:p w14:paraId="23AB8913"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$pc</w:t>
            </w:r>
          </w:p>
        </w:tc>
        <w:tc>
          <w:tcPr>
            <w:tcW w:w="1300" w:type="dxa"/>
            <w:tcBorders>
              <w:top w:val="nil"/>
              <w:left w:val="nil"/>
              <w:bottom w:val="nil"/>
              <w:right w:val="nil"/>
            </w:tcBorders>
            <w:shd w:val="clear" w:color="auto" w:fill="auto"/>
            <w:vAlign w:val="center"/>
            <w:hideMark/>
          </w:tcPr>
          <w:p w14:paraId="06B670C7"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$pc</w:t>
            </w:r>
          </w:p>
        </w:tc>
        <w:tc>
          <w:tcPr>
            <w:tcW w:w="1060" w:type="dxa"/>
            <w:tcBorders>
              <w:top w:val="nil"/>
              <w:left w:val="nil"/>
              <w:bottom w:val="nil"/>
              <w:right w:val="nil"/>
            </w:tcBorders>
            <w:shd w:val="clear" w:color="auto" w:fill="auto"/>
            <w:vAlign w:val="center"/>
            <w:hideMark/>
          </w:tcPr>
          <w:p w14:paraId="201131BA"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$pc</w:t>
            </w:r>
          </w:p>
        </w:tc>
      </w:tr>
      <w:tr w:rsidR="00F04026" w:rsidRPr="00F04026" w14:paraId="6BBB8832" w14:textId="77777777" w:rsidTr="00F04026">
        <w:trPr>
          <w:trHeight w:val="215"/>
        </w:trPr>
        <w:tc>
          <w:tcPr>
            <w:tcW w:w="3880" w:type="dxa"/>
            <w:tcBorders>
              <w:top w:val="nil"/>
              <w:left w:val="nil"/>
              <w:bottom w:val="nil"/>
              <w:right w:val="nil"/>
            </w:tcBorders>
            <w:shd w:val="clear" w:color="auto" w:fill="auto"/>
            <w:vAlign w:val="center"/>
            <w:hideMark/>
          </w:tcPr>
          <w:p w14:paraId="6C2ADF74" w14:textId="77777777" w:rsidR="00F04026" w:rsidRPr="00F04026" w:rsidRDefault="00F04026" w:rsidP="00F04026">
            <w:pPr>
              <w:tabs>
                <w:tab w:val="clear" w:pos="567"/>
              </w:tabs>
              <w:spacing w:after="0" w:line="240" w:lineRule="auto"/>
              <w:rPr>
                <w:rFonts w:ascii="Calibri" w:eastAsia="Times New Roman" w:hAnsi="Calibri" w:cs="Calibri"/>
                <w:b/>
                <w:bCs/>
                <w:sz w:val="20"/>
                <w:szCs w:val="20"/>
                <w:lang w:eastAsia="en-AU"/>
              </w:rPr>
            </w:pPr>
            <w:r w:rsidRPr="00F04026">
              <w:rPr>
                <w:rFonts w:ascii="Calibri" w:eastAsia="Times New Roman" w:hAnsi="Calibri" w:cs="Calibri"/>
                <w:b/>
                <w:bCs/>
                <w:sz w:val="20"/>
                <w:szCs w:val="20"/>
                <w:lang w:eastAsia="en-AU"/>
              </w:rPr>
              <w:t>Revenue</w:t>
            </w:r>
          </w:p>
        </w:tc>
        <w:tc>
          <w:tcPr>
            <w:tcW w:w="1300" w:type="dxa"/>
            <w:tcBorders>
              <w:top w:val="nil"/>
              <w:left w:val="nil"/>
              <w:bottom w:val="nil"/>
              <w:right w:val="nil"/>
            </w:tcBorders>
            <w:shd w:val="clear" w:color="auto" w:fill="auto"/>
            <w:vAlign w:val="center"/>
            <w:hideMark/>
          </w:tcPr>
          <w:p w14:paraId="43CB4580" w14:textId="77777777" w:rsidR="00F04026" w:rsidRPr="00F04026" w:rsidRDefault="00F04026" w:rsidP="00F04026">
            <w:pPr>
              <w:tabs>
                <w:tab w:val="clear" w:pos="567"/>
              </w:tabs>
              <w:spacing w:after="0" w:line="240" w:lineRule="auto"/>
              <w:rPr>
                <w:rFonts w:ascii="Calibri" w:eastAsia="Times New Roman" w:hAnsi="Calibri" w:cs="Calibri"/>
                <w:b/>
                <w:bCs/>
                <w:sz w:val="20"/>
                <w:szCs w:val="20"/>
                <w:lang w:eastAsia="en-AU"/>
              </w:rPr>
            </w:pPr>
          </w:p>
        </w:tc>
        <w:tc>
          <w:tcPr>
            <w:tcW w:w="1300" w:type="dxa"/>
            <w:tcBorders>
              <w:top w:val="nil"/>
              <w:left w:val="nil"/>
              <w:bottom w:val="nil"/>
              <w:right w:val="nil"/>
            </w:tcBorders>
            <w:shd w:val="clear" w:color="auto" w:fill="auto"/>
            <w:vAlign w:val="center"/>
            <w:hideMark/>
          </w:tcPr>
          <w:p w14:paraId="683609C0" w14:textId="77777777" w:rsidR="00F04026" w:rsidRPr="00F04026" w:rsidRDefault="00F04026" w:rsidP="00F04026">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7C210B2C" w14:textId="77777777" w:rsidR="00F04026" w:rsidRPr="00F04026" w:rsidRDefault="00F04026" w:rsidP="00F04026">
            <w:pPr>
              <w:tabs>
                <w:tab w:val="clear" w:pos="567"/>
              </w:tabs>
              <w:spacing w:after="0" w:line="240" w:lineRule="auto"/>
              <w:jc w:val="right"/>
              <w:rPr>
                <w:rFonts w:ascii="Times New Roman" w:eastAsia="Times New Roman" w:hAnsi="Times New Roman" w:cs="Times New Roman"/>
                <w:sz w:val="20"/>
                <w:szCs w:val="20"/>
                <w:lang w:eastAsia="en-AU"/>
              </w:rPr>
            </w:pPr>
          </w:p>
        </w:tc>
        <w:tc>
          <w:tcPr>
            <w:tcW w:w="1060" w:type="dxa"/>
            <w:tcBorders>
              <w:top w:val="nil"/>
              <w:left w:val="nil"/>
              <w:bottom w:val="nil"/>
              <w:right w:val="nil"/>
            </w:tcBorders>
            <w:shd w:val="clear" w:color="auto" w:fill="auto"/>
            <w:vAlign w:val="center"/>
            <w:hideMark/>
          </w:tcPr>
          <w:p w14:paraId="1AB6A3ED" w14:textId="77777777" w:rsidR="00F04026" w:rsidRPr="00F04026" w:rsidRDefault="00F04026" w:rsidP="00F04026">
            <w:pPr>
              <w:tabs>
                <w:tab w:val="clear" w:pos="567"/>
              </w:tabs>
              <w:spacing w:after="0" w:line="240" w:lineRule="auto"/>
              <w:jc w:val="right"/>
              <w:rPr>
                <w:rFonts w:ascii="Times New Roman" w:eastAsia="Times New Roman" w:hAnsi="Times New Roman" w:cs="Times New Roman"/>
                <w:sz w:val="20"/>
                <w:szCs w:val="20"/>
                <w:lang w:eastAsia="en-AU"/>
              </w:rPr>
            </w:pPr>
          </w:p>
        </w:tc>
      </w:tr>
      <w:tr w:rsidR="00F04026" w:rsidRPr="00F04026" w14:paraId="5B9CCD35" w14:textId="77777777" w:rsidTr="00F04026">
        <w:trPr>
          <w:trHeight w:val="215"/>
        </w:trPr>
        <w:tc>
          <w:tcPr>
            <w:tcW w:w="3880" w:type="dxa"/>
            <w:tcBorders>
              <w:top w:val="nil"/>
              <w:left w:val="nil"/>
              <w:bottom w:val="nil"/>
              <w:right w:val="nil"/>
            </w:tcBorders>
            <w:shd w:val="clear" w:color="auto" w:fill="auto"/>
            <w:vAlign w:val="center"/>
            <w:hideMark/>
          </w:tcPr>
          <w:p w14:paraId="1464E2D9"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Commonwealth grants and support</w:t>
            </w:r>
          </w:p>
        </w:tc>
        <w:tc>
          <w:tcPr>
            <w:tcW w:w="1300" w:type="dxa"/>
            <w:tcBorders>
              <w:top w:val="nil"/>
              <w:left w:val="nil"/>
              <w:bottom w:val="nil"/>
              <w:right w:val="nil"/>
            </w:tcBorders>
            <w:shd w:val="clear" w:color="auto" w:fill="auto"/>
            <w:vAlign w:val="center"/>
            <w:hideMark/>
          </w:tcPr>
          <w:p w14:paraId="7D5F5BE5"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4E5561D1"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17 142</w:t>
            </w:r>
          </w:p>
        </w:tc>
        <w:tc>
          <w:tcPr>
            <w:tcW w:w="1300" w:type="dxa"/>
            <w:tcBorders>
              <w:top w:val="nil"/>
              <w:left w:val="nil"/>
              <w:bottom w:val="nil"/>
              <w:right w:val="nil"/>
            </w:tcBorders>
            <w:shd w:val="clear" w:color="auto" w:fill="auto"/>
            <w:vAlign w:val="center"/>
            <w:hideMark/>
          </w:tcPr>
          <w:p w14:paraId="3C96720E"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1 617</w:t>
            </w:r>
          </w:p>
        </w:tc>
        <w:tc>
          <w:tcPr>
            <w:tcW w:w="1060" w:type="dxa"/>
            <w:tcBorders>
              <w:top w:val="nil"/>
              <w:left w:val="nil"/>
              <w:bottom w:val="nil"/>
              <w:right w:val="nil"/>
            </w:tcBorders>
            <w:shd w:val="clear" w:color="auto" w:fill="auto"/>
            <w:vAlign w:val="center"/>
            <w:hideMark/>
          </w:tcPr>
          <w:p w14:paraId="72A268D6"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18 758</w:t>
            </w:r>
          </w:p>
        </w:tc>
      </w:tr>
      <w:tr w:rsidR="00F04026" w:rsidRPr="00F04026" w14:paraId="2E919987" w14:textId="77777777" w:rsidTr="00F04026">
        <w:trPr>
          <w:trHeight w:val="215"/>
        </w:trPr>
        <w:tc>
          <w:tcPr>
            <w:tcW w:w="3880" w:type="dxa"/>
            <w:tcBorders>
              <w:top w:val="nil"/>
              <w:left w:val="nil"/>
              <w:bottom w:val="nil"/>
              <w:right w:val="nil"/>
            </w:tcBorders>
            <w:shd w:val="clear" w:color="auto" w:fill="auto"/>
            <w:vAlign w:val="center"/>
            <w:hideMark/>
          </w:tcPr>
          <w:p w14:paraId="297940A6"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Local government FAGs – general purpose</w:t>
            </w:r>
          </w:p>
        </w:tc>
        <w:tc>
          <w:tcPr>
            <w:tcW w:w="1300" w:type="dxa"/>
            <w:tcBorders>
              <w:top w:val="nil"/>
              <w:left w:val="nil"/>
              <w:bottom w:val="nil"/>
              <w:right w:val="nil"/>
            </w:tcBorders>
            <w:shd w:val="clear" w:color="auto" w:fill="auto"/>
            <w:vAlign w:val="center"/>
            <w:hideMark/>
          </w:tcPr>
          <w:p w14:paraId="2BB1E457"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6291B4BF"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0ACFE6BF"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1 335</w:t>
            </w:r>
          </w:p>
        </w:tc>
        <w:tc>
          <w:tcPr>
            <w:tcW w:w="1060" w:type="dxa"/>
            <w:tcBorders>
              <w:top w:val="nil"/>
              <w:left w:val="nil"/>
              <w:bottom w:val="nil"/>
              <w:right w:val="nil"/>
            </w:tcBorders>
            <w:shd w:val="clear" w:color="auto" w:fill="auto"/>
            <w:vAlign w:val="center"/>
            <w:hideMark/>
          </w:tcPr>
          <w:p w14:paraId="64D3DB51"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1 335</w:t>
            </w:r>
          </w:p>
        </w:tc>
      </w:tr>
      <w:tr w:rsidR="00F04026" w:rsidRPr="00F04026" w14:paraId="22ADD63A" w14:textId="77777777" w:rsidTr="00F04026">
        <w:trPr>
          <w:trHeight w:val="215"/>
        </w:trPr>
        <w:tc>
          <w:tcPr>
            <w:tcW w:w="3880" w:type="dxa"/>
            <w:tcBorders>
              <w:top w:val="nil"/>
              <w:left w:val="nil"/>
              <w:bottom w:val="nil"/>
              <w:right w:val="nil"/>
            </w:tcBorders>
            <w:shd w:val="clear" w:color="auto" w:fill="auto"/>
            <w:vAlign w:val="center"/>
            <w:hideMark/>
          </w:tcPr>
          <w:p w14:paraId="22BBA77D"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Local government FAGs – local roads</w:t>
            </w:r>
          </w:p>
        </w:tc>
        <w:tc>
          <w:tcPr>
            <w:tcW w:w="1300" w:type="dxa"/>
            <w:tcBorders>
              <w:top w:val="nil"/>
              <w:left w:val="nil"/>
              <w:bottom w:val="nil"/>
              <w:right w:val="nil"/>
            </w:tcBorders>
            <w:shd w:val="clear" w:color="auto" w:fill="auto"/>
            <w:vAlign w:val="center"/>
            <w:hideMark/>
          </w:tcPr>
          <w:p w14:paraId="141518EA"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08698CD2"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544C1686"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60</w:t>
            </w:r>
          </w:p>
        </w:tc>
        <w:tc>
          <w:tcPr>
            <w:tcW w:w="1060" w:type="dxa"/>
            <w:tcBorders>
              <w:top w:val="nil"/>
              <w:left w:val="nil"/>
              <w:bottom w:val="nil"/>
              <w:right w:val="nil"/>
            </w:tcBorders>
            <w:shd w:val="clear" w:color="auto" w:fill="auto"/>
            <w:vAlign w:val="center"/>
            <w:hideMark/>
          </w:tcPr>
          <w:p w14:paraId="06090267"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60</w:t>
            </w:r>
          </w:p>
        </w:tc>
      </w:tr>
      <w:tr w:rsidR="00F04026" w:rsidRPr="00F04026" w14:paraId="057DB92C" w14:textId="77777777" w:rsidTr="00F04026">
        <w:trPr>
          <w:trHeight w:val="215"/>
        </w:trPr>
        <w:tc>
          <w:tcPr>
            <w:tcW w:w="3880" w:type="dxa"/>
            <w:tcBorders>
              <w:top w:val="nil"/>
              <w:left w:val="nil"/>
              <w:bottom w:val="nil"/>
              <w:right w:val="nil"/>
            </w:tcBorders>
            <w:shd w:val="clear" w:color="auto" w:fill="auto"/>
            <w:vAlign w:val="center"/>
            <w:hideMark/>
          </w:tcPr>
          <w:p w14:paraId="02003A61"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Specific purpose grants</w:t>
            </w:r>
          </w:p>
        </w:tc>
        <w:tc>
          <w:tcPr>
            <w:tcW w:w="1300" w:type="dxa"/>
            <w:tcBorders>
              <w:top w:val="nil"/>
              <w:left w:val="nil"/>
              <w:bottom w:val="nil"/>
              <w:right w:val="nil"/>
            </w:tcBorders>
            <w:shd w:val="clear" w:color="auto" w:fill="auto"/>
            <w:vAlign w:val="center"/>
            <w:hideMark/>
          </w:tcPr>
          <w:p w14:paraId="5DCC3D67"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7F5C9206"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1D5AFFD2"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38</w:t>
            </w:r>
          </w:p>
        </w:tc>
        <w:tc>
          <w:tcPr>
            <w:tcW w:w="1060" w:type="dxa"/>
            <w:tcBorders>
              <w:top w:val="nil"/>
              <w:left w:val="nil"/>
              <w:bottom w:val="nil"/>
              <w:right w:val="nil"/>
            </w:tcBorders>
            <w:shd w:val="clear" w:color="auto" w:fill="auto"/>
            <w:vAlign w:val="center"/>
            <w:hideMark/>
          </w:tcPr>
          <w:p w14:paraId="4714D6B5"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38</w:t>
            </w:r>
          </w:p>
        </w:tc>
      </w:tr>
      <w:tr w:rsidR="00F04026" w:rsidRPr="00F04026" w14:paraId="6337A339" w14:textId="77777777" w:rsidTr="00F04026">
        <w:trPr>
          <w:trHeight w:val="215"/>
        </w:trPr>
        <w:tc>
          <w:tcPr>
            <w:tcW w:w="3880" w:type="dxa"/>
            <w:tcBorders>
              <w:top w:val="nil"/>
              <w:left w:val="nil"/>
              <w:bottom w:val="nil"/>
              <w:right w:val="nil"/>
            </w:tcBorders>
            <w:shd w:val="clear" w:color="auto" w:fill="auto"/>
            <w:vAlign w:val="center"/>
            <w:hideMark/>
          </w:tcPr>
          <w:p w14:paraId="4335712D" w14:textId="2709E93A" w:rsidR="00F04026" w:rsidRPr="00F04026" w:rsidRDefault="00F04026" w:rsidP="009D7F97">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NIRC-</w:t>
            </w:r>
            <w:r w:rsidR="009D7F97">
              <w:rPr>
                <w:rFonts w:ascii="Calibri" w:eastAsia="Times New Roman" w:hAnsi="Calibri" w:cs="Calibri"/>
                <w:i/>
                <w:iCs/>
                <w:sz w:val="20"/>
                <w:szCs w:val="20"/>
                <w:lang w:eastAsia="en-AU"/>
              </w:rPr>
              <w:t>DITCRD</w:t>
            </w:r>
            <w:r w:rsidRPr="00F04026">
              <w:rPr>
                <w:rFonts w:ascii="Calibri" w:eastAsia="Times New Roman" w:hAnsi="Calibri" w:cs="Calibri"/>
                <w:i/>
                <w:iCs/>
                <w:sz w:val="20"/>
                <w:szCs w:val="20"/>
                <w:lang w:eastAsia="en-AU"/>
              </w:rPr>
              <w:t xml:space="preserve"> service delivery agreement (a)</w:t>
            </w:r>
          </w:p>
        </w:tc>
        <w:tc>
          <w:tcPr>
            <w:tcW w:w="1300" w:type="dxa"/>
            <w:tcBorders>
              <w:top w:val="nil"/>
              <w:left w:val="nil"/>
              <w:bottom w:val="nil"/>
              <w:right w:val="nil"/>
            </w:tcBorders>
            <w:shd w:val="clear" w:color="auto" w:fill="auto"/>
            <w:vAlign w:val="center"/>
            <w:hideMark/>
          </w:tcPr>
          <w:p w14:paraId="74439AEB"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609B25D3"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1 729</w:t>
            </w:r>
          </w:p>
        </w:tc>
        <w:tc>
          <w:tcPr>
            <w:tcW w:w="1300" w:type="dxa"/>
            <w:tcBorders>
              <w:top w:val="nil"/>
              <w:left w:val="nil"/>
              <w:bottom w:val="nil"/>
              <w:right w:val="nil"/>
            </w:tcBorders>
            <w:shd w:val="clear" w:color="auto" w:fill="auto"/>
            <w:vAlign w:val="center"/>
            <w:hideMark/>
          </w:tcPr>
          <w:p w14:paraId="3B07049E"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060" w:type="dxa"/>
            <w:tcBorders>
              <w:top w:val="nil"/>
              <w:left w:val="nil"/>
              <w:bottom w:val="nil"/>
              <w:right w:val="nil"/>
            </w:tcBorders>
            <w:shd w:val="clear" w:color="auto" w:fill="auto"/>
            <w:vAlign w:val="center"/>
            <w:hideMark/>
          </w:tcPr>
          <w:p w14:paraId="1748E9A2"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1 729</w:t>
            </w:r>
          </w:p>
        </w:tc>
      </w:tr>
      <w:tr w:rsidR="00F04026" w:rsidRPr="00F04026" w14:paraId="4490DF7B" w14:textId="77777777" w:rsidTr="00F04026">
        <w:trPr>
          <w:trHeight w:val="215"/>
        </w:trPr>
        <w:tc>
          <w:tcPr>
            <w:tcW w:w="3880" w:type="dxa"/>
            <w:tcBorders>
              <w:top w:val="nil"/>
              <w:left w:val="nil"/>
              <w:bottom w:val="nil"/>
              <w:right w:val="nil"/>
            </w:tcBorders>
            <w:shd w:val="clear" w:color="auto" w:fill="auto"/>
            <w:vAlign w:val="center"/>
            <w:hideMark/>
          </w:tcPr>
          <w:p w14:paraId="687DA476" w14:textId="4BAB0990" w:rsidR="00F04026" w:rsidRPr="00F04026" w:rsidRDefault="00F04026" w:rsidP="009D7F97">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DI</w:t>
            </w:r>
            <w:r w:rsidR="009D7F97">
              <w:rPr>
                <w:rFonts w:ascii="Calibri" w:eastAsia="Times New Roman" w:hAnsi="Calibri" w:cs="Calibri"/>
                <w:i/>
                <w:iCs/>
                <w:sz w:val="20"/>
                <w:szCs w:val="20"/>
                <w:lang w:eastAsia="en-AU"/>
              </w:rPr>
              <w:t>T</w:t>
            </w:r>
            <w:r w:rsidRPr="00F04026">
              <w:rPr>
                <w:rFonts w:ascii="Calibri" w:eastAsia="Times New Roman" w:hAnsi="Calibri" w:cs="Calibri"/>
                <w:i/>
                <w:iCs/>
                <w:sz w:val="20"/>
                <w:szCs w:val="20"/>
                <w:lang w:eastAsia="en-AU"/>
              </w:rPr>
              <w:t>C</w:t>
            </w:r>
            <w:r w:rsidR="009D7F97">
              <w:rPr>
                <w:rFonts w:ascii="Calibri" w:eastAsia="Times New Roman" w:hAnsi="Calibri" w:cs="Calibri"/>
                <w:i/>
                <w:iCs/>
                <w:sz w:val="20"/>
                <w:szCs w:val="20"/>
                <w:lang w:eastAsia="en-AU"/>
              </w:rPr>
              <w:t>RD</w:t>
            </w:r>
            <w:r w:rsidRPr="00F04026">
              <w:rPr>
                <w:rFonts w:ascii="Calibri" w:eastAsia="Times New Roman" w:hAnsi="Calibri" w:cs="Calibri"/>
                <w:i/>
                <w:iCs/>
                <w:sz w:val="20"/>
                <w:szCs w:val="20"/>
                <w:lang w:eastAsia="en-AU"/>
              </w:rPr>
              <w:t xml:space="preserve"> payments to various agencies</w:t>
            </w:r>
          </w:p>
        </w:tc>
        <w:tc>
          <w:tcPr>
            <w:tcW w:w="1300" w:type="dxa"/>
            <w:tcBorders>
              <w:top w:val="nil"/>
              <w:left w:val="nil"/>
              <w:bottom w:val="nil"/>
              <w:right w:val="nil"/>
            </w:tcBorders>
            <w:shd w:val="clear" w:color="auto" w:fill="auto"/>
            <w:vAlign w:val="center"/>
            <w:hideMark/>
          </w:tcPr>
          <w:p w14:paraId="371B2C24"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287942C9"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15 413</w:t>
            </w:r>
          </w:p>
        </w:tc>
        <w:tc>
          <w:tcPr>
            <w:tcW w:w="1300" w:type="dxa"/>
            <w:tcBorders>
              <w:top w:val="nil"/>
              <w:left w:val="nil"/>
              <w:bottom w:val="nil"/>
              <w:right w:val="nil"/>
            </w:tcBorders>
            <w:shd w:val="clear" w:color="auto" w:fill="auto"/>
            <w:vAlign w:val="center"/>
            <w:hideMark/>
          </w:tcPr>
          <w:p w14:paraId="4F03ED77"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060" w:type="dxa"/>
            <w:tcBorders>
              <w:top w:val="nil"/>
              <w:left w:val="nil"/>
              <w:bottom w:val="nil"/>
              <w:right w:val="nil"/>
            </w:tcBorders>
            <w:shd w:val="clear" w:color="auto" w:fill="auto"/>
            <w:vAlign w:val="center"/>
            <w:hideMark/>
          </w:tcPr>
          <w:p w14:paraId="64B9BCE7"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15 413</w:t>
            </w:r>
          </w:p>
        </w:tc>
      </w:tr>
      <w:tr w:rsidR="00F04026" w:rsidRPr="00F04026" w14:paraId="2CCE5F49" w14:textId="77777777" w:rsidTr="00F04026">
        <w:trPr>
          <w:trHeight w:val="215"/>
        </w:trPr>
        <w:tc>
          <w:tcPr>
            <w:tcW w:w="3880" w:type="dxa"/>
            <w:tcBorders>
              <w:top w:val="nil"/>
              <w:left w:val="nil"/>
              <w:bottom w:val="nil"/>
              <w:right w:val="nil"/>
            </w:tcBorders>
            <w:shd w:val="clear" w:color="auto" w:fill="auto"/>
            <w:vAlign w:val="center"/>
            <w:hideMark/>
          </w:tcPr>
          <w:p w14:paraId="04DA4B4D"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Roads levy (b)</w:t>
            </w:r>
          </w:p>
        </w:tc>
        <w:tc>
          <w:tcPr>
            <w:tcW w:w="1300" w:type="dxa"/>
            <w:tcBorders>
              <w:top w:val="nil"/>
              <w:left w:val="nil"/>
              <w:bottom w:val="nil"/>
              <w:right w:val="nil"/>
            </w:tcBorders>
            <w:shd w:val="clear" w:color="auto" w:fill="auto"/>
            <w:vAlign w:val="center"/>
            <w:hideMark/>
          </w:tcPr>
          <w:p w14:paraId="458785BD"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7B228969"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76FE749B"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183</w:t>
            </w:r>
          </w:p>
        </w:tc>
        <w:tc>
          <w:tcPr>
            <w:tcW w:w="1060" w:type="dxa"/>
            <w:tcBorders>
              <w:top w:val="nil"/>
              <w:left w:val="nil"/>
              <w:bottom w:val="nil"/>
              <w:right w:val="nil"/>
            </w:tcBorders>
            <w:shd w:val="clear" w:color="auto" w:fill="auto"/>
            <w:vAlign w:val="center"/>
            <w:hideMark/>
          </w:tcPr>
          <w:p w14:paraId="1ACC5B11"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183</w:t>
            </w:r>
          </w:p>
        </w:tc>
      </w:tr>
      <w:tr w:rsidR="00F04026" w:rsidRPr="00F04026" w14:paraId="58A208D8" w14:textId="77777777" w:rsidTr="00F04026">
        <w:trPr>
          <w:trHeight w:val="215"/>
        </w:trPr>
        <w:tc>
          <w:tcPr>
            <w:tcW w:w="3880" w:type="dxa"/>
            <w:tcBorders>
              <w:top w:val="nil"/>
              <w:left w:val="nil"/>
              <w:bottom w:val="nil"/>
              <w:right w:val="nil"/>
            </w:tcBorders>
            <w:shd w:val="clear" w:color="auto" w:fill="auto"/>
            <w:vAlign w:val="center"/>
            <w:hideMark/>
          </w:tcPr>
          <w:p w14:paraId="042A51A2"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Own-source revenue</w:t>
            </w:r>
          </w:p>
        </w:tc>
        <w:tc>
          <w:tcPr>
            <w:tcW w:w="1300" w:type="dxa"/>
            <w:tcBorders>
              <w:top w:val="nil"/>
              <w:left w:val="nil"/>
              <w:bottom w:val="nil"/>
              <w:right w:val="nil"/>
            </w:tcBorders>
            <w:shd w:val="clear" w:color="auto" w:fill="auto"/>
            <w:vAlign w:val="center"/>
            <w:hideMark/>
          </w:tcPr>
          <w:p w14:paraId="668A6CB8"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187</w:t>
            </w:r>
          </w:p>
        </w:tc>
        <w:tc>
          <w:tcPr>
            <w:tcW w:w="1300" w:type="dxa"/>
            <w:tcBorders>
              <w:top w:val="nil"/>
              <w:left w:val="nil"/>
              <w:bottom w:val="nil"/>
              <w:right w:val="nil"/>
            </w:tcBorders>
            <w:shd w:val="clear" w:color="auto" w:fill="auto"/>
            <w:vAlign w:val="center"/>
            <w:hideMark/>
          </w:tcPr>
          <w:p w14:paraId="6779C9E0"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1 335</w:t>
            </w:r>
          </w:p>
        </w:tc>
        <w:tc>
          <w:tcPr>
            <w:tcW w:w="1300" w:type="dxa"/>
            <w:tcBorders>
              <w:top w:val="nil"/>
              <w:left w:val="nil"/>
              <w:bottom w:val="nil"/>
              <w:right w:val="nil"/>
            </w:tcBorders>
            <w:shd w:val="clear" w:color="auto" w:fill="auto"/>
            <w:vAlign w:val="center"/>
            <w:hideMark/>
          </w:tcPr>
          <w:p w14:paraId="464279F4"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3 264</w:t>
            </w:r>
          </w:p>
        </w:tc>
        <w:tc>
          <w:tcPr>
            <w:tcW w:w="1060" w:type="dxa"/>
            <w:tcBorders>
              <w:top w:val="nil"/>
              <w:left w:val="nil"/>
              <w:bottom w:val="nil"/>
              <w:right w:val="nil"/>
            </w:tcBorders>
            <w:shd w:val="clear" w:color="auto" w:fill="auto"/>
            <w:vAlign w:val="center"/>
            <w:hideMark/>
          </w:tcPr>
          <w:p w14:paraId="7F4D6ED6"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4 787</w:t>
            </w:r>
          </w:p>
        </w:tc>
      </w:tr>
      <w:tr w:rsidR="00F04026" w:rsidRPr="00F04026" w14:paraId="0033B3A4" w14:textId="77777777" w:rsidTr="00F04026">
        <w:trPr>
          <w:trHeight w:val="215"/>
        </w:trPr>
        <w:tc>
          <w:tcPr>
            <w:tcW w:w="3880" w:type="dxa"/>
            <w:tcBorders>
              <w:top w:val="nil"/>
              <w:left w:val="nil"/>
              <w:bottom w:val="nil"/>
              <w:right w:val="nil"/>
            </w:tcBorders>
            <w:shd w:val="clear" w:color="auto" w:fill="auto"/>
            <w:vAlign w:val="center"/>
            <w:hideMark/>
          </w:tcPr>
          <w:p w14:paraId="5B3A1F1C"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Municipal rates</w:t>
            </w:r>
          </w:p>
        </w:tc>
        <w:tc>
          <w:tcPr>
            <w:tcW w:w="1300" w:type="dxa"/>
            <w:tcBorders>
              <w:top w:val="nil"/>
              <w:left w:val="nil"/>
              <w:bottom w:val="nil"/>
              <w:right w:val="nil"/>
            </w:tcBorders>
            <w:shd w:val="clear" w:color="auto" w:fill="auto"/>
            <w:vAlign w:val="center"/>
            <w:hideMark/>
          </w:tcPr>
          <w:p w14:paraId="5FC84A70"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21DC9FA7"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27E591E7"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694</w:t>
            </w:r>
          </w:p>
        </w:tc>
        <w:tc>
          <w:tcPr>
            <w:tcW w:w="1060" w:type="dxa"/>
            <w:tcBorders>
              <w:top w:val="nil"/>
              <w:left w:val="nil"/>
              <w:bottom w:val="nil"/>
              <w:right w:val="nil"/>
            </w:tcBorders>
            <w:shd w:val="clear" w:color="auto" w:fill="auto"/>
            <w:vAlign w:val="center"/>
            <w:hideMark/>
          </w:tcPr>
          <w:p w14:paraId="2D1B024B"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694</w:t>
            </w:r>
          </w:p>
        </w:tc>
      </w:tr>
      <w:tr w:rsidR="00F04026" w:rsidRPr="00F04026" w14:paraId="79937D9F" w14:textId="77777777" w:rsidTr="00F04026">
        <w:trPr>
          <w:trHeight w:val="215"/>
        </w:trPr>
        <w:tc>
          <w:tcPr>
            <w:tcW w:w="3880" w:type="dxa"/>
            <w:tcBorders>
              <w:top w:val="nil"/>
              <w:left w:val="nil"/>
              <w:bottom w:val="nil"/>
              <w:right w:val="nil"/>
            </w:tcBorders>
            <w:shd w:val="clear" w:color="auto" w:fill="auto"/>
            <w:vAlign w:val="center"/>
            <w:hideMark/>
          </w:tcPr>
          <w:p w14:paraId="5A7F5D7D"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Stamp duty on conveyances (land title fees)</w:t>
            </w:r>
          </w:p>
        </w:tc>
        <w:tc>
          <w:tcPr>
            <w:tcW w:w="1300" w:type="dxa"/>
            <w:tcBorders>
              <w:top w:val="nil"/>
              <w:left w:val="nil"/>
              <w:bottom w:val="nil"/>
              <w:right w:val="nil"/>
            </w:tcBorders>
            <w:shd w:val="clear" w:color="auto" w:fill="auto"/>
            <w:vAlign w:val="center"/>
            <w:hideMark/>
          </w:tcPr>
          <w:p w14:paraId="6332661E"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1F846FBB"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495</w:t>
            </w:r>
          </w:p>
        </w:tc>
        <w:tc>
          <w:tcPr>
            <w:tcW w:w="1300" w:type="dxa"/>
            <w:tcBorders>
              <w:top w:val="nil"/>
              <w:left w:val="nil"/>
              <w:bottom w:val="nil"/>
              <w:right w:val="nil"/>
            </w:tcBorders>
            <w:shd w:val="clear" w:color="auto" w:fill="auto"/>
            <w:vAlign w:val="center"/>
            <w:hideMark/>
          </w:tcPr>
          <w:p w14:paraId="36BF22D0"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060" w:type="dxa"/>
            <w:tcBorders>
              <w:top w:val="nil"/>
              <w:left w:val="nil"/>
              <w:bottom w:val="nil"/>
              <w:right w:val="nil"/>
            </w:tcBorders>
            <w:shd w:val="clear" w:color="auto" w:fill="auto"/>
            <w:vAlign w:val="center"/>
            <w:hideMark/>
          </w:tcPr>
          <w:p w14:paraId="5DA76325"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495</w:t>
            </w:r>
          </w:p>
        </w:tc>
      </w:tr>
      <w:tr w:rsidR="00F04026" w:rsidRPr="00F04026" w14:paraId="114C72E2" w14:textId="77777777" w:rsidTr="00F04026">
        <w:trPr>
          <w:trHeight w:val="215"/>
        </w:trPr>
        <w:tc>
          <w:tcPr>
            <w:tcW w:w="3880" w:type="dxa"/>
            <w:tcBorders>
              <w:top w:val="nil"/>
              <w:left w:val="nil"/>
              <w:bottom w:val="nil"/>
              <w:right w:val="nil"/>
            </w:tcBorders>
            <w:shd w:val="clear" w:color="auto" w:fill="auto"/>
            <w:vAlign w:val="center"/>
            <w:hideMark/>
          </w:tcPr>
          <w:p w14:paraId="2A472E48"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Motor taxes</w:t>
            </w:r>
          </w:p>
        </w:tc>
        <w:tc>
          <w:tcPr>
            <w:tcW w:w="1300" w:type="dxa"/>
            <w:tcBorders>
              <w:top w:val="nil"/>
              <w:left w:val="nil"/>
              <w:bottom w:val="nil"/>
              <w:right w:val="nil"/>
            </w:tcBorders>
            <w:shd w:val="clear" w:color="auto" w:fill="auto"/>
            <w:vAlign w:val="center"/>
            <w:hideMark/>
          </w:tcPr>
          <w:p w14:paraId="07C73AD4"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0128931D"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403</w:t>
            </w:r>
          </w:p>
        </w:tc>
        <w:tc>
          <w:tcPr>
            <w:tcW w:w="1300" w:type="dxa"/>
            <w:tcBorders>
              <w:top w:val="nil"/>
              <w:left w:val="nil"/>
              <w:bottom w:val="nil"/>
              <w:right w:val="nil"/>
            </w:tcBorders>
            <w:shd w:val="clear" w:color="auto" w:fill="auto"/>
            <w:vAlign w:val="center"/>
            <w:hideMark/>
          </w:tcPr>
          <w:p w14:paraId="0CA06694"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060" w:type="dxa"/>
            <w:tcBorders>
              <w:top w:val="nil"/>
              <w:left w:val="nil"/>
              <w:bottom w:val="nil"/>
              <w:right w:val="nil"/>
            </w:tcBorders>
            <w:shd w:val="clear" w:color="auto" w:fill="auto"/>
            <w:vAlign w:val="center"/>
            <w:hideMark/>
          </w:tcPr>
          <w:p w14:paraId="008BE13C"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403</w:t>
            </w:r>
          </w:p>
        </w:tc>
      </w:tr>
      <w:tr w:rsidR="00F04026" w:rsidRPr="00F04026" w14:paraId="0174639E" w14:textId="77777777" w:rsidTr="00F04026">
        <w:trPr>
          <w:trHeight w:val="215"/>
        </w:trPr>
        <w:tc>
          <w:tcPr>
            <w:tcW w:w="3880" w:type="dxa"/>
            <w:tcBorders>
              <w:top w:val="nil"/>
              <w:left w:val="nil"/>
              <w:bottom w:val="nil"/>
              <w:right w:val="nil"/>
            </w:tcBorders>
            <w:shd w:val="clear" w:color="auto" w:fill="auto"/>
            <w:vAlign w:val="center"/>
            <w:hideMark/>
          </w:tcPr>
          <w:p w14:paraId="3CE00D26"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Mining revenue (quarry revenue)</w:t>
            </w:r>
          </w:p>
        </w:tc>
        <w:tc>
          <w:tcPr>
            <w:tcW w:w="1300" w:type="dxa"/>
            <w:tcBorders>
              <w:top w:val="nil"/>
              <w:left w:val="nil"/>
              <w:bottom w:val="nil"/>
              <w:right w:val="nil"/>
            </w:tcBorders>
            <w:shd w:val="clear" w:color="auto" w:fill="auto"/>
            <w:vAlign w:val="center"/>
            <w:hideMark/>
          </w:tcPr>
          <w:p w14:paraId="7A654B9C"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1B129397"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83</w:t>
            </w:r>
          </w:p>
        </w:tc>
        <w:tc>
          <w:tcPr>
            <w:tcW w:w="1300" w:type="dxa"/>
            <w:tcBorders>
              <w:top w:val="nil"/>
              <w:left w:val="nil"/>
              <w:bottom w:val="nil"/>
              <w:right w:val="nil"/>
            </w:tcBorders>
            <w:shd w:val="clear" w:color="auto" w:fill="auto"/>
            <w:vAlign w:val="center"/>
            <w:hideMark/>
          </w:tcPr>
          <w:p w14:paraId="32B4BB55"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060" w:type="dxa"/>
            <w:tcBorders>
              <w:top w:val="nil"/>
              <w:left w:val="nil"/>
              <w:bottom w:val="nil"/>
              <w:right w:val="nil"/>
            </w:tcBorders>
            <w:shd w:val="clear" w:color="auto" w:fill="auto"/>
            <w:vAlign w:val="center"/>
            <w:hideMark/>
          </w:tcPr>
          <w:p w14:paraId="5A837D8D"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83</w:t>
            </w:r>
          </w:p>
        </w:tc>
      </w:tr>
      <w:tr w:rsidR="00F04026" w:rsidRPr="00F04026" w14:paraId="33F2FBA6" w14:textId="77777777" w:rsidTr="00F04026">
        <w:trPr>
          <w:trHeight w:val="215"/>
        </w:trPr>
        <w:tc>
          <w:tcPr>
            <w:tcW w:w="3880" w:type="dxa"/>
            <w:tcBorders>
              <w:top w:val="nil"/>
              <w:left w:val="nil"/>
              <w:bottom w:val="nil"/>
              <w:right w:val="nil"/>
            </w:tcBorders>
            <w:shd w:val="clear" w:color="auto" w:fill="auto"/>
            <w:vAlign w:val="center"/>
            <w:hideMark/>
          </w:tcPr>
          <w:p w14:paraId="691E4C42"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Gambling revenue</w:t>
            </w:r>
          </w:p>
        </w:tc>
        <w:tc>
          <w:tcPr>
            <w:tcW w:w="1300" w:type="dxa"/>
            <w:tcBorders>
              <w:top w:val="nil"/>
              <w:left w:val="nil"/>
              <w:bottom w:val="nil"/>
              <w:right w:val="nil"/>
            </w:tcBorders>
            <w:shd w:val="clear" w:color="auto" w:fill="auto"/>
            <w:vAlign w:val="center"/>
            <w:hideMark/>
          </w:tcPr>
          <w:p w14:paraId="4A607218"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7105DA28"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71</w:t>
            </w:r>
          </w:p>
        </w:tc>
        <w:tc>
          <w:tcPr>
            <w:tcW w:w="1300" w:type="dxa"/>
            <w:tcBorders>
              <w:top w:val="nil"/>
              <w:left w:val="nil"/>
              <w:bottom w:val="nil"/>
              <w:right w:val="nil"/>
            </w:tcBorders>
            <w:shd w:val="clear" w:color="auto" w:fill="auto"/>
            <w:vAlign w:val="center"/>
            <w:hideMark/>
          </w:tcPr>
          <w:p w14:paraId="088F2FC3"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060" w:type="dxa"/>
            <w:tcBorders>
              <w:top w:val="nil"/>
              <w:left w:val="nil"/>
              <w:bottom w:val="nil"/>
              <w:right w:val="nil"/>
            </w:tcBorders>
            <w:shd w:val="clear" w:color="auto" w:fill="auto"/>
            <w:vAlign w:val="center"/>
            <w:hideMark/>
          </w:tcPr>
          <w:p w14:paraId="78280FCC"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71</w:t>
            </w:r>
          </w:p>
        </w:tc>
      </w:tr>
      <w:tr w:rsidR="00F04026" w:rsidRPr="00F04026" w14:paraId="2F0DA8D7" w14:textId="77777777" w:rsidTr="00F04026">
        <w:trPr>
          <w:trHeight w:val="215"/>
        </w:trPr>
        <w:tc>
          <w:tcPr>
            <w:tcW w:w="3880" w:type="dxa"/>
            <w:tcBorders>
              <w:top w:val="nil"/>
              <w:left w:val="nil"/>
              <w:bottom w:val="nil"/>
              <w:right w:val="nil"/>
            </w:tcBorders>
            <w:shd w:val="clear" w:color="auto" w:fill="auto"/>
            <w:vAlign w:val="center"/>
            <w:hideMark/>
          </w:tcPr>
          <w:p w14:paraId="0BACD092"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Interest income</w:t>
            </w:r>
          </w:p>
        </w:tc>
        <w:tc>
          <w:tcPr>
            <w:tcW w:w="1300" w:type="dxa"/>
            <w:tcBorders>
              <w:top w:val="nil"/>
              <w:left w:val="nil"/>
              <w:bottom w:val="nil"/>
              <w:right w:val="nil"/>
            </w:tcBorders>
            <w:shd w:val="clear" w:color="auto" w:fill="auto"/>
            <w:vAlign w:val="center"/>
            <w:hideMark/>
          </w:tcPr>
          <w:p w14:paraId="7FCA2C87"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0A1B3FCA"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526AEEE4"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170</w:t>
            </w:r>
          </w:p>
        </w:tc>
        <w:tc>
          <w:tcPr>
            <w:tcW w:w="1060" w:type="dxa"/>
            <w:tcBorders>
              <w:top w:val="nil"/>
              <w:left w:val="nil"/>
              <w:bottom w:val="nil"/>
              <w:right w:val="nil"/>
            </w:tcBorders>
            <w:shd w:val="clear" w:color="auto" w:fill="auto"/>
            <w:vAlign w:val="center"/>
            <w:hideMark/>
          </w:tcPr>
          <w:p w14:paraId="6B5B77BE"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170</w:t>
            </w:r>
          </w:p>
        </w:tc>
      </w:tr>
      <w:tr w:rsidR="00F04026" w:rsidRPr="00F04026" w14:paraId="74CEED56" w14:textId="77777777" w:rsidTr="00F04026">
        <w:trPr>
          <w:trHeight w:val="215"/>
        </w:trPr>
        <w:tc>
          <w:tcPr>
            <w:tcW w:w="3880" w:type="dxa"/>
            <w:tcBorders>
              <w:top w:val="nil"/>
              <w:left w:val="nil"/>
              <w:bottom w:val="nil"/>
              <w:right w:val="nil"/>
            </w:tcBorders>
            <w:shd w:val="clear" w:color="auto" w:fill="auto"/>
            <w:vAlign w:val="center"/>
            <w:hideMark/>
          </w:tcPr>
          <w:p w14:paraId="3A12FA7A"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Waste charges</w:t>
            </w:r>
          </w:p>
        </w:tc>
        <w:tc>
          <w:tcPr>
            <w:tcW w:w="1300" w:type="dxa"/>
            <w:tcBorders>
              <w:top w:val="nil"/>
              <w:left w:val="nil"/>
              <w:bottom w:val="nil"/>
              <w:right w:val="nil"/>
            </w:tcBorders>
            <w:shd w:val="clear" w:color="auto" w:fill="auto"/>
            <w:vAlign w:val="center"/>
            <w:hideMark/>
          </w:tcPr>
          <w:p w14:paraId="051FE0E8"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3303DBCE"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3614382A"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395</w:t>
            </w:r>
          </w:p>
        </w:tc>
        <w:tc>
          <w:tcPr>
            <w:tcW w:w="1060" w:type="dxa"/>
            <w:tcBorders>
              <w:top w:val="nil"/>
              <w:left w:val="nil"/>
              <w:bottom w:val="nil"/>
              <w:right w:val="nil"/>
            </w:tcBorders>
            <w:shd w:val="clear" w:color="auto" w:fill="auto"/>
            <w:vAlign w:val="center"/>
            <w:hideMark/>
          </w:tcPr>
          <w:p w14:paraId="40BB844A"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395</w:t>
            </w:r>
          </w:p>
        </w:tc>
      </w:tr>
      <w:tr w:rsidR="00F04026" w:rsidRPr="00F04026" w14:paraId="3EF0B764" w14:textId="77777777" w:rsidTr="00F04026">
        <w:trPr>
          <w:trHeight w:val="215"/>
        </w:trPr>
        <w:tc>
          <w:tcPr>
            <w:tcW w:w="3880" w:type="dxa"/>
            <w:tcBorders>
              <w:top w:val="nil"/>
              <w:left w:val="nil"/>
              <w:bottom w:val="nil"/>
              <w:right w:val="nil"/>
            </w:tcBorders>
            <w:shd w:val="clear" w:color="auto" w:fill="auto"/>
            <w:vAlign w:val="center"/>
            <w:hideMark/>
          </w:tcPr>
          <w:p w14:paraId="4173F002"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Other revenue</w:t>
            </w:r>
          </w:p>
        </w:tc>
        <w:tc>
          <w:tcPr>
            <w:tcW w:w="1300" w:type="dxa"/>
            <w:tcBorders>
              <w:top w:val="nil"/>
              <w:left w:val="nil"/>
              <w:bottom w:val="nil"/>
              <w:right w:val="nil"/>
            </w:tcBorders>
            <w:shd w:val="clear" w:color="auto" w:fill="auto"/>
            <w:vAlign w:val="center"/>
            <w:hideMark/>
          </w:tcPr>
          <w:p w14:paraId="17CB48A2"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6CAE2266"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284</w:t>
            </w:r>
          </w:p>
        </w:tc>
        <w:tc>
          <w:tcPr>
            <w:tcW w:w="1300" w:type="dxa"/>
            <w:tcBorders>
              <w:top w:val="nil"/>
              <w:left w:val="nil"/>
              <w:bottom w:val="nil"/>
              <w:right w:val="nil"/>
            </w:tcBorders>
            <w:shd w:val="clear" w:color="auto" w:fill="auto"/>
            <w:vAlign w:val="center"/>
            <w:hideMark/>
          </w:tcPr>
          <w:p w14:paraId="6F6AA20E"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651</w:t>
            </w:r>
          </w:p>
        </w:tc>
        <w:tc>
          <w:tcPr>
            <w:tcW w:w="1060" w:type="dxa"/>
            <w:tcBorders>
              <w:top w:val="nil"/>
              <w:left w:val="nil"/>
              <w:bottom w:val="nil"/>
              <w:right w:val="nil"/>
            </w:tcBorders>
            <w:shd w:val="clear" w:color="auto" w:fill="auto"/>
            <w:vAlign w:val="center"/>
            <w:hideMark/>
          </w:tcPr>
          <w:p w14:paraId="68D7EECA"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934</w:t>
            </w:r>
          </w:p>
        </w:tc>
      </w:tr>
      <w:tr w:rsidR="00F04026" w:rsidRPr="00F04026" w14:paraId="7A23313E" w14:textId="77777777" w:rsidTr="00F04026">
        <w:trPr>
          <w:trHeight w:val="215"/>
        </w:trPr>
        <w:tc>
          <w:tcPr>
            <w:tcW w:w="3880" w:type="dxa"/>
            <w:tcBorders>
              <w:top w:val="nil"/>
              <w:left w:val="nil"/>
              <w:bottom w:val="nil"/>
              <w:right w:val="nil"/>
            </w:tcBorders>
            <w:shd w:val="clear" w:color="auto" w:fill="auto"/>
            <w:vAlign w:val="center"/>
            <w:hideMark/>
          </w:tcPr>
          <w:p w14:paraId="33B84268"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Airport (net)</w:t>
            </w:r>
          </w:p>
        </w:tc>
        <w:tc>
          <w:tcPr>
            <w:tcW w:w="1300" w:type="dxa"/>
            <w:tcBorders>
              <w:top w:val="nil"/>
              <w:left w:val="nil"/>
              <w:bottom w:val="nil"/>
              <w:right w:val="nil"/>
            </w:tcBorders>
            <w:shd w:val="clear" w:color="auto" w:fill="auto"/>
            <w:vAlign w:val="center"/>
            <w:hideMark/>
          </w:tcPr>
          <w:p w14:paraId="3ED869C5"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0F5E8A2E"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38E7B17F"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17</w:t>
            </w:r>
          </w:p>
        </w:tc>
        <w:tc>
          <w:tcPr>
            <w:tcW w:w="1060" w:type="dxa"/>
            <w:tcBorders>
              <w:top w:val="nil"/>
              <w:left w:val="nil"/>
              <w:bottom w:val="nil"/>
              <w:right w:val="nil"/>
            </w:tcBorders>
            <w:shd w:val="clear" w:color="auto" w:fill="auto"/>
            <w:vAlign w:val="center"/>
            <w:hideMark/>
          </w:tcPr>
          <w:p w14:paraId="2B91241D"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17</w:t>
            </w:r>
          </w:p>
        </w:tc>
      </w:tr>
      <w:tr w:rsidR="00F04026" w:rsidRPr="00F04026" w14:paraId="3D773C10" w14:textId="77777777" w:rsidTr="00F04026">
        <w:trPr>
          <w:trHeight w:val="215"/>
        </w:trPr>
        <w:tc>
          <w:tcPr>
            <w:tcW w:w="3880" w:type="dxa"/>
            <w:tcBorders>
              <w:top w:val="nil"/>
              <w:left w:val="nil"/>
              <w:bottom w:val="nil"/>
              <w:right w:val="nil"/>
            </w:tcBorders>
            <w:shd w:val="clear" w:color="auto" w:fill="auto"/>
            <w:vAlign w:val="center"/>
            <w:hideMark/>
          </w:tcPr>
          <w:p w14:paraId="33250705"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Liquor Bond (net)</w:t>
            </w:r>
          </w:p>
        </w:tc>
        <w:tc>
          <w:tcPr>
            <w:tcW w:w="1300" w:type="dxa"/>
            <w:tcBorders>
              <w:top w:val="nil"/>
              <w:left w:val="nil"/>
              <w:bottom w:val="nil"/>
              <w:right w:val="nil"/>
            </w:tcBorders>
            <w:shd w:val="clear" w:color="auto" w:fill="auto"/>
            <w:vAlign w:val="center"/>
            <w:hideMark/>
          </w:tcPr>
          <w:p w14:paraId="2E8B0915"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26E8424C"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nil"/>
              <w:right w:val="nil"/>
            </w:tcBorders>
            <w:shd w:val="clear" w:color="auto" w:fill="auto"/>
            <w:vAlign w:val="center"/>
            <w:hideMark/>
          </w:tcPr>
          <w:p w14:paraId="37442504"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1 339</w:t>
            </w:r>
          </w:p>
        </w:tc>
        <w:tc>
          <w:tcPr>
            <w:tcW w:w="1060" w:type="dxa"/>
            <w:tcBorders>
              <w:top w:val="nil"/>
              <w:left w:val="nil"/>
              <w:bottom w:val="nil"/>
              <w:right w:val="nil"/>
            </w:tcBorders>
            <w:shd w:val="clear" w:color="auto" w:fill="auto"/>
            <w:vAlign w:val="center"/>
            <w:hideMark/>
          </w:tcPr>
          <w:p w14:paraId="4C4CE843"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1 339</w:t>
            </w:r>
          </w:p>
        </w:tc>
      </w:tr>
      <w:tr w:rsidR="00F04026" w:rsidRPr="00F04026" w14:paraId="0973B95B" w14:textId="77777777" w:rsidTr="00F04026">
        <w:trPr>
          <w:trHeight w:val="215"/>
        </w:trPr>
        <w:tc>
          <w:tcPr>
            <w:tcW w:w="3880" w:type="dxa"/>
            <w:tcBorders>
              <w:top w:val="nil"/>
              <w:left w:val="nil"/>
              <w:bottom w:val="nil"/>
              <w:right w:val="nil"/>
            </w:tcBorders>
            <w:shd w:val="clear" w:color="auto" w:fill="auto"/>
            <w:vAlign w:val="center"/>
            <w:hideMark/>
          </w:tcPr>
          <w:p w14:paraId="224816F8" w14:textId="77777777" w:rsidR="00F04026" w:rsidRPr="00F04026" w:rsidRDefault="00F04026" w:rsidP="00F04026">
            <w:pPr>
              <w:tabs>
                <w:tab w:val="clear" w:pos="567"/>
              </w:tabs>
              <w:spacing w:after="0" w:line="240" w:lineRule="auto"/>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Telecom (net)</w:t>
            </w:r>
          </w:p>
        </w:tc>
        <w:tc>
          <w:tcPr>
            <w:tcW w:w="1300" w:type="dxa"/>
            <w:tcBorders>
              <w:top w:val="nil"/>
              <w:left w:val="nil"/>
              <w:bottom w:val="single" w:sz="4" w:space="0" w:color="auto"/>
              <w:right w:val="nil"/>
            </w:tcBorders>
            <w:shd w:val="clear" w:color="auto" w:fill="auto"/>
            <w:vAlign w:val="center"/>
            <w:hideMark/>
          </w:tcPr>
          <w:p w14:paraId="42A5E3D0"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187</w:t>
            </w:r>
          </w:p>
        </w:tc>
        <w:tc>
          <w:tcPr>
            <w:tcW w:w="1300" w:type="dxa"/>
            <w:tcBorders>
              <w:top w:val="nil"/>
              <w:left w:val="nil"/>
              <w:bottom w:val="single" w:sz="4" w:space="0" w:color="auto"/>
              <w:right w:val="nil"/>
            </w:tcBorders>
            <w:shd w:val="clear" w:color="auto" w:fill="auto"/>
            <w:vAlign w:val="center"/>
            <w:hideMark/>
          </w:tcPr>
          <w:p w14:paraId="7121737B"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300" w:type="dxa"/>
            <w:tcBorders>
              <w:top w:val="nil"/>
              <w:left w:val="nil"/>
              <w:bottom w:val="single" w:sz="4" w:space="0" w:color="auto"/>
              <w:right w:val="nil"/>
            </w:tcBorders>
            <w:shd w:val="clear" w:color="auto" w:fill="auto"/>
            <w:vAlign w:val="center"/>
            <w:hideMark/>
          </w:tcPr>
          <w:p w14:paraId="2B583C7B"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0</w:t>
            </w:r>
          </w:p>
        </w:tc>
        <w:tc>
          <w:tcPr>
            <w:tcW w:w="1060" w:type="dxa"/>
            <w:tcBorders>
              <w:top w:val="nil"/>
              <w:left w:val="nil"/>
              <w:bottom w:val="single" w:sz="4" w:space="0" w:color="auto"/>
              <w:right w:val="nil"/>
            </w:tcBorders>
            <w:shd w:val="clear" w:color="auto" w:fill="auto"/>
            <w:vAlign w:val="center"/>
            <w:hideMark/>
          </w:tcPr>
          <w:p w14:paraId="73150BD4" w14:textId="77777777" w:rsidR="00F04026" w:rsidRPr="00F04026" w:rsidRDefault="00F04026" w:rsidP="00F04026">
            <w:pPr>
              <w:tabs>
                <w:tab w:val="clear" w:pos="567"/>
              </w:tabs>
              <w:spacing w:after="0" w:line="240" w:lineRule="auto"/>
              <w:jc w:val="right"/>
              <w:rPr>
                <w:rFonts w:ascii="Calibri" w:eastAsia="Times New Roman" w:hAnsi="Calibri" w:cs="Calibri"/>
                <w:i/>
                <w:iCs/>
                <w:sz w:val="20"/>
                <w:szCs w:val="20"/>
                <w:lang w:eastAsia="en-AU"/>
              </w:rPr>
            </w:pPr>
            <w:r w:rsidRPr="00F04026">
              <w:rPr>
                <w:rFonts w:ascii="Calibri" w:eastAsia="Times New Roman" w:hAnsi="Calibri" w:cs="Calibri"/>
                <w:i/>
                <w:iCs/>
                <w:sz w:val="20"/>
                <w:szCs w:val="20"/>
                <w:lang w:eastAsia="en-AU"/>
              </w:rPr>
              <w:t xml:space="preserve"> 187</w:t>
            </w:r>
          </w:p>
        </w:tc>
      </w:tr>
      <w:tr w:rsidR="00F04026" w:rsidRPr="00F04026" w14:paraId="12B26122" w14:textId="77777777" w:rsidTr="00F04026">
        <w:trPr>
          <w:trHeight w:val="215"/>
        </w:trPr>
        <w:tc>
          <w:tcPr>
            <w:tcW w:w="3880" w:type="dxa"/>
            <w:tcBorders>
              <w:top w:val="nil"/>
              <w:left w:val="nil"/>
              <w:bottom w:val="nil"/>
              <w:right w:val="nil"/>
            </w:tcBorders>
            <w:shd w:val="clear" w:color="auto" w:fill="auto"/>
            <w:vAlign w:val="center"/>
            <w:hideMark/>
          </w:tcPr>
          <w:p w14:paraId="379A9CEB"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Total revenue</w:t>
            </w:r>
          </w:p>
        </w:tc>
        <w:tc>
          <w:tcPr>
            <w:tcW w:w="1300" w:type="dxa"/>
            <w:tcBorders>
              <w:top w:val="nil"/>
              <w:left w:val="nil"/>
              <w:bottom w:val="nil"/>
              <w:right w:val="nil"/>
            </w:tcBorders>
            <w:shd w:val="clear" w:color="auto" w:fill="auto"/>
            <w:vAlign w:val="center"/>
            <w:hideMark/>
          </w:tcPr>
          <w:p w14:paraId="4182BA70"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187</w:t>
            </w:r>
          </w:p>
        </w:tc>
        <w:tc>
          <w:tcPr>
            <w:tcW w:w="1300" w:type="dxa"/>
            <w:tcBorders>
              <w:top w:val="nil"/>
              <w:left w:val="nil"/>
              <w:bottom w:val="nil"/>
              <w:right w:val="nil"/>
            </w:tcBorders>
            <w:shd w:val="clear" w:color="auto" w:fill="auto"/>
            <w:vAlign w:val="center"/>
            <w:hideMark/>
          </w:tcPr>
          <w:p w14:paraId="4F373713"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18 477</w:t>
            </w:r>
          </w:p>
        </w:tc>
        <w:tc>
          <w:tcPr>
            <w:tcW w:w="1300" w:type="dxa"/>
            <w:tcBorders>
              <w:top w:val="nil"/>
              <w:left w:val="nil"/>
              <w:bottom w:val="nil"/>
              <w:right w:val="nil"/>
            </w:tcBorders>
            <w:shd w:val="clear" w:color="auto" w:fill="auto"/>
            <w:vAlign w:val="center"/>
            <w:hideMark/>
          </w:tcPr>
          <w:p w14:paraId="1448AC52"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4 881</w:t>
            </w:r>
          </w:p>
        </w:tc>
        <w:tc>
          <w:tcPr>
            <w:tcW w:w="1060" w:type="dxa"/>
            <w:tcBorders>
              <w:top w:val="nil"/>
              <w:left w:val="nil"/>
              <w:bottom w:val="nil"/>
              <w:right w:val="nil"/>
            </w:tcBorders>
            <w:shd w:val="clear" w:color="auto" w:fill="auto"/>
            <w:vAlign w:val="center"/>
            <w:hideMark/>
          </w:tcPr>
          <w:p w14:paraId="43078627"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23 545</w:t>
            </w:r>
          </w:p>
        </w:tc>
      </w:tr>
      <w:tr w:rsidR="00F04026" w:rsidRPr="00F04026" w14:paraId="1C870A80" w14:textId="77777777" w:rsidTr="00F04026">
        <w:trPr>
          <w:trHeight w:val="215"/>
        </w:trPr>
        <w:tc>
          <w:tcPr>
            <w:tcW w:w="3880" w:type="dxa"/>
            <w:tcBorders>
              <w:top w:val="nil"/>
              <w:left w:val="nil"/>
              <w:bottom w:val="nil"/>
              <w:right w:val="nil"/>
            </w:tcBorders>
            <w:shd w:val="clear" w:color="auto" w:fill="auto"/>
            <w:vAlign w:val="center"/>
            <w:hideMark/>
          </w:tcPr>
          <w:p w14:paraId="60451C75" w14:textId="77777777" w:rsidR="00F04026" w:rsidRPr="00F04026" w:rsidRDefault="00F04026" w:rsidP="00F04026">
            <w:pPr>
              <w:tabs>
                <w:tab w:val="clear" w:pos="567"/>
              </w:tabs>
              <w:spacing w:after="0" w:line="240" w:lineRule="auto"/>
              <w:rPr>
                <w:rFonts w:ascii="Calibri" w:eastAsia="Times New Roman" w:hAnsi="Calibri" w:cs="Calibri"/>
                <w:b/>
                <w:bCs/>
                <w:sz w:val="20"/>
                <w:szCs w:val="20"/>
                <w:lang w:eastAsia="en-AU"/>
              </w:rPr>
            </w:pPr>
            <w:r w:rsidRPr="00F04026">
              <w:rPr>
                <w:rFonts w:ascii="Calibri" w:eastAsia="Times New Roman" w:hAnsi="Calibri" w:cs="Calibri"/>
                <w:b/>
                <w:bCs/>
                <w:sz w:val="20"/>
                <w:szCs w:val="20"/>
                <w:lang w:eastAsia="en-AU"/>
              </w:rPr>
              <w:t>Expenses</w:t>
            </w:r>
          </w:p>
        </w:tc>
        <w:tc>
          <w:tcPr>
            <w:tcW w:w="1300" w:type="dxa"/>
            <w:tcBorders>
              <w:top w:val="nil"/>
              <w:left w:val="nil"/>
              <w:bottom w:val="nil"/>
              <w:right w:val="nil"/>
            </w:tcBorders>
            <w:shd w:val="clear" w:color="auto" w:fill="auto"/>
            <w:vAlign w:val="center"/>
            <w:hideMark/>
          </w:tcPr>
          <w:p w14:paraId="56619CCE" w14:textId="77777777" w:rsidR="00F04026" w:rsidRPr="00F04026" w:rsidRDefault="00F04026" w:rsidP="00F04026">
            <w:pPr>
              <w:tabs>
                <w:tab w:val="clear" w:pos="567"/>
              </w:tabs>
              <w:spacing w:after="0" w:line="240" w:lineRule="auto"/>
              <w:rPr>
                <w:rFonts w:ascii="Calibri" w:eastAsia="Times New Roman" w:hAnsi="Calibri" w:cs="Calibri"/>
                <w:b/>
                <w:bCs/>
                <w:sz w:val="20"/>
                <w:szCs w:val="20"/>
                <w:lang w:eastAsia="en-AU"/>
              </w:rPr>
            </w:pPr>
          </w:p>
        </w:tc>
        <w:tc>
          <w:tcPr>
            <w:tcW w:w="1300" w:type="dxa"/>
            <w:tcBorders>
              <w:top w:val="nil"/>
              <w:left w:val="nil"/>
              <w:bottom w:val="nil"/>
              <w:right w:val="nil"/>
            </w:tcBorders>
            <w:shd w:val="clear" w:color="auto" w:fill="auto"/>
            <w:vAlign w:val="center"/>
            <w:hideMark/>
          </w:tcPr>
          <w:p w14:paraId="79C95EAD" w14:textId="77777777" w:rsidR="00F04026" w:rsidRPr="00F04026" w:rsidRDefault="00F04026" w:rsidP="00F04026">
            <w:pPr>
              <w:tabs>
                <w:tab w:val="clear" w:pos="567"/>
              </w:tabs>
              <w:spacing w:after="0" w:line="240" w:lineRule="auto"/>
              <w:jc w:val="right"/>
              <w:rPr>
                <w:rFonts w:ascii="Times New Roman" w:eastAsia="Times New Roman" w:hAnsi="Times New Roman" w:cs="Times New Roman"/>
                <w:sz w:val="20"/>
                <w:szCs w:val="20"/>
                <w:lang w:eastAsia="en-AU"/>
              </w:rPr>
            </w:pPr>
          </w:p>
        </w:tc>
        <w:tc>
          <w:tcPr>
            <w:tcW w:w="1300" w:type="dxa"/>
            <w:tcBorders>
              <w:top w:val="nil"/>
              <w:left w:val="nil"/>
              <w:bottom w:val="nil"/>
              <w:right w:val="nil"/>
            </w:tcBorders>
            <w:shd w:val="clear" w:color="auto" w:fill="auto"/>
            <w:vAlign w:val="center"/>
            <w:hideMark/>
          </w:tcPr>
          <w:p w14:paraId="3D421CDE" w14:textId="77777777" w:rsidR="00F04026" w:rsidRPr="00F04026" w:rsidRDefault="00F04026" w:rsidP="00F04026">
            <w:pPr>
              <w:tabs>
                <w:tab w:val="clear" w:pos="567"/>
              </w:tabs>
              <w:spacing w:after="0" w:line="240" w:lineRule="auto"/>
              <w:jc w:val="right"/>
              <w:rPr>
                <w:rFonts w:ascii="Times New Roman" w:eastAsia="Times New Roman" w:hAnsi="Times New Roman" w:cs="Times New Roman"/>
                <w:sz w:val="20"/>
                <w:szCs w:val="20"/>
                <w:lang w:eastAsia="en-AU"/>
              </w:rPr>
            </w:pPr>
          </w:p>
        </w:tc>
        <w:tc>
          <w:tcPr>
            <w:tcW w:w="1060" w:type="dxa"/>
            <w:tcBorders>
              <w:top w:val="nil"/>
              <w:left w:val="nil"/>
              <w:bottom w:val="nil"/>
              <w:right w:val="nil"/>
            </w:tcBorders>
            <w:shd w:val="clear" w:color="auto" w:fill="auto"/>
            <w:vAlign w:val="center"/>
            <w:hideMark/>
          </w:tcPr>
          <w:p w14:paraId="2C5A3A9B" w14:textId="77777777" w:rsidR="00F04026" w:rsidRPr="00F04026" w:rsidRDefault="00F04026" w:rsidP="00F04026">
            <w:pPr>
              <w:tabs>
                <w:tab w:val="clear" w:pos="567"/>
              </w:tabs>
              <w:spacing w:after="0" w:line="240" w:lineRule="auto"/>
              <w:jc w:val="right"/>
              <w:rPr>
                <w:rFonts w:ascii="Times New Roman" w:eastAsia="Times New Roman" w:hAnsi="Times New Roman" w:cs="Times New Roman"/>
                <w:sz w:val="20"/>
                <w:szCs w:val="20"/>
                <w:lang w:eastAsia="en-AU"/>
              </w:rPr>
            </w:pPr>
          </w:p>
        </w:tc>
      </w:tr>
      <w:tr w:rsidR="00F04026" w:rsidRPr="00F04026" w14:paraId="74DF68B3" w14:textId="77777777" w:rsidTr="00F04026">
        <w:trPr>
          <w:trHeight w:val="215"/>
        </w:trPr>
        <w:tc>
          <w:tcPr>
            <w:tcW w:w="3880" w:type="dxa"/>
            <w:tcBorders>
              <w:top w:val="nil"/>
              <w:left w:val="nil"/>
              <w:bottom w:val="nil"/>
              <w:right w:val="nil"/>
            </w:tcBorders>
            <w:shd w:val="clear" w:color="auto" w:fill="auto"/>
            <w:vAlign w:val="center"/>
            <w:hideMark/>
          </w:tcPr>
          <w:p w14:paraId="03AAA134"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Schools</w:t>
            </w:r>
          </w:p>
        </w:tc>
        <w:tc>
          <w:tcPr>
            <w:tcW w:w="1300" w:type="dxa"/>
            <w:tcBorders>
              <w:top w:val="nil"/>
              <w:left w:val="nil"/>
              <w:bottom w:val="nil"/>
              <w:right w:val="nil"/>
            </w:tcBorders>
            <w:shd w:val="clear" w:color="auto" w:fill="auto"/>
            <w:vAlign w:val="center"/>
            <w:hideMark/>
          </w:tcPr>
          <w:p w14:paraId="43F6ED0E"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72F10F85"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4 153</w:t>
            </w:r>
          </w:p>
        </w:tc>
        <w:tc>
          <w:tcPr>
            <w:tcW w:w="1300" w:type="dxa"/>
            <w:tcBorders>
              <w:top w:val="nil"/>
              <w:left w:val="nil"/>
              <w:bottom w:val="nil"/>
              <w:right w:val="nil"/>
            </w:tcBorders>
            <w:shd w:val="clear" w:color="auto" w:fill="auto"/>
            <w:vAlign w:val="center"/>
            <w:hideMark/>
          </w:tcPr>
          <w:p w14:paraId="24ED4E90"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060" w:type="dxa"/>
            <w:tcBorders>
              <w:top w:val="nil"/>
              <w:left w:val="nil"/>
              <w:bottom w:val="nil"/>
              <w:right w:val="nil"/>
            </w:tcBorders>
            <w:shd w:val="clear" w:color="auto" w:fill="auto"/>
            <w:vAlign w:val="center"/>
            <w:hideMark/>
          </w:tcPr>
          <w:p w14:paraId="3EEBBDDC"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4 153</w:t>
            </w:r>
          </w:p>
        </w:tc>
      </w:tr>
      <w:tr w:rsidR="00F04026" w:rsidRPr="00F04026" w14:paraId="7CCE474D" w14:textId="77777777" w:rsidTr="00F04026">
        <w:trPr>
          <w:trHeight w:val="215"/>
        </w:trPr>
        <w:tc>
          <w:tcPr>
            <w:tcW w:w="3880" w:type="dxa"/>
            <w:tcBorders>
              <w:top w:val="nil"/>
              <w:left w:val="nil"/>
              <w:bottom w:val="nil"/>
              <w:right w:val="nil"/>
            </w:tcBorders>
            <w:shd w:val="clear" w:color="auto" w:fill="auto"/>
            <w:vAlign w:val="center"/>
            <w:hideMark/>
          </w:tcPr>
          <w:p w14:paraId="39C09BAE" w14:textId="7C654280"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Health</w:t>
            </w:r>
            <w:r w:rsidR="006D5436">
              <w:rPr>
                <w:rFonts w:ascii="Calibri" w:eastAsia="Times New Roman" w:hAnsi="Calibri" w:cs="Calibri"/>
                <w:sz w:val="20"/>
                <w:szCs w:val="20"/>
                <w:lang w:eastAsia="en-AU"/>
              </w:rPr>
              <w:t xml:space="preserve"> (c)</w:t>
            </w:r>
          </w:p>
        </w:tc>
        <w:tc>
          <w:tcPr>
            <w:tcW w:w="1300" w:type="dxa"/>
            <w:tcBorders>
              <w:top w:val="nil"/>
              <w:left w:val="nil"/>
              <w:bottom w:val="nil"/>
              <w:right w:val="nil"/>
            </w:tcBorders>
            <w:shd w:val="clear" w:color="auto" w:fill="auto"/>
            <w:vAlign w:val="center"/>
            <w:hideMark/>
          </w:tcPr>
          <w:p w14:paraId="2D213768"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6E575869"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7 611</w:t>
            </w:r>
          </w:p>
        </w:tc>
        <w:tc>
          <w:tcPr>
            <w:tcW w:w="1300" w:type="dxa"/>
            <w:tcBorders>
              <w:top w:val="nil"/>
              <w:left w:val="nil"/>
              <w:bottom w:val="nil"/>
              <w:right w:val="nil"/>
            </w:tcBorders>
            <w:shd w:val="clear" w:color="auto" w:fill="auto"/>
            <w:vAlign w:val="center"/>
            <w:hideMark/>
          </w:tcPr>
          <w:p w14:paraId="27E7A6DD"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060" w:type="dxa"/>
            <w:tcBorders>
              <w:top w:val="nil"/>
              <w:left w:val="nil"/>
              <w:bottom w:val="nil"/>
              <w:right w:val="nil"/>
            </w:tcBorders>
            <w:shd w:val="clear" w:color="auto" w:fill="auto"/>
            <w:vAlign w:val="center"/>
            <w:hideMark/>
          </w:tcPr>
          <w:p w14:paraId="7CF9235B"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7 611</w:t>
            </w:r>
          </w:p>
        </w:tc>
      </w:tr>
      <w:tr w:rsidR="00F04026" w:rsidRPr="00F04026" w14:paraId="420ABEE5" w14:textId="77777777" w:rsidTr="00F04026">
        <w:trPr>
          <w:trHeight w:val="215"/>
        </w:trPr>
        <w:tc>
          <w:tcPr>
            <w:tcW w:w="3880" w:type="dxa"/>
            <w:tcBorders>
              <w:top w:val="nil"/>
              <w:left w:val="nil"/>
              <w:bottom w:val="nil"/>
              <w:right w:val="nil"/>
            </w:tcBorders>
            <w:shd w:val="clear" w:color="auto" w:fill="auto"/>
            <w:vAlign w:val="center"/>
            <w:hideMark/>
          </w:tcPr>
          <w:p w14:paraId="10924EE2" w14:textId="4D5856C3"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Welfare</w:t>
            </w:r>
            <w:r w:rsidR="006D5436">
              <w:rPr>
                <w:rFonts w:ascii="Calibri" w:eastAsia="Times New Roman" w:hAnsi="Calibri" w:cs="Calibri"/>
                <w:sz w:val="20"/>
                <w:szCs w:val="20"/>
                <w:lang w:eastAsia="en-AU"/>
              </w:rPr>
              <w:t xml:space="preserve"> (c)</w:t>
            </w:r>
          </w:p>
        </w:tc>
        <w:tc>
          <w:tcPr>
            <w:tcW w:w="1300" w:type="dxa"/>
            <w:tcBorders>
              <w:top w:val="nil"/>
              <w:left w:val="nil"/>
              <w:bottom w:val="nil"/>
              <w:right w:val="nil"/>
            </w:tcBorders>
            <w:shd w:val="clear" w:color="auto" w:fill="auto"/>
            <w:vAlign w:val="center"/>
            <w:hideMark/>
          </w:tcPr>
          <w:p w14:paraId="57E8FBF5"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2016C743"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1 361</w:t>
            </w:r>
          </w:p>
        </w:tc>
        <w:tc>
          <w:tcPr>
            <w:tcW w:w="1300" w:type="dxa"/>
            <w:tcBorders>
              <w:top w:val="nil"/>
              <w:left w:val="nil"/>
              <w:bottom w:val="nil"/>
              <w:right w:val="nil"/>
            </w:tcBorders>
            <w:shd w:val="clear" w:color="auto" w:fill="auto"/>
            <w:vAlign w:val="center"/>
            <w:hideMark/>
          </w:tcPr>
          <w:p w14:paraId="24E72657"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060" w:type="dxa"/>
            <w:tcBorders>
              <w:top w:val="nil"/>
              <w:left w:val="nil"/>
              <w:bottom w:val="nil"/>
              <w:right w:val="nil"/>
            </w:tcBorders>
            <w:shd w:val="clear" w:color="auto" w:fill="auto"/>
            <w:vAlign w:val="center"/>
            <w:hideMark/>
          </w:tcPr>
          <w:p w14:paraId="52B698A4"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1 361</w:t>
            </w:r>
          </w:p>
        </w:tc>
      </w:tr>
      <w:tr w:rsidR="00F04026" w:rsidRPr="00F04026" w14:paraId="716A5435" w14:textId="77777777" w:rsidTr="00F04026">
        <w:trPr>
          <w:trHeight w:val="215"/>
        </w:trPr>
        <w:tc>
          <w:tcPr>
            <w:tcW w:w="3880" w:type="dxa"/>
            <w:tcBorders>
              <w:top w:val="nil"/>
              <w:left w:val="nil"/>
              <w:bottom w:val="nil"/>
              <w:right w:val="nil"/>
            </w:tcBorders>
            <w:shd w:val="clear" w:color="auto" w:fill="auto"/>
            <w:vAlign w:val="center"/>
            <w:hideMark/>
          </w:tcPr>
          <w:p w14:paraId="314A1F93"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Justice – police</w:t>
            </w:r>
          </w:p>
        </w:tc>
        <w:tc>
          <w:tcPr>
            <w:tcW w:w="1300" w:type="dxa"/>
            <w:tcBorders>
              <w:top w:val="nil"/>
              <w:left w:val="nil"/>
              <w:bottom w:val="nil"/>
              <w:right w:val="nil"/>
            </w:tcBorders>
            <w:shd w:val="clear" w:color="auto" w:fill="auto"/>
            <w:vAlign w:val="center"/>
            <w:hideMark/>
          </w:tcPr>
          <w:p w14:paraId="03AA0FB7"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2E2993A2"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1 225</w:t>
            </w:r>
          </w:p>
        </w:tc>
        <w:tc>
          <w:tcPr>
            <w:tcW w:w="1300" w:type="dxa"/>
            <w:tcBorders>
              <w:top w:val="nil"/>
              <w:left w:val="nil"/>
              <w:bottom w:val="nil"/>
              <w:right w:val="nil"/>
            </w:tcBorders>
            <w:shd w:val="clear" w:color="auto" w:fill="auto"/>
            <w:vAlign w:val="center"/>
            <w:hideMark/>
          </w:tcPr>
          <w:p w14:paraId="0C117184"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060" w:type="dxa"/>
            <w:tcBorders>
              <w:top w:val="nil"/>
              <w:left w:val="nil"/>
              <w:bottom w:val="nil"/>
              <w:right w:val="nil"/>
            </w:tcBorders>
            <w:shd w:val="clear" w:color="auto" w:fill="auto"/>
            <w:vAlign w:val="center"/>
            <w:hideMark/>
          </w:tcPr>
          <w:p w14:paraId="143C8942"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1 225</w:t>
            </w:r>
          </w:p>
        </w:tc>
      </w:tr>
      <w:tr w:rsidR="00F04026" w:rsidRPr="00F04026" w14:paraId="3FADBE95" w14:textId="77777777" w:rsidTr="00F04026">
        <w:trPr>
          <w:trHeight w:val="215"/>
        </w:trPr>
        <w:tc>
          <w:tcPr>
            <w:tcW w:w="3880" w:type="dxa"/>
            <w:tcBorders>
              <w:top w:val="nil"/>
              <w:left w:val="nil"/>
              <w:bottom w:val="nil"/>
              <w:right w:val="nil"/>
            </w:tcBorders>
            <w:shd w:val="clear" w:color="auto" w:fill="auto"/>
            <w:vAlign w:val="center"/>
            <w:hideMark/>
          </w:tcPr>
          <w:p w14:paraId="172D6E0B"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Justice – other</w:t>
            </w:r>
          </w:p>
        </w:tc>
        <w:tc>
          <w:tcPr>
            <w:tcW w:w="1300" w:type="dxa"/>
            <w:tcBorders>
              <w:top w:val="nil"/>
              <w:left w:val="nil"/>
              <w:bottom w:val="nil"/>
              <w:right w:val="nil"/>
            </w:tcBorders>
            <w:shd w:val="clear" w:color="auto" w:fill="auto"/>
            <w:vAlign w:val="center"/>
            <w:hideMark/>
          </w:tcPr>
          <w:p w14:paraId="44E347FB"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5E4D338F"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579</w:t>
            </w:r>
          </w:p>
        </w:tc>
        <w:tc>
          <w:tcPr>
            <w:tcW w:w="1300" w:type="dxa"/>
            <w:tcBorders>
              <w:top w:val="nil"/>
              <w:left w:val="nil"/>
              <w:bottom w:val="nil"/>
              <w:right w:val="nil"/>
            </w:tcBorders>
            <w:shd w:val="clear" w:color="auto" w:fill="auto"/>
            <w:vAlign w:val="center"/>
            <w:hideMark/>
          </w:tcPr>
          <w:p w14:paraId="52BFEAD0"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060" w:type="dxa"/>
            <w:tcBorders>
              <w:top w:val="nil"/>
              <w:left w:val="nil"/>
              <w:bottom w:val="nil"/>
              <w:right w:val="nil"/>
            </w:tcBorders>
            <w:shd w:val="clear" w:color="auto" w:fill="auto"/>
            <w:vAlign w:val="center"/>
            <w:hideMark/>
          </w:tcPr>
          <w:p w14:paraId="279FFCB0"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579</w:t>
            </w:r>
          </w:p>
        </w:tc>
      </w:tr>
      <w:tr w:rsidR="00F04026" w:rsidRPr="00F04026" w14:paraId="411AD9B9" w14:textId="77777777" w:rsidTr="00F04026">
        <w:trPr>
          <w:trHeight w:val="215"/>
        </w:trPr>
        <w:tc>
          <w:tcPr>
            <w:tcW w:w="3880" w:type="dxa"/>
            <w:tcBorders>
              <w:top w:val="nil"/>
              <w:left w:val="nil"/>
              <w:bottom w:val="nil"/>
              <w:right w:val="nil"/>
            </w:tcBorders>
            <w:shd w:val="clear" w:color="auto" w:fill="auto"/>
            <w:vAlign w:val="center"/>
            <w:hideMark/>
          </w:tcPr>
          <w:p w14:paraId="07754162"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Water and waste water (net)</w:t>
            </w:r>
          </w:p>
        </w:tc>
        <w:tc>
          <w:tcPr>
            <w:tcW w:w="1300" w:type="dxa"/>
            <w:tcBorders>
              <w:top w:val="nil"/>
              <w:left w:val="nil"/>
              <w:bottom w:val="nil"/>
              <w:right w:val="nil"/>
            </w:tcBorders>
            <w:shd w:val="clear" w:color="auto" w:fill="auto"/>
            <w:vAlign w:val="center"/>
            <w:hideMark/>
          </w:tcPr>
          <w:p w14:paraId="385A0B9E"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717C7D05"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37</w:t>
            </w:r>
          </w:p>
        </w:tc>
        <w:tc>
          <w:tcPr>
            <w:tcW w:w="1300" w:type="dxa"/>
            <w:tcBorders>
              <w:top w:val="nil"/>
              <w:left w:val="nil"/>
              <w:bottom w:val="nil"/>
              <w:right w:val="nil"/>
            </w:tcBorders>
            <w:shd w:val="clear" w:color="auto" w:fill="auto"/>
            <w:vAlign w:val="center"/>
            <w:hideMark/>
          </w:tcPr>
          <w:p w14:paraId="4FD513BD"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060" w:type="dxa"/>
            <w:tcBorders>
              <w:top w:val="nil"/>
              <w:left w:val="nil"/>
              <w:bottom w:val="nil"/>
              <w:right w:val="nil"/>
            </w:tcBorders>
            <w:shd w:val="clear" w:color="auto" w:fill="auto"/>
            <w:vAlign w:val="center"/>
            <w:hideMark/>
          </w:tcPr>
          <w:p w14:paraId="3C631B4B"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37</w:t>
            </w:r>
          </w:p>
        </w:tc>
      </w:tr>
      <w:tr w:rsidR="00F04026" w:rsidRPr="00F04026" w14:paraId="1F7386E9" w14:textId="77777777" w:rsidTr="00F04026">
        <w:trPr>
          <w:trHeight w:val="215"/>
        </w:trPr>
        <w:tc>
          <w:tcPr>
            <w:tcW w:w="3880" w:type="dxa"/>
            <w:tcBorders>
              <w:top w:val="nil"/>
              <w:left w:val="nil"/>
              <w:bottom w:val="nil"/>
              <w:right w:val="nil"/>
            </w:tcBorders>
            <w:shd w:val="clear" w:color="auto" w:fill="auto"/>
            <w:vAlign w:val="center"/>
            <w:hideMark/>
          </w:tcPr>
          <w:p w14:paraId="3E1F6101"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Electricity (net)</w:t>
            </w:r>
          </w:p>
        </w:tc>
        <w:tc>
          <w:tcPr>
            <w:tcW w:w="1300" w:type="dxa"/>
            <w:tcBorders>
              <w:top w:val="nil"/>
              <w:left w:val="nil"/>
              <w:bottom w:val="nil"/>
              <w:right w:val="nil"/>
            </w:tcBorders>
            <w:shd w:val="clear" w:color="auto" w:fill="auto"/>
            <w:vAlign w:val="center"/>
            <w:hideMark/>
          </w:tcPr>
          <w:p w14:paraId="54D93230"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2B673893"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474</w:t>
            </w:r>
          </w:p>
        </w:tc>
        <w:tc>
          <w:tcPr>
            <w:tcW w:w="1300" w:type="dxa"/>
            <w:tcBorders>
              <w:top w:val="nil"/>
              <w:left w:val="nil"/>
              <w:bottom w:val="nil"/>
              <w:right w:val="nil"/>
            </w:tcBorders>
            <w:shd w:val="clear" w:color="auto" w:fill="auto"/>
            <w:vAlign w:val="center"/>
            <w:hideMark/>
          </w:tcPr>
          <w:p w14:paraId="31F230C7"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060" w:type="dxa"/>
            <w:tcBorders>
              <w:top w:val="nil"/>
              <w:left w:val="nil"/>
              <w:bottom w:val="nil"/>
              <w:right w:val="nil"/>
            </w:tcBorders>
            <w:shd w:val="clear" w:color="auto" w:fill="auto"/>
            <w:vAlign w:val="center"/>
            <w:hideMark/>
          </w:tcPr>
          <w:p w14:paraId="3345FFCF"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474</w:t>
            </w:r>
          </w:p>
        </w:tc>
      </w:tr>
      <w:tr w:rsidR="00F04026" w:rsidRPr="00F04026" w14:paraId="5F39A543" w14:textId="77777777" w:rsidTr="00F04026">
        <w:trPr>
          <w:trHeight w:val="215"/>
        </w:trPr>
        <w:tc>
          <w:tcPr>
            <w:tcW w:w="3880" w:type="dxa"/>
            <w:tcBorders>
              <w:top w:val="nil"/>
              <w:left w:val="nil"/>
              <w:bottom w:val="nil"/>
              <w:right w:val="nil"/>
            </w:tcBorders>
            <w:shd w:val="clear" w:color="auto" w:fill="auto"/>
            <w:vAlign w:val="center"/>
            <w:hideMark/>
          </w:tcPr>
          <w:p w14:paraId="2E0B62E6"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Waste management</w:t>
            </w:r>
          </w:p>
        </w:tc>
        <w:tc>
          <w:tcPr>
            <w:tcW w:w="1300" w:type="dxa"/>
            <w:tcBorders>
              <w:top w:val="nil"/>
              <w:left w:val="nil"/>
              <w:bottom w:val="nil"/>
              <w:right w:val="nil"/>
            </w:tcBorders>
            <w:shd w:val="clear" w:color="auto" w:fill="auto"/>
            <w:vAlign w:val="center"/>
            <w:hideMark/>
          </w:tcPr>
          <w:p w14:paraId="05DDEB9F"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2DA4F2FA"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2C0A2DD9"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529</w:t>
            </w:r>
          </w:p>
        </w:tc>
        <w:tc>
          <w:tcPr>
            <w:tcW w:w="1060" w:type="dxa"/>
            <w:tcBorders>
              <w:top w:val="nil"/>
              <w:left w:val="nil"/>
              <w:bottom w:val="nil"/>
              <w:right w:val="nil"/>
            </w:tcBorders>
            <w:shd w:val="clear" w:color="auto" w:fill="auto"/>
            <w:vAlign w:val="center"/>
            <w:hideMark/>
          </w:tcPr>
          <w:p w14:paraId="1D8DAD2F"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529</w:t>
            </w:r>
          </w:p>
        </w:tc>
      </w:tr>
      <w:tr w:rsidR="00F04026" w:rsidRPr="00F04026" w14:paraId="57ABC148" w14:textId="77777777" w:rsidTr="00F04026">
        <w:trPr>
          <w:trHeight w:val="215"/>
        </w:trPr>
        <w:tc>
          <w:tcPr>
            <w:tcW w:w="3880" w:type="dxa"/>
            <w:tcBorders>
              <w:top w:val="nil"/>
              <w:left w:val="nil"/>
              <w:bottom w:val="nil"/>
              <w:right w:val="nil"/>
            </w:tcBorders>
            <w:shd w:val="clear" w:color="auto" w:fill="auto"/>
            <w:vAlign w:val="center"/>
            <w:hideMark/>
          </w:tcPr>
          <w:p w14:paraId="4185D63A"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Environmental protection – other</w:t>
            </w:r>
          </w:p>
        </w:tc>
        <w:tc>
          <w:tcPr>
            <w:tcW w:w="1300" w:type="dxa"/>
            <w:tcBorders>
              <w:top w:val="nil"/>
              <w:left w:val="nil"/>
              <w:bottom w:val="nil"/>
              <w:right w:val="nil"/>
            </w:tcBorders>
            <w:shd w:val="clear" w:color="auto" w:fill="auto"/>
            <w:vAlign w:val="center"/>
            <w:hideMark/>
          </w:tcPr>
          <w:p w14:paraId="46785592"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1177AE77"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183</w:t>
            </w:r>
          </w:p>
        </w:tc>
        <w:tc>
          <w:tcPr>
            <w:tcW w:w="1300" w:type="dxa"/>
            <w:tcBorders>
              <w:top w:val="nil"/>
              <w:left w:val="nil"/>
              <w:bottom w:val="nil"/>
              <w:right w:val="nil"/>
            </w:tcBorders>
            <w:shd w:val="clear" w:color="auto" w:fill="auto"/>
            <w:vAlign w:val="center"/>
            <w:hideMark/>
          </w:tcPr>
          <w:p w14:paraId="376CB857"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060" w:type="dxa"/>
            <w:tcBorders>
              <w:top w:val="nil"/>
              <w:left w:val="nil"/>
              <w:bottom w:val="nil"/>
              <w:right w:val="nil"/>
            </w:tcBorders>
            <w:shd w:val="clear" w:color="auto" w:fill="auto"/>
            <w:vAlign w:val="center"/>
            <w:hideMark/>
          </w:tcPr>
          <w:p w14:paraId="60E8A26B"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183</w:t>
            </w:r>
          </w:p>
        </w:tc>
      </w:tr>
      <w:tr w:rsidR="00F04026" w:rsidRPr="00F04026" w14:paraId="3204BFD9" w14:textId="77777777" w:rsidTr="00F04026">
        <w:trPr>
          <w:trHeight w:val="215"/>
        </w:trPr>
        <w:tc>
          <w:tcPr>
            <w:tcW w:w="3880" w:type="dxa"/>
            <w:tcBorders>
              <w:top w:val="nil"/>
              <w:left w:val="nil"/>
              <w:bottom w:val="nil"/>
              <w:right w:val="nil"/>
            </w:tcBorders>
            <w:shd w:val="clear" w:color="auto" w:fill="auto"/>
            <w:vAlign w:val="center"/>
            <w:hideMark/>
          </w:tcPr>
          <w:p w14:paraId="7322BBE6"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Community amenities</w:t>
            </w:r>
          </w:p>
        </w:tc>
        <w:tc>
          <w:tcPr>
            <w:tcW w:w="1300" w:type="dxa"/>
            <w:tcBorders>
              <w:top w:val="nil"/>
              <w:left w:val="nil"/>
              <w:bottom w:val="nil"/>
              <w:right w:val="nil"/>
            </w:tcBorders>
            <w:shd w:val="clear" w:color="auto" w:fill="auto"/>
            <w:vAlign w:val="center"/>
            <w:hideMark/>
          </w:tcPr>
          <w:p w14:paraId="168F511B"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132737AD"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628FAA88"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525</w:t>
            </w:r>
          </w:p>
        </w:tc>
        <w:tc>
          <w:tcPr>
            <w:tcW w:w="1060" w:type="dxa"/>
            <w:tcBorders>
              <w:top w:val="nil"/>
              <w:left w:val="nil"/>
              <w:bottom w:val="nil"/>
              <w:right w:val="nil"/>
            </w:tcBorders>
            <w:shd w:val="clear" w:color="auto" w:fill="auto"/>
            <w:vAlign w:val="center"/>
            <w:hideMark/>
          </w:tcPr>
          <w:p w14:paraId="3C8E1692"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525</w:t>
            </w:r>
          </w:p>
        </w:tc>
      </w:tr>
      <w:tr w:rsidR="00F04026" w:rsidRPr="00F04026" w14:paraId="68CDBEE0" w14:textId="77777777" w:rsidTr="00F04026">
        <w:trPr>
          <w:trHeight w:val="215"/>
        </w:trPr>
        <w:tc>
          <w:tcPr>
            <w:tcW w:w="3880" w:type="dxa"/>
            <w:tcBorders>
              <w:top w:val="nil"/>
              <w:left w:val="nil"/>
              <w:bottom w:val="nil"/>
              <w:right w:val="nil"/>
            </w:tcBorders>
            <w:shd w:val="clear" w:color="auto" w:fill="auto"/>
            <w:vAlign w:val="center"/>
            <w:hideMark/>
          </w:tcPr>
          <w:p w14:paraId="7B40B561"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Roads</w:t>
            </w:r>
          </w:p>
        </w:tc>
        <w:tc>
          <w:tcPr>
            <w:tcW w:w="1300" w:type="dxa"/>
            <w:tcBorders>
              <w:top w:val="nil"/>
              <w:left w:val="nil"/>
              <w:bottom w:val="nil"/>
              <w:right w:val="nil"/>
            </w:tcBorders>
            <w:shd w:val="clear" w:color="auto" w:fill="auto"/>
            <w:vAlign w:val="center"/>
            <w:hideMark/>
          </w:tcPr>
          <w:p w14:paraId="7C7B4A5D"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20E0C301"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69A5C285"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802</w:t>
            </w:r>
          </w:p>
        </w:tc>
        <w:tc>
          <w:tcPr>
            <w:tcW w:w="1060" w:type="dxa"/>
            <w:tcBorders>
              <w:top w:val="nil"/>
              <w:left w:val="nil"/>
              <w:bottom w:val="nil"/>
              <w:right w:val="nil"/>
            </w:tcBorders>
            <w:shd w:val="clear" w:color="auto" w:fill="auto"/>
            <w:vAlign w:val="center"/>
            <w:hideMark/>
          </w:tcPr>
          <w:p w14:paraId="17245B42"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802</w:t>
            </w:r>
          </w:p>
        </w:tc>
      </w:tr>
      <w:tr w:rsidR="00F04026" w:rsidRPr="00F04026" w14:paraId="25D73BEE" w14:textId="77777777" w:rsidTr="00F04026">
        <w:trPr>
          <w:trHeight w:val="215"/>
        </w:trPr>
        <w:tc>
          <w:tcPr>
            <w:tcW w:w="3880" w:type="dxa"/>
            <w:tcBorders>
              <w:top w:val="nil"/>
              <w:left w:val="nil"/>
              <w:bottom w:val="nil"/>
              <w:right w:val="nil"/>
            </w:tcBorders>
            <w:shd w:val="clear" w:color="auto" w:fill="auto"/>
            <w:vAlign w:val="center"/>
            <w:hideMark/>
          </w:tcPr>
          <w:p w14:paraId="382097A7"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Ports and lighterage (net)</w:t>
            </w:r>
          </w:p>
        </w:tc>
        <w:tc>
          <w:tcPr>
            <w:tcW w:w="1300" w:type="dxa"/>
            <w:tcBorders>
              <w:top w:val="nil"/>
              <w:left w:val="nil"/>
              <w:bottom w:val="nil"/>
              <w:right w:val="nil"/>
            </w:tcBorders>
            <w:shd w:val="clear" w:color="auto" w:fill="auto"/>
            <w:vAlign w:val="center"/>
            <w:hideMark/>
          </w:tcPr>
          <w:p w14:paraId="5566BA4F"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61063DF7"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282</w:t>
            </w:r>
          </w:p>
        </w:tc>
        <w:tc>
          <w:tcPr>
            <w:tcW w:w="1300" w:type="dxa"/>
            <w:tcBorders>
              <w:top w:val="nil"/>
              <w:left w:val="nil"/>
              <w:bottom w:val="nil"/>
              <w:right w:val="nil"/>
            </w:tcBorders>
            <w:shd w:val="clear" w:color="auto" w:fill="auto"/>
            <w:vAlign w:val="center"/>
            <w:hideMark/>
          </w:tcPr>
          <w:p w14:paraId="478421B2"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060" w:type="dxa"/>
            <w:tcBorders>
              <w:top w:val="nil"/>
              <w:left w:val="nil"/>
              <w:bottom w:val="nil"/>
              <w:right w:val="nil"/>
            </w:tcBorders>
            <w:shd w:val="clear" w:color="auto" w:fill="auto"/>
            <w:vAlign w:val="center"/>
            <w:hideMark/>
          </w:tcPr>
          <w:p w14:paraId="330D71E5"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282</w:t>
            </w:r>
          </w:p>
        </w:tc>
      </w:tr>
      <w:tr w:rsidR="00F04026" w:rsidRPr="00F04026" w14:paraId="37BFE8EE" w14:textId="77777777" w:rsidTr="00F04026">
        <w:trPr>
          <w:trHeight w:val="215"/>
        </w:trPr>
        <w:tc>
          <w:tcPr>
            <w:tcW w:w="3880" w:type="dxa"/>
            <w:tcBorders>
              <w:top w:val="nil"/>
              <w:left w:val="nil"/>
              <w:bottom w:val="nil"/>
              <w:right w:val="nil"/>
            </w:tcBorders>
            <w:shd w:val="clear" w:color="auto" w:fill="auto"/>
            <w:vAlign w:val="center"/>
            <w:hideMark/>
          </w:tcPr>
          <w:p w14:paraId="4D22D5DA" w14:textId="2AF3EB9E"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Tourism</w:t>
            </w:r>
            <w:r w:rsidR="006D5436">
              <w:rPr>
                <w:rFonts w:ascii="Calibri" w:eastAsia="Times New Roman" w:hAnsi="Calibri" w:cs="Calibri"/>
                <w:sz w:val="20"/>
                <w:szCs w:val="20"/>
                <w:lang w:eastAsia="en-AU"/>
              </w:rPr>
              <w:t xml:space="preserve"> (d)</w:t>
            </w:r>
          </w:p>
        </w:tc>
        <w:tc>
          <w:tcPr>
            <w:tcW w:w="1300" w:type="dxa"/>
            <w:tcBorders>
              <w:top w:val="nil"/>
              <w:left w:val="nil"/>
              <w:bottom w:val="nil"/>
              <w:right w:val="nil"/>
            </w:tcBorders>
            <w:shd w:val="clear" w:color="auto" w:fill="auto"/>
            <w:vAlign w:val="center"/>
            <w:hideMark/>
          </w:tcPr>
          <w:p w14:paraId="4C72F578"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713FDE4C"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597</w:t>
            </w:r>
          </w:p>
        </w:tc>
        <w:tc>
          <w:tcPr>
            <w:tcW w:w="1300" w:type="dxa"/>
            <w:tcBorders>
              <w:top w:val="nil"/>
              <w:left w:val="nil"/>
              <w:bottom w:val="nil"/>
              <w:right w:val="nil"/>
            </w:tcBorders>
            <w:shd w:val="clear" w:color="auto" w:fill="auto"/>
            <w:vAlign w:val="center"/>
            <w:hideMark/>
          </w:tcPr>
          <w:p w14:paraId="3A40046B"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283</w:t>
            </w:r>
          </w:p>
        </w:tc>
        <w:tc>
          <w:tcPr>
            <w:tcW w:w="1060" w:type="dxa"/>
            <w:tcBorders>
              <w:top w:val="nil"/>
              <w:left w:val="nil"/>
              <w:bottom w:val="nil"/>
              <w:right w:val="nil"/>
            </w:tcBorders>
            <w:shd w:val="clear" w:color="auto" w:fill="auto"/>
            <w:vAlign w:val="center"/>
            <w:hideMark/>
          </w:tcPr>
          <w:p w14:paraId="44F64B9F"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880</w:t>
            </w:r>
          </w:p>
        </w:tc>
      </w:tr>
      <w:tr w:rsidR="00F04026" w:rsidRPr="00F04026" w14:paraId="22DD3B76" w14:textId="77777777" w:rsidTr="00F04026">
        <w:trPr>
          <w:trHeight w:val="215"/>
        </w:trPr>
        <w:tc>
          <w:tcPr>
            <w:tcW w:w="3880" w:type="dxa"/>
            <w:tcBorders>
              <w:top w:val="nil"/>
              <w:left w:val="nil"/>
              <w:bottom w:val="nil"/>
              <w:right w:val="nil"/>
            </w:tcBorders>
            <w:shd w:val="clear" w:color="auto" w:fill="auto"/>
            <w:vAlign w:val="center"/>
            <w:hideMark/>
          </w:tcPr>
          <w:p w14:paraId="5857C7F4"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KAVHA (net)</w:t>
            </w:r>
          </w:p>
        </w:tc>
        <w:tc>
          <w:tcPr>
            <w:tcW w:w="1300" w:type="dxa"/>
            <w:tcBorders>
              <w:top w:val="nil"/>
              <w:left w:val="nil"/>
              <w:bottom w:val="nil"/>
              <w:right w:val="nil"/>
            </w:tcBorders>
            <w:shd w:val="clear" w:color="auto" w:fill="auto"/>
            <w:vAlign w:val="center"/>
            <w:hideMark/>
          </w:tcPr>
          <w:p w14:paraId="3A9EBF25"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610</w:t>
            </w:r>
          </w:p>
        </w:tc>
        <w:tc>
          <w:tcPr>
            <w:tcW w:w="1300" w:type="dxa"/>
            <w:tcBorders>
              <w:top w:val="nil"/>
              <w:left w:val="nil"/>
              <w:bottom w:val="nil"/>
              <w:right w:val="nil"/>
            </w:tcBorders>
            <w:shd w:val="clear" w:color="auto" w:fill="auto"/>
            <w:vAlign w:val="center"/>
            <w:hideMark/>
          </w:tcPr>
          <w:p w14:paraId="7717D0AB"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67AD3557"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060" w:type="dxa"/>
            <w:tcBorders>
              <w:top w:val="nil"/>
              <w:left w:val="nil"/>
              <w:bottom w:val="nil"/>
              <w:right w:val="nil"/>
            </w:tcBorders>
            <w:shd w:val="clear" w:color="auto" w:fill="auto"/>
            <w:vAlign w:val="center"/>
            <w:hideMark/>
          </w:tcPr>
          <w:p w14:paraId="7AE4494E"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610</w:t>
            </w:r>
          </w:p>
        </w:tc>
      </w:tr>
      <w:tr w:rsidR="00F04026" w:rsidRPr="00F04026" w14:paraId="23D334BD" w14:textId="77777777" w:rsidTr="00F04026">
        <w:trPr>
          <w:trHeight w:val="215"/>
        </w:trPr>
        <w:tc>
          <w:tcPr>
            <w:tcW w:w="3880" w:type="dxa"/>
            <w:tcBorders>
              <w:top w:val="nil"/>
              <w:left w:val="nil"/>
              <w:bottom w:val="nil"/>
              <w:right w:val="nil"/>
            </w:tcBorders>
            <w:shd w:val="clear" w:color="auto" w:fill="auto"/>
            <w:vAlign w:val="center"/>
            <w:hideMark/>
          </w:tcPr>
          <w:p w14:paraId="1C3ED6BE"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Other expenses – public safety</w:t>
            </w:r>
          </w:p>
        </w:tc>
        <w:tc>
          <w:tcPr>
            <w:tcW w:w="1300" w:type="dxa"/>
            <w:tcBorders>
              <w:top w:val="nil"/>
              <w:left w:val="nil"/>
              <w:bottom w:val="nil"/>
              <w:right w:val="nil"/>
            </w:tcBorders>
            <w:shd w:val="clear" w:color="auto" w:fill="auto"/>
            <w:vAlign w:val="center"/>
            <w:hideMark/>
          </w:tcPr>
          <w:p w14:paraId="31C0E555"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502AAB18"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658</w:t>
            </w:r>
          </w:p>
        </w:tc>
        <w:tc>
          <w:tcPr>
            <w:tcW w:w="1300" w:type="dxa"/>
            <w:tcBorders>
              <w:top w:val="nil"/>
              <w:left w:val="nil"/>
              <w:bottom w:val="nil"/>
              <w:right w:val="nil"/>
            </w:tcBorders>
            <w:shd w:val="clear" w:color="auto" w:fill="auto"/>
            <w:vAlign w:val="center"/>
            <w:hideMark/>
          </w:tcPr>
          <w:p w14:paraId="0FF2A0EC"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060" w:type="dxa"/>
            <w:tcBorders>
              <w:top w:val="nil"/>
              <w:left w:val="nil"/>
              <w:bottom w:val="nil"/>
              <w:right w:val="nil"/>
            </w:tcBorders>
            <w:shd w:val="clear" w:color="auto" w:fill="auto"/>
            <w:vAlign w:val="center"/>
            <w:hideMark/>
          </w:tcPr>
          <w:p w14:paraId="6A14321B"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658</w:t>
            </w:r>
          </w:p>
        </w:tc>
      </w:tr>
      <w:tr w:rsidR="00F04026" w:rsidRPr="00F04026" w14:paraId="7CCD45BF" w14:textId="77777777" w:rsidTr="00F04026">
        <w:trPr>
          <w:trHeight w:val="215"/>
        </w:trPr>
        <w:tc>
          <w:tcPr>
            <w:tcW w:w="3880" w:type="dxa"/>
            <w:tcBorders>
              <w:top w:val="nil"/>
              <w:left w:val="nil"/>
              <w:bottom w:val="nil"/>
              <w:right w:val="nil"/>
            </w:tcBorders>
            <w:shd w:val="clear" w:color="auto" w:fill="auto"/>
            <w:vAlign w:val="center"/>
            <w:hideMark/>
          </w:tcPr>
          <w:p w14:paraId="789B04F5"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Other expenses — other services</w:t>
            </w:r>
          </w:p>
        </w:tc>
        <w:tc>
          <w:tcPr>
            <w:tcW w:w="1300" w:type="dxa"/>
            <w:tcBorders>
              <w:top w:val="nil"/>
              <w:left w:val="nil"/>
              <w:bottom w:val="nil"/>
              <w:right w:val="nil"/>
            </w:tcBorders>
            <w:shd w:val="clear" w:color="auto" w:fill="auto"/>
            <w:vAlign w:val="center"/>
            <w:hideMark/>
          </w:tcPr>
          <w:p w14:paraId="6E1A2416"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nil"/>
              <w:right w:val="nil"/>
            </w:tcBorders>
            <w:shd w:val="clear" w:color="auto" w:fill="auto"/>
            <w:vAlign w:val="center"/>
            <w:hideMark/>
          </w:tcPr>
          <w:p w14:paraId="7BE74E35"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1 793</w:t>
            </w:r>
          </w:p>
        </w:tc>
        <w:tc>
          <w:tcPr>
            <w:tcW w:w="1300" w:type="dxa"/>
            <w:tcBorders>
              <w:top w:val="nil"/>
              <w:left w:val="nil"/>
              <w:bottom w:val="nil"/>
              <w:right w:val="nil"/>
            </w:tcBorders>
            <w:shd w:val="clear" w:color="auto" w:fill="auto"/>
            <w:vAlign w:val="center"/>
            <w:hideMark/>
          </w:tcPr>
          <w:p w14:paraId="73B04EF2"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911</w:t>
            </w:r>
          </w:p>
        </w:tc>
        <w:tc>
          <w:tcPr>
            <w:tcW w:w="1060" w:type="dxa"/>
            <w:tcBorders>
              <w:top w:val="nil"/>
              <w:left w:val="nil"/>
              <w:bottom w:val="nil"/>
              <w:right w:val="nil"/>
            </w:tcBorders>
            <w:shd w:val="clear" w:color="auto" w:fill="auto"/>
            <w:vAlign w:val="center"/>
            <w:hideMark/>
          </w:tcPr>
          <w:p w14:paraId="4DD19851"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2 705</w:t>
            </w:r>
          </w:p>
        </w:tc>
      </w:tr>
      <w:tr w:rsidR="00F04026" w:rsidRPr="00F04026" w14:paraId="468F4C9B" w14:textId="77777777" w:rsidTr="00D224F5">
        <w:trPr>
          <w:trHeight w:val="215"/>
        </w:trPr>
        <w:tc>
          <w:tcPr>
            <w:tcW w:w="3880" w:type="dxa"/>
            <w:tcBorders>
              <w:top w:val="nil"/>
              <w:left w:val="nil"/>
              <w:bottom w:val="single" w:sz="4" w:space="0" w:color="auto"/>
              <w:right w:val="nil"/>
            </w:tcBorders>
            <w:shd w:val="clear" w:color="auto" w:fill="auto"/>
            <w:vAlign w:val="center"/>
            <w:hideMark/>
          </w:tcPr>
          <w:p w14:paraId="69F9A6EC"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Depreciation — assets other than GBEs’</w:t>
            </w:r>
          </w:p>
        </w:tc>
        <w:tc>
          <w:tcPr>
            <w:tcW w:w="1300" w:type="dxa"/>
            <w:tcBorders>
              <w:top w:val="nil"/>
              <w:left w:val="nil"/>
              <w:bottom w:val="single" w:sz="4" w:space="0" w:color="auto"/>
              <w:right w:val="nil"/>
            </w:tcBorders>
            <w:shd w:val="clear" w:color="auto" w:fill="auto"/>
            <w:vAlign w:val="center"/>
            <w:hideMark/>
          </w:tcPr>
          <w:p w14:paraId="2985935D"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single" w:sz="4" w:space="0" w:color="auto"/>
              <w:right w:val="nil"/>
            </w:tcBorders>
            <w:shd w:val="clear" w:color="auto" w:fill="auto"/>
            <w:vAlign w:val="center"/>
            <w:hideMark/>
          </w:tcPr>
          <w:p w14:paraId="04731248"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0</w:t>
            </w:r>
          </w:p>
        </w:tc>
        <w:tc>
          <w:tcPr>
            <w:tcW w:w="1300" w:type="dxa"/>
            <w:tcBorders>
              <w:top w:val="nil"/>
              <w:left w:val="nil"/>
              <w:bottom w:val="single" w:sz="4" w:space="0" w:color="auto"/>
              <w:right w:val="nil"/>
            </w:tcBorders>
            <w:shd w:val="clear" w:color="auto" w:fill="auto"/>
            <w:vAlign w:val="center"/>
            <w:hideMark/>
          </w:tcPr>
          <w:p w14:paraId="4D91102C"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930</w:t>
            </w:r>
          </w:p>
        </w:tc>
        <w:tc>
          <w:tcPr>
            <w:tcW w:w="1060" w:type="dxa"/>
            <w:tcBorders>
              <w:top w:val="nil"/>
              <w:left w:val="nil"/>
              <w:bottom w:val="single" w:sz="4" w:space="0" w:color="auto"/>
              <w:right w:val="nil"/>
            </w:tcBorders>
            <w:shd w:val="clear" w:color="auto" w:fill="auto"/>
            <w:vAlign w:val="center"/>
            <w:hideMark/>
          </w:tcPr>
          <w:p w14:paraId="512654C8"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930</w:t>
            </w:r>
          </w:p>
        </w:tc>
      </w:tr>
      <w:tr w:rsidR="00F04026" w:rsidRPr="00F04026" w14:paraId="71D292C4" w14:textId="77777777" w:rsidTr="00D224F5">
        <w:trPr>
          <w:trHeight w:val="215"/>
        </w:trPr>
        <w:tc>
          <w:tcPr>
            <w:tcW w:w="3880" w:type="dxa"/>
            <w:tcBorders>
              <w:top w:val="single" w:sz="4" w:space="0" w:color="auto"/>
              <w:left w:val="nil"/>
              <w:bottom w:val="single" w:sz="4" w:space="0" w:color="auto"/>
              <w:right w:val="nil"/>
            </w:tcBorders>
            <w:shd w:val="clear" w:color="auto" w:fill="auto"/>
            <w:vAlign w:val="center"/>
            <w:hideMark/>
          </w:tcPr>
          <w:p w14:paraId="027AA8E2"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Total expenses</w:t>
            </w:r>
          </w:p>
        </w:tc>
        <w:tc>
          <w:tcPr>
            <w:tcW w:w="1300" w:type="dxa"/>
            <w:tcBorders>
              <w:top w:val="single" w:sz="4" w:space="0" w:color="auto"/>
              <w:left w:val="nil"/>
              <w:bottom w:val="single" w:sz="4" w:space="0" w:color="auto"/>
              <w:right w:val="nil"/>
            </w:tcBorders>
            <w:shd w:val="clear" w:color="auto" w:fill="auto"/>
            <w:vAlign w:val="center"/>
            <w:hideMark/>
          </w:tcPr>
          <w:p w14:paraId="36ADA006"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 xml:space="preserve"> 610</w:t>
            </w:r>
          </w:p>
        </w:tc>
        <w:tc>
          <w:tcPr>
            <w:tcW w:w="1300" w:type="dxa"/>
            <w:tcBorders>
              <w:top w:val="single" w:sz="4" w:space="0" w:color="auto"/>
              <w:left w:val="nil"/>
              <w:bottom w:val="single" w:sz="4" w:space="0" w:color="auto"/>
              <w:right w:val="nil"/>
            </w:tcBorders>
            <w:shd w:val="clear" w:color="auto" w:fill="auto"/>
            <w:vAlign w:val="center"/>
            <w:hideMark/>
          </w:tcPr>
          <w:p w14:paraId="3DE0C951"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18 954</w:t>
            </w:r>
          </w:p>
        </w:tc>
        <w:tc>
          <w:tcPr>
            <w:tcW w:w="1300" w:type="dxa"/>
            <w:tcBorders>
              <w:top w:val="single" w:sz="4" w:space="0" w:color="auto"/>
              <w:left w:val="nil"/>
              <w:bottom w:val="single" w:sz="4" w:space="0" w:color="auto"/>
              <w:right w:val="nil"/>
            </w:tcBorders>
            <w:shd w:val="clear" w:color="auto" w:fill="auto"/>
            <w:vAlign w:val="center"/>
            <w:hideMark/>
          </w:tcPr>
          <w:p w14:paraId="73980FAD"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3 980</w:t>
            </w:r>
          </w:p>
        </w:tc>
        <w:tc>
          <w:tcPr>
            <w:tcW w:w="1060" w:type="dxa"/>
            <w:tcBorders>
              <w:top w:val="single" w:sz="4" w:space="0" w:color="auto"/>
              <w:left w:val="nil"/>
              <w:bottom w:val="single" w:sz="4" w:space="0" w:color="auto"/>
              <w:right w:val="nil"/>
            </w:tcBorders>
            <w:shd w:val="clear" w:color="auto" w:fill="auto"/>
            <w:vAlign w:val="center"/>
            <w:hideMark/>
          </w:tcPr>
          <w:p w14:paraId="2B9E453A"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23 545</w:t>
            </w:r>
          </w:p>
        </w:tc>
      </w:tr>
      <w:tr w:rsidR="00F04026" w:rsidRPr="00F04026" w14:paraId="6C3DDF19" w14:textId="77777777" w:rsidTr="00D224F5">
        <w:trPr>
          <w:trHeight w:val="215"/>
        </w:trPr>
        <w:tc>
          <w:tcPr>
            <w:tcW w:w="3880" w:type="dxa"/>
            <w:tcBorders>
              <w:top w:val="single" w:sz="4" w:space="0" w:color="auto"/>
              <w:left w:val="nil"/>
              <w:bottom w:val="single" w:sz="4" w:space="0" w:color="auto"/>
              <w:right w:val="nil"/>
            </w:tcBorders>
            <w:shd w:val="clear" w:color="auto" w:fill="auto"/>
            <w:vAlign w:val="center"/>
            <w:hideMark/>
          </w:tcPr>
          <w:p w14:paraId="36555B18" w14:textId="77777777" w:rsidR="00F04026" w:rsidRPr="00F04026" w:rsidRDefault="00F04026" w:rsidP="00F04026">
            <w:pPr>
              <w:tabs>
                <w:tab w:val="clear" w:pos="567"/>
              </w:tabs>
              <w:spacing w:after="0" w:line="240" w:lineRule="auto"/>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Net expenses(+)/Net income(-)</w:t>
            </w:r>
          </w:p>
        </w:tc>
        <w:tc>
          <w:tcPr>
            <w:tcW w:w="1300" w:type="dxa"/>
            <w:tcBorders>
              <w:top w:val="single" w:sz="4" w:space="0" w:color="auto"/>
              <w:left w:val="nil"/>
              <w:bottom w:val="single" w:sz="4" w:space="0" w:color="auto"/>
              <w:right w:val="nil"/>
            </w:tcBorders>
            <w:shd w:val="clear" w:color="auto" w:fill="auto"/>
            <w:vAlign w:val="center"/>
            <w:hideMark/>
          </w:tcPr>
          <w:p w14:paraId="03948529"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423</w:t>
            </w:r>
          </w:p>
        </w:tc>
        <w:tc>
          <w:tcPr>
            <w:tcW w:w="1300" w:type="dxa"/>
            <w:tcBorders>
              <w:top w:val="single" w:sz="4" w:space="0" w:color="auto"/>
              <w:left w:val="nil"/>
              <w:bottom w:val="single" w:sz="4" w:space="0" w:color="auto"/>
              <w:right w:val="nil"/>
            </w:tcBorders>
            <w:shd w:val="clear" w:color="auto" w:fill="auto"/>
            <w:vAlign w:val="center"/>
            <w:hideMark/>
          </w:tcPr>
          <w:p w14:paraId="73C51669"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477</w:t>
            </w:r>
          </w:p>
        </w:tc>
        <w:tc>
          <w:tcPr>
            <w:tcW w:w="1300" w:type="dxa"/>
            <w:tcBorders>
              <w:top w:val="single" w:sz="4" w:space="0" w:color="auto"/>
              <w:left w:val="nil"/>
              <w:bottom w:val="single" w:sz="4" w:space="0" w:color="auto"/>
              <w:right w:val="nil"/>
            </w:tcBorders>
            <w:shd w:val="clear" w:color="auto" w:fill="auto"/>
            <w:vAlign w:val="center"/>
            <w:hideMark/>
          </w:tcPr>
          <w:p w14:paraId="6AF9B3E7"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-901</w:t>
            </w:r>
          </w:p>
        </w:tc>
        <w:tc>
          <w:tcPr>
            <w:tcW w:w="1060" w:type="dxa"/>
            <w:tcBorders>
              <w:top w:val="single" w:sz="4" w:space="0" w:color="auto"/>
              <w:left w:val="nil"/>
              <w:bottom w:val="single" w:sz="4" w:space="0" w:color="auto"/>
              <w:right w:val="nil"/>
            </w:tcBorders>
            <w:shd w:val="clear" w:color="auto" w:fill="auto"/>
            <w:vAlign w:val="center"/>
            <w:hideMark/>
          </w:tcPr>
          <w:p w14:paraId="08778534" w14:textId="77777777" w:rsidR="00F04026" w:rsidRPr="00F04026" w:rsidRDefault="00F04026" w:rsidP="00F04026">
            <w:pPr>
              <w:tabs>
                <w:tab w:val="clear" w:pos="567"/>
              </w:tabs>
              <w:spacing w:after="0" w:line="240" w:lineRule="auto"/>
              <w:jc w:val="right"/>
              <w:rPr>
                <w:rFonts w:ascii="Calibri" w:eastAsia="Times New Roman" w:hAnsi="Calibri" w:cs="Calibri"/>
                <w:sz w:val="20"/>
                <w:szCs w:val="20"/>
                <w:lang w:eastAsia="en-AU"/>
              </w:rPr>
            </w:pPr>
            <w:r w:rsidRPr="00F04026">
              <w:rPr>
                <w:rFonts w:ascii="Calibri" w:eastAsia="Times New Roman" w:hAnsi="Calibri" w:cs="Calibri"/>
                <w:sz w:val="20"/>
                <w:szCs w:val="20"/>
                <w:lang w:eastAsia="en-AU"/>
              </w:rPr>
              <w:t>0</w:t>
            </w:r>
          </w:p>
        </w:tc>
      </w:tr>
    </w:tbl>
    <w:p w14:paraId="1CA4BFAA" w14:textId="77777777" w:rsidR="00C35EB3" w:rsidRPr="00F04026" w:rsidRDefault="00C35EB3" w:rsidP="00C35EB3">
      <w:pPr>
        <w:pStyle w:val="CGCTableFootnote"/>
        <w:spacing w:line="200" w:lineRule="atLeast"/>
        <w:rPr>
          <w:sz w:val="18"/>
          <w:szCs w:val="18"/>
        </w:rPr>
      </w:pPr>
      <w:r>
        <w:t>(a)</w:t>
      </w:r>
      <w:r>
        <w:tab/>
      </w:r>
      <w:r w:rsidRPr="00F04026">
        <w:rPr>
          <w:sz w:val="18"/>
          <w:szCs w:val="18"/>
        </w:rPr>
        <w:t xml:space="preserve">Under the agreement between </w:t>
      </w:r>
      <w:r w:rsidR="008F4885" w:rsidRPr="00F04026">
        <w:rPr>
          <w:sz w:val="18"/>
          <w:szCs w:val="18"/>
        </w:rPr>
        <w:t>the Department</w:t>
      </w:r>
      <w:r w:rsidRPr="00F04026">
        <w:rPr>
          <w:sz w:val="18"/>
          <w:szCs w:val="18"/>
        </w:rPr>
        <w:t xml:space="preserve"> and NIRC, NIRC imposes some State-type taxes, fees and charges and retains the revenues. The amount shown is the net amount NIRC receives for services delivered after those retained revenues are deducted from gross costs.</w:t>
      </w:r>
    </w:p>
    <w:p w14:paraId="7759A0B7" w14:textId="77777777" w:rsidR="00C35EB3" w:rsidRPr="00F04026" w:rsidRDefault="00C35EB3" w:rsidP="00C35EB3">
      <w:pPr>
        <w:pStyle w:val="CGCTableFootnote"/>
        <w:spacing w:line="200" w:lineRule="atLeast"/>
        <w:rPr>
          <w:sz w:val="18"/>
          <w:szCs w:val="18"/>
        </w:rPr>
      </w:pPr>
      <w:r w:rsidRPr="00F04026">
        <w:rPr>
          <w:sz w:val="18"/>
          <w:szCs w:val="18"/>
        </w:rPr>
        <w:t>(b)</w:t>
      </w:r>
      <w:r w:rsidRPr="00F04026">
        <w:rPr>
          <w:sz w:val="18"/>
          <w:szCs w:val="18"/>
        </w:rPr>
        <w:tab/>
        <w:t>This is equivalent to the Commonwealth fuel excise imposed by NIRC which retains the revenue.</w:t>
      </w:r>
    </w:p>
    <w:p w14:paraId="44778304" w14:textId="77777777" w:rsidR="00C35EB3" w:rsidRPr="00F04026" w:rsidRDefault="00C35EB3" w:rsidP="00C35EB3">
      <w:pPr>
        <w:pStyle w:val="CGCTableFootnote"/>
        <w:spacing w:line="200" w:lineRule="atLeast"/>
        <w:rPr>
          <w:sz w:val="18"/>
          <w:szCs w:val="18"/>
        </w:rPr>
      </w:pPr>
      <w:r w:rsidRPr="00F04026">
        <w:rPr>
          <w:sz w:val="18"/>
          <w:szCs w:val="18"/>
        </w:rPr>
        <w:t>(c)</w:t>
      </w:r>
      <w:r w:rsidRPr="00F04026">
        <w:rPr>
          <w:sz w:val="18"/>
          <w:szCs w:val="18"/>
        </w:rPr>
        <w:tab/>
        <w:t xml:space="preserve">The allocation of health and welfare expenses in the assessed budget is different to the allocation in this table. This is to reflect service delivery arrangements on the island where the Norfolk Island Health and Residential Aged Care Services provides general welfare services. </w:t>
      </w:r>
    </w:p>
    <w:p w14:paraId="37EA1814" w14:textId="77777777" w:rsidR="00C35EB3" w:rsidRPr="00F04026" w:rsidRDefault="00C35EB3" w:rsidP="00C35EB3">
      <w:pPr>
        <w:pStyle w:val="CGCTableFootnote"/>
        <w:spacing w:line="200" w:lineRule="atLeast"/>
        <w:rPr>
          <w:sz w:val="18"/>
          <w:szCs w:val="18"/>
        </w:rPr>
      </w:pPr>
      <w:r w:rsidRPr="00F04026">
        <w:rPr>
          <w:sz w:val="18"/>
          <w:szCs w:val="18"/>
        </w:rPr>
        <w:t>(d)</w:t>
      </w:r>
      <w:r w:rsidRPr="00F04026">
        <w:rPr>
          <w:sz w:val="18"/>
          <w:szCs w:val="18"/>
        </w:rPr>
        <w:tab/>
        <w:t>Tourism spending is split between State and local government type of services using the actual shares of State and local tourism expenses.</w:t>
      </w:r>
    </w:p>
    <w:p w14:paraId="2AAA9920" w14:textId="77777777" w:rsidR="00C35EB3" w:rsidRDefault="00C35EB3" w:rsidP="00C35EB3">
      <w:pPr>
        <w:pStyle w:val="CGCTableFootnote"/>
        <w:spacing w:line="200" w:lineRule="atLeast"/>
      </w:pPr>
      <w:r w:rsidRPr="00F04026">
        <w:rPr>
          <w:sz w:val="18"/>
          <w:szCs w:val="18"/>
        </w:rPr>
        <w:t>Source:</w:t>
      </w:r>
      <w:r w:rsidRPr="00F04026">
        <w:rPr>
          <w:sz w:val="18"/>
          <w:szCs w:val="18"/>
        </w:rPr>
        <w:tab/>
      </w:r>
      <w:r w:rsidRPr="00F04026">
        <w:rPr>
          <w:i/>
          <w:sz w:val="18"/>
          <w:szCs w:val="18"/>
        </w:rPr>
        <w:t>NIRC annual report for 2017-18</w:t>
      </w:r>
      <w:r w:rsidRPr="00F04026">
        <w:rPr>
          <w:sz w:val="18"/>
          <w:szCs w:val="18"/>
        </w:rPr>
        <w:t xml:space="preserve"> and information provided by the </w:t>
      </w:r>
      <w:r w:rsidR="008F4885" w:rsidRPr="00F04026">
        <w:rPr>
          <w:sz w:val="18"/>
          <w:szCs w:val="18"/>
        </w:rPr>
        <w:t>Department</w:t>
      </w:r>
      <w:r w:rsidRPr="00F04026">
        <w:rPr>
          <w:sz w:val="18"/>
          <w:szCs w:val="18"/>
        </w:rPr>
        <w:t xml:space="preserve"> and NIRC.</w:t>
      </w:r>
      <w:r>
        <w:br w:type="page"/>
      </w:r>
    </w:p>
    <w:p w14:paraId="6DC11CA4" w14:textId="77777777" w:rsidR="006D1DA2" w:rsidRDefault="00967F53" w:rsidP="0058218B">
      <w:pPr>
        <w:pStyle w:val="Heading2"/>
      </w:pPr>
      <w:bookmarkStart w:id="421" w:name="_Toc19262939"/>
      <w:bookmarkStart w:id="422" w:name="_Toc23847484"/>
      <w:r>
        <w:lastRenderedPageBreak/>
        <w:t>Attachment C</w:t>
      </w:r>
      <w:r w:rsidR="006D1DA2">
        <w:t>: State taxes and charges</w:t>
      </w:r>
      <w:bookmarkEnd w:id="421"/>
      <w:bookmarkEnd w:id="422"/>
    </w:p>
    <w:p w14:paraId="2474AC60" w14:textId="77777777" w:rsidR="00967F53" w:rsidRDefault="00967F53" w:rsidP="00967F53">
      <w:pPr>
        <w:pStyle w:val="Heading3"/>
      </w:pPr>
      <w:bookmarkStart w:id="423" w:name="_Toc17380486"/>
      <w:bookmarkStart w:id="424" w:name="_Toc19262940"/>
      <w:bookmarkStart w:id="425" w:name="_Toc23847485"/>
      <w:r>
        <w:t>Introduction</w:t>
      </w:r>
      <w:bookmarkEnd w:id="423"/>
      <w:bookmarkEnd w:id="424"/>
      <w:bookmarkEnd w:id="425"/>
    </w:p>
    <w:p w14:paraId="2B05AED3" w14:textId="77777777" w:rsidR="00967F53" w:rsidRDefault="00967F53" w:rsidP="00946E70">
      <w:pPr>
        <w:pStyle w:val="CGCNumberedPara"/>
      </w:pPr>
      <w:r>
        <w:t>T</w:t>
      </w:r>
      <w:r w:rsidR="00F547A5">
        <w:t xml:space="preserve">he </w:t>
      </w:r>
      <w:r w:rsidR="00D974B2">
        <w:t>T</w:t>
      </w:r>
      <w:r w:rsidR="00F547A5">
        <w:t xml:space="preserve">erms of </w:t>
      </w:r>
      <w:r w:rsidR="00D974B2">
        <w:t>R</w:t>
      </w:r>
      <w:r w:rsidR="00F547A5" w:rsidRPr="00946E70">
        <w:t>eference</w:t>
      </w:r>
      <w:r w:rsidR="00F547A5">
        <w:t xml:space="preserve"> for this i</w:t>
      </w:r>
      <w:r>
        <w:t xml:space="preserve">nquiry ask us to: </w:t>
      </w:r>
    </w:p>
    <w:p w14:paraId="1410A73A" w14:textId="77777777" w:rsidR="00967F53" w:rsidRDefault="00967F53" w:rsidP="00967F53">
      <w:pPr>
        <w:pStyle w:val="CGCQuotation"/>
      </w:pPr>
      <w:r>
        <w:t xml:space="preserve">(3)      Determine the capacity of Norfolk Island to raise revenue from a comparable range </w:t>
      </w:r>
      <w:r w:rsidR="00C8615A">
        <w:t>of taxes and charges levied by S</w:t>
      </w:r>
      <w:r>
        <w:t xml:space="preserve">tate and local governments. </w:t>
      </w:r>
    </w:p>
    <w:p w14:paraId="5DEC15FD" w14:textId="77777777" w:rsidR="00967F53" w:rsidRDefault="00967F53" w:rsidP="00946E70">
      <w:pPr>
        <w:pStyle w:val="CGCNumberedPara"/>
      </w:pPr>
      <w:r>
        <w:t xml:space="preserve">The </w:t>
      </w:r>
      <w:r w:rsidR="00D974B2">
        <w:t>T</w:t>
      </w:r>
      <w:r>
        <w:t xml:space="preserve">erms of </w:t>
      </w:r>
      <w:r w:rsidR="00D974B2">
        <w:t>R</w:t>
      </w:r>
      <w:r>
        <w:t xml:space="preserve">eference also say that capacity should be based on the assumption that ‘Norfolk Island makes the average Australian revenue raising effort from its state and local government equivalent revenue bases’. </w:t>
      </w:r>
    </w:p>
    <w:p w14:paraId="45147469" w14:textId="77777777" w:rsidR="00967F53" w:rsidRDefault="00967F53" w:rsidP="00967F53">
      <w:pPr>
        <w:pStyle w:val="Heading3"/>
      </w:pPr>
      <w:bookmarkStart w:id="426" w:name="_Toc307910438"/>
      <w:bookmarkStart w:id="427" w:name="_Toc307909513"/>
      <w:bookmarkStart w:id="428" w:name="_Toc307845565"/>
      <w:bookmarkStart w:id="429" w:name="_Toc307837319"/>
      <w:bookmarkStart w:id="430" w:name="_Toc307568897"/>
      <w:bookmarkStart w:id="431" w:name="_Toc307568780"/>
      <w:bookmarkStart w:id="432" w:name="_Toc146707793"/>
      <w:bookmarkStart w:id="433" w:name="_Toc146088958"/>
      <w:bookmarkStart w:id="434" w:name="_Toc140635619"/>
      <w:bookmarkStart w:id="435" w:name="_Toc140485216"/>
      <w:bookmarkStart w:id="436" w:name="_Toc17380487"/>
      <w:bookmarkStart w:id="437" w:name="_Toc19262941"/>
      <w:bookmarkStart w:id="438" w:name="_Toc23847486"/>
      <w:r>
        <w:t>Method</w:t>
      </w:r>
      <w:bookmarkEnd w:id="426"/>
      <w:bookmarkEnd w:id="427"/>
      <w:bookmarkEnd w:id="428"/>
      <w:bookmarkEnd w:id="429"/>
      <w:bookmarkEnd w:id="430"/>
      <w:bookmarkEnd w:id="431"/>
      <w:bookmarkEnd w:id="432"/>
      <w:bookmarkEnd w:id="433"/>
      <w:bookmarkEnd w:id="434"/>
      <w:bookmarkEnd w:id="435"/>
      <w:bookmarkEnd w:id="436"/>
      <w:bookmarkEnd w:id="437"/>
      <w:bookmarkEnd w:id="438"/>
    </w:p>
    <w:p w14:paraId="3CC2B065" w14:textId="77777777" w:rsidR="00967F53" w:rsidRDefault="00967F53" w:rsidP="00946E70">
      <w:pPr>
        <w:pStyle w:val="CGCNumberedPara"/>
      </w:pPr>
      <w:r>
        <w:t xml:space="preserve">As in Commission inquiries into the financial capacities of the States and previous Norfolk Island inquiries, we have satisfied the </w:t>
      </w:r>
      <w:r w:rsidR="00D974B2">
        <w:t>T</w:t>
      </w:r>
      <w:r>
        <w:t xml:space="preserve">erms of </w:t>
      </w:r>
      <w:r w:rsidR="00D974B2">
        <w:t>R</w:t>
      </w:r>
      <w:r>
        <w:t xml:space="preserve">eference by estimating the </w:t>
      </w:r>
      <w:r w:rsidRPr="00946E70">
        <w:t>overall</w:t>
      </w:r>
      <w:r>
        <w:t xml:space="preserve"> capacity of Norfolk Island to raise revenue from State and local government</w:t>
      </w:r>
      <w:r>
        <w:noBreakHyphen/>
        <w:t>type taxes and charges using a tax by tax approach.</w:t>
      </w:r>
    </w:p>
    <w:p w14:paraId="13F5DAC7" w14:textId="77777777" w:rsidR="00967F53" w:rsidRPr="00C47D6D" w:rsidRDefault="00967F53" w:rsidP="00C47D6D">
      <w:pPr>
        <w:pStyle w:val="CGCBulletlist"/>
        <w:numPr>
          <w:ilvl w:val="0"/>
          <w:numId w:val="15"/>
        </w:numPr>
      </w:pPr>
      <w:r>
        <w:t xml:space="preserve">We estimated Norfolk Island’s capacity to raise revenue from each tax by applying </w:t>
      </w:r>
      <w:r w:rsidRPr="00C47D6D">
        <w:t xml:space="preserve">the average tax rates and exemptions of the States and local governments to the potential revenue bases on Norfolk Island. Details of the calculations for State-type taxes are in this attachment and those for local government-type taxes are in Attachment </w:t>
      </w:r>
      <w:r w:rsidR="00CD3307" w:rsidRPr="00C47D6D">
        <w:t>D</w:t>
      </w:r>
      <w:r w:rsidRPr="00C47D6D">
        <w:t>.</w:t>
      </w:r>
    </w:p>
    <w:p w14:paraId="59D6ADBA" w14:textId="77777777" w:rsidR="00967F53" w:rsidRPr="00C47D6D" w:rsidRDefault="00967F53" w:rsidP="00C47D6D">
      <w:pPr>
        <w:pStyle w:val="CGCBulletlist"/>
      </w:pPr>
      <w:r w:rsidRPr="00C47D6D">
        <w:t xml:space="preserve">Where appropriate, the Norfolk Island tax bases were adjusted to take account of the </w:t>
      </w:r>
      <w:r w:rsidR="008056F0">
        <w:t>unique circumstances</w:t>
      </w:r>
      <w:r w:rsidRPr="00C47D6D">
        <w:t xml:space="preserve"> of the Island or to better align estimates with what could be raised in comparable communities in the States and Territories.</w:t>
      </w:r>
    </w:p>
    <w:p w14:paraId="1BD3A392" w14:textId="77777777" w:rsidR="00967F53" w:rsidRDefault="00967F53" w:rsidP="00C47D6D">
      <w:pPr>
        <w:pStyle w:val="CGCBulletlist"/>
      </w:pPr>
      <w:r w:rsidRPr="00C47D6D">
        <w:t>The assessed revenue</w:t>
      </w:r>
      <w:r>
        <w:t xml:space="preserve"> for each tax was then summed to estimate overall assessed revenue.</w:t>
      </w:r>
    </w:p>
    <w:p w14:paraId="2136DA34" w14:textId="77777777" w:rsidR="00967F53" w:rsidRPr="00946E70" w:rsidRDefault="00967F53" w:rsidP="00946E70">
      <w:pPr>
        <w:pStyle w:val="CGCNumberedPara"/>
      </w:pPr>
      <w:r>
        <w:t xml:space="preserve">This approach gives an estimate of what Norfolk Island could raise if the </w:t>
      </w:r>
      <w:r w:rsidRPr="00946E70">
        <w:t>average tax policies of the States were applied to its potential revenue bases. It recognises all communities within a State face the same tax regimes but the per capita amounts raised may differ from community to community because their circumstances and potential revenue bases differ.</w:t>
      </w:r>
    </w:p>
    <w:p w14:paraId="505DBF47" w14:textId="77777777" w:rsidR="00967F53" w:rsidRPr="00946E70" w:rsidRDefault="00967F53" w:rsidP="00946E70">
      <w:pPr>
        <w:pStyle w:val="CGCNumberedPara"/>
      </w:pPr>
      <w:r w:rsidRPr="00946E70">
        <w:t xml:space="preserve">Our estimates of Norfolk Island’s capacity to raise revenue from each tax have, as far as possible, been based on data and information on the size of the potential revenue bases on the Island in 2017-18. We have not made adjustments for any possible effects on those revenue bases which might stem from the introduction of State-type taxes. For example, 2017-18 land values were used to estimate the capacity to raise </w:t>
      </w:r>
      <w:r w:rsidRPr="00946E70">
        <w:lastRenderedPageBreak/>
        <w:t>revenue from land tax. If a land tax were to be imposed, it may affect land values and consequently the amount of revenue raised.</w:t>
      </w:r>
    </w:p>
    <w:p w14:paraId="377FDE16" w14:textId="77777777" w:rsidR="00967F53" w:rsidRDefault="00967F53" w:rsidP="00946E70">
      <w:pPr>
        <w:pStyle w:val="CGCNumberedPara"/>
      </w:pPr>
      <w:r w:rsidRPr="00946E70">
        <w:t>Table C-1 provides a summary of our estimates of the State-type revenues that could have been raised on Norfolk Island in 2017-18, if the average revenue raising policies of the States had been applied. The table also shows the State average revenue per capita</w:t>
      </w:r>
      <w:r>
        <w:t xml:space="preserve"> and, where possible, the actual revenues raised on Norfolk Island in 2017-18. </w:t>
      </w:r>
    </w:p>
    <w:p w14:paraId="3F77BCEC" w14:textId="77777777" w:rsidR="00967F53" w:rsidRDefault="00967F53" w:rsidP="00967F53">
      <w:pPr>
        <w:pStyle w:val="CGCTableHeading"/>
      </w:pPr>
      <w:r>
        <w:t>Table C-</w:t>
      </w:r>
      <w:r w:rsidR="005F53C3">
        <w:t>1</w:t>
      </w:r>
      <w:r>
        <w:tab/>
        <w:t>State-type revenue, 2017-18 – summary</w:t>
      </w:r>
    </w:p>
    <w:tbl>
      <w:tblPr>
        <w:tblW w:w="8960" w:type="dxa"/>
        <w:tblLook w:val="04A0" w:firstRow="1" w:lastRow="0" w:firstColumn="1" w:lastColumn="0" w:noHBand="0" w:noVBand="1"/>
      </w:tblPr>
      <w:tblGrid>
        <w:gridCol w:w="2860"/>
        <w:gridCol w:w="1220"/>
        <w:gridCol w:w="1220"/>
        <w:gridCol w:w="1220"/>
        <w:gridCol w:w="1220"/>
        <w:gridCol w:w="1220"/>
      </w:tblGrid>
      <w:tr w:rsidR="00967F53" w14:paraId="4DC8E698" w14:textId="77777777" w:rsidTr="00967F53">
        <w:trPr>
          <w:trHeight w:val="315"/>
        </w:trPr>
        <w:tc>
          <w:tcPr>
            <w:tcW w:w="2860" w:type="dxa"/>
            <w:tcBorders>
              <w:top w:val="single" w:sz="4" w:space="0" w:color="auto"/>
              <w:left w:val="nil"/>
              <w:bottom w:val="single" w:sz="4" w:space="0" w:color="auto"/>
              <w:right w:val="nil"/>
            </w:tcBorders>
            <w:vAlign w:val="center"/>
            <w:hideMark/>
          </w:tcPr>
          <w:p w14:paraId="6F9775C9" w14:textId="77777777" w:rsidR="00967F53" w:rsidRDefault="00967F53">
            <w:pPr>
              <w:spacing w:after="0" w:line="240" w:lineRule="auto"/>
              <w:ind w:firstLineChars="300" w:firstLine="600"/>
              <w:rPr>
                <w:rFonts w:ascii="Calibri" w:eastAsia="Times New Roman" w:hAnsi="Calibri" w:cs="Calibri"/>
                <w:sz w:val="20"/>
                <w:szCs w:val="20"/>
                <w:lang w:eastAsia="en-AU"/>
              </w:rPr>
            </w:pPr>
            <w:r>
              <w:rPr>
                <w:rFonts w:ascii="Calibri" w:eastAsia="Times New Roman" w:hAnsi="Calibri" w:cs="Calibri"/>
                <w:sz w:val="20"/>
                <w:szCs w:val="20"/>
                <w:lang w:eastAsia="en-AU"/>
              </w:rPr>
              <w:t> </w:t>
            </w:r>
          </w:p>
        </w:tc>
        <w:tc>
          <w:tcPr>
            <w:tcW w:w="1220" w:type="dxa"/>
            <w:tcBorders>
              <w:top w:val="single" w:sz="4" w:space="0" w:color="auto"/>
              <w:left w:val="nil"/>
              <w:bottom w:val="single" w:sz="4" w:space="0" w:color="auto"/>
              <w:right w:val="nil"/>
            </w:tcBorders>
            <w:vAlign w:val="center"/>
            <w:hideMark/>
          </w:tcPr>
          <w:p w14:paraId="208E87DF" w14:textId="77777777" w:rsidR="00967F53" w:rsidRDefault="00967F53">
            <w:pPr>
              <w:spacing w:after="0" w:line="240" w:lineRule="auto"/>
              <w:ind w:firstLineChars="300" w:firstLine="600"/>
              <w:jc w:val="right"/>
              <w:rPr>
                <w:rFonts w:ascii="Calibri" w:eastAsia="Times New Roman" w:hAnsi="Calibri" w:cs="Calibri"/>
                <w:sz w:val="20"/>
                <w:szCs w:val="20"/>
                <w:lang w:eastAsia="en-AU"/>
              </w:rPr>
            </w:pPr>
            <w:r>
              <w:rPr>
                <w:rFonts w:ascii="Calibri" w:eastAsia="Times New Roman" w:hAnsi="Calibri" w:cs="Calibri"/>
                <w:sz w:val="20"/>
                <w:szCs w:val="20"/>
                <w:lang w:eastAsia="en-AU"/>
              </w:rPr>
              <w:t> </w:t>
            </w:r>
          </w:p>
        </w:tc>
        <w:tc>
          <w:tcPr>
            <w:tcW w:w="3660" w:type="dxa"/>
            <w:gridSpan w:val="3"/>
            <w:tcBorders>
              <w:top w:val="single" w:sz="4" w:space="0" w:color="auto"/>
              <w:left w:val="nil"/>
              <w:bottom w:val="single" w:sz="4" w:space="0" w:color="auto"/>
              <w:right w:val="nil"/>
            </w:tcBorders>
            <w:vAlign w:val="center"/>
            <w:hideMark/>
          </w:tcPr>
          <w:p w14:paraId="16FF4690" w14:textId="77777777" w:rsidR="00967F53" w:rsidRDefault="00967F53">
            <w:pPr>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Norfolk Island</w:t>
            </w:r>
          </w:p>
        </w:tc>
        <w:tc>
          <w:tcPr>
            <w:tcW w:w="1220" w:type="dxa"/>
            <w:tcBorders>
              <w:top w:val="single" w:sz="4" w:space="0" w:color="auto"/>
              <w:left w:val="nil"/>
              <w:bottom w:val="single" w:sz="4" w:space="0" w:color="auto"/>
              <w:right w:val="nil"/>
            </w:tcBorders>
            <w:vAlign w:val="center"/>
            <w:hideMark/>
          </w:tcPr>
          <w:p w14:paraId="5A42BFE7" w14:textId="77777777" w:rsidR="00967F53" w:rsidRDefault="00967F53">
            <w:pPr>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 </w:t>
            </w:r>
          </w:p>
        </w:tc>
      </w:tr>
      <w:tr w:rsidR="00967F53" w14:paraId="7D98B72B" w14:textId="77777777" w:rsidTr="00967F53">
        <w:trPr>
          <w:trHeight w:val="555"/>
        </w:trPr>
        <w:tc>
          <w:tcPr>
            <w:tcW w:w="2860" w:type="dxa"/>
            <w:tcBorders>
              <w:top w:val="nil"/>
              <w:left w:val="nil"/>
              <w:bottom w:val="single" w:sz="4" w:space="0" w:color="auto"/>
              <w:right w:val="nil"/>
            </w:tcBorders>
            <w:vAlign w:val="center"/>
            <w:hideMark/>
          </w:tcPr>
          <w:p w14:paraId="2F4341B7" w14:textId="77777777" w:rsidR="00967F53" w:rsidRDefault="00967F53">
            <w:pPr>
              <w:spacing w:after="0" w:line="240" w:lineRule="auto"/>
              <w:ind w:firstLineChars="300" w:firstLine="600"/>
              <w:rPr>
                <w:rFonts w:ascii="Calibri" w:eastAsia="Times New Roman" w:hAnsi="Calibri" w:cs="Calibri"/>
                <w:sz w:val="20"/>
                <w:szCs w:val="20"/>
                <w:lang w:eastAsia="en-AU"/>
              </w:rPr>
            </w:pPr>
            <w:r>
              <w:rPr>
                <w:rFonts w:ascii="Calibri" w:eastAsia="Times New Roman" w:hAnsi="Calibri" w:cs="Calibri"/>
                <w:sz w:val="20"/>
                <w:szCs w:val="20"/>
                <w:lang w:eastAsia="en-AU"/>
              </w:rPr>
              <w:t> </w:t>
            </w:r>
          </w:p>
        </w:tc>
        <w:tc>
          <w:tcPr>
            <w:tcW w:w="1220" w:type="dxa"/>
            <w:tcBorders>
              <w:top w:val="nil"/>
              <w:left w:val="nil"/>
              <w:bottom w:val="single" w:sz="4" w:space="0" w:color="auto"/>
              <w:right w:val="single" w:sz="4" w:space="0" w:color="auto"/>
            </w:tcBorders>
            <w:noWrap/>
            <w:vAlign w:val="center"/>
            <w:hideMark/>
          </w:tcPr>
          <w:p w14:paraId="423CE3EB"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State average</w:t>
            </w:r>
          </w:p>
        </w:tc>
        <w:tc>
          <w:tcPr>
            <w:tcW w:w="1220" w:type="dxa"/>
            <w:tcBorders>
              <w:top w:val="nil"/>
              <w:left w:val="nil"/>
              <w:bottom w:val="single" w:sz="4" w:space="0" w:color="auto"/>
              <w:right w:val="nil"/>
            </w:tcBorders>
            <w:noWrap/>
            <w:vAlign w:val="center"/>
            <w:hideMark/>
          </w:tcPr>
          <w:p w14:paraId="3500916D"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Assessed</w:t>
            </w:r>
          </w:p>
        </w:tc>
        <w:tc>
          <w:tcPr>
            <w:tcW w:w="1220" w:type="dxa"/>
            <w:tcBorders>
              <w:top w:val="nil"/>
              <w:left w:val="nil"/>
              <w:bottom w:val="single" w:sz="4" w:space="0" w:color="auto"/>
              <w:right w:val="single" w:sz="4" w:space="0" w:color="auto"/>
            </w:tcBorders>
            <w:noWrap/>
            <w:vAlign w:val="center"/>
            <w:hideMark/>
          </w:tcPr>
          <w:p w14:paraId="71D7E161"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Assessed</w:t>
            </w:r>
          </w:p>
        </w:tc>
        <w:tc>
          <w:tcPr>
            <w:tcW w:w="1220" w:type="dxa"/>
            <w:tcBorders>
              <w:top w:val="nil"/>
              <w:left w:val="nil"/>
              <w:bottom w:val="single" w:sz="4" w:space="0" w:color="auto"/>
              <w:right w:val="nil"/>
            </w:tcBorders>
            <w:noWrap/>
            <w:vAlign w:val="center"/>
            <w:hideMark/>
          </w:tcPr>
          <w:p w14:paraId="01EE3DD4"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Actual</w:t>
            </w:r>
          </w:p>
        </w:tc>
        <w:tc>
          <w:tcPr>
            <w:tcW w:w="1220" w:type="dxa"/>
            <w:tcBorders>
              <w:top w:val="nil"/>
              <w:left w:val="nil"/>
              <w:bottom w:val="single" w:sz="4" w:space="0" w:color="auto"/>
              <w:right w:val="nil"/>
            </w:tcBorders>
            <w:noWrap/>
            <w:vAlign w:val="center"/>
            <w:hideMark/>
          </w:tcPr>
          <w:p w14:paraId="2BC69D99"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Actual</w:t>
            </w:r>
          </w:p>
        </w:tc>
      </w:tr>
      <w:tr w:rsidR="00967F53" w14:paraId="0A50D07E" w14:textId="77777777" w:rsidTr="00967F53">
        <w:trPr>
          <w:trHeight w:val="259"/>
        </w:trPr>
        <w:tc>
          <w:tcPr>
            <w:tcW w:w="2860" w:type="dxa"/>
            <w:vAlign w:val="center"/>
            <w:hideMark/>
          </w:tcPr>
          <w:p w14:paraId="66B7F37D" w14:textId="77777777" w:rsidR="00967F53" w:rsidRDefault="00967F53">
            <w:pPr>
              <w:rPr>
                <w:rFonts w:ascii="Calibri" w:eastAsia="Times New Roman" w:hAnsi="Calibri" w:cs="Calibri"/>
                <w:sz w:val="20"/>
                <w:szCs w:val="20"/>
                <w:lang w:eastAsia="en-AU"/>
              </w:rPr>
            </w:pPr>
          </w:p>
        </w:tc>
        <w:tc>
          <w:tcPr>
            <w:tcW w:w="1220" w:type="dxa"/>
            <w:tcBorders>
              <w:top w:val="nil"/>
              <w:left w:val="nil"/>
              <w:bottom w:val="nil"/>
              <w:right w:val="single" w:sz="4" w:space="0" w:color="auto"/>
            </w:tcBorders>
            <w:vAlign w:val="center"/>
            <w:hideMark/>
          </w:tcPr>
          <w:p w14:paraId="3A0500D1"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$pc</w:t>
            </w:r>
          </w:p>
        </w:tc>
        <w:tc>
          <w:tcPr>
            <w:tcW w:w="1220" w:type="dxa"/>
            <w:vAlign w:val="center"/>
            <w:hideMark/>
          </w:tcPr>
          <w:p w14:paraId="6CFD15CF"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$pc</w:t>
            </w:r>
          </w:p>
        </w:tc>
        <w:tc>
          <w:tcPr>
            <w:tcW w:w="1220" w:type="dxa"/>
            <w:tcBorders>
              <w:top w:val="nil"/>
              <w:left w:val="nil"/>
              <w:bottom w:val="nil"/>
              <w:right w:val="single" w:sz="4" w:space="0" w:color="auto"/>
            </w:tcBorders>
            <w:vAlign w:val="center"/>
            <w:hideMark/>
          </w:tcPr>
          <w:p w14:paraId="443A95C4"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w:t>
            </w:r>
          </w:p>
        </w:tc>
        <w:tc>
          <w:tcPr>
            <w:tcW w:w="1220" w:type="dxa"/>
            <w:vAlign w:val="center"/>
            <w:hideMark/>
          </w:tcPr>
          <w:p w14:paraId="16906BE1"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$pc</w:t>
            </w:r>
          </w:p>
        </w:tc>
        <w:tc>
          <w:tcPr>
            <w:tcW w:w="1220" w:type="dxa"/>
            <w:vAlign w:val="center"/>
            <w:hideMark/>
          </w:tcPr>
          <w:p w14:paraId="3D874AE4"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w:t>
            </w:r>
          </w:p>
        </w:tc>
      </w:tr>
      <w:tr w:rsidR="00967F53" w14:paraId="1821ED33" w14:textId="77777777" w:rsidTr="00967F53">
        <w:trPr>
          <w:trHeight w:val="315"/>
        </w:trPr>
        <w:tc>
          <w:tcPr>
            <w:tcW w:w="2860" w:type="dxa"/>
            <w:vAlign w:val="center"/>
            <w:hideMark/>
          </w:tcPr>
          <w:p w14:paraId="595B2612"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Payroll tax</w:t>
            </w:r>
          </w:p>
        </w:tc>
        <w:tc>
          <w:tcPr>
            <w:tcW w:w="1220" w:type="dxa"/>
            <w:tcBorders>
              <w:top w:val="nil"/>
              <w:left w:val="nil"/>
              <w:bottom w:val="nil"/>
              <w:right w:val="single" w:sz="4" w:space="0" w:color="auto"/>
            </w:tcBorders>
            <w:vAlign w:val="center"/>
            <w:hideMark/>
          </w:tcPr>
          <w:p w14:paraId="18D07881"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979</w:t>
            </w:r>
          </w:p>
        </w:tc>
        <w:tc>
          <w:tcPr>
            <w:tcW w:w="1220" w:type="dxa"/>
            <w:vAlign w:val="center"/>
            <w:hideMark/>
          </w:tcPr>
          <w:p w14:paraId="10AB98ED"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17</w:t>
            </w:r>
          </w:p>
        </w:tc>
        <w:tc>
          <w:tcPr>
            <w:tcW w:w="1220" w:type="dxa"/>
            <w:tcBorders>
              <w:top w:val="nil"/>
              <w:left w:val="nil"/>
              <w:bottom w:val="nil"/>
              <w:right w:val="single" w:sz="4" w:space="0" w:color="auto"/>
            </w:tcBorders>
            <w:vAlign w:val="center"/>
            <w:hideMark/>
          </w:tcPr>
          <w:p w14:paraId="22166815"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29 230</w:t>
            </w:r>
          </w:p>
        </w:tc>
        <w:tc>
          <w:tcPr>
            <w:tcW w:w="1220" w:type="dxa"/>
            <w:vAlign w:val="center"/>
            <w:hideMark/>
          </w:tcPr>
          <w:p w14:paraId="50A3B902"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0</w:t>
            </w:r>
          </w:p>
        </w:tc>
        <w:tc>
          <w:tcPr>
            <w:tcW w:w="1220" w:type="dxa"/>
            <w:vAlign w:val="center"/>
            <w:hideMark/>
          </w:tcPr>
          <w:p w14:paraId="33FD513A"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0</w:t>
            </w:r>
          </w:p>
        </w:tc>
      </w:tr>
      <w:tr w:rsidR="00967F53" w14:paraId="27F8D284" w14:textId="77777777" w:rsidTr="00967F53">
        <w:trPr>
          <w:trHeight w:val="315"/>
        </w:trPr>
        <w:tc>
          <w:tcPr>
            <w:tcW w:w="2860" w:type="dxa"/>
            <w:vAlign w:val="center"/>
            <w:hideMark/>
          </w:tcPr>
          <w:p w14:paraId="689569CF"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Land tax</w:t>
            </w:r>
          </w:p>
        </w:tc>
        <w:tc>
          <w:tcPr>
            <w:tcW w:w="1220" w:type="dxa"/>
            <w:tcBorders>
              <w:top w:val="nil"/>
              <w:left w:val="nil"/>
              <w:bottom w:val="nil"/>
              <w:right w:val="single" w:sz="4" w:space="0" w:color="auto"/>
            </w:tcBorders>
            <w:vAlign w:val="center"/>
            <w:hideMark/>
          </w:tcPr>
          <w:p w14:paraId="47091173"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363</w:t>
            </w:r>
          </w:p>
        </w:tc>
        <w:tc>
          <w:tcPr>
            <w:tcW w:w="1220" w:type="dxa"/>
            <w:vAlign w:val="center"/>
            <w:hideMark/>
          </w:tcPr>
          <w:p w14:paraId="41EF4E28"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33</w:t>
            </w:r>
          </w:p>
        </w:tc>
        <w:tc>
          <w:tcPr>
            <w:tcW w:w="1220" w:type="dxa"/>
            <w:tcBorders>
              <w:top w:val="nil"/>
              <w:left w:val="nil"/>
              <w:bottom w:val="nil"/>
              <w:right w:val="single" w:sz="4" w:space="0" w:color="auto"/>
            </w:tcBorders>
            <w:vAlign w:val="center"/>
            <w:hideMark/>
          </w:tcPr>
          <w:p w14:paraId="14962528"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57 796</w:t>
            </w:r>
          </w:p>
        </w:tc>
        <w:tc>
          <w:tcPr>
            <w:tcW w:w="1220" w:type="dxa"/>
            <w:vAlign w:val="center"/>
            <w:hideMark/>
          </w:tcPr>
          <w:p w14:paraId="5F1C3417"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0</w:t>
            </w:r>
          </w:p>
        </w:tc>
        <w:tc>
          <w:tcPr>
            <w:tcW w:w="1220" w:type="dxa"/>
            <w:vAlign w:val="center"/>
            <w:hideMark/>
          </w:tcPr>
          <w:p w14:paraId="580737E9"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0</w:t>
            </w:r>
          </w:p>
        </w:tc>
      </w:tr>
      <w:tr w:rsidR="00967F53" w14:paraId="77FCB90C" w14:textId="77777777" w:rsidTr="00967F53">
        <w:trPr>
          <w:trHeight w:val="315"/>
        </w:trPr>
        <w:tc>
          <w:tcPr>
            <w:tcW w:w="2860" w:type="dxa"/>
            <w:vAlign w:val="center"/>
            <w:hideMark/>
          </w:tcPr>
          <w:p w14:paraId="0FB0E8E0"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Stamp duty on conveyances</w:t>
            </w:r>
          </w:p>
        </w:tc>
        <w:tc>
          <w:tcPr>
            <w:tcW w:w="1220" w:type="dxa"/>
            <w:tcBorders>
              <w:top w:val="nil"/>
              <w:left w:val="nil"/>
              <w:bottom w:val="nil"/>
              <w:right w:val="single" w:sz="4" w:space="0" w:color="auto"/>
            </w:tcBorders>
            <w:vAlign w:val="center"/>
            <w:hideMark/>
          </w:tcPr>
          <w:p w14:paraId="10E28177"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825</w:t>
            </w:r>
          </w:p>
        </w:tc>
        <w:tc>
          <w:tcPr>
            <w:tcW w:w="1220" w:type="dxa"/>
            <w:vAlign w:val="center"/>
            <w:hideMark/>
          </w:tcPr>
          <w:p w14:paraId="5C8D6C86"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515</w:t>
            </w:r>
          </w:p>
        </w:tc>
        <w:tc>
          <w:tcPr>
            <w:tcW w:w="1220" w:type="dxa"/>
            <w:tcBorders>
              <w:top w:val="nil"/>
              <w:left w:val="nil"/>
              <w:bottom w:val="nil"/>
              <w:right w:val="single" w:sz="4" w:space="0" w:color="auto"/>
            </w:tcBorders>
            <w:vAlign w:val="center"/>
            <w:hideMark/>
          </w:tcPr>
          <w:p w14:paraId="388936A8"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903 809</w:t>
            </w:r>
          </w:p>
        </w:tc>
        <w:tc>
          <w:tcPr>
            <w:tcW w:w="1220" w:type="dxa"/>
            <w:vAlign w:val="center"/>
            <w:hideMark/>
          </w:tcPr>
          <w:p w14:paraId="0302AD0B"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495</w:t>
            </w:r>
          </w:p>
        </w:tc>
        <w:tc>
          <w:tcPr>
            <w:tcW w:w="1220" w:type="dxa"/>
            <w:vAlign w:val="center"/>
            <w:hideMark/>
          </w:tcPr>
          <w:p w14:paraId="18B52297"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868 640</w:t>
            </w:r>
          </w:p>
        </w:tc>
      </w:tr>
      <w:tr w:rsidR="00967F53" w14:paraId="01335D49" w14:textId="77777777" w:rsidTr="00967F53">
        <w:trPr>
          <w:trHeight w:val="315"/>
        </w:trPr>
        <w:tc>
          <w:tcPr>
            <w:tcW w:w="2860" w:type="dxa"/>
            <w:vAlign w:val="center"/>
            <w:hideMark/>
          </w:tcPr>
          <w:p w14:paraId="3553E910"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Insurance tax</w:t>
            </w:r>
          </w:p>
        </w:tc>
        <w:tc>
          <w:tcPr>
            <w:tcW w:w="1220" w:type="dxa"/>
            <w:tcBorders>
              <w:top w:val="nil"/>
              <w:left w:val="nil"/>
              <w:bottom w:val="nil"/>
              <w:right w:val="single" w:sz="4" w:space="0" w:color="auto"/>
            </w:tcBorders>
            <w:vAlign w:val="center"/>
            <w:hideMark/>
          </w:tcPr>
          <w:p w14:paraId="6F20CD45"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214</w:t>
            </w:r>
          </w:p>
        </w:tc>
        <w:tc>
          <w:tcPr>
            <w:tcW w:w="1220" w:type="dxa"/>
            <w:vAlign w:val="center"/>
            <w:hideMark/>
          </w:tcPr>
          <w:p w14:paraId="586FD4B0"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184</w:t>
            </w:r>
          </w:p>
        </w:tc>
        <w:tc>
          <w:tcPr>
            <w:tcW w:w="1220" w:type="dxa"/>
            <w:tcBorders>
              <w:top w:val="nil"/>
              <w:left w:val="nil"/>
              <w:bottom w:val="nil"/>
              <w:right w:val="single" w:sz="4" w:space="0" w:color="auto"/>
            </w:tcBorders>
            <w:vAlign w:val="center"/>
            <w:hideMark/>
          </w:tcPr>
          <w:p w14:paraId="553F5142"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322 793</w:t>
            </w:r>
          </w:p>
        </w:tc>
        <w:tc>
          <w:tcPr>
            <w:tcW w:w="1220" w:type="dxa"/>
            <w:vAlign w:val="center"/>
            <w:hideMark/>
          </w:tcPr>
          <w:p w14:paraId="791D2B56"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0</w:t>
            </w:r>
          </w:p>
        </w:tc>
        <w:tc>
          <w:tcPr>
            <w:tcW w:w="1220" w:type="dxa"/>
            <w:vAlign w:val="center"/>
            <w:hideMark/>
          </w:tcPr>
          <w:p w14:paraId="6F1484B1"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0</w:t>
            </w:r>
          </w:p>
        </w:tc>
      </w:tr>
      <w:tr w:rsidR="00967F53" w14:paraId="5C41F381" w14:textId="77777777" w:rsidTr="00967F53">
        <w:trPr>
          <w:trHeight w:val="315"/>
        </w:trPr>
        <w:tc>
          <w:tcPr>
            <w:tcW w:w="2860" w:type="dxa"/>
            <w:vAlign w:val="center"/>
            <w:hideMark/>
          </w:tcPr>
          <w:p w14:paraId="2A8E6B0C"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Motor tax</w:t>
            </w:r>
          </w:p>
        </w:tc>
        <w:tc>
          <w:tcPr>
            <w:tcW w:w="1220" w:type="dxa"/>
            <w:tcBorders>
              <w:top w:val="nil"/>
              <w:left w:val="nil"/>
              <w:bottom w:val="nil"/>
              <w:right w:val="single" w:sz="4" w:space="0" w:color="auto"/>
            </w:tcBorders>
            <w:vAlign w:val="center"/>
            <w:hideMark/>
          </w:tcPr>
          <w:p w14:paraId="34AD87AC" w14:textId="77777777" w:rsidR="00967F53" w:rsidRDefault="007C2203" w:rsidP="007C220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448</w:t>
            </w:r>
          </w:p>
        </w:tc>
        <w:tc>
          <w:tcPr>
            <w:tcW w:w="1220" w:type="dxa"/>
            <w:vAlign w:val="center"/>
            <w:hideMark/>
          </w:tcPr>
          <w:p w14:paraId="003AAE70"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667</w:t>
            </w:r>
          </w:p>
        </w:tc>
        <w:tc>
          <w:tcPr>
            <w:tcW w:w="1220" w:type="dxa"/>
            <w:tcBorders>
              <w:top w:val="nil"/>
              <w:left w:val="nil"/>
              <w:bottom w:val="nil"/>
              <w:right w:val="single" w:sz="4" w:space="0" w:color="auto"/>
            </w:tcBorders>
            <w:vAlign w:val="center"/>
            <w:hideMark/>
          </w:tcPr>
          <w:p w14:paraId="6642AB75"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1 171 275</w:t>
            </w:r>
          </w:p>
        </w:tc>
        <w:tc>
          <w:tcPr>
            <w:tcW w:w="1220" w:type="dxa"/>
            <w:vAlign w:val="center"/>
            <w:hideMark/>
          </w:tcPr>
          <w:p w14:paraId="26B88282"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403</w:t>
            </w:r>
          </w:p>
        </w:tc>
        <w:tc>
          <w:tcPr>
            <w:tcW w:w="1220" w:type="dxa"/>
            <w:vAlign w:val="center"/>
            <w:hideMark/>
          </w:tcPr>
          <w:p w14:paraId="0F737AFD"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707 279</w:t>
            </w:r>
          </w:p>
        </w:tc>
      </w:tr>
      <w:tr w:rsidR="00967F53" w14:paraId="7116844C" w14:textId="77777777" w:rsidTr="00967F53">
        <w:trPr>
          <w:trHeight w:val="315"/>
        </w:trPr>
        <w:tc>
          <w:tcPr>
            <w:tcW w:w="2860" w:type="dxa"/>
            <w:vAlign w:val="center"/>
            <w:hideMark/>
          </w:tcPr>
          <w:p w14:paraId="69279386"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Mining revenue</w:t>
            </w:r>
          </w:p>
        </w:tc>
        <w:tc>
          <w:tcPr>
            <w:tcW w:w="1220" w:type="dxa"/>
            <w:tcBorders>
              <w:top w:val="nil"/>
              <w:left w:val="nil"/>
              <w:bottom w:val="nil"/>
              <w:right w:val="single" w:sz="4" w:space="0" w:color="auto"/>
            </w:tcBorders>
            <w:vAlign w:val="center"/>
            <w:hideMark/>
          </w:tcPr>
          <w:p w14:paraId="2E535898"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482</w:t>
            </w:r>
          </w:p>
        </w:tc>
        <w:tc>
          <w:tcPr>
            <w:tcW w:w="1220" w:type="dxa"/>
            <w:vAlign w:val="center"/>
            <w:hideMark/>
          </w:tcPr>
          <w:p w14:paraId="4E7A7BAF"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w:t>
            </w:r>
          </w:p>
        </w:tc>
        <w:tc>
          <w:tcPr>
            <w:tcW w:w="1220" w:type="dxa"/>
            <w:tcBorders>
              <w:top w:val="nil"/>
              <w:left w:val="nil"/>
              <w:bottom w:val="nil"/>
              <w:right w:val="single" w:sz="4" w:space="0" w:color="auto"/>
            </w:tcBorders>
            <w:vAlign w:val="center"/>
            <w:hideMark/>
          </w:tcPr>
          <w:p w14:paraId="4BE7D8D1"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1 950</w:t>
            </w:r>
          </w:p>
        </w:tc>
        <w:tc>
          <w:tcPr>
            <w:tcW w:w="1220" w:type="dxa"/>
            <w:vAlign w:val="center"/>
            <w:hideMark/>
          </w:tcPr>
          <w:p w14:paraId="1875A784"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83</w:t>
            </w:r>
          </w:p>
        </w:tc>
        <w:tc>
          <w:tcPr>
            <w:tcW w:w="1220" w:type="dxa"/>
            <w:vAlign w:val="center"/>
            <w:hideMark/>
          </w:tcPr>
          <w:p w14:paraId="74A82168"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146 129</w:t>
            </w:r>
          </w:p>
        </w:tc>
      </w:tr>
      <w:tr w:rsidR="00967F53" w14:paraId="44393E9E" w14:textId="77777777" w:rsidTr="00967F53">
        <w:trPr>
          <w:trHeight w:val="315"/>
        </w:trPr>
        <w:tc>
          <w:tcPr>
            <w:tcW w:w="2860" w:type="dxa"/>
            <w:vAlign w:val="center"/>
            <w:hideMark/>
          </w:tcPr>
          <w:p w14:paraId="07DE38A5"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Gambling tax</w:t>
            </w:r>
          </w:p>
        </w:tc>
        <w:tc>
          <w:tcPr>
            <w:tcW w:w="1220" w:type="dxa"/>
            <w:tcBorders>
              <w:top w:val="nil"/>
              <w:left w:val="nil"/>
              <w:bottom w:val="nil"/>
              <w:right w:val="single" w:sz="4" w:space="0" w:color="auto"/>
            </w:tcBorders>
            <w:vAlign w:val="center"/>
            <w:hideMark/>
          </w:tcPr>
          <w:p w14:paraId="732FCE1B"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251</w:t>
            </w:r>
          </w:p>
        </w:tc>
        <w:tc>
          <w:tcPr>
            <w:tcW w:w="1220" w:type="dxa"/>
            <w:vAlign w:val="center"/>
            <w:hideMark/>
          </w:tcPr>
          <w:p w14:paraId="0C02DC8B"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56</w:t>
            </w:r>
          </w:p>
        </w:tc>
        <w:tc>
          <w:tcPr>
            <w:tcW w:w="1220" w:type="dxa"/>
            <w:tcBorders>
              <w:top w:val="nil"/>
              <w:left w:val="nil"/>
              <w:bottom w:val="nil"/>
              <w:right w:val="single" w:sz="4" w:space="0" w:color="auto"/>
            </w:tcBorders>
            <w:vAlign w:val="center"/>
            <w:hideMark/>
          </w:tcPr>
          <w:p w14:paraId="64D3885A"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97 547</w:t>
            </w:r>
          </w:p>
        </w:tc>
        <w:tc>
          <w:tcPr>
            <w:tcW w:w="1220" w:type="dxa"/>
            <w:vAlign w:val="center"/>
            <w:hideMark/>
          </w:tcPr>
          <w:p w14:paraId="2222C5F4"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71</w:t>
            </w:r>
          </w:p>
        </w:tc>
        <w:tc>
          <w:tcPr>
            <w:tcW w:w="1220" w:type="dxa"/>
            <w:vAlign w:val="center"/>
            <w:hideMark/>
          </w:tcPr>
          <w:p w14:paraId="2B10F2A4"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124 345</w:t>
            </w:r>
          </w:p>
        </w:tc>
      </w:tr>
      <w:tr w:rsidR="00967F53" w14:paraId="732618D6" w14:textId="77777777" w:rsidTr="00967F53">
        <w:trPr>
          <w:trHeight w:val="315"/>
        </w:trPr>
        <w:tc>
          <w:tcPr>
            <w:tcW w:w="2860" w:type="dxa"/>
            <w:vAlign w:val="center"/>
            <w:hideMark/>
          </w:tcPr>
          <w:p w14:paraId="63240059"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Other revenue</w:t>
            </w:r>
          </w:p>
        </w:tc>
        <w:tc>
          <w:tcPr>
            <w:tcW w:w="1220" w:type="dxa"/>
            <w:tcBorders>
              <w:top w:val="nil"/>
              <w:left w:val="nil"/>
              <w:bottom w:val="nil"/>
              <w:right w:val="single" w:sz="4" w:space="0" w:color="auto"/>
            </w:tcBorders>
            <w:vAlign w:val="center"/>
            <w:hideMark/>
          </w:tcPr>
          <w:p w14:paraId="772E4513" w14:textId="77777777" w:rsidR="00967F53" w:rsidRDefault="00967F53" w:rsidP="007C220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1 </w:t>
            </w:r>
            <w:r w:rsidR="007C2203">
              <w:rPr>
                <w:rFonts w:ascii="Calibri" w:eastAsia="Times New Roman" w:hAnsi="Calibri" w:cs="Calibri"/>
                <w:sz w:val="20"/>
                <w:szCs w:val="20"/>
                <w:lang w:eastAsia="en-AU"/>
              </w:rPr>
              <w:t>545</w:t>
            </w:r>
          </w:p>
        </w:tc>
        <w:tc>
          <w:tcPr>
            <w:tcW w:w="1220" w:type="dxa"/>
            <w:vAlign w:val="center"/>
            <w:hideMark/>
          </w:tcPr>
          <w:p w14:paraId="451CD593"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352</w:t>
            </w:r>
          </w:p>
        </w:tc>
        <w:tc>
          <w:tcPr>
            <w:tcW w:w="1220" w:type="dxa"/>
            <w:tcBorders>
              <w:top w:val="nil"/>
              <w:left w:val="nil"/>
              <w:bottom w:val="nil"/>
              <w:right w:val="single" w:sz="4" w:space="0" w:color="auto"/>
            </w:tcBorders>
            <w:vAlign w:val="center"/>
            <w:hideMark/>
          </w:tcPr>
          <w:p w14:paraId="7E3A42FD"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618 665</w:t>
            </w:r>
          </w:p>
        </w:tc>
        <w:tc>
          <w:tcPr>
            <w:tcW w:w="1220" w:type="dxa"/>
            <w:vAlign w:val="center"/>
            <w:hideMark/>
          </w:tcPr>
          <w:p w14:paraId="1C28D4E8"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284</w:t>
            </w:r>
          </w:p>
        </w:tc>
        <w:tc>
          <w:tcPr>
            <w:tcW w:w="1220" w:type="dxa"/>
            <w:vAlign w:val="center"/>
            <w:hideMark/>
          </w:tcPr>
          <w:p w14:paraId="657C7875"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497 937</w:t>
            </w:r>
          </w:p>
        </w:tc>
      </w:tr>
      <w:tr w:rsidR="00967F53" w14:paraId="54E77746" w14:textId="77777777" w:rsidTr="00967F53">
        <w:trPr>
          <w:trHeight w:val="315"/>
        </w:trPr>
        <w:tc>
          <w:tcPr>
            <w:tcW w:w="2860" w:type="dxa"/>
            <w:tcBorders>
              <w:top w:val="nil"/>
              <w:left w:val="nil"/>
              <w:bottom w:val="single" w:sz="4" w:space="0" w:color="auto"/>
              <w:right w:val="nil"/>
            </w:tcBorders>
            <w:vAlign w:val="center"/>
            <w:hideMark/>
          </w:tcPr>
          <w:p w14:paraId="1793BF02"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TOTAL</w:t>
            </w:r>
          </w:p>
        </w:tc>
        <w:tc>
          <w:tcPr>
            <w:tcW w:w="1220" w:type="dxa"/>
            <w:tcBorders>
              <w:top w:val="single" w:sz="4" w:space="0" w:color="auto"/>
              <w:left w:val="nil"/>
              <w:bottom w:val="single" w:sz="4" w:space="0" w:color="auto"/>
              <w:right w:val="single" w:sz="4" w:space="0" w:color="auto"/>
            </w:tcBorders>
            <w:vAlign w:val="center"/>
            <w:hideMark/>
          </w:tcPr>
          <w:p w14:paraId="1A136D8C" w14:textId="77777777" w:rsidR="00967F53" w:rsidRDefault="00967F53" w:rsidP="007C220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5 </w:t>
            </w:r>
            <w:r w:rsidR="007C2203">
              <w:rPr>
                <w:rFonts w:ascii="Calibri" w:eastAsia="Times New Roman" w:hAnsi="Calibri" w:cs="Calibri"/>
                <w:sz w:val="20"/>
                <w:szCs w:val="20"/>
                <w:lang w:eastAsia="en-AU"/>
              </w:rPr>
              <w:t>10</w:t>
            </w:r>
            <w:r>
              <w:rPr>
                <w:rFonts w:ascii="Calibri" w:eastAsia="Times New Roman" w:hAnsi="Calibri" w:cs="Calibri"/>
                <w:sz w:val="20"/>
                <w:szCs w:val="20"/>
                <w:lang w:eastAsia="en-AU"/>
              </w:rPr>
              <w:t>7</w:t>
            </w:r>
          </w:p>
        </w:tc>
        <w:tc>
          <w:tcPr>
            <w:tcW w:w="1220" w:type="dxa"/>
            <w:tcBorders>
              <w:top w:val="single" w:sz="4" w:space="0" w:color="auto"/>
              <w:left w:val="nil"/>
              <w:bottom w:val="single" w:sz="4" w:space="0" w:color="auto"/>
              <w:right w:val="nil"/>
            </w:tcBorders>
            <w:vAlign w:val="center"/>
            <w:hideMark/>
          </w:tcPr>
          <w:p w14:paraId="765E41B6"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1 824</w:t>
            </w:r>
          </w:p>
        </w:tc>
        <w:tc>
          <w:tcPr>
            <w:tcW w:w="1220" w:type="dxa"/>
            <w:tcBorders>
              <w:top w:val="single" w:sz="4" w:space="0" w:color="auto"/>
              <w:left w:val="nil"/>
              <w:bottom w:val="single" w:sz="4" w:space="0" w:color="auto"/>
              <w:right w:val="single" w:sz="4" w:space="0" w:color="auto"/>
            </w:tcBorders>
            <w:vAlign w:val="center"/>
            <w:hideMark/>
          </w:tcPr>
          <w:p w14:paraId="190BE99E"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3 203 064</w:t>
            </w:r>
          </w:p>
        </w:tc>
        <w:tc>
          <w:tcPr>
            <w:tcW w:w="1220" w:type="dxa"/>
            <w:tcBorders>
              <w:top w:val="single" w:sz="4" w:space="0" w:color="auto"/>
              <w:left w:val="nil"/>
              <w:bottom w:val="single" w:sz="4" w:space="0" w:color="auto"/>
              <w:right w:val="nil"/>
            </w:tcBorders>
            <w:vAlign w:val="center"/>
            <w:hideMark/>
          </w:tcPr>
          <w:p w14:paraId="790E07AB"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1 335</w:t>
            </w:r>
          </w:p>
        </w:tc>
        <w:tc>
          <w:tcPr>
            <w:tcW w:w="1220" w:type="dxa"/>
            <w:tcBorders>
              <w:top w:val="single" w:sz="4" w:space="0" w:color="auto"/>
              <w:left w:val="nil"/>
              <w:bottom w:val="single" w:sz="4" w:space="0" w:color="auto"/>
              <w:right w:val="nil"/>
            </w:tcBorders>
            <w:vAlign w:val="center"/>
            <w:hideMark/>
          </w:tcPr>
          <w:p w14:paraId="2A4930F2"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2 344 330</w:t>
            </w:r>
          </w:p>
        </w:tc>
      </w:tr>
    </w:tbl>
    <w:p w14:paraId="4ED79D95" w14:textId="77777777" w:rsidR="00967F53" w:rsidRDefault="008D217C" w:rsidP="00967F53">
      <w:pPr>
        <w:pStyle w:val="CGCTableFootnote"/>
      </w:pPr>
      <w:r>
        <w:t>Source:</w:t>
      </w:r>
      <w:r>
        <w:tab/>
      </w:r>
      <w:r>
        <w:tab/>
      </w:r>
      <w:r w:rsidR="00967F53">
        <w:t xml:space="preserve">Commission analysis. </w:t>
      </w:r>
    </w:p>
    <w:p w14:paraId="40C53F36" w14:textId="77777777" w:rsidR="00967F53" w:rsidRDefault="00967F53" w:rsidP="00967F53">
      <w:pPr>
        <w:pStyle w:val="Heading3"/>
      </w:pPr>
      <w:bookmarkStart w:id="439" w:name="_Toc17380488"/>
      <w:bookmarkStart w:id="440" w:name="_Toc19262942"/>
      <w:bookmarkStart w:id="441" w:name="_Toc23847487"/>
      <w:r>
        <w:t>Payroll tax</w:t>
      </w:r>
      <w:bookmarkEnd w:id="439"/>
      <w:bookmarkEnd w:id="440"/>
      <w:bookmarkEnd w:id="441"/>
    </w:p>
    <w:p w14:paraId="6A16CB8A" w14:textId="77777777" w:rsidR="00967F53" w:rsidRDefault="00967F53" w:rsidP="00967F53">
      <w:pPr>
        <w:pStyle w:val="Heading4"/>
      </w:pPr>
      <w:bookmarkStart w:id="442" w:name="_Toc17380489"/>
      <w:bookmarkStart w:id="443" w:name="_Toc19262943"/>
      <w:bookmarkStart w:id="444" w:name="_Toc23847488"/>
      <w:r>
        <w:t>State and Norfolk Island taxation arrangements</w:t>
      </w:r>
      <w:bookmarkEnd w:id="442"/>
      <w:bookmarkEnd w:id="443"/>
      <w:bookmarkEnd w:id="444"/>
    </w:p>
    <w:p w14:paraId="078B4D92" w14:textId="77777777" w:rsidR="00967F53" w:rsidRPr="00946E70" w:rsidRDefault="00967F53" w:rsidP="00946E70">
      <w:pPr>
        <w:pStyle w:val="CGCNumberedPara"/>
      </w:pPr>
      <w:r>
        <w:t xml:space="preserve">All States levy payroll tax on the wages, salaries, allowances and benefits paid to employees of private sector businesses and public corporations. However, they </w:t>
      </w:r>
      <w:r w:rsidRPr="00946E70">
        <w:t>exempt employers with payrolls below a certain threshold and generally allow larger employers to deduct the threshold amount from their taxable payrolls. Grouping provisions prevent employers from breaking their operations into smaller businesses to avoid or reduce their liability.</w:t>
      </w:r>
    </w:p>
    <w:p w14:paraId="062B84C1" w14:textId="1F089CA2" w:rsidR="00967F53" w:rsidRPr="00946E70" w:rsidRDefault="00967F53" w:rsidP="00946E70">
      <w:pPr>
        <w:pStyle w:val="CGCNumberedPara"/>
      </w:pPr>
      <w:r w:rsidRPr="00946E70">
        <w:fldChar w:fldCharType="begin"/>
      </w:r>
      <w:r w:rsidRPr="00946E70">
        <w:instrText xml:space="preserve"> REF _Ref15464058 \h </w:instrText>
      </w:r>
      <w:r w:rsidR="00946E70">
        <w:instrText xml:space="preserve"> \* MERGEFORMAT </w:instrText>
      </w:r>
      <w:r w:rsidRPr="00946E70">
        <w:fldChar w:fldCharType="separate"/>
      </w:r>
      <w:r w:rsidR="00DE7AA1">
        <w:t>Table C-2</w:t>
      </w:r>
      <w:r w:rsidRPr="00946E70">
        <w:fldChar w:fldCharType="end"/>
      </w:r>
      <w:r w:rsidRPr="00946E70">
        <w:t xml:space="preserve"> provides some details of the State payroll tax arrangements in 2017-18.</w:t>
      </w:r>
    </w:p>
    <w:p w14:paraId="4E9081C1" w14:textId="77777777" w:rsidR="00967F53" w:rsidRDefault="00967F53" w:rsidP="00967F53">
      <w:pPr>
        <w:pStyle w:val="CGCTableHeading"/>
      </w:pPr>
      <w:bookmarkStart w:id="445" w:name="_Ref15464058"/>
      <w:r>
        <w:lastRenderedPageBreak/>
        <w:t>Table C-</w:t>
      </w:r>
      <w:r w:rsidR="005F53C3">
        <w:t>2</w:t>
      </w:r>
      <w:bookmarkEnd w:id="445"/>
      <w:r>
        <w:tab/>
        <w:t>State payroll tax arrangements, 2017-18</w:t>
      </w:r>
    </w:p>
    <w:tbl>
      <w:tblPr>
        <w:tblW w:w="4712" w:type="pct"/>
        <w:tblCellMar>
          <w:left w:w="85" w:type="dxa"/>
          <w:right w:w="85" w:type="dxa"/>
        </w:tblCellMar>
        <w:tblLook w:val="04A0" w:firstRow="1" w:lastRow="0" w:firstColumn="1" w:lastColumn="0" w:noHBand="0" w:noVBand="1"/>
      </w:tblPr>
      <w:tblGrid>
        <w:gridCol w:w="6134"/>
        <w:gridCol w:w="2301"/>
      </w:tblGrid>
      <w:tr w:rsidR="0059656F" w:rsidRPr="00423D23" w14:paraId="7AD0854A" w14:textId="77777777" w:rsidTr="0059656F">
        <w:tc>
          <w:tcPr>
            <w:tcW w:w="3636" w:type="pct"/>
            <w:tcBorders>
              <w:top w:val="single" w:sz="4" w:space="0" w:color="auto"/>
              <w:left w:val="nil"/>
              <w:bottom w:val="nil"/>
              <w:right w:val="nil"/>
            </w:tcBorders>
            <w:vAlign w:val="bottom"/>
            <w:hideMark/>
          </w:tcPr>
          <w:p w14:paraId="18CEB84F" w14:textId="77777777" w:rsidR="0059656F" w:rsidRDefault="0059656F" w:rsidP="0059656F">
            <w:pPr>
              <w:pStyle w:val="CGCTableStub"/>
              <w:rPr>
                <w:rFonts w:cstheme="minorHAnsi"/>
              </w:rPr>
            </w:pPr>
            <w:r>
              <w:rPr>
                <w:rFonts w:cstheme="minorHAnsi"/>
              </w:rPr>
              <w:t>Australian average ($ per capita)</w:t>
            </w:r>
          </w:p>
        </w:tc>
        <w:tc>
          <w:tcPr>
            <w:tcW w:w="1364" w:type="pct"/>
            <w:tcBorders>
              <w:top w:val="single" w:sz="4" w:space="0" w:color="auto"/>
              <w:left w:val="nil"/>
              <w:bottom w:val="nil"/>
              <w:right w:val="nil"/>
            </w:tcBorders>
            <w:vAlign w:val="bottom"/>
            <w:hideMark/>
          </w:tcPr>
          <w:p w14:paraId="4D817774" w14:textId="77777777" w:rsidR="0059656F" w:rsidRPr="00423D23" w:rsidRDefault="0059656F">
            <w:pPr>
              <w:pStyle w:val="TableRowNormal"/>
              <w:rPr>
                <w:rFonts w:cstheme="minorHAnsi"/>
              </w:rPr>
            </w:pPr>
            <w:r w:rsidRPr="00423D23">
              <w:rPr>
                <w:rFonts w:cstheme="minorHAnsi"/>
              </w:rPr>
              <w:t>$979</w:t>
            </w:r>
          </w:p>
        </w:tc>
      </w:tr>
      <w:tr w:rsidR="0059656F" w:rsidRPr="00423D23" w14:paraId="64075D1A" w14:textId="77777777" w:rsidTr="0059656F">
        <w:tc>
          <w:tcPr>
            <w:tcW w:w="3636" w:type="pct"/>
            <w:vAlign w:val="bottom"/>
            <w:hideMark/>
          </w:tcPr>
          <w:p w14:paraId="2C965428" w14:textId="77777777" w:rsidR="0059656F" w:rsidRDefault="0059656F" w:rsidP="00C8615A">
            <w:pPr>
              <w:pStyle w:val="CGCTableStub"/>
              <w:rPr>
                <w:rFonts w:cstheme="minorHAnsi"/>
              </w:rPr>
            </w:pPr>
            <w:r>
              <w:rPr>
                <w:rFonts w:cstheme="minorHAnsi"/>
              </w:rPr>
              <w:t xml:space="preserve">Australian average revenue base per capita </w:t>
            </w:r>
            <w:r w:rsidR="00C8615A">
              <w:rPr>
                <w:rFonts w:cstheme="minorHAnsi"/>
              </w:rPr>
              <w:t>(a)</w:t>
            </w:r>
            <w:r>
              <w:rPr>
                <w:rFonts w:cstheme="minorHAnsi"/>
                <w:vertAlign w:val="superscript"/>
              </w:rPr>
              <w:t xml:space="preserve"> </w:t>
            </w:r>
            <w:r>
              <w:rPr>
                <w:rFonts w:cstheme="minorHAnsi"/>
              </w:rPr>
              <w:t>($ per capita)</w:t>
            </w:r>
          </w:p>
        </w:tc>
        <w:tc>
          <w:tcPr>
            <w:tcW w:w="1364" w:type="pct"/>
            <w:vAlign w:val="bottom"/>
            <w:hideMark/>
          </w:tcPr>
          <w:p w14:paraId="1E274824" w14:textId="77777777" w:rsidR="0059656F" w:rsidRPr="00423D23" w:rsidRDefault="0059656F">
            <w:pPr>
              <w:pStyle w:val="TableRowNormal"/>
              <w:rPr>
                <w:rFonts w:cstheme="minorHAnsi"/>
              </w:rPr>
            </w:pPr>
            <w:r w:rsidRPr="00423D23">
              <w:rPr>
                <w:rFonts w:cstheme="minorHAnsi"/>
              </w:rPr>
              <w:t>$20 102</w:t>
            </w:r>
          </w:p>
        </w:tc>
      </w:tr>
      <w:tr w:rsidR="0059656F" w:rsidRPr="00423D23" w14:paraId="3A5DCBA1" w14:textId="77777777" w:rsidTr="0059656F">
        <w:tc>
          <w:tcPr>
            <w:tcW w:w="3636" w:type="pct"/>
            <w:vAlign w:val="bottom"/>
            <w:hideMark/>
          </w:tcPr>
          <w:p w14:paraId="098B87FD" w14:textId="77777777" w:rsidR="0059656F" w:rsidRDefault="0059656F" w:rsidP="00C8615A">
            <w:pPr>
              <w:pStyle w:val="CGCTableStub"/>
              <w:rPr>
                <w:rFonts w:cstheme="minorHAnsi"/>
              </w:rPr>
            </w:pPr>
            <w:r>
              <w:rPr>
                <w:rFonts w:cstheme="minorHAnsi"/>
              </w:rPr>
              <w:t>Australian average tax rate (% of taxable wages)</w:t>
            </w:r>
            <w:r w:rsidR="00C8615A">
              <w:rPr>
                <w:rFonts w:cstheme="minorHAnsi"/>
              </w:rPr>
              <w:t xml:space="preserve"> (b)</w:t>
            </w:r>
          </w:p>
        </w:tc>
        <w:tc>
          <w:tcPr>
            <w:tcW w:w="1364" w:type="pct"/>
            <w:vAlign w:val="bottom"/>
            <w:hideMark/>
          </w:tcPr>
          <w:p w14:paraId="48ECAAB5" w14:textId="77777777" w:rsidR="0059656F" w:rsidRPr="00423D23" w:rsidRDefault="0059656F">
            <w:pPr>
              <w:pStyle w:val="TableRowNormal"/>
              <w:rPr>
                <w:rFonts w:cstheme="minorHAnsi"/>
              </w:rPr>
            </w:pPr>
            <w:r w:rsidRPr="00423D23">
              <w:rPr>
                <w:rFonts w:cstheme="minorHAnsi"/>
              </w:rPr>
              <w:t>4.9%</w:t>
            </w:r>
          </w:p>
        </w:tc>
      </w:tr>
      <w:tr w:rsidR="0059656F" w:rsidRPr="00423D23" w14:paraId="34A3B0F6" w14:textId="77777777" w:rsidTr="0059656F">
        <w:tc>
          <w:tcPr>
            <w:tcW w:w="3636" w:type="pct"/>
            <w:tcBorders>
              <w:top w:val="nil"/>
              <w:left w:val="nil"/>
              <w:bottom w:val="single" w:sz="4" w:space="0" w:color="auto"/>
              <w:right w:val="nil"/>
            </w:tcBorders>
            <w:vAlign w:val="bottom"/>
            <w:hideMark/>
          </w:tcPr>
          <w:p w14:paraId="3B59AC37" w14:textId="77777777" w:rsidR="0059656F" w:rsidRDefault="0059656F" w:rsidP="0059656F">
            <w:pPr>
              <w:pStyle w:val="CGCTableStub"/>
              <w:rPr>
                <w:rFonts w:cstheme="minorHAnsi"/>
              </w:rPr>
            </w:pPr>
            <w:r>
              <w:rPr>
                <w:rFonts w:cstheme="minorHAnsi"/>
              </w:rPr>
              <w:t>Australian average exemption threshold ($ per employer)</w:t>
            </w:r>
          </w:p>
        </w:tc>
        <w:tc>
          <w:tcPr>
            <w:tcW w:w="1364" w:type="pct"/>
            <w:tcBorders>
              <w:top w:val="nil"/>
              <w:left w:val="nil"/>
              <w:bottom w:val="single" w:sz="4" w:space="0" w:color="auto"/>
              <w:right w:val="nil"/>
            </w:tcBorders>
            <w:vAlign w:val="bottom"/>
            <w:hideMark/>
          </w:tcPr>
          <w:p w14:paraId="7A3093D1" w14:textId="77777777" w:rsidR="0059656F" w:rsidRPr="00423D23" w:rsidRDefault="0059656F">
            <w:pPr>
              <w:pStyle w:val="TableRowNormal"/>
              <w:rPr>
                <w:rFonts w:cstheme="minorHAnsi"/>
              </w:rPr>
            </w:pPr>
            <w:r w:rsidRPr="00423D23">
              <w:rPr>
                <w:rFonts w:cstheme="minorHAnsi"/>
              </w:rPr>
              <w:t>$760 000</w:t>
            </w:r>
          </w:p>
        </w:tc>
      </w:tr>
    </w:tbl>
    <w:p w14:paraId="06C8A6E9" w14:textId="77777777" w:rsidR="00967F53" w:rsidRDefault="00967F53" w:rsidP="00967F53">
      <w:pPr>
        <w:pStyle w:val="CGCTableFootnote"/>
        <w:ind w:left="567" w:hanging="567"/>
      </w:pPr>
      <w:r>
        <w:t>(a)</w:t>
      </w:r>
      <w:r>
        <w:tab/>
        <w:t>Measured as the value of wages, salaries, allowances and benefits paid by private sector businesses and State and local government corporations above the exemption threshold.</w:t>
      </w:r>
    </w:p>
    <w:p w14:paraId="5AB7EE71" w14:textId="77777777" w:rsidR="00967F53" w:rsidRDefault="00967F53" w:rsidP="00967F53">
      <w:pPr>
        <w:pStyle w:val="CGCTableFootnote"/>
        <w:ind w:left="567" w:hanging="567"/>
      </w:pPr>
      <w:r>
        <w:t>(b)</w:t>
      </w:r>
      <w:r>
        <w:tab/>
        <w:t>Calculated as revenue per capita divided by revenue base per capita.</w:t>
      </w:r>
    </w:p>
    <w:p w14:paraId="5D434EEC" w14:textId="77777777" w:rsidR="00967F53" w:rsidRDefault="00967F53" w:rsidP="00DB49FB">
      <w:pPr>
        <w:pStyle w:val="CGCTableFootnote"/>
        <w:ind w:left="705" w:hanging="705"/>
      </w:pPr>
      <w:r>
        <w:t>Source:</w:t>
      </w:r>
      <w:r>
        <w:tab/>
        <w:t xml:space="preserve">Commonwealth Grants Commission calculations for 2019 </w:t>
      </w:r>
      <w:r w:rsidR="008A312B">
        <w:t>Update of State revenue sharing r</w:t>
      </w:r>
      <w:r w:rsidR="00FC3D4D">
        <w:t>elativities and</w:t>
      </w:r>
      <w:r>
        <w:t xml:space="preserve"> New South Wales Treasury</w:t>
      </w:r>
      <w:r>
        <w:rPr>
          <w:i/>
        </w:rPr>
        <w:t>, Interstate Comparison of Taxes, 2017-18</w:t>
      </w:r>
      <w:r>
        <w:t>.</w:t>
      </w:r>
    </w:p>
    <w:p w14:paraId="7A37A6D2" w14:textId="77777777" w:rsidR="00967F53" w:rsidRDefault="00967F53" w:rsidP="00A661FE">
      <w:pPr>
        <w:pStyle w:val="CGCNumberedPara"/>
      </w:pPr>
      <w:r>
        <w:t xml:space="preserve">Payroll tax is not </w:t>
      </w:r>
      <w:r w:rsidRPr="00A661FE">
        <w:t>imposed</w:t>
      </w:r>
      <w:r>
        <w:t xml:space="preserve"> on Norfolk Island. </w:t>
      </w:r>
    </w:p>
    <w:p w14:paraId="4407C67E" w14:textId="77777777" w:rsidR="00967F53" w:rsidRDefault="00967F53" w:rsidP="00967F53">
      <w:pPr>
        <w:pStyle w:val="Heading4"/>
      </w:pPr>
      <w:bookmarkStart w:id="446" w:name="_Toc17380490"/>
      <w:bookmarkStart w:id="447" w:name="_Toc19262944"/>
      <w:bookmarkStart w:id="448" w:name="_Toc23847489"/>
      <w:r>
        <w:t>Assessed revenue for Norfolk Island</w:t>
      </w:r>
      <w:bookmarkEnd w:id="446"/>
      <w:bookmarkEnd w:id="447"/>
      <w:bookmarkEnd w:id="448"/>
    </w:p>
    <w:p w14:paraId="7956A184" w14:textId="77777777" w:rsidR="00967F53" w:rsidRPr="00A661FE" w:rsidRDefault="00967F53" w:rsidP="00A661FE">
      <w:pPr>
        <w:pStyle w:val="CGCNumberedPara"/>
      </w:pPr>
      <w:r w:rsidRPr="00A661FE">
        <w:t>The potential payroll tax revenue base for Norfolk Island consists of three components:</w:t>
      </w:r>
    </w:p>
    <w:p w14:paraId="0B7F4BAE" w14:textId="77777777" w:rsidR="00967F53" w:rsidRPr="00C47D6D" w:rsidRDefault="00967F53" w:rsidP="00C47D6D">
      <w:pPr>
        <w:pStyle w:val="CGCBulletlist"/>
        <w:numPr>
          <w:ilvl w:val="0"/>
          <w:numId w:val="15"/>
        </w:numPr>
      </w:pPr>
      <w:r w:rsidRPr="00C47D6D">
        <w:t>payrolls of Norfolk Island private businesses</w:t>
      </w:r>
    </w:p>
    <w:p w14:paraId="2D86F61A" w14:textId="77777777" w:rsidR="00967F53" w:rsidRPr="00C47D6D" w:rsidRDefault="00967F53" w:rsidP="00C47D6D">
      <w:pPr>
        <w:pStyle w:val="CGCBulletlist"/>
      </w:pPr>
      <w:r w:rsidRPr="00C47D6D">
        <w:t>payrolls of Norfolk Island publicly owned businesses</w:t>
      </w:r>
    </w:p>
    <w:p w14:paraId="2D9C1D83" w14:textId="77777777" w:rsidR="00967F53" w:rsidRDefault="00967F53" w:rsidP="00C47D6D">
      <w:pPr>
        <w:pStyle w:val="CGCBulletlist"/>
      </w:pPr>
      <w:r w:rsidRPr="00C47D6D">
        <w:t>payrolls paid</w:t>
      </w:r>
      <w:r>
        <w:t xml:space="preserve"> on Norfolk Island by Australian businesses operating on the Island.</w:t>
      </w:r>
    </w:p>
    <w:p w14:paraId="5924EACD" w14:textId="77777777" w:rsidR="00967F53" w:rsidRDefault="00967F53" w:rsidP="00A661FE">
      <w:pPr>
        <w:pStyle w:val="CGCNumberedPara"/>
      </w:pPr>
      <w:r>
        <w:t xml:space="preserve">Advice from </w:t>
      </w:r>
      <w:r w:rsidRPr="00A661FE">
        <w:t>Norfolk</w:t>
      </w:r>
      <w:r>
        <w:t xml:space="preserve"> Island and Commission staff analysis of current circumstances on Norfolk Island indicated no Norfolk Island-based private or </w:t>
      </w:r>
      <w:r w:rsidRPr="00A661FE">
        <w:t>public</w:t>
      </w:r>
      <w:r>
        <w:t xml:space="preserve"> businesses had a payroll above the threshold. </w:t>
      </w:r>
    </w:p>
    <w:p w14:paraId="7850ADDC" w14:textId="77777777" w:rsidR="00967F53" w:rsidRDefault="00967F53" w:rsidP="00A661FE">
      <w:pPr>
        <w:pStyle w:val="CGCNumberedPara"/>
      </w:pPr>
      <w:r>
        <w:t xml:space="preserve">As in the 2011 </w:t>
      </w:r>
      <w:r w:rsidR="00F547A5" w:rsidRPr="00A661FE">
        <w:t>i</w:t>
      </w:r>
      <w:r w:rsidRPr="00A661FE">
        <w:t>nquiry</w:t>
      </w:r>
      <w:r>
        <w:t>, the only payrolls on Norfolk Island that would be potentially subject to payroll tax under average State policies are those of large interstate employers. Those employers would receive no exemptions for their Norfolk Island payrolls because they would be offset against their State-based wages</w:t>
      </w:r>
      <w:r w:rsidRPr="00A661FE">
        <w:t>.</w:t>
      </w:r>
      <w:r>
        <w:t xml:space="preserve"> </w:t>
      </w:r>
    </w:p>
    <w:p w14:paraId="4A2AC6A2" w14:textId="77777777" w:rsidR="00967F53" w:rsidRDefault="00967F53" w:rsidP="00A661FE">
      <w:pPr>
        <w:pStyle w:val="CGCNumberedPara"/>
      </w:pPr>
      <w:r>
        <w:t xml:space="preserve">The only such </w:t>
      </w:r>
      <w:r w:rsidRPr="00A661FE">
        <w:t>employers</w:t>
      </w:r>
      <w:r>
        <w:t xml:space="preserve"> identified were the two mainland banks operating on Norfolk Island. Staff made a broad estimate of their payrolls on the basis of indicative details of the bank staffing, average salaries of bank branch staff on the </w:t>
      </w:r>
      <w:r w:rsidRPr="00A661FE">
        <w:t>mainland</w:t>
      </w:r>
      <w:r>
        <w:t xml:space="preserve"> and the payrolls estimated in the 2011 </w:t>
      </w:r>
      <w:r w:rsidR="00F547A5">
        <w:t>inquiry</w:t>
      </w:r>
      <w:r>
        <w:t xml:space="preserve">. </w:t>
      </w:r>
    </w:p>
    <w:p w14:paraId="66131C7A" w14:textId="77777777" w:rsidR="00967F53" w:rsidRDefault="00967F53" w:rsidP="00A661FE">
      <w:pPr>
        <w:pStyle w:val="CGCNumberedPara"/>
      </w:pPr>
      <w:r>
        <w:t xml:space="preserve">The resulting estimated payrolls were about $600 000. Applying the average State </w:t>
      </w:r>
      <w:r w:rsidRPr="00A661FE">
        <w:t>tax</w:t>
      </w:r>
      <w:r>
        <w:t xml:space="preserve"> rate to that estimate implied assessed revenue of $29 000 for 2017-18 (see </w:t>
      </w:r>
      <w:r w:rsidR="00BF5DF8">
        <w:t>t</w:t>
      </w:r>
      <w:r>
        <w:t>able C</w:t>
      </w:r>
      <w:r>
        <w:noBreakHyphen/>
        <w:t xml:space="preserve">1). This estimate is similar to that assessed for 2009-10 in the 2011 </w:t>
      </w:r>
      <w:r w:rsidR="00F547A5">
        <w:t>inquiry</w:t>
      </w:r>
      <w:r>
        <w:t xml:space="preserve"> ($26 000).</w:t>
      </w:r>
    </w:p>
    <w:p w14:paraId="0638562E" w14:textId="77777777" w:rsidR="00967F53" w:rsidRDefault="00967F53" w:rsidP="00967F53">
      <w:pPr>
        <w:pStyle w:val="Heading3"/>
      </w:pPr>
      <w:bookmarkStart w:id="449" w:name="_Toc17380491"/>
      <w:bookmarkStart w:id="450" w:name="_Toc19262945"/>
      <w:bookmarkStart w:id="451" w:name="_Toc23847490"/>
      <w:r>
        <w:lastRenderedPageBreak/>
        <w:t>Land tax</w:t>
      </w:r>
      <w:bookmarkEnd w:id="449"/>
      <w:bookmarkEnd w:id="450"/>
      <w:bookmarkEnd w:id="451"/>
    </w:p>
    <w:p w14:paraId="3A4EDEBB" w14:textId="77777777" w:rsidR="00967F53" w:rsidRDefault="00967F53" w:rsidP="00967F53">
      <w:pPr>
        <w:pStyle w:val="Heading4"/>
      </w:pPr>
      <w:bookmarkStart w:id="452" w:name="_Toc17380492"/>
      <w:bookmarkStart w:id="453" w:name="_Toc19262946"/>
      <w:bookmarkStart w:id="454" w:name="_Toc23847491"/>
      <w:r>
        <w:t>State and Norfolk Island taxation arrangements</w:t>
      </w:r>
      <w:bookmarkEnd w:id="452"/>
      <w:bookmarkEnd w:id="453"/>
      <w:bookmarkEnd w:id="454"/>
    </w:p>
    <w:p w14:paraId="7EC3725D" w14:textId="77777777" w:rsidR="00967F53" w:rsidRPr="00D36C6C" w:rsidRDefault="00967F53" w:rsidP="00A661FE">
      <w:pPr>
        <w:pStyle w:val="CGCNumberedPara"/>
      </w:pPr>
      <w:r w:rsidRPr="00D36C6C">
        <w:t>All States, except the Northern Territory impose a land tax. However, there is much variation across the States in their taxation arrangements. In general, land tax is imposed on commercial, industrial and other income producing land</w:t>
      </w:r>
      <w:r w:rsidR="0073311B">
        <w:t>.</w:t>
      </w:r>
      <w:r w:rsidRPr="008B014C">
        <w:rPr>
          <w:rStyle w:val="FootnoteReference"/>
        </w:rPr>
        <w:footnoteReference w:id="14"/>
      </w:r>
      <w:r w:rsidRPr="00D36C6C">
        <w:t xml:space="preserve"> Principal residential properties and </w:t>
      </w:r>
      <w:r w:rsidRPr="00A661FE">
        <w:t>productive</w:t>
      </w:r>
      <w:r w:rsidRPr="00D36C6C">
        <w:t xml:space="preserve"> rural land are usually exempt, but hobby farms are not. Leasehold land is variously treated. The tax scales are progressive but tax free thresholds and the points at which the tax rates change vary between States.</w:t>
      </w:r>
    </w:p>
    <w:p w14:paraId="2B075019" w14:textId="77777777" w:rsidR="00967F53" w:rsidRDefault="0073311B" w:rsidP="00D36C6C">
      <w:pPr>
        <w:pStyle w:val="CGCNumberedPara"/>
      </w:pPr>
      <w:r>
        <w:t xml:space="preserve">Table C-3 </w:t>
      </w:r>
      <w:r w:rsidR="00967F53" w:rsidRPr="00D36C6C">
        <w:t>provides</w:t>
      </w:r>
      <w:r w:rsidR="00967F53">
        <w:t xml:space="preserve"> some details of the State land tax arrangements in 2017-18.</w:t>
      </w:r>
    </w:p>
    <w:p w14:paraId="5298A1BA" w14:textId="77777777" w:rsidR="00967F53" w:rsidRDefault="00967F53" w:rsidP="00967F53">
      <w:pPr>
        <w:pStyle w:val="CGCTableHeading"/>
        <w:ind w:left="0" w:firstLine="0"/>
      </w:pPr>
      <w:r>
        <w:t>Table C-</w:t>
      </w:r>
      <w:r w:rsidR="0073311B">
        <w:t>3</w:t>
      </w:r>
      <w:r>
        <w:tab/>
        <w:t>State land tax arrangements, 2017-18</w:t>
      </w:r>
    </w:p>
    <w:tbl>
      <w:tblPr>
        <w:tblW w:w="5001" w:type="pct"/>
        <w:tblCellMar>
          <w:left w:w="85" w:type="dxa"/>
          <w:right w:w="85" w:type="dxa"/>
        </w:tblCellMar>
        <w:tblLook w:val="04A0" w:firstRow="1" w:lastRow="0" w:firstColumn="1" w:lastColumn="0" w:noHBand="0" w:noVBand="1"/>
      </w:tblPr>
      <w:tblGrid>
        <w:gridCol w:w="6301"/>
        <w:gridCol w:w="186"/>
        <w:gridCol w:w="2466"/>
      </w:tblGrid>
      <w:tr w:rsidR="00967F53" w14:paraId="321C67F3" w14:textId="77777777" w:rsidTr="00967F53">
        <w:tc>
          <w:tcPr>
            <w:tcW w:w="3519" w:type="pct"/>
            <w:tcBorders>
              <w:top w:val="single" w:sz="4" w:space="0" w:color="auto"/>
              <w:left w:val="nil"/>
              <w:bottom w:val="nil"/>
              <w:right w:val="nil"/>
            </w:tcBorders>
            <w:vAlign w:val="bottom"/>
            <w:hideMark/>
          </w:tcPr>
          <w:p w14:paraId="448143D2" w14:textId="77777777" w:rsidR="00967F53" w:rsidRDefault="00967F53" w:rsidP="003B3E12">
            <w:pPr>
              <w:pStyle w:val="CGCTableStub"/>
              <w:rPr>
                <w:rFonts w:cstheme="minorHAnsi"/>
              </w:rPr>
            </w:pPr>
            <w:r>
              <w:rPr>
                <w:rFonts w:cstheme="minorHAnsi"/>
              </w:rPr>
              <w:t>Australian average revenue per capita</w:t>
            </w:r>
            <w:r w:rsidR="003B3E12">
              <w:rPr>
                <w:rFonts w:cstheme="minorHAnsi"/>
              </w:rPr>
              <w:t xml:space="preserve"> </w:t>
            </w:r>
            <w:r>
              <w:rPr>
                <w:rFonts w:cstheme="minorHAnsi"/>
              </w:rPr>
              <w:t>($ per capita)</w:t>
            </w:r>
          </w:p>
        </w:tc>
        <w:tc>
          <w:tcPr>
            <w:tcW w:w="104" w:type="pct"/>
            <w:tcBorders>
              <w:top w:val="single" w:sz="4" w:space="0" w:color="auto"/>
              <w:left w:val="nil"/>
              <w:bottom w:val="nil"/>
              <w:right w:val="nil"/>
            </w:tcBorders>
            <w:vAlign w:val="bottom"/>
          </w:tcPr>
          <w:p w14:paraId="2E13B4AB" w14:textId="77777777" w:rsidR="00967F53" w:rsidRDefault="00967F53">
            <w:pPr>
              <w:pStyle w:val="TableRowNormal"/>
              <w:rPr>
                <w:rFonts w:cstheme="minorHAnsi"/>
              </w:rPr>
            </w:pPr>
          </w:p>
        </w:tc>
        <w:tc>
          <w:tcPr>
            <w:tcW w:w="1377" w:type="pct"/>
            <w:tcBorders>
              <w:top w:val="single" w:sz="4" w:space="0" w:color="auto"/>
              <w:left w:val="nil"/>
              <w:bottom w:val="nil"/>
              <w:right w:val="nil"/>
            </w:tcBorders>
            <w:vAlign w:val="bottom"/>
            <w:hideMark/>
          </w:tcPr>
          <w:p w14:paraId="4506D4BE" w14:textId="77777777" w:rsidR="00967F53" w:rsidRDefault="00967F53">
            <w:pPr>
              <w:pStyle w:val="TableRowNormal"/>
              <w:rPr>
                <w:rFonts w:cstheme="minorHAnsi"/>
              </w:rPr>
            </w:pPr>
            <w:r>
              <w:rPr>
                <w:rFonts w:cstheme="minorHAnsi"/>
              </w:rPr>
              <w:t>$363</w:t>
            </w:r>
          </w:p>
        </w:tc>
      </w:tr>
      <w:tr w:rsidR="00967F53" w14:paraId="59C9F441" w14:textId="77777777" w:rsidTr="00DC45D8">
        <w:tc>
          <w:tcPr>
            <w:tcW w:w="3519" w:type="pct"/>
            <w:vAlign w:val="bottom"/>
            <w:hideMark/>
          </w:tcPr>
          <w:p w14:paraId="06CC9079" w14:textId="77777777" w:rsidR="00967F53" w:rsidRDefault="00967F53" w:rsidP="003B3E12">
            <w:pPr>
              <w:pStyle w:val="CGCTableStub"/>
              <w:rPr>
                <w:rFonts w:cstheme="minorHAnsi"/>
              </w:rPr>
            </w:pPr>
            <w:r>
              <w:rPr>
                <w:rFonts w:cstheme="minorHAnsi"/>
              </w:rPr>
              <w:t>Australian average revenue base per capita ($ per capita)</w:t>
            </w:r>
            <w:r w:rsidR="003B3E12">
              <w:rPr>
                <w:rFonts w:cstheme="minorHAnsi"/>
              </w:rPr>
              <w:t xml:space="preserve"> (a)</w:t>
            </w:r>
          </w:p>
        </w:tc>
        <w:tc>
          <w:tcPr>
            <w:tcW w:w="104" w:type="pct"/>
            <w:vAlign w:val="bottom"/>
          </w:tcPr>
          <w:p w14:paraId="70CF3876" w14:textId="77777777" w:rsidR="00967F53" w:rsidRDefault="00967F53">
            <w:pPr>
              <w:pStyle w:val="TableRowNormal"/>
              <w:rPr>
                <w:rFonts w:cstheme="minorHAnsi"/>
              </w:rPr>
            </w:pPr>
          </w:p>
        </w:tc>
        <w:tc>
          <w:tcPr>
            <w:tcW w:w="1377" w:type="pct"/>
            <w:shd w:val="clear" w:color="auto" w:fill="auto"/>
            <w:vAlign w:val="bottom"/>
            <w:hideMark/>
          </w:tcPr>
          <w:p w14:paraId="58B60425" w14:textId="77777777" w:rsidR="00967F53" w:rsidRPr="00DC45D8" w:rsidRDefault="00DC45D8">
            <w:pPr>
              <w:pStyle w:val="TableRowNormal"/>
              <w:rPr>
                <w:rFonts w:cstheme="minorHAnsi"/>
              </w:rPr>
            </w:pPr>
            <w:r w:rsidRPr="00DC45D8">
              <w:rPr>
                <w:rFonts w:cstheme="minorHAnsi"/>
              </w:rPr>
              <w:t>$60 </w:t>
            </w:r>
            <w:r w:rsidR="00967F53" w:rsidRPr="00DC45D8">
              <w:rPr>
                <w:rFonts w:cstheme="minorHAnsi"/>
              </w:rPr>
              <w:t>088</w:t>
            </w:r>
          </w:p>
        </w:tc>
      </w:tr>
      <w:tr w:rsidR="00967F53" w14:paraId="03B98752" w14:textId="77777777" w:rsidTr="00967F53">
        <w:tc>
          <w:tcPr>
            <w:tcW w:w="3519" w:type="pct"/>
            <w:vAlign w:val="bottom"/>
            <w:hideMark/>
          </w:tcPr>
          <w:p w14:paraId="33AC4246" w14:textId="77777777" w:rsidR="00967F53" w:rsidRDefault="00967F53" w:rsidP="003B3E12">
            <w:pPr>
              <w:pStyle w:val="CGCTableStub"/>
              <w:rPr>
                <w:rFonts w:cstheme="minorHAnsi"/>
              </w:rPr>
            </w:pPr>
            <w:r>
              <w:rPr>
                <w:rFonts w:cstheme="minorHAnsi"/>
              </w:rPr>
              <w:t>Australian average tax rate (% of taxable land)</w:t>
            </w:r>
            <w:r w:rsidR="003B3E12">
              <w:rPr>
                <w:rFonts w:cstheme="minorHAnsi"/>
              </w:rPr>
              <w:t xml:space="preserve"> (b)</w:t>
            </w:r>
          </w:p>
        </w:tc>
        <w:tc>
          <w:tcPr>
            <w:tcW w:w="104" w:type="pct"/>
            <w:vAlign w:val="bottom"/>
          </w:tcPr>
          <w:p w14:paraId="7277370B" w14:textId="77777777" w:rsidR="00967F53" w:rsidRDefault="00967F53">
            <w:pPr>
              <w:pStyle w:val="TableRowNormal"/>
              <w:rPr>
                <w:rFonts w:cstheme="minorHAnsi"/>
              </w:rPr>
            </w:pPr>
          </w:p>
        </w:tc>
        <w:tc>
          <w:tcPr>
            <w:tcW w:w="1377" w:type="pct"/>
            <w:vAlign w:val="bottom"/>
            <w:hideMark/>
          </w:tcPr>
          <w:p w14:paraId="62878300" w14:textId="77777777" w:rsidR="00967F53" w:rsidRDefault="00967F53">
            <w:pPr>
              <w:pStyle w:val="TableRowNormal"/>
              <w:rPr>
                <w:rFonts w:cstheme="minorHAnsi"/>
              </w:rPr>
            </w:pPr>
            <w:r>
              <w:rPr>
                <w:rFonts w:cstheme="minorHAnsi"/>
              </w:rPr>
              <w:t>0.8%</w:t>
            </w:r>
          </w:p>
        </w:tc>
      </w:tr>
      <w:tr w:rsidR="00967F53" w14:paraId="39FF31CC" w14:textId="77777777" w:rsidTr="00967F53">
        <w:tc>
          <w:tcPr>
            <w:tcW w:w="3519" w:type="pct"/>
            <w:tcBorders>
              <w:top w:val="nil"/>
              <w:left w:val="nil"/>
              <w:bottom w:val="single" w:sz="4" w:space="0" w:color="auto"/>
              <w:right w:val="nil"/>
            </w:tcBorders>
            <w:hideMark/>
          </w:tcPr>
          <w:p w14:paraId="7F8912FA" w14:textId="77777777" w:rsidR="00967F53" w:rsidRDefault="00967F53" w:rsidP="003B3E12">
            <w:pPr>
              <w:pStyle w:val="CGCTableStub"/>
              <w:rPr>
                <w:rFonts w:cstheme="minorHAnsi"/>
              </w:rPr>
            </w:pPr>
            <w:r>
              <w:rPr>
                <w:rFonts w:cstheme="minorHAnsi"/>
              </w:rPr>
              <w:t>Australian average exemption threshold ($ per landowner)</w:t>
            </w:r>
          </w:p>
        </w:tc>
        <w:tc>
          <w:tcPr>
            <w:tcW w:w="104" w:type="pct"/>
            <w:tcBorders>
              <w:top w:val="nil"/>
              <w:left w:val="nil"/>
              <w:bottom w:val="single" w:sz="4" w:space="0" w:color="auto"/>
              <w:right w:val="nil"/>
            </w:tcBorders>
            <w:vAlign w:val="bottom"/>
          </w:tcPr>
          <w:p w14:paraId="48A9F7E2" w14:textId="77777777" w:rsidR="00967F53" w:rsidRDefault="00967F53">
            <w:pPr>
              <w:pStyle w:val="TableRowNormal"/>
              <w:rPr>
                <w:rFonts w:cstheme="minorHAnsi"/>
              </w:rPr>
            </w:pPr>
          </w:p>
        </w:tc>
        <w:tc>
          <w:tcPr>
            <w:tcW w:w="1377" w:type="pct"/>
            <w:tcBorders>
              <w:top w:val="nil"/>
              <w:left w:val="nil"/>
              <w:bottom w:val="single" w:sz="4" w:space="0" w:color="auto"/>
              <w:right w:val="nil"/>
            </w:tcBorders>
            <w:vAlign w:val="bottom"/>
            <w:hideMark/>
          </w:tcPr>
          <w:p w14:paraId="3B9764B4" w14:textId="77777777" w:rsidR="00967F53" w:rsidRDefault="00967F53">
            <w:pPr>
              <w:pStyle w:val="TableRowNormal"/>
              <w:rPr>
                <w:rFonts w:cstheme="minorHAnsi"/>
              </w:rPr>
            </w:pPr>
            <w:r>
              <w:rPr>
                <w:rFonts w:cstheme="minorHAnsi"/>
              </w:rPr>
              <w:t>Varies between zero in the ACT and $600 000 in QLD</w:t>
            </w:r>
          </w:p>
        </w:tc>
      </w:tr>
    </w:tbl>
    <w:p w14:paraId="0E2621E0" w14:textId="77777777" w:rsidR="00967F53" w:rsidRDefault="00967F53" w:rsidP="00967F53">
      <w:pPr>
        <w:pStyle w:val="CGCTableFootnote"/>
        <w:ind w:left="567" w:hanging="567"/>
      </w:pPr>
      <w:r>
        <w:t>(a)</w:t>
      </w:r>
      <w:r>
        <w:tab/>
        <w:t>Measured as the value of commercial, industrial and other income producing land (including non-principal places of residence).</w:t>
      </w:r>
    </w:p>
    <w:p w14:paraId="67EE3BC8" w14:textId="77777777" w:rsidR="00967F53" w:rsidRDefault="00967F53" w:rsidP="00967F53">
      <w:pPr>
        <w:pStyle w:val="CGCTableFootnote"/>
        <w:ind w:left="567" w:hanging="567"/>
      </w:pPr>
      <w:r>
        <w:t>(b)</w:t>
      </w:r>
      <w:r>
        <w:tab/>
        <w:t>Calculated as total revenue per capita divided by the total value of taxable land per capita. However, land tax is imposed on a progressive basis with Australian average rates increasing from 0.1% in the lowest value range to 1.6% for properties valued at over $3 million.</w:t>
      </w:r>
    </w:p>
    <w:p w14:paraId="39784458" w14:textId="77777777" w:rsidR="00967F53" w:rsidRDefault="00967F53" w:rsidP="00DB49FB">
      <w:pPr>
        <w:pStyle w:val="CGCTableFootnote"/>
        <w:ind w:left="705" w:hanging="705"/>
      </w:pPr>
      <w:r>
        <w:t>Sources:</w:t>
      </w:r>
      <w:r>
        <w:tab/>
        <w:t xml:space="preserve">Commonwealth Grants Commission calculations for 2019 Update of State revenue sharing relativities and New South Wales Treasury, </w:t>
      </w:r>
      <w:r>
        <w:rPr>
          <w:i/>
        </w:rPr>
        <w:t>Interstate Comparison of Taxes, 2017-18</w:t>
      </w:r>
      <w:r>
        <w:t>.</w:t>
      </w:r>
    </w:p>
    <w:p w14:paraId="55E2B1E5" w14:textId="77777777" w:rsidR="00967F53" w:rsidRDefault="00967F53" w:rsidP="00A661FE">
      <w:pPr>
        <w:pStyle w:val="CGCNumberedPara"/>
      </w:pPr>
      <w:r>
        <w:t xml:space="preserve">Land tax is not imposed on Norfolk Island. An absentee landowner’s levy was imposed but has been abolished. The last assessments were made in late 2016. They </w:t>
      </w:r>
      <w:r w:rsidRPr="00A661FE">
        <w:t>yielded</w:t>
      </w:r>
      <w:r>
        <w:t xml:space="preserve"> $95 per capita in 2016-17.</w:t>
      </w:r>
    </w:p>
    <w:p w14:paraId="74CF746E" w14:textId="77777777" w:rsidR="00967F53" w:rsidRDefault="00967F53" w:rsidP="00967F53">
      <w:pPr>
        <w:pStyle w:val="Heading4"/>
      </w:pPr>
      <w:bookmarkStart w:id="455" w:name="_Toc17380493"/>
      <w:bookmarkStart w:id="456" w:name="_Toc19262947"/>
      <w:bookmarkStart w:id="457" w:name="_Toc23847492"/>
      <w:r>
        <w:t>Assessed revenue for Norfolk Island</w:t>
      </w:r>
      <w:bookmarkEnd w:id="455"/>
      <w:bookmarkEnd w:id="456"/>
      <w:bookmarkEnd w:id="457"/>
    </w:p>
    <w:p w14:paraId="55B2A2C9" w14:textId="77777777" w:rsidR="00967F53" w:rsidRDefault="00967F53" w:rsidP="00FF5C80">
      <w:pPr>
        <w:pStyle w:val="CGCNumberedPara"/>
      </w:pPr>
      <w:r>
        <w:t xml:space="preserve">As in Commission inquiries into the financial capacities of the States, we have measured </w:t>
      </w:r>
      <w:r w:rsidRPr="00FF5C80">
        <w:t>Norfolk</w:t>
      </w:r>
      <w:r>
        <w:t xml:space="preserve"> Island’s revenue base for land tax as the value of commercial, industrial and non-principal residence land. Since land tax is a progressive tax, the data were classified into value ranges. </w:t>
      </w:r>
    </w:p>
    <w:p w14:paraId="411BD88E" w14:textId="77777777" w:rsidR="00967F53" w:rsidRDefault="00967F53" w:rsidP="00FF5C80">
      <w:pPr>
        <w:pStyle w:val="CGCNumberedPara"/>
      </w:pPr>
      <w:r>
        <w:t xml:space="preserve">Those estimates were made using details of the unimproved value and land type classification for each property on the Island, provided by the Norfolk Island Regional Council (NIRC). The land valuations were prepared in mid-2018 by the Valuer-General for Norfolk Island. </w:t>
      </w:r>
    </w:p>
    <w:p w14:paraId="644F89C3" w14:textId="77777777" w:rsidR="00967F53" w:rsidRPr="00955788" w:rsidRDefault="00967F53" w:rsidP="00955788">
      <w:pPr>
        <w:pStyle w:val="CGCNumberedPara"/>
      </w:pPr>
      <w:r>
        <w:lastRenderedPageBreak/>
        <w:t xml:space="preserve">While the valuation data provided reliable details of the value of commercial and industrial land, it was necessary to estimate the value of land used for non-principal </w:t>
      </w:r>
      <w:r w:rsidRPr="00955788">
        <w:t>residences</w:t>
      </w:r>
      <w:r>
        <w:t xml:space="preserve">. The value of residential and rural residential properties was apportioned between principal and non-principal residences by reference to the proportion of households on Norfolk who rent their home as observed in the 2016 Census. A similar process is adopted in </w:t>
      </w:r>
      <w:r w:rsidRPr="00955788">
        <w:t xml:space="preserve">Commission inquiries into State financial capacities when States cannot provide the relevant details. </w:t>
      </w:r>
    </w:p>
    <w:p w14:paraId="5A64F74C" w14:textId="77777777" w:rsidR="00967F53" w:rsidRPr="00955788" w:rsidRDefault="00967F53" w:rsidP="00955788">
      <w:pPr>
        <w:pStyle w:val="CGCNumberedPara"/>
      </w:pPr>
      <w:r w:rsidRPr="00955788">
        <w:t xml:space="preserve">The resulting estimated value of taxable land on Norfolk Island was $58.5 million. Properties valued at less than $200 000 accounted for 65% of that total value. </w:t>
      </w:r>
    </w:p>
    <w:p w14:paraId="6E70094E" w14:textId="77777777" w:rsidR="00967F53" w:rsidRPr="00955788" w:rsidRDefault="00967F53" w:rsidP="00955788">
      <w:pPr>
        <w:pStyle w:val="CGCNumberedPara"/>
      </w:pPr>
      <w:r w:rsidRPr="00955788">
        <w:t>Applying the average State tax rate for each value range to the taxable value of land in each range produced a total assessed land tax revenue of $58 000 for 2017-18 (s</w:t>
      </w:r>
      <w:r w:rsidR="00316A79">
        <w:t>ee t</w:t>
      </w:r>
      <w:r w:rsidRPr="00955788">
        <w:t>able C-</w:t>
      </w:r>
      <w:r w:rsidR="00FD4DD1">
        <w:t>3</w:t>
      </w:r>
      <w:r w:rsidRPr="00955788">
        <w:t>).</w:t>
      </w:r>
    </w:p>
    <w:p w14:paraId="5B21E859" w14:textId="77777777" w:rsidR="00967F53" w:rsidRDefault="00FD4DD1" w:rsidP="00955788">
      <w:pPr>
        <w:pStyle w:val="CGCNumberedPara"/>
      </w:pPr>
      <w:r>
        <w:t>That estim</w:t>
      </w:r>
      <w:r w:rsidR="00967F53" w:rsidRPr="00955788">
        <w:t xml:space="preserve">ated assessed revenue is much lower than that assessed for 2009-10 in the 2011 </w:t>
      </w:r>
      <w:r w:rsidR="00F547A5" w:rsidRPr="00955788">
        <w:t>inquiry</w:t>
      </w:r>
      <w:r w:rsidR="00967F53" w:rsidRPr="00955788">
        <w:t xml:space="preserve"> ($942 000). About 90% of the reduction in assessed revenue is due to a fall in land values. The estimated taxable value of land in 2009-10 was $109.2 million, of which 71.7 per cent was valued at over $1 million per property. However, by 2017</w:t>
      </w:r>
      <w:r w:rsidR="00967F53" w:rsidRPr="00955788">
        <w:noBreakHyphen/>
        <w:t xml:space="preserve">18, the taxable value of land had fallen to $58.5 million and only 3.3% of it was accounted for </w:t>
      </w:r>
      <w:r w:rsidR="00A901DC">
        <w:t>by properties valued at over $1 </w:t>
      </w:r>
      <w:r w:rsidR="00967F53" w:rsidRPr="00955788">
        <w:t>million. The remaining fall in assessed revenue</w:t>
      </w:r>
      <w:r w:rsidR="00967F53">
        <w:t xml:space="preserve"> was due to a decline in the average State tax rates.</w:t>
      </w:r>
    </w:p>
    <w:p w14:paraId="3EDB97A4" w14:textId="77777777" w:rsidR="00967F53" w:rsidRDefault="00967F53" w:rsidP="00955788">
      <w:pPr>
        <w:pStyle w:val="CGCNumberedPara"/>
      </w:pPr>
      <w:r>
        <w:t xml:space="preserve">The Valuer-General for Norfolk Island has indicated the fall in the taxable value of land reflects the </w:t>
      </w:r>
      <w:r w:rsidRPr="00955788">
        <w:t>combined</w:t>
      </w:r>
      <w:r>
        <w:t xml:space="preserve"> effects of an overestimation of previous land values.</w:t>
      </w:r>
    </w:p>
    <w:p w14:paraId="09554B58" w14:textId="77777777" w:rsidR="00967F53" w:rsidRDefault="00967F53" w:rsidP="00967F53">
      <w:pPr>
        <w:pStyle w:val="Heading3"/>
      </w:pPr>
      <w:bookmarkStart w:id="458" w:name="_Toc17380494"/>
      <w:bookmarkStart w:id="459" w:name="_Toc19262948"/>
      <w:bookmarkStart w:id="460" w:name="_Toc23847493"/>
      <w:r>
        <w:t>Stamp duty on conveyances</w:t>
      </w:r>
      <w:bookmarkEnd w:id="458"/>
      <w:bookmarkEnd w:id="459"/>
      <w:bookmarkEnd w:id="460"/>
    </w:p>
    <w:p w14:paraId="28381D80" w14:textId="77777777" w:rsidR="00967F53" w:rsidRDefault="00967F53" w:rsidP="00967F53">
      <w:pPr>
        <w:pStyle w:val="Heading4"/>
      </w:pPr>
      <w:bookmarkStart w:id="461" w:name="_Toc17380495"/>
      <w:bookmarkStart w:id="462" w:name="_Toc19262949"/>
      <w:bookmarkStart w:id="463" w:name="_Toc23847494"/>
      <w:r>
        <w:t>State and Norfolk Island taxation arrangements</w:t>
      </w:r>
      <w:bookmarkEnd w:id="461"/>
      <w:bookmarkEnd w:id="462"/>
      <w:bookmarkEnd w:id="463"/>
    </w:p>
    <w:p w14:paraId="0BD089A0" w14:textId="77777777" w:rsidR="00967F53" w:rsidRDefault="00967F53" w:rsidP="00CD50F3">
      <w:pPr>
        <w:pStyle w:val="CGCNumberedPara"/>
      </w:pPr>
      <w:r>
        <w:t xml:space="preserve">All States levy </w:t>
      </w:r>
      <w:r w:rsidRPr="00CD50F3">
        <w:t>stamp</w:t>
      </w:r>
      <w:r>
        <w:t xml:space="preserve"> duty on conveyances on the transfer of a range of real property including land, houses and business property.</w:t>
      </w:r>
      <w:r>
        <w:rPr>
          <w:rStyle w:val="FootnoteReference"/>
        </w:rPr>
        <w:footnoteReference w:id="15"/>
      </w:r>
      <w:r>
        <w:t xml:space="preserve"> The duty is paid by the purchaser.</w:t>
      </w:r>
    </w:p>
    <w:p w14:paraId="5A3C7599" w14:textId="77777777" w:rsidR="00967F53" w:rsidRDefault="00967F53" w:rsidP="00CD50F3">
      <w:pPr>
        <w:pStyle w:val="CGCNumberedPara"/>
      </w:pPr>
      <w:r>
        <w:t>The duty is levied on the market value of property transferred. States have tiered rate structures where the marginal rate of duty generally increases with the value of property. Many States impose a surcharge on purchases of residential properties by foreigners.</w:t>
      </w:r>
      <w:r w:rsidR="00C661D5">
        <w:rPr>
          <w:rStyle w:val="FootnoteReference"/>
        </w:rPr>
        <w:footnoteReference w:id="16"/>
      </w:r>
      <w:r>
        <w:t xml:space="preserve"> All States grant exemptions or concessions to some types of transfers, especially those involving first home buyers. </w:t>
      </w:r>
    </w:p>
    <w:p w14:paraId="5C784A71" w14:textId="77777777" w:rsidR="00967F53" w:rsidRDefault="00344739" w:rsidP="00CD50F3">
      <w:pPr>
        <w:pStyle w:val="CGCNumberedPara"/>
      </w:pPr>
      <w:r>
        <w:lastRenderedPageBreak/>
        <w:t xml:space="preserve">Table C-4 </w:t>
      </w:r>
      <w:r w:rsidR="00967F53">
        <w:t>provides some details of the State conveyance duty arrangements in 2017</w:t>
      </w:r>
      <w:r w:rsidR="00967F53">
        <w:noBreakHyphen/>
        <w:t>18.</w:t>
      </w:r>
    </w:p>
    <w:p w14:paraId="0DCCC56B" w14:textId="77777777" w:rsidR="00967F53" w:rsidRDefault="00967F53" w:rsidP="00967F53">
      <w:pPr>
        <w:pStyle w:val="CGCTableHeading"/>
        <w:ind w:left="0" w:firstLine="0"/>
      </w:pPr>
      <w:r>
        <w:t>Table C-</w:t>
      </w:r>
      <w:r w:rsidR="00344739">
        <w:t>4</w:t>
      </w:r>
      <w:r>
        <w:tab/>
        <w:t>State stamp duty on conveyances arrangements, 2017-18</w:t>
      </w:r>
    </w:p>
    <w:tbl>
      <w:tblPr>
        <w:tblW w:w="5001" w:type="pct"/>
        <w:tblCellMar>
          <w:left w:w="85" w:type="dxa"/>
          <w:right w:w="85" w:type="dxa"/>
        </w:tblCellMar>
        <w:tblLook w:val="04A0" w:firstRow="1" w:lastRow="0" w:firstColumn="1" w:lastColumn="0" w:noHBand="0" w:noVBand="1"/>
      </w:tblPr>
      <w:tblGrid>
        <w:gridCol w:w="6301"/>
        <w:gridCol w:w="186"/>
        <w:gridCol w:w="2466"/>
      </w:tblGrid>
      <w:tr w:rsidR="00967F53" w14:paraId="16175F77" w14:textId="77777777" w:rsidTr="00967F53">
        <w:tc>
          <w:tcPr>
            <w:tcW w:w="3519" w:type="pct"/>
            <w:tcBorders>
              <w:top w:val="single" w:sz="4" w:space="0" w:color="auto"/>
              <w:left w:val="nil"/>
              <w:bottom w:val="nil"/>
              <w:right w:val="nil"/>
            </w:tcBorders>
            <w:vAlign w:val="bottom"/>
            <w:hideMark/>
          </w:tcPr>
          <w:p w14:paraId="03BE50B9" w14:textId="77777777" w:rsidR="00967F53" w:rsidRDefault="00967F53" w:rsidP="005C41D0">
            <w:pPr>
              <w:pStyle w:val="CGCTableStub"/>
              <w:rPr>
                <w:rFonts w:cstheme="minorHAnsi"/>
              </w:rPr>
            </w:pPr>
            <w:r>
              <w:rPr>
                <w:rFonts w:cstheme="minorHAnsi"/>
              </w:rPr>
              <w:t xml:space="preserve">Australian average revenue per </w:t>
            </w:r>
            <w:r w:rsidR="005C41D0">
              <w:rPr>
                <w:rFonts w:cstheme="minorHAnsi"/>
              </w:rPr>
              <w:t>capita</w:t>
            </w:r>
          </w:p>
        </w:tc>
        <w:tc>
          <w:tcPr>
            <w:tcW w:w="104" w:type="pct"/>
            <w:tcBorders>
              <w:top w:val="single" w:sz="4" w:space="0" w:color="auto"/>
              <w:left w:val="nil"/>
              <w:bottom w:val="nil"/>
              <w:right w:val="nil"/>
            </w:tcBorders>
            <w:vAlign w:val="bottom"/>
          </w:tcPr>
          <w:p w14:paraId="372B7B2F" w14:textId="77777777" w:rsidR="00967F53" w:rsidRDefault="00967F53">
            <w:pPr>
              <w:pStyle w:val="TableRowNormal"/>
              <w:rPr>
                <w:rFonts w:cstheme="minorHAnsi"/>
              </w:rPr>
            </w:pPr>
          </w:p>
        </w:tc>
        <w:tc>
          <w:tcPr>
            <w:tcW w:w="1377" w:type="pct"/>
            <w:tcBorders>
              <w:top w:val="single" w:sz="4" w:space="0" w:color="auto"/>
              <w:left w:val="nil"/>
              <w:bottom w:val="nil"/>
              <w:right w:val="nil"/>
            </w:tcBorders>
            <w:vAlign w:val="bottom"/>
            <w:hideMark/>
          </w:tcPr>
          <w:p w14:paraId="1A2199D6" w14:textId="77777777" w:rsidR="00967F53" w:rsidRDefault="00967F53">
            <w:pPr>
              <w:pStyle w:val="TableRowNormal"/>
              <w:rPr>
                <w:rFonts w:cstheme="minorHAnsi"/>
              </w:rPr>
            </w:pPr>
            <w:r>
              <w:rPr>
                <w:rFonts w:cstheme="minorHAnsi"/>
              </w:rPr>
              <w:t>$825</w:t>
            </w:r>
          </w:p>
        </w:tc>
      </w:tr>
      <w:tr w:rsidR="00967F53" w14:paraId="01AC6266" w14:textId="77777777" w:rsidTr="00967F53">
        <w:tc>
          <w:tcPr>
            <w:tcW w:w="3519" w:type="pct"/>
            <w:vAlign w:val="bottom"/>
            <w:hideMark/>
          </w:tcPr>
          <w:p w14:paraId="19B61EF7" w14:textId="77777777" w:rsidR="00967F53" w:rsidRDefault="00967F53" w:rsidP="005C41D0">
            <w:pPr>
              <w:pStyle w:val="CGCTableStub"/>
              <w:rPr>
                <w:rFonts w:cstheme="minorHAnsi"/>
              </w:rPr>
            </w:pPr>
            <w:r>
              <w:rPr>
                <w:rFonts w:cstheme="minorHAnsi"/>
              </w:rPr>
              <w:t xml:space="preserve">Australian average revenue base per capita </w:t>
            </w:r>
            <w:r>
              <w:rPr>
                <w:rFonts w:cstheme="minorHAnsi"/>
                <w:vertAlign w:val="superscript"/>
              </w:rPr>
              <w:t>(a</w:t>
            </w:r>
            <w:r w:rsidR="005C41D0">
              <w:rPr>
                <w:rFonts w:cstheme="minorHAnsi"/>
                <w:vertAlign w:val="superscript"/>
              </w:rPr>
              <w:t>)</w:t>
            </w:r>
          </w:p>
        </w:tc>
        <w:tc>
          <w:tcPr>
            <w:tcW w:w="104" w:type="pct"/>
            <w:vAlign w:val="bottom"/>
          </w:tcPr>
          <w:p w14:paraId="7ACEAF30" w14:textId="77777777" w:rsidR="00967F53" w:rsidRDefault="00967F53">
            <w:pPr>
              <w:pStyle w:val="TableRowNormal"/>
              <w:rPr>
                <w:rFonts w:cstheme="minorHAnsi"/>
              </w:rPr>
            </w:pPr>
          </w:p>
        </w:tc>
        <w:tc>
          <w:tcPr>
            <w:tcW w:w="1377" w:type="pct"/>
            <w:vAlign w:val="bottom"/>
            <w:hideMark/>
          </w:tcPr>
          <w:p w14:paraId="6623ACE3" w14:textId="77777777" w:rsidR="00967F53" w:rsidRPr="005C41D0" w:rsidRDefault="00967F53">
            <w:pPr>
              <w:pStyle w:val="TableRowNormal"/>
              <w:rPr>
                <w:rFonts w:cstheme="minorHAnsi"/>
              </w:rPr>
            </w:pPr>
            <w:r w:rsidRPr="005C41D0">
              <w:rPr>
                <w:rFonts w:cstheme="minorHAnsi"/>
              </w:rPr>
              <w:t>$21 981</w:t>
            </w:r>
          </w:p>
        </w:tc>
      </w:tr>
      <w:tr w:rsidR="00967F53" w14:paraId="666CBE86" w14:textId="77777777" w:rsidTr="00967F53">
        <w:tc>
          <w:tcPr>
            <w:tcW w:w="3519" w:type="pct"/>
            <w:tcBorders>
              <w:top w:val="nil"/>
              <w:left w:val="nil"/>
              <w:bottom w:val="single" w:sz="4" w:space="0" w:color="auto"/>
              <w:right w:val="nil"/>
            </w:tcBorders>
            <w:vAlign w:val="bottom"/>
            <w:hideMark/>
          </w:tcPr>
          <w:p w14:paraId="4D47A60A" w14:textId="77777777" w:rsidR="00967F53" w:rsidRDefault="00967F53" w:rsidP="005C41D0">
            <w:pPr>
              <w:pStyle w:val="CGCTableStub"/>
              <w:rPr>
                <w:rFonts w:cstheme="minorHAnsi"/>
              </w:rPr>
            </w:pPr>
            <w:r>
              <w:rPr>
                <w:rFonts w:cstheme="minorHAnsi"/>
              </w:rPr>
              <w:t xml:space="preserve">Australian average tax rate </w:t>
            </w:r>
            <w:r>
              <w:rPr>
                <w:rFonts w:cstheme="minorHAnsi"/>
                <w:vertAlign w:val="superscript"/>
              </w:rPr>
              <w:t>(b)</w:t>
            </w:r>
            <w:r w:rsidR="005C41D0">
              <w:rPr>
                <w:rFonts w:cstheme="minorHAnsi"/>
              </w:rPr>
              <w:t xml:space="preserve"> - % of </w:t>
            </w:r>
            <w:r>
              <w:rPr>
                <w:rFonts w:cstheme="minorHAnsi"/>
              </w:rPr>
              <w:t xml:space="preserve">value </w:t>
            </w:r>
          </w:p>
        </w:tc>
        <w:tc>
          <w:tcPr>
            <w:tcW w:w="104" w:type="pct"/>
            <w:tcBorders>
              <w:top w:val="nil"/>
              <w:left w:val="nil"/>
              <w:bottom w:val="single" w:sz="4" w:space="0" w:color="auto"/>
              <w:right w:val="nil"/>
            </w:tcBorders>
            <w:vAlign w:val="bottom"/>
          </w:tcPr>
          <w:p w14:paraId="50B9B64F" w14:textId="77777777" w:rsidR="00967F53" w:rsidRDefault="00967F53">
            <w:pPr>
              <w:pStyle w:val="TableRowNormal"/>
              <w:rPr>
                <w:rFonts w:cstheme="minorHAnsi"/>
              </w:rPr>
            </w:pPr>
          </w:p>
        </w:tc>
        <w:tc>
          <w:tcPr>
            <w:tcW w:w="1377" w:type="pct"/>
            <w:tcBorders>
              <w:top w:val="nil"/>
              <w:left w:val="nil"/>
              <w:bottom w:val="single" w:sz="4" w:space="0" w:color="auto"/>
              <w:right w:val="nil"/>
            </w:tcBorders>
            <w:vAlign w:val="bottom"/>
            <w:hideMark/>
          </w:tcPr>
          <w:p w14:paraId="7F93DC06" w14:textId="77777777" w:rsidR="00967F53" w:rsidRDefault="00967F53">
            <w:pPr>
              <w:pStyle w:val="TableRowNormal"/>
              <w:rPr>
                <w:rFonts w:cstheme="minorHAnsi"/>
              </w:rPr>
            </w:pPr>
            <w:r>
              <w:rPr>
                <w:rFonts w:cstheme="minorHAnsi"/>
              </w:rPr>
              <w:t>4.2%</w:t>
            </w:r>
          </w:p>
        </w:tc>
      </w:tr>
    </w:tbl>
    <w:p w14:paraId="74D60DB1" w14:textId="77777777" w:rsidR="00967F53" w:rsidRDefault="00967F53" w:rsidP="00967F53">
      <w:pPr>
        <w:pStyle w:val="CGCTableFootnote"/>
        <w:ind w:left="567" w:hanging="567"/>
      </w:pPr>
      <w:r>
        <w:t>(a)</w:t>
      </w:r>
      <w:r>
        <w:tab/>
        <w:t xml:space="preserve">Measured as the market value of property transferred. </w:t>
      </w:r>
    </w:p>
    <w:p w14:paraId="52D83889" w14:textId="77777777" w:rsidR="00967F53" w:rsidRDefault="00967F53" w:rsidP="00967F53">
      <w:pPr>
        <w:pStyle w:val="CGCTableFootnote"/>
        <w:ind w:left="567" w:hanging="567"/>
      </w:pPr>
      <w:r>
        <w:t>(b)</w:t>
      </w:r>
      <w:r>
        <w:tab/>
        <w:t xml:space="preserve">Calculated as total revenue per capita divided by the total taxable value of property transferred. However, stamp duty on conveyances is imposed on a progressive basis with Australian average </w:t>
      </w:r>
      <w:r w:rsidR="00A901DC">
        <w:t xml:space="preserve">per capita </w:t>
      </w:r>
      <w:r>
        <w:t>rates increasing from 2.4% in the lowest value range to 4.8% for properties with a value over $1.5 million.</w:t>
      </w:r>
    </w:p>
    <w:p w14:paraId="4BFDB5B6" w14:textId="77777777" w:rsidR="00967F53" w:rsidRDefault="00967F53" w:rsidP="00A901DC">
      <w:pPr>
        <w:pStyle w:val="CGCTableFootnote"/>
        <w:ind w:left="705" w:hanging="705"/>
      </w:pPr>
      <w:r>
        <w:t>Sources:</w:t>
      </w:r>
      <w:r>
        <w:tab/>
        <w:t xml:space="preserve">Commonwealth Grants Commission calculations for 2019 Update of State revenue sharing relativities and New South Wales Treasury, </w:t>
      </w:r>
      <w:r>
        <w:rPr>
          <w:i/>
        </w:rPr>
        <w:t>Interstate Comparison of Taxes, 2017-18</w:t>
      </w:r>
      <w:r>
        <w:t>.</w:t>
      </w:r>
    </w:p>
    <w:p w14:paraId="5F30EE11" w14:textId="77777777" w:rsidR="00967F53" w:rsidRDefault="00967F53" w:rsidP="00CD50F3">
      <w:pPr>
        <w:pStyle w:val="CGCNumberedPara"/>
      </w:pPr>
      <w:r>
        <w:t>Land title fees are charged on Norfolk Island. The fee is 4% of the payment for the transfer or $935 when there is no payment</w:t>
      </w:r>
      <w:r w:rsidR="00AF0416">
        <w:t xml:space="preserve"> in 2017-18</w:t>
      </w:r>
      <w:r>
        <w:t xml:space="preserve">. We treated these fees as stamp duty on </w:t>
      </w:r>
      <w:r w:rsidRPr="00CD50F3">
        <w:t>conveyances</w:t>
      </w:r>
      <w:r>
        <w:t xml:space="preserve">. The same approach was used in the Commission’s 2006 and 2011 inquiries. </w:t>
      </w:r>
    </w:p>
    <w:p w14:paraId="7329F20A" w14:textId="77777777" w:rsidR="00967F53" w:rsidRDefault="00967F53" w:rsidP="00967F53">
      <w:pPr>
        <w:pStyle w:val="Heading4"/>
      </w:pPr>
      <w:bookmarkStart w:id="464" w:name="_Toc17380496"/>
      <w:bookmarkStart w:id="465" w:name="_Toc19262950"/>
      <w:bookmarkStart w:id="466" w:name="_Toc23847495"/>
      <w:r>
        <w:t>Assessed revenue for Norfolk Island</w:t>
      </w:r>
      <w:bookmarkEnd w:id="464"/>
      <w:bookmarkEnd w:id="465"/>
      <w:bookmarkEnd w:id="466"/>
    </w:p>
    <w:p w14:paraId="2B37711B" w14:textId="77777777" w:rsidR="00967F53" w:rsidRPr="00C47D6D" w:rsidRDefault="00967F53" w:rsidP="00C47D6D">
      <w:pPr>
        <w:pStyle w:val="CGCNumberedPara"/>
      </w:pPr>
      <w:r>
        <w:t xml:space="preserve">Norfolk’s assessed revenue for 2017-18 has been estimated by applying the average State conveyance duty rates to the value of land transferred during 2017-18. The value of the transfers was dissected by value range to enable the assessment </w:t>
      </w:r>
      <w:r w:rsidRPr="00C47D6D">
        <w:t>to take account of the State’s progressive rate structure. The same process is used in the Commission’s State financing inquiries and in previous Norfolk Island inquiries.</w:t>
      </w:r>
    </w:p>
    <w:p w14:paraId="08FADBE0" w14:textId="77777777" w:rsidR="00967F53" w:rsidRPr="00C47D6D" w:rsidRDefault="00967F53" w:rsidP="00C47D6D">
      <w:pPr>
        <w:pStyle w:val="CGCNumberedPara"/>
      </w:pPr>
      <w:r w:rsidRPr="00C47D6D">
        <w:t xml:space="preserve">NIRC has provided details of the value and type of property transfers in the 2016, 2017 and 2018 calendar years. However, the data indicated many of the transfers were made for ‘natural love and affection’ and are not valued. Furthermore, the data showed considerable volatility in the number and value of transfers over the three years, which may have reflected the changes and uncertainty on Norfolk Island over those years. </w:t>
      </w:r>
    </w:p>
    <w:p w14:paraId="1AD1C34B" w14:textId="77777777" w:rsidR="00967F53" w:rsidRDefault="00967F53" w:rsidP="00C47D6D">
      <w:pPr>
        <w:pStyle w:val="CGCNumberedPara"/>
      </w:pPr>
      <w:r w:rsidRPr="00C47D6D">
        <w:t>In the States, conveyance duty based on the value of the property transferred would be imposed on the value of property transferred for ‘natural love and affection’. We, therefore, estimated the value of those transfers on Norfolk Island. We did so on the basis that the value of each transfer for ‘natural love and affection’ was equal to the average value per property of ‘priced’ transfers of a similar type of property. For example, each of the 13 rural properties and the four business properties transferred for ‘natural love and affection’ were assumed to have</w:t>
      </w:r>
      <w:r>
        <w:t xml:space="preserve"> a value equal to the average value of ‘priced’ transfers of rural and business properties, respectively.  </w:t>
      </w:r>
    </w:p>
    <w:p w14:paraId="7C3DE072" w14:textId="77777777" w:rsidR="00967F53" w:rsidRDefault="00967F53" w:rsidP="00484699">
      <w:pPr>
        <w:pStyle w:val="CGCNumberedPara"/>
      </w:pPr>
      <w:r>
        <w:t xml:space="preserve">While State revenue bases for stamp duty on conveyances show year to year volatility, the volatility on Norfolk Island over 2016 to 2018 was much higher. To </w:t>
      </w:r>
      <w:r>
        <w:lastRenderedPageBreak/>
        <w:t xml:space="preserve">better reflect the potentially taxable activity in less turbulent times, we estimated </w:t>
      </w:r>
      <w:r w:rsidRPr="00484699">
        <w:t>Norfolk</w:t>
      </w:r>
      <w:r>
        <w:t xml:space="preserve"> Island’s revenue base as the average value of transfers over the three years 2016 to 2018, plus the estimated value of transfers ‘for natural love and affection’. </w:t>
      </w:r>
    </w:p>
    <w:p w14:paraId="6CD86B33" w14:textId="77777777" w:rsidR="00967F53" w:rsidRDefault="00967F53" w:rsidP="00C47D6D">
      <w:pPr>
        <w:pStyle w:val="CGCNumberedPara"/>
      </w:pPr>
      <w:r>
        <w:t>Applying the average State tax rate for each value range to the estimated value of transfers in each range produced a total assessed conveyance duty revenue of $90</w:t>
      </w:r>
      <w:r w:rsidR="00344739">
        <w:t>4 000 for 2017-18 (see Table C-</w:t>
      </w:r>
      <w:r w:rsidR="00E1550A">
        <w:t>1</w:t>
      </w:r>
      <w:r>
        <w:t>).</w:t>
      </w:r>
    </w:p>
    <w:p w14:paraId="4595720C" w14:textId="77777777" w:rsidR="00967F53" w:rsidRDefault="00967F53" w:rsidP="00484699">
      <w:pPr>
        <w:pStyle w:val="CGCNumberedPara"/>
      </w:pPr>
      <w:r>
        <w:t xml:space="preserve">That estimated assessed revenue is higher than that assessed for 2009-10 in the 2011 </w:t>
      </w:r>
      <w:r w:rsidR="00F547A5">
        <w:t>inquiry</w:t>
      </w:r>
      <w:r>
        <w:t xml:space="preserve"> ($640 000). The increase in assessed revenue reflects an increase in the estimated revenue base between 2009-10 and 2017-18. The estimated value of potentially taxable transfers on Norfolk increased from $20.8 million in 2009-10 to $28.4 million in 2017-18</w:t>
      </w:r>
      <w:r w:rsidR="00344739">
        <w:t>,</w:t>
      </w:r>
      <w:r>
        <w:t xml:space="preserve"> and the number of transfers rose from 70 to 98.</w:t>
      </w:r>
      <w:r>
        <w:rPr>
          <w:rStyle w:val="FootnoteReference"/>
        </w:rPr>
        <w:footnoteReference w:id="17"/>
      </w:r>
      <w:r>
        <w:t xml:space="preserve">  </w:t>
      </w:r>
    </w:p>
    <w:p w14:paraId="11450D34" w14:textId="77777777" w:rsidR="00967F53" w:rsidRDefault="00967F53" w:rsidP="00967F53">
      <w:pPr>
        <w:pStyle w:val="Heading3"/>
      </w:pPr>
      <w:bookmarkStart w:id="467" w:name="_Toc17380497"/>
      <w:bookmarkStart w:id="468" w:name="_Toc19262951"/>
      <w:bookmarkStart w:id="469" w:name="_Toc23847496"/>
      <w:r>
        <w:t xml:space="preserve">Insurance </w:t>
      </w:r>
      <w:bookmarkEnd w:id="467"/>
      <w:bookmarkEnd w:id="468"/>
      <w:r w:rsidR="00072BE9">
        <w:t>tax</w:t>
      </w:r>
      <w:bookmarkEnd w:id="469"/>
    </w:p>
    <w:p w14:paraId="21184B60" w14:textId="77777777" w:rsidR="00967F53" w:rsidRDefault="00967F53" w:rsidP="00967F53">
      <w:pPr>
        <w:pStyle w:val="Heading4"/>
      </w:pPr>
      <w:bookmarkStart w:id="470" w:name="_Toc17380498"/>
      <w:bookmarkStart w:id="471" w:name="_Toc19262952"/>
      <w:bookmarkStart w:id="472" w:name="_Toc23847497"/>
      <w:r>
        <w:t>State and Norfolk Island taxation arrangements</w:t>
      </w:r>
      <w:bookmarkEnd w:id="470"/>
      <w:bookmarkEnd w:id="471"/>
      <w:bookmarkEnd w:id="472"/>
    </w:p>
    <w:p w14:paraId="3C10604A" w14:textId="77777777" w:rsidR="00967F53" w:rsidRDefault="00967F53" w:rsidP="00484699">
      <w:pPr>
        <w:pStyle w:val="CGCNumberedPara"/>
      </w:pPr>
      <w:r>
        <w:t xml:space="preserve">All States, except the ACT, impose a tax on the value of insurance premiums pertaining to risks located in their State. In most States, the taxes are imposed on premiums for </w:t>
      </w:r>
      <w:r w:rsidRPr="00484699">
        <w:t>insurance</w:t>
      </w:r>
      <w:r>
        <w:t xml:space="preserve"> policies covering homes and other buildings, businesses, personal incomes, vehicles (including compulsory third party insurance) and lives.</w:t>
      </w:r>
    </w:p>
    <w:p w14:paraId="5B4ADC7C" w14:textId="77777777" w:rsidR="00967F53" w:rsidRDefault="003717DC" w:rsidP="00484699">
      <w:pPr>
        <w:pStyle w:val="CGCNumberedPara"/>
      </w:pPr>
      <w:r>
        <w:t>Table C-5</w:t>
      </w:r>
      <w:r w:rsidR="00967F53">
        <w:t xml:space="preserve"> </w:t>
      </w:r>
      <w:r w:rsidR="00967F53" w:rsidRPr="00484699">
        <w:t>provides</w:t>
      </w:r>
      <w:r w:rsidR="00967F53">
        <w:t xml:space="preserve"> some details of the State insurance tax arrangements in 2017-18.</w:t>
      </w:r>
    </w:p>
    <w:p w14:paraId="61F96693" w14:textId="77777777" w:rsidR="00967F53" w:rsidRDefault="00967F53" w:rsidP="00967F53">
      <w:pPr>
        <w:pStyle w:val="CGCTableHeading"/>
        <w:ind w:left="0" w:firstLine="0"/>
      </w:pPr>
      <w:r>
        <w:t>Table C-</w:t>
      </w:r>
      <w:r w:rsidR="003717DC">
        <w:t>5</w:t>
      </w:r>
      <w:r>
        <w:tab/>
        <w:t>State insurance tax arrangements, 2017-18</w:t>
      </w:r>
    </w:p>
    <w:tbl>
      <w:tblPr>
        <w:tblW w:w="5001" w:type="pct"/>
        <w:tblCellMar>
          <w:left w:w="85" w:type="dxa"/>
          <w:right w:w="85" w:type="dxa"/>
        </w:tblCellMar>
        <w:tblLook w:val="04A0" w:firstRow="1" w:lastRow="0" w:firstColumn="1" w:lastColumn="0" w:noHBand="0" w:noVBand="1"/>
      </w:tblPr>
      <w:tblGrid>
        <w:gridCol w:w="6301"/>
        <w:gridCol w:w="186"/>
        <w:gridCol w:w="2466"/>
      </w:tblGrid>
      <w:tr w:rsidR="00967F53" w14:paraId="105C1497" w14:textId="77777777" w:rsidTr="00967F53">
        <w:tc>
          <w:tcPr>
            <w:tcW w:w="3519" w:type="pct"/>
            <w:tcBorders>
              <w:top w:val="single" w:sz="4" w:space="0" w:color="auto"/>
              <w:left w:val="nil"/>
              <w:bottom w:val="nil"/>
              <w:right w:val="nil"/>
            </w:tcBorders>
            <w:vAlign w:val="bottom"/>
            <w:hideMark/>
          </w:tcPr>
          <w:p w14:paraId="37E0F3F6" w14:textId="77777777" w:rsidR="00967F53" w:rsidRDefault="00967F53">
            <w:pPr>
              <w:pStyle w:val="CGCTableStub"/>
              <w:rPr>
                <w:rFonts w:cstheme="minorHAnsi"/>
              </w:rPr>
            </w:pPr>
            <w:r>
              <w:rPr>
                <w:rFonts w:cstheme="minorHAnsi"/>
              </w:rPr>
              <w:t>Australian average revenue per capita                                        ($ per capita)</w:t>
            </w:r>
          </w:p>
        </w:tc>
        <w:tc>
          <w:tcPr>
            <w:tcW w:w="104" w:type="pct"/>
            <w:tcBorders>
              <w:top w:val="single" w:sz="4" w:space="0" w:color="auto"/>
              <w:left w:val="nil"/>
              <w:bottom w:val="nil"/>
              <w:right w:val="nil"/>
            </w:tcBorders>
            <w:vAlign w:val="bottom"/>
          </w:tcPr>
          <w:p w14:paraId="4BFC070C" w14:textId="77777777" w:rsidR="00967F53" w:rsidRDefault="00967F53">
            <w:pPr>
              <w:pStyle w:val="TableRowNormal"/>
              <w:rPr>
                <w:rFonts w:cstheme="minorHAnsi"/>
              </w:rPr>
            </w:pPr>
          </w:p>
        </w:tc>
        <w:tc>
          <w:tcPr>
            <w:tcW w:w="1377" w:type="pct"/>
            <w:tcBorders>
              <w:top w:val="single" w:sz="4" w:space="0" w:color="auto"/>
              <w:left w:val="nil"/>
              <w:bottom w:val="nil"/>
              <w:right w:val="nil"/>
            </w:tcBorders>
            <w:vAlign w:val="bottom"/>
            <w:hideMark/>
          </w:tcPr>
          <w:p w14:paraId="1EA739AB" w14:textId="77777777" w:rsidR="00967F53" w:rsidRDefault="00967F53">
            <w:pPr>
              <w:pStyle w:val="TableRowNormal"/>
              <w:rPr>
                <w:rFonts w:cstheme="minorHAnsi"/>
              </w:rPr>
            </w:pPr>
            <w:r>
              <w:rPr>
                <w:rFonts w:cstheme="minorHAnsi"/>
              </w:rPr>
              <w:t>$214</w:t>
            </w:r>
          </w:p>
        </w:tc>
      </w:tr>
      <w:tr w:rsidR="00967F53" w:rsidRPr="005D4BDD" w14:paraId="5F137DA5" w14:textId="77777777" w:rsidTr="00967F53">
        <w:tc>
          <w:tcPr>
            <w:tcW w:w="3519" w:type="pct"/>
            <w:vAlign w:val="bottom"/>
            <w:hideMark/>
          </w:tcPr>
          <w:p w14:paraId="378E9290" w14:textId="77777777" w:rsidR="00967F53" w:rsidRDefault="00967F53">
            <w:pPr>
              <w:pStyle w:val="CGCTableStub"/>
              <w:rPr>
                <w:rFonts w:cstheme="minorHAnsi"/>
              </w:rPr>
            </w:pPr>
            <w:r>
              <w:rPr>
                <w:rFonts w:cstheme="minorHAnsi"/>
              </w:rPr>
              <w:t xml:space="preserve">Australian average revenue base per capita </w:t>
            </w:r>
            <w:r>
              <w:rPr>
                <w:rFonts w:cstheme="minorHAnsi"/>
                <w:vertAlign w:val="superscript"/>
              </w:rPr>
              <w:t>(a)</w:t>
            </w:r>
            <w:r>
              <w:rPr>
                <w:rFonts w:cstheme="minorHAnsi"/>
              </w:rPr>
              <w:t xml:space="preserve">                           ($ per capita)</w:t>
            </w:r>
          </w:p>
        </w:tc>
        <w:tc>
          <w:tcPr>
            <w:tcW w:w="104" w:type="pct"/>
            <w:vAlign w:val="bottom"/>
          </w:tcPr>
          <w:p w14:paraId="73997082" w14:textId="77777777" w:rsidR="00967F53" w:rsidRDefault="00967F53">
            <w:pPr>
              <w:pStyle w:val="TableRowNormal"/>
              <w:rPr>
                <w:rFonts w:cstheme="minorHAnsi"/>
              </w:rPr>
            </w:pPr>
          </w:p>
        </w:tc>
        <w:tc>
          <w:tcPr>
            <w:tcW w:w="1377" w:type="pct"/>
            <w:vAlign w:val="bottom"/>
            <w:hideMark/>
          </w:tcPr>
          <w:p w14:paraId="607E0F08" w14:textId="77777777" w:rsidR="00967F53" w:rsidRPr="005D4BDD" w:rsidRDefault="00967F53">
            <w:pPr>
              <w:pStyle w:val="TableRowNormal"/>
              <w:rPr>
                <w:rFonts w:cstheme="minorHAnsi"/>
              </w:rPr>
            </w:pPr>
            <w:r w:rsidRPr="005D4BDD">
              <w:rPr>
                <w:rFonts w:cstheme="minorHAnsi"/>
              </w:rPr>
              <w:t>$1 578</w:t>
            </w:r>
          </w:p>
        </w:tc>
      </w:tr>
      <w:tr w:rsidR="00967F53" w14:paraId="1D6DE44D" w14:textId="77777777" w:rsidTr="00967F53">
        <w:tc>
          <w:tcPr>
            <w:tcW w:w="3519" w:type="pct"/>
            <w:tcBorders>
              <w:top w:val="nil"/>
              <w:left w:val="nil"/>
              <w:bottom w:val="single" w:sz="4" w:space="0" w:color="auto"/>
              <w:right w:val="nil"/>
            </w:tcBorders>
            <w:vAlign w:val="bottom"/>
            <w:hideMark/>
          </w:tcPr>
          <w:p w14:paraId="09C817AF" w14:textId="77777777" w:rsidR="00967F53" w:rsidRDefault="00967F53">
            <w:pPr>
              <w:pStyle w:val="CGCTableStub"/>
              <w:rPr>
                <w:rFonts w:cstheme="minorHAnsi"/>
              </w:rPr>
            </w:pPr>
            <w:r>
              <w:rPr>
                <w:rFonts w:cstheme="minorHAnsi"/>
              </w:rPr>
              <w:t xml:space="preserve">Australian average tax rate </w:t>
            </w:r>
            <w:r>
              <w:rPr>
                <w:rFonts w:cstheme="minorHAnsi"/>
                <w:vertAlign w:val="superscript"/>
              </w:rPr>
              <w:t>(b)</w:t>
            </w:r>
            <w:r>
              <w:rPr>
                <w:rFonts w:cstheme="minorHAnsi"/>
              </w:rPr>
              <w:t xml:space="preserve">                                                          (% of value )</w:t>
            </w:r>
          </w:p>
        </w:tc>
        <w:tc>
          <w:tcPr>
            <w:tcW w:w="104" w:type="pct"/>
            <w:tcBorders>
              <w:top w:val="nil"/>
              <w:left w:val="nil"/>
              <w:bottom w:val="single" w:sz="4" w:space="0" w:color="auto"/>
              <w:right w:val="nil"/>
            </w:tcBorders>
            <w:vAlign w:val="bottom"/>
          </w:tcPr>
          <w:p w14:paraId="5C4147E6" w14:textId="77777777" w:rsidR="00967F53" w:rsidRDefault="00967F53">
            <w:pPr>
              <w:pStyle w:val="TableRowNormal"/>
              <w:rPr>
                <w:rFonts w:cstheme="minorHAnsi"/>
              </w:rPr>
            </w:pPr>
          </w:p>
        </w:tc>
        <w:tc>
          <w:tcPr>
            <w:tcW w:w="1377" w:type="pct"/>
            <w:tcBorders>
              <w:top w:val="nil"/>
              <w:left w:val="nil"/>
              <w:bottom w:val="single" w:sz="4" w:space="0" w:color="auto"/>
              <w:right w:val="nil"/>
            </w:tcBorders>
            <w:vAlign w:val="bottom"/>
            <w:hideMark/>
          </w:tcPr>
          <w:p w14:paraId="4F702CA7" w14:textId="77777777" w:rsidR="00967F53" w:rsidRDefault="00967F53">
            <w:pPr>
              <w:pStyle w:val="TableRowNormal"/>
              <w:rPr>
                <w:rFonts w:cstheme="minorHAnsi"/>
              </w:rPr>
            </w:pPr>
            <w:r>
              <w:rPr>
                <w:rFonts w:cstheme="minorHAnsi"/>
              </w:rPr>
              <w:t>14.2%</w:t>
            </w:r>
          </w:p>
        </w:tc>
      </w:tr>
    </w:tbl>
    <w:p w14:paraId="1BDC2B73" w14:textId="77777777" w:rsidR="00967F53" w:rsidRDefault="00967F53" w:rsidP="00967F53">
      <w:pPr>
        <w:pStyle w:val="CGCTableFootnote"/>
        <w:ind w:left="567" w:hanging="567"/>
      </w:pPr>
      <w:r>
        <w:t>(a)</w:t>
      </w:r>
      <w:r>
        <w:tab/>
        <w:t xml:space="preserve">Measured as the estimated value of premiums, including premiums for compulsory third party insurance. </w:t>
      </w:r>
    </w:p>
    <w:p w14:paraId="687BAD92" w14:textId="77777777" w:rsidR="00967F53" w:rsidRDefault="00967F53" w:rsidP="00967F53">
      <w:pPr>
        <w:pStyle w:val="CGCTableFootnote"/>
        <w:ind w:left="567" w:hanging="567"/>
      </w:pPr>
      <w:r>
        <w:t>(b)</w:t>
      </w:r>
      <w:r>
        <w:tab/>
        <w:t xml:space="preserve">Calculated as total revenue per capita divided by the total value of </w:t>
      </w:r>
      <w:r w:rsidR="00983661">
        <w:t xml:space="preserve">per capita </w:t>
      </w:r>
      <w:r>
        <w:t>premiums.</w:t>
      </w:r>
    </w:p>
    <w:p w14:paraId="6BBEAF39" w14:textId="77777777" w:rsidR="00967F53" w:rsidRDefault="00967F53" w:rsidP="00983661">
      <w:pPr>
        <w:pStyle w:val="CGCTableFootnote"/>
        <w:ind w:left="705" w:hanging="705"/>
      </w:pPr>
      <w:r>
        <w:t>Sources:</w:t>
      </w:r>
      <w:r>
        <w:tab/>
        <w:t xml:space="preserve">Commonwealth Grants Commission calculations for 2019 Update of State revenue sharing relativities and New South Wales Treasury, </w:t>
      </w:r>
      <w:r>
        <w:rPr>
          <w:i/>
        </w:rPr>
        <w:t>Interstate Comparison of Taxes, 2017-18</w:t>
      </w:r>
      <w:r>
        <w:t>.</w:t>
      </w:r>
    </w:p>
    <w:p w14:paraId="0D552136" w14:textId="77777777" w:rsidR="00967F53" w:rsidRDefault="00983661" w:rsidP="006E30B2">
      <w:pPr>
        <w:pStyle w:val="CGCNumberedPara"/>
      </w:pPr>
      <w:r>
        <w:t>I</w:t>
      </w:r>
      <w:r w:rsidR="00967F53">
        <w:t xml:space="preserve">nsurance </w:t>
      </w:r>
      <w:r w:rsidR="00967F53" w:rsidRPr="006E30B2">
        <w:t>tax</w:t>
      </w:r>
      <w:r w:rsidR="00967F53">
        <w:t xml:space="preserve"> is not imposed on Norfolk Island.</w:t>
      </w:r>
    </w:p>
    <w:p w14:paraId="15E7BFB4" w14:textId="77777777" w:rsidR="00967F53" w:rsidRDefault="00967F53" w:rsidP="00967F53">
      <w:pPr>
        <w:pStyle w:val="Heading4"/>
      </w:pPr>
      <w:bookmarkStart w:id="473" w:name="_Toc17380499"/>
      <w:bookmarkStart w:id="474" w:name="_Toc19262953"/>
      <w:bookmarkStart w:id="475" w:name="_Toc23847498"/>
      <w:r>
        <w:lastRenderedPageBreak/>
        <w:t>Assessed revenue for Norfolk Island</w:t>
      </w:r>
      <w:bookmarkEnd w:id="473"/>
      <w:bookmarkEnd w:id="474"/>
      <w:bookmarkEnd w:id="475"/>
    </w:p>
    <w:p w14:paraId="76B220DF" w14:textId="77777777" w:rsidR="00967F53" w:rsidRPr="006E30B2" w:rsidRDefault="00967F53" w:rsidP="006E30B2">
      <w:pPr>
        <w:pStyle w:val="CGCNumberedPara"/>
      </w:pPr>
      <w:r>
        <w:t xml:space="preserve">Norfolk’s assessed revenue for 2017-18 has been estimated by applying the average rate for </w:t>
      </w:r>
      <w:r w:rsidRPr="006E30B2">
        <w:t xml:space="preserve">insurance tax in the States to the estimated value of insurance premiums paid on Norfolk Island in 2017-18. </w:t>
      </w:r>
    </w:p>
    <w:p w14:paraId="2AA40BF7" w14:textId="77777777" w:rsidR="00967F53" w:rsidRPr="006E30B2" w:rsidRDefault="00967F53" w:rsidP="006E30B2">
      <w:pPr>
        <w:pStyle w:val="CGCNumberedPara"/>
      </w:pPr>
      <w:r w:rsidRPr="006E30B2">
        <w:t xml:space="preserve">No data were available on insurance premiums paid on Norfolk Island, nor were any data available on insurance premiums for risks located in remote/very remote communities in the States. In the absence of such data, we estimated the potential insurance tax revenue base for Norfolk Island by applying the per capita value of premiums paid in Tasmania ($1 294 per capita) to the Norfolk Island population. </w:t>
      </w:r>
    </w:p>
    <w:p w14:paraId="726BCD6E" w14:textId="77777777" w:rsidR="00967F53" w:rsidRPr="006E30B2" w:rsidRDefault="00967F53" w:rsidP="006E30B2">
      <w:pPr>
        <w:pStyle w:val="CGCNumberedPara"/>
      </w:pPr>
      <w:r w:rsidRPr="006E30B2">
        <w:t>On this basis, potentially taxable premiums in</w:t>
      </w:r>
      <w:r w:rsidR="00AA6179">
        <w:t xml:space="preserve"> 2017-18 were estimated as $2.3 </w:t>
      </w:r>
      <w:r w:rsidRPr="006E30B2">
        <w:t>million. Applying the average State tax rate to that base produced assessed revenue of $323 000 (see Table C-1).</w:t>
      </w:r>
    </w:p>
    <w:p w14:paraId="2CB4F8D6" w14:textId="77777777" w:rsidR="00967F53" w:rsidRDefault="00967F53" w:rsidP="00366099">
      <w:pPr>
        <w:pStyle w:val="CGCNumberedPara"/>
      </w:pPr>
      <w:r>
        <w:t xml:space="preserve">That estimated revenue for 2017-18 is lower than the $545 000 assessed for 2009-10 in the 2011 inquiry, notwithstanding an increase in the average rate of tax from 11.4% in </w:t>
      </w:r>
      <w:r w:rsidRPr="00366099">
        <w:t>2009</w:t>
      </w:r>
      <w:r>
        <w:t>-10 to 14.2% in 2017-18. The fall in assessed revenue reflects the combined impact of some earlier overestimation of the revenue base for 2009-10</w:t>
      </w:r>
      <w:r>
        <w:rPr>
          <w:rStyle w:val="FootnoteReference"/>
        </w:rPr>
        <w:footnoteReference w:id="18"/>
      </w:r>
      <w:r>
        <w:t xml:space="preserve"> and the effects of recent events on the value of assets and businesses on Norfolk Island.</w:t>
      </w:r>
    </w:p>
    <w:p w14:paraId="35BAF798" w14:textId="77777777" w:rsidR="00967F53" w:rsidRDefault="00967F53" w:rsidP="00967F53">
      <w:pPr>
        <w:pStyle w:val="Heading3"/>
      </w:pPr>
      <w:bookmarkStart w:id="476" w:name="_Toc17380500"/>
      <w:bookmarkStart w:id="477" w:name="_Toc19262954"/>
      <w:bookmarkStart w:id="478" w:name="_Toc23847499"/>
      <w:r>
        <w:t>Motor Tax</w:t>
      </w:r>
      <w:bookmarkEnd w:id="476"/>
      <w:bookmarkEnd w:id="477"/>
      <w:bookmarkEnd w:id="478"/>
      <w:r>
        <w:t xml:space="preserve"> </w:t>
      </w:r>
    </w:p>
    <w:p w14:paraId="60B9517E" w14:textId="77777777" w:rsidR="00967F53" w:rsidRDefault="00967F53" w:rsidP="00967F53">
      <w:pPr>
        <w:pStyle w:val="Heading4"/>
      </w:pPr>
      <w:bookmarkStart w:id="479" w:name="_Toc17380501"/>
      <w:bookmarkStart w:id="480" w:name="_Toc19262955"/>
      <w:bookmarkStart w:id="481" w:name="_Toc23847500"/>
      <w:r>
        <w:t>State and Norfolk Island taxation arrangements</w:t>
      </w:r>
      <w:bookmarkEnd w:id="479"/>
      <w:bookmarkEnd w:id="480"/>
      <w:bookmarkEnd w:id="481"/>
    </w:p>
    <w:p w14:paraId="40782F5B" w14:textId="77777777" w:rsidR="00967F53" w:rsidRDefault="00967F53" w:rsidP="00366099">
      <w:pPr>
        <w:pStyle w:val="CGCNumberedPara"/>
      </w:pPr>
      <w:r>
        <w:t xml:space="preserve">All States impose annual motor vehicle registration fees. However, the States each have their own scale of charges and there are different charging regimes for light and heavy vehicles. In New South Wales, Western Australia and the ACT, </w:t>
      </w:r>
      <w:r w:rsidRPr="00366099">
        <w:t>registration</w:t>
      </w:r>
      <w:r>
        <w:t xml:space="preserve"> fees for light vehicles are based on the weight of vehicles. In Queensland, South Australia and the Northern Territory fees are based on the number of cylinders or engine capacity. Tasmania uses both weight and engine size and Victoria bases its fees on the type of fuel. For heavy vehicles, a national charging regime applies with rates based on gross mass, number of axles, body type and trailer use. </w:t>
      </w:r>
    </w:p>
    <w:p w14:paraId="5DBD9511" w14:textId="77777777" w:rsidR="00967F53" w:rsidRDefault="00967F53" w:rsidP="00366099">
      <w:pPr>
        <w:pStyle w:val="CGCNumberedPara"/>
      </w:pPr>
      <w:r>
        <w:t xml:space="preserve">All States also charge a stamp duty on the initial registration of vehicles and any </w:t>
      </w:r>
      <w:r w:rsidRPr="00366099">
        <w:t>subsequent</w:t>
      </w:r>
      <w:r>
        <w:t xml:space="preserve"> transfers. The duty is based on the value of the vehicle and the rate generally increases with the value of the vehicle.</w:t>
      </w:r>
    </w:p>
    <w:p w14:paraId="4D0C934D" w14:textId="77777777" w:rsidR="00967F53" w:rsidRDefault="003717DC" w:rsidP="00366099">
      <w:pPr>
        <w:pStyle w:val="CGCNumberedPara"/>
      </w:pPr>
      <w:r>
        <w:t xml:space="preserve">Table C-6 </w:t>
      </w:r>
      <w:r w:rsidR="00967F53">
        <w:t>provides some details of the State motor tax arrangements in 2017-18.</w:t>
      </w:r>
    </w:p>
    <w:p w14:paraId="767BE0EA" w14:textId="77777777" w:rsidR="00967F53" w:rsidRDefault="00967F53" w:rsidP="00967F53">
      <w:pPr>
        <w:pStyle w:val="CGCTableHeading"/>
        <w:ind w:left="0" w:firstLine="0"/>
      </w:pPr>
      <w:bookmarkStart w:id="482" w:name="_Ref16635100"/>
      <w:r>
        <w:lastRenderedPageBreak/>
        <w:t>Table C-</w:t>
      </w:r>
      <w:r w:rsidR="003717DC">
        <w:t>6</w:t>
      </w:r>
      <w:bookmarkEnd w:id="482"/>
      <w:r>
        <w:tab/>
        <w:t>State motor tax arrangements, 2017-18</w:t>
      </w:r>
    </w:p>
    <w:tbl>
      <w:tblPr>
        <w:tblW w:w="5000" w:type="pct"/>
        <w:tblCellMar>
          <w:left w:w="0" w:type="dxa"/>
          <w:right w:w="0" w:type="dxa"/>
        </w:tblCellMar>
        <w:tblLook w:val="04A0" w:firstRow="1" w:lastRow="0" w:firstColumn="1" w:lastColumn="0" w:noHBand="0" w:noVBand="1"/>
      </w:tblPr>
      <w:tblGrid>
        <w:gridCol w:w="6300"/>
        <w:gridCol w:w="186"/>
        <w:gridCol w:w="2465"/>
      </w:tblGrid>
      <w:tr w:rsidR="00967F53" w:rsidRPr="003717DC" w14:paraId="7D9D2A40" w14:textId="77777777" w:rsidTr="00967F53">
        <w:tc>
          <w:tcPr>
            <w:tcW w:w="3519" w:type="pct"/>
            <w:tcBorders>
              <w:top w:val="single" w:sz="4" w:space="0" w:color="auto"/>
              <w:left w:val="nil"/>
              <w:bottom w:val="nil"/>
              <w:right w:val="nil"/>
            </w:tcBorders>
            <w:vAlign w:val="center"/>
            <w:hideMark/>
          </w:tcPr>
          <w:p w14:paraId="09705916" w14:textId="77777777" w:rsidR="00967F53" w:rsidRDefault="00967F53">
            <w:pPr>
              <w:pStyle w:val="CGCTableStub"/>
              <w:ind w:left="193" w:hanging="142"/>
              <w:rPr>
                <w:rFonts w:cstheme="minorHAnsi"/>
              </w:rPr>
            </w:pPr>
            <w:r>
              <w:rPr>
                <w:rFonts w:cstheme="minorHAnsi"/>
              </w:rPr>
              <w:t xml:space="preserve">Australian average revenue per capita                                   </w:t>
            </w:r>
          </w:p>
        </w:tc>
        <w:tc>
          <w:tcPr>
            <w:tcW w:w="104" w:type="pct"/>
            <w:tcBorders>
              <w:top w:val="single" w:sz="4" w:space="0" w:color="auto"/>
              <w:left w:val="nil"/>
              <w:bottom w:val="nil"/>
              <w:right w:val="nil"/>
            </w:tcBorders>
            <w:vAlign w:val="center"/>
          </w:tcPr>
          <w:p w14:paraId="36166002" w14:textId="77777777" w:rsidR="00967F53" w:rsidRDefault="00967F53">
            <w:pPr>
              <w:pStyle w:val="TableRowNormal"/>
              <w:rPr>
                <w:rFonts w:cstheme="minorHAnsi"/>
              </w:rPr>
            </w:pPr>
          </w:p>
        </w:tc>
        <w:tc>
          <w:tcPr>
            <w:tcW w:w="1377" w:type="pct"/>
            <w:tcBorders>
              <w:top w:val="single" w:sz="4" w:space="0" w:color="auto"/>
              <w:left w:val="nil"/>
              <w:bottom w:val="nil"/>
              <w:right w:val="nil"/>
            </w:tcBorders>
            <w:vAlign w:val="center"/>
          </w:tcPr>
          <w:p w14:paraId="136DFD5A" w14:textId="77777777" w:rsidR="00967F53" w:rsidRPr="003717DC" w:rsidRDefault="00967F53">
            <w:pPr>
              <w:pStyle w:val="TableRowNormal"/>
              <w:rPr>
                <w:rFonts w:cstheme="minorHAnsi"/>
              </w:rPr>
            </w:pPr>
          </w:p>
        </w:tc>
      </w:tr>
      <w:tr w:rsidR="00967F53" w:rsidRPr="003717DC" w14:paraId="02033389" w14:textId="77777777" w:rsidTr="00967F53">
        <w:tc>
          <w:tcPr>
            <w:tcW w:w="3519" w:type="pct"/>
            <w:vAlign w:val="bottom"/>
            <w:hideMark/>
          </w:tcPr>
          <w:p w14:paraId="116AE12C" w14:textId="77777777" w:rsidR="00967F53" w:rsidRDefault="00967F53">
            <w:pPr>
              <w:pStyle w:val="CGCTableStub"/>
              <w:spacing w:before="100"/>
              <w:ind w:left="193" w:hanging="142"/>
              <w:rPr>
                <w:rFonts w:cstheme="minorHAnsi"/>
              </w:rPr>
            </w:pPr>
            <w:r>
              <w:rPr>
                <w:rFonts w:cstheme="minorHAnsi"/>
              </w:rPr>
              <w:t xml:space="preserve">Light vehicles                                                                       ($ per capita) </w:t>
            </w:r>
          </w:p>
        </w:tc>
        <w:tc>
          <w:tcPr>
            <w:tcW w:w="104" w:type="pct"/>
            <w:vAlign w:val="bottom"/>
          </w:tcPr>
          <w:p w14:paraId="4C4D1BA4" w14:textId="77777777" w:rsidR="00967F53" w:rsidRDefault="00967F53">
            <w:pPr>
              <w:pStyle w:val="TableRowNormal"/>
              <w:spacing w:before="100" w:beforeAutospacing="1"/>
              <w:rPr>
                <w:rFonts w:cstheme="minorHAnsi"/>
              </w:rPr>
            </w:pPr>
          </w:p>
        </w:tc>
        <w:tc>
          <w:tcPr>
            <w:tcW w:w="1377" w:type="pct"/>
            <w:vAlign w:val="bottom"/>
            <w:hideMark/>
          </w:tcPr>
          <w:p w14:paraId="452A476E" w14:textId="77777777" w:rsidR="00967F53" w:rsidRPr="003717DC" w:rsidRDefault="00967F53">
            <w:pPr>
              <w:pStyle w:val="TableRowNormal"/>
              <w:spacing w:before="100" w:beforeAutospacing="1"/>
              <w:rPr>
                <w:rFonts w:cstheme="minorHAnsi"/>
              </w:rPr>
            </w:pPr>
            <w:r w:rsidRPr="003717DC">
              <w:rPr>
                <w:rFonts w:cstheme="minorHAnsi"/>
              </w:rPr>
              <w:t>$268</w:t>
            </w:r>
          </w:p>
        </w:tc>
      </w:tr>
      <w:tr w:rsidR="00967F53" w:rsidRPr="003717DC" w14:paraId="3BB95B9C" w14:textId="77777777" w:rsidTr="00967F53">
        <w:tc>
          <w:tcPr>
            <w:tcW w:w="3519" w:type="pct"/>
            <w:vAlign w:val="bottom"/>
            <w:hideMark/>
          </w:tcPr>
          <w:p w14:paraId="4FDCC9D0" w14:textId="77777777" w:rsidR="00967F53" w:rsidRDefault="00967F53">
            <w:pPr>
              <w:pStyle w:val="CGCTableStub"/>
              <w:spacing w:before="100"/>
              <w:ind w:left="193" w:hanging="142"/>
              <w:rPr>
                <w:rFonts w:cstheme="minorHAnsi"/>
              </w:rPr>
            </w:pPr>
            <w:r>
              <w:rPr>
                <w:rFonts w:cstheme="minorHAnsi"/>
              </w:rPr>
              <w:t>Heavy vehicles                                                                     ($ per capita)</w:t>
            </w:r>
          </w:p>
        </w:tc>
        <w:tc>
          <w:tcPr>
            <w:tcW w:w="104" w:type="pct"/>
            <w:vAlign w:val="bottom"/>
          </w:tcPr>
          <w:p w14:paraId="64370F7F" w14:textId="77777777" w:rsidR="00967F53" w:rsidRDefault="00967F53">
            <w:pPr>
              <w:pStyle w:val="TableRowNormal"/>
              <w:spacing w:before="100" w:beforeAutospacing="1"/>
              <w:rPr>
                <w:rFonts w:cstheme="minorHAnsi"/>
              </w:rPr>
            </w:pPr>
          </w:p>
        </w:tc>
        <w:tc>
          <w:tcPr>
            <w:tcW w:w="1377" w:type="pct"/>
            <w:vAlign w:val="bottom"/>
            <w:hideMark/>
          </w:tcPr>
          <w:p w14:paraId="2F5A714D" w14:textId="77777777" w:rsidR="00967F53" w:rsidRPr="003717DC" w:rsidRDefault="00967F53">
            <w:pPr>
              <w:pStyle w:val="TableRowNormal"/>
              <w:spacing w:before="100" w:beforeAutospacing="1"/>
              <w:rPr>
                <w:rFonts w:cstheme="minorHAnsi"/>
              </w:rPr>
            </w:pPr>
            <w:r w:rsidRPr="003717DC">
              <w:rPr>
                <w:rFonts w:cstheme="minorHAnsi"/>
              </w:rPr>
              <w:t>$62</w:t>
            </w:r>
          </w:p>
        </w:tc>
      </w:tr>
      <w:tr w:rsidR="00967F53" w:rsidRPr="003717DC" w14:paraId="2D4F0329" w14:textId="77777777" w:rsidTr="00967F53">
        <w:tc>
          <w:tcPr>
            <w:tcW w:w="3519" w:type="pct"/>
            <w:vAlign w:val="bottom"/>
            <w:hideMark/>
          </w:tcPr>
          <w:p w14:paraId="50FC31D5" w14:textId="77777777" w:rsidR="00967F53" w:rsidRDefault="00967F53">
            <w:pPr>
              <w:pStyle w:val="CGCTableStub"/>
              <w:spacing w:before="100"/>
              <w:ind w:left="193" w:hanging="142"/>
              <w:rPr>
                <w:rFonts w:cstheme="minorHAnsi"/>
              </w:rPr>
            </w:pPr>
            <w:r>
              <w:rPr>
                <w:rFonts w:cstheme="minorHAnsi"/>
              </w:rPr>
              <w:t>Stamp duty on registrations and transfers                     ($ per capita)</w:t>
            </w:r>
          </w:p>
        </w:tc>
        <w:tc>
          <w:tcPr>
            <w:tcW w:w="104" w:type="pct"/>
            <w:vAlign w:val="bottom"/>
          </w:tcPr>
          <w:p w14:paraId="7610A120" w14:textId="77777777" w:rsidR="00967F53" w:rsidRDefault="00967F53">
            <w:pPr>
              <w:pStyle w:val="TableRowNormal"/>
              <w:spacing w:before="100" w:beforeAutospacing="1"/>
              <w:rPr>
                <w:rFonts w:cstheme="minorHAnsi"/>
              </w:rPr>
            </w:pPr>
          </w:p>
        </w:tc>
        <w:tc>
          <w:tcPr>
            <w:tcW w:w="1377" w:type="pct"/>
            <w:vAlign w:val="bottom"/>
            <w:hideMark/>
          </w:tcPr>
          <w:p w14:paraId="77024647" w14:textId="77777777" w:rsidR="00967F53" w:rsidRPr="003717DC" w:rsidRDefault="00967F53">
            <w:pPr>
              <w:pStyle w:val="TableRowNormal"/>
              <w:spacing w:before="100" w:beforeAutospacing="1"/>
              <w:rPr>
                <w:rFonts w:cstheme="minorHAnsi"/>
              </w:rPr>
            </w:pPr>
            <w:r w:rsidRPr="003717DC">
              <w:rPr>
                <w:rFonts w:cstheme="minorHAnsi"/>
              </w:rPr>
              <w:t>$118</w:t>
            </w:r>
          </w:p>
        </w:tc>
      </w:tr>
      <w:tr w:rsidR="00967F53" w:rsidRPr="003717DC" w14:paraId="78655605" w14:textId="77777777" w:rsidTr="00967F53">
        <w:tc>
          <w:tcPr>
            <w:tcW w:w="3519" w:type="pct"/>
            <w:vAlign w:val="bottom"/>
            <w:hideMark/>
          </w:tcPr>
          <w:p w14:paraId="4B390EFD" w14:textId="77777777" w:rsidR="00967F53" w:rsidRDefault="00967F53">
            <w:pPr>
              <w:pStyle w:val="CGCTableStub"/>
              <w:ind w:left="193" w:hanging="142"/>
              <w:rPr>
                <w:rFonts w:cstheme="minorHAnsi"/>
              </w:rPr>
            </w:pPr>
            <w:r>
              <w:rPr>
                <w:rFonts w:cstheme="minorHAnsi"/>
              </w:rPr>
              <w:t xml:space="preserve">Australian average revenue base per capita </w:t>
            </w:r>
            <w:r>
              <w:rPr>
                <w:rFonts w:cstheme="minorHAnsi"/>
                <w:vertAlign w:val="superscript"/>
              </w:rPr>
              <w:t>(a)</w:t>
            </w:r>
            <w:r>
              <w:rPr>
                <w:rFonts w:cstheme="minorHAnsi"/>
              </w:rPr>
              <w:t xml:space="preserve">                          </w:t>
            </w:r>
          </w:p>
        </w:tc>
        <w:tc>
          <w:tcPr>
            <w:tcW w:w="104" w:type="pct"/>
            <w:vAlign w:val="bottom"/>
          </w:tcPr>
          <w:p w14:paraId="6700EA9B" w14:textId="77777777" w:rsidR="00967F53" w:rsidRDefault="00967F53">
            <w:pPr>
              <w:pStyle w:val="TableRowNormal"/>
              <w:rPr>
                <w:rFonts w:cstheme="minorHAnsi"/>
              </w:rPr>
            </w:pPr>
          </w:p>
        </w:tc>
        <w:tc>
          <w:tcPr>
            <w:tcW w:w="1377" w:type="pct"/>
            <w:vAlign w:val="bottom"/>
          </w:tcPr>
          <w:p w14:paraId="29352F53" w14:textId="77777777" w:rsidR="00967F53" w:rsidRPr="003717DC" w:rsidRDefault="00967F53">
            <w:pPr>
              <w:pStyle w:val="TableRowNormal"/>
              <w:rPr>
                <w:rFonts w:cstheme="minorHAnsi"/>
              </w:rPr>
            </w:pPr>
          </w:p>
        </w:tc>
      </w:tr>
      <w:tr w:rsidR="00967F53" w:rsidRPr="003717DC" w14:paraId="281798A4" w14:textId="77777777" w:rsidTr="00967F53">
        <w:tc>
          <w:tcPr>
            <w:tcW w:w="3519" w:type="pct"/>
            <w:vAlign w:val="bottom"/>
            <w:hideMark/>
          </w:tcPr>
          <w:p w14:paraId="62A1F9F9" w14:textId="77777777" w:rsidR="00967F53" w:rsidRDefault="00967F53">
            <w:pPr>
              <w:pStyle w:val="CGCTableStub"/>
              <w:spacing w:before="0"/>
              <w:ind w:left="193" w:hanging="142"/>
              <w:rPr>
                <w:rFonts w:cstheme="minorHAnsi"/>
              </w:rPr>
            </w:pPr>
            <w:r>
              <w:rPr>
                <w:rFonts w:cstheme="minorHAnsi"/>
              </w:rPr>
              <w:t xml:space="preserve">Light vehicles                                         (vehicles per 1000 population) </w:t>
            </w:r>
          </w:p>
        </w:tc>
        <w:tc>
          <w:tcPr>
            <w:tcW w:w="104" w:type="pct"/>
            <w:vAlign w:val="bottom"/>
          </w:tcPr>
          <w:p w14:paraId="7AFF9E8B" w14:textId="77777777" w:rsidR="00967F53" w:rsidRDefault="00967F53">
            <w:pPr>
              <w:pStyle w:val="TableRowNormal"/>
              <w:spacing w:before="0"/>
              <w:rPr>
                <w:rFonts w:cstheme="minorHAnsi"/>
              </w:rPr>
            </w:pPr>
          </w:p>
        </w:tc>
        <w:tc>
          <w:tcPr>
            <w:tcW w:w="1377" w:type="pct"/>
            <w:vAlign w:val="bottom"/>
            <w:hideMark/>
          </w:tcPr>
          <w:p w14:paraId="3B723993" w14:textId="77777777" w:rsidR="00967F53" w:rsidRPr="003717DC" w:rsidRDefault="00967F53">
            <w:pPr>
              <w:pStyle w:val="TableRowNormal"/>
              <w:spacing w:before="0"/>
              <w:rPr>
                <w:rFonts w:cstheme="minorHAnsi"/>
              </w:rPr>
            </w:pPr>
            <w:r w:rsidRPr="003717DC">
              <w:rPr>
                <w:rFonts w:cstheme="minorHAnsi"/>
              </w:rPr>
              <w:t>707</w:t>
            </w:r>
          </w:p>
        </w:tc>
      </w:tr>
      <w:tr w:rsidR="00967F53" w:rsidRPr="003717DC" w14:paraId="63E3D51F" w14:textId="77777777" w:rsidTr="00967F53">
        <w:tc>
          <w:tcPr>
            <w:tcW w:w="3519" w:type="pct"/>
            <w:vAlign w:val="bottom"/>
            <w:hideMark/>
          </w:tcPr>
          <w:p w14:paraId="2C47960F" w14:textId="77777777" w:rsidR="00967F53" w:rsidRDefault="00967F53">
            <w:pPr>
              <w:pStyle w:val="CGCTableStub"/>
              <w:spacing w:before="0"/>
              <w:ind w:left="193" w:hanging="142"/>
              <w:rPr>
                <w:rFonts w:cstheme="minorHAnsi"/>
              </w:rPr>
            </w:pPr>
            <w:r>
              <w:rPr>
                <w:rFonts w:cstheme="minorHAnsi"/>
              </w:rPr>
              <w:t>Heavy vehicles                                       (vehicles per 1000 population)</w:t>
            </w:r>
          </w:p>
        </w:tc>
        <w:tc>
          <w:tcPr>
            <w:tcW w:w="104" w:type="pct"/>
            <w:vAlign w:val="bottom"/>
          </w:tcPr>
          <w:p w14:paraId="5154860E" w14:textId="77777777" w:rsidR="00967F53" w:rsidRDefault="00967F53">
            <w:pPr>
              <w:pStyle w:val="TableRowNormal"/>
              <w:spacing w:before="0"/>
              <w:rPr>
                <w:rFonts w:cstheme="minorHAnsi"/>
              </w:rPr>
            </w:pPr>
          </w:p>
        </w:tc>
        <w:tc>
          <w:tcPr>
            <w:tcW w:w="1377" w:type="pct"/>
            <w:vAlign w:val="bottom"/>
            <w:hideMark/>
          </w:tcPr>
          <w:p w14:paraId="32A7A14D" w14:textId="77777777" w:rsidR="00967F53" w:rsidRPr="003717DC" w:rsidRDefault="00967F53">
            <w:pPr>
              <w:pStyle w:val="TableRowNormal"/>
              <w:spacing w:before="0"/>
              <w:rPr>
                <w:rFonts w:cstheme="minorHAnsi"/>
              </w:rPr>
            </w:pPr>
            <w:r w:rsidRPr="003717DC">
              <w:rPr>
                <w:rFonts w:cstheme="minorHAnsi"/>
              </w:rPr>
              <w:t>18</w:t>
            </w:r>
          </w:p>
        </w:tc>
      </w:tr>
      <w:tr w:rsidR="00967F53" w:rsidRPr="003717DC" w14:paraId="54CF4AF2" w14:textId="77777777" w:rsidTr="00967F53">
        <w:tc>
          <w:tcPr>
            <w:tcW w:w="3519" w:type="pct"/>
            <w:vAlign w:val="bottom"/>
            <w:hideMark/>
          </w:tcPr>
          <w:p w14:paraId="3673F169" w14:textId="77777777" w:rsidR="00967F53" w:rsidRDefault="00967F53">
            <w:pPr>
              <w:pStyle w:val="CGCTableStub"/>
              <w:spacing w:before="0"/>
              <w:ind w:left="193" w:hanging="142"/>
              <w:rPr>
                <w:rFonts w:cstheme="minorHAnsi"/>
              </w:rPr>
            </w:pPr>
            <w:r>
              <w:rPr>
                <w:rFonts w:cstheme="minorHAnsi"/>
              </w:rPr>
              <w:t>Stamp duty on registrations and transfers                     ($ per capita)</w:t>
            </w:r>
          </w:p>
        </w:tc>
        <w:tc>
          <w:tcPr>
            <w:tcW w:w="104" w:type="pct"/>
            <w:vAlign w:val="bottom"/>
          </w:tcPr>
          <w:p w14:paraId="1901193F" w14:textId="77777777" w:rsidR="00967F53" w:rsidRDefault="00967F53">
            <w:pPr>
              <w:pStyle w:val="TableRowNormal"/>
              <w:spacing w:before="0"/>
              <w:rPr>
                <w:rFonts w:cstheme="minorHAnsi"/>
              </w:rPr>
            </w:pPr>
          </w:p>
        </w:tc>
        <w:tc>
          <w:tcPr>
            <w:tcW w:w="1377" w:type="pct"/>
            <w:vAlign w:val="bottom"/>
            <w:hideMark/>
          </w:tcPr>
          <w:p w14:paraId="5A324008" w14:textId="77777777" w:rsidR="00967F53" w:rsidRPr="003717DC" w:rsidRDefault="00967F53">
            <w:pPr>
              <w:pStyle w:val="TableRowNormal"/>
              <w:spacing w:before="0"/>
              <w:rPr>
                <w:rFonts w:cstheme="minorHAnsi"/>
              </w:rPr>
            </w:pPr>
            <w:r w:rsidRPr="003717DC">
              <w:rPr>
                <w:rFonts w:cstheme="minorHAnsi"/>
              </w:rPr>
              <w:t>$3 350</w:t>
            </w:r>
          </w:p>
        </w:tc>
      </w:tr>
      <w:tr w:rsidR="00967F53" w:rsidRPr="003717DC" w14:paraId="05BE9EC8" w14:textId="77777777" w:rsidTr="00967F53">
        <w:tc>
          <w:tcPr>
            <w:tcW w:w="3519" w:type="pct"/>
            <w:vAlign w:val="bottom"/>
            <w:hideMark/>
          </w:tcPr>
          <w:p w14:paraId="2F7B102A" w14:textId="77777777" w:rsidR="00967F53" w:rsidRDefault="00967F53">
            <w:pPr>
              <w:pStyle w:val="CGCTableStub"/>
              <w:ind w:left="193" w:hanging="142"/>
              <w:rPr>
                <w:rFonts w:cstheme="minorHAnsi"/>
              </w:rPr>
            </w:pPr>
            <w:r>
              <w:rPr>
                <w:rFonts w:cstheme="minorHAnsi"/>
              </w:rPr>
              <w:t xml:space="preserve">Australian average tax rate </w:t>
            </w:r>
            <w:r>
              <w:rPr>
                <w:rFonts w:cstheme="minorHAnsi"/>
                <w:vertAlign w:val="superscript"/>
              </w:rPr>
              <w:t>(b)</w:t>
            </w:r>
            <w:r>
              <w:rPr>
                <w:rFonts w:cstheme="minorHAnsi"/>
              </w:rPr>
              <w:t xml:space="preserve">                                                         </w:t>
            </w:r>
          </w:p>
        </w:tc>
        <w:tc>
          <w:tcPr>
            <w:tcW w:w="104" w:type="pct"/>
            <w:vAlign w:val="bottom"/>
          </w:tcPr>
          <w:p w14:paraId="1F27E477" w14:textId="77777777" w:rsidR="00967F53" w:rsidRDefault="00967F53">
            <w:pPr>
              <w:pStyle w:val="TableRowNormal"/>
              <w:rPr>
                <w:rFonts w:cstheme="minorHAnsi"/>
              </w:rPr>
            </w:pPr>
          </w:p>
        </w:tc>
        <w:tc>
          <w:tcPr>
            <w:tcW w:w="1377" w:type="pct"/>
            <w:vAlign w:val="bottom"/>
          </w:tcPr>
          <w:p w14:paraId="58746E77" w14:textId="77777777" w:rsidR="00967F53" w:rsidRPr="003717DC" w:rsidRDefault="00967F53">
            <w:pPr>
              <w:pStyle w:val="TableRowNormal"/>
              <w:rPr>
                <w:rFonts w:cstheme="minorHAnsi"/>
              </w:rPr>
            </w:pPr>
          </w:p>
        </w:tc>
      </w:tr>
      <w:tr w:rsidR="00967F53" w:rsidRPr="003717DC" w14:paraId="33DF8558" w14:textId="77777777" w:rsidTr="00967F53">
        <w:tc>
          <w:tcPr>
            <w:tcW w:w="3519" w:type="pct"/>
            <w:vAlign w:val="bottom"/>
            <w:hideMark/>
          </w:tcPr>
          <w:p w14:paraId="7CDE0012" w14:textId="77777777" w:rsidR="00967F53" w:rsidRDefault="00967F53">
            <w:pPr>
              <w:pStyle w:val="CGCTableStub"/>
              <w:spacing w:before="0"/>
              <w:ind w:left="193" w:hanging="142"/>
              <w:rPr>
                <w:rFonts w:cstheme="minorHAnsi"/>
              </w:rPr>
            </w:pPr>
            <w:r>
              <w:rPr>
                <w:rFonts w:cstheme="minorHAnsi"/>
              </w:rPr>
              <w:t xml:space="preserve">Light vehicles                                                                       ($ per vehicle) </w:t>
            </w:r>
          </w:p>
        </w:tc>
        <w:tc>
          <w:tcPr>
            <w:tcW w:w="104" w:type="pct"/>
            <w:vAlign w:val="bottom"/>
          </w:tcPr>
          <w:p w14:paraId="6BB5B330" w14:textId="77777777" w:rsidR="00967F53" w:rsidRDefault="00967F53">
            <w:pPr>
              <w:pStyle w:val="TableRowNormal"/>
              <w:spacing w:before="0"/>
              <w:rPr>
                <w:rFonts w:cstheme="minorHAnsi"/>
              </w:rPr>
            </w:pPr>
          </w:p>
        </w:tc>
        <w:tc>
          <w:tcPr>
            <w:tcW w:w="1377" w:type="pct"/>
            <w:vAlign w:val="bottom"/>
            <w:hideMark/>
          </w:tcPr>
          <w:p w14:paraId="34A833FF" w14:textId="77777777" w:rsidR="00967F53" w:rsidRPr="003717DC" w:rsidRDefault="00967F53">
            <w:pPr>
              <w:pStyle w:val="TableRowNormal"/>
              <w:spacing w:before="0"/>
              <w:rPr>
                <w:rFonts w:cstheme="minorHAnsi"/>
              </w:rPr>
            </w:pPr>
            <w:r w:rsidRPr="003717DC">
              <w:rPr>
                <w:rFonts w:cstheme="minorHAnsi"/>
              </w:rPr>
              <w:t>$379</w:t>
            </w:r>
          </w:p>
        </w:tc>
      </w:tr>
      <w:tr w:rsidR="00967F53" w:rsidRPr="003717DC" w14:paraId="48057801" w14:textId="77777777" w:rsidTr="00967F53">
        <w:tc>
          <w:tcPr>
            <w:tcW w:w="3519" w:type="pct"/>
            <w:vAlign w:val="bottom"/>
            <w:hideMark/>
          </w:tcPr>
          <w:p w14:paraId="210B544B" w14:textId="77777777" w:rsidR="00967F53" w:rsidRDefault="00967F53">
            <w:pPr>
              <w:pStyle w:val="CGCTableStub"/>
              <w:spacing w:before="0"/>
              <w:ind w:left="193" w:hanging="142"/>
              <w:rPr>
                <w:rFonts w:cstheme="minorHAnsi"/>
              </w:rPr>
            </w:pPr>
            <w:r>
              <w:rPr>
                <w:rFonts w:cstheme="minorHAnsi"/>
              </w:rPr>
              <w:t>Heavy vehicles                                                                     ($ per vehicle)</w:t>
            </w:r>
          </w:p>
        </w:tc>
        <w:tc>
          <w:tcPr>
            <w:tcW w:w="104" w:type="pct"/>
            <w:vAlign w:val="bottom"/>
          </w:tcPr>
          <w:p w14:paraId="4AAD741F" w14:textId="77777777" w:rsidR="00967F53" w:rsidRDefault="00967F53">
            <w:pPr>
              <w:pStyle w:val="TableRowNormal"/>
              <w:spacing w:before="0"/>
              <w:rPr>
                <w:rFonts w:cstheme="minorHAnsi"/>
              </w:rPr>
            </w:pPr>
          </w:p>
        </w:tc>
        <w:tc>
          <w:tcPr>
            <w:tcW w:w="1377" w:type="pct"/>
            <w:vAlign w:val="bottom"/>
            <w:hideMark/>
          </w:tcPr>
          <w:p w14:paraId="7B4CAFE9" w14:textId="77777777" w:rsidR="00967F53" w:rsidRPr="003717DC" w:rsidRDefault="00967F53">
            <w:pPr>
              <w:pStyle w:val="TableRowNormal"/>
              <w:spacing w:before="0"/>
              <w:rPr>
                <w:rFonts w:cstheme="minorHAnsi"/>
              </w:rPr>
            </w:pPr>
            <w:r w:rsidRPr="003717DC">
              <w:rPr>
                <w:rFonts w:cstheme="minorHAnsi"/>
              </w:rPr>
              <w:t>$3 406</w:t>
            </w:r>
          </w:p>
        </w:tc>
      </w:tr>
      <w:tr w:rsidR="00967F53" w:rsidRPr="003717DC" w14:paraId="205D0D5B" w14:textId="77777777" w:rsidTr="00967F53">
        <w:tc>
          <w:tcPr>
            <w:tcW w:w="3519" w:type="pct"/>
            <w:tcBorders>
              <w:top w:val="nil"/>
              <w:left w:val="nil"/>
              <w:bottom w:val="single" w:sz="4" w:space="0" w:color="auto"/>
              <w:right w:val="nil"/>
            </w:tcBorders>
            <w:vAlign w:val="bottom"/>
            <w:hideMark/>
          </w:tcPr>
          <w:p w14:paraId="14D989AB" w14:textId="77777777" w:rsidR="00967F53" w:rsidRDefault="00967F53">
            <w:pPr>
              <w:pStyle w:val="CGCTableStub"/>
              <w:spacing w:before="0"/>
              <w:ind w:left="193" w:hanging="142"/>
              <w:rPr>
                <w:rFonts w:cstheme="minorHAnsi"/>
              </w:rPr>
            </w:pPr>
            <w:r>
              <w:rPr>
                <w:rFonts w:cstheme="minorHAnsi"/>
              </w:rPr>
              <w:t>Stamp duty on registrations and transfers                         (% of value)</w:t>
            </w:r>
          </w:p>
        </w:tc>
        <w:tc>
          <w:tcPr>
            <w:tcW w:w="104" w:type="pct"/>
            <w:tcBorders>
              <w:top w:val="nil"/>
              <w:left w:val="nil"/>
              <w:bottom w:val="single" w:sz="4" w:space="0" w:color="auto"/>
              <w:right w:val="nil"/>
            </w:tcBorders>
            <w:vAlign w:val="bottom"/>
          </w:tcPr>
          <w:p w14:paraId="78832DA6" w14:textId="77777777" w:rsidR="00967F53" w:rsidRDefault="00967F53">
            <w:pPr>
              <w:pStyle w:val="TableRowNormal"/>
              <w:spacing w:before="0"/>
              <w:rPr>
                <w:rFonts w:cstheme="minorHAnsi"/>
              </w:rPr>
            </w:pPr>
          </w:p>
        </w:tc>
        <w:tc>
          <w:tcPr>
            <w:tcW w:w="1377" w:type="pct"/>
            <w:tcBorders>
              <w:top w:val="nil"/>
              <w:left w:val="nil"/>
              <w:bottom w:val="single" w:sz="4" w:space="0" w:color="auto"/>
              <w:right w:val="nil"/>
            </w:tcBorders>
            <w:vAlign w:val="bottom"/>
            <w:hideMark/>
          </w:tcPr>
          <w:p w14:paraId="5B7B32E9" w14:textId="77777777" w:rsidR="00967F53" w:rsidRPr="003717DC" w:rsidRDefault="00967F53">
            <w:pPr>
              <w:pStyle w:val="TableRowNormal"/>
              <w:spacing w:before="0"/>
              <w:rPr>
                <w:rFonts w:cstheme="minorHAnsi"/>
              </w:rPr>
            </w:pPr>
            <w:r w:rsidRPr="003717DC">
              <w:rPr>
                <w:rFonts w:cstheme="minorHAnsi"/>
              </w:rPr>
              <w:t>3.5%</w:t>
            </w:r>
          </w:p>
        </w:tc>
      </w:tr>
    </w:tbl>
    <w:p w14:paraId="2CD62770" w14:textId="77777777" w:rsidR="00967F53" w:rsidRDefault="00967F53" w:rsidP="00967F53">
      <w:pPr>
        <w:pStyle w:val="CGCTableFootnote"/>
        <w:ind w:left="567" w:hanging="567"/>
      </w:pPr>
      <w:r>
        <w:t>(a)</w:t>
      </w:r>
      <w:r>
        <w:tab/>
        <w:t xml:space="preserve">Measured as the number of vehicles per 1 000 population for light and heavy vehicle registration fees and vehicle value per capita for stamp duty on registrations and transfers. </w:t>
      </w:r>
    </w:p>
    <w:p w14:paraId="2EB3C330" w14:textId="77777777" w:rsidR="00967F53" w:rsidRDefault="00967F53" w:rsidP="00967F53">
      <w:pPr>
        <w:pStyle w:val="CGCTableFootnote"/>
        <w:ind w:left="567" w:hanging="567"/>
      </w:pPr>
      <w:r>
        <w:t>(b)</w:t>
      </w:r>
      <w:r>
        <w:tab/>
        <w:t>Calculated as total revenue per capita divided by the total number of light/heavy vehicles for registration fees or the value of vehicles transferred for the stamp duty.</w:t>
      </w:r>
    </w:p>
    <w:p w14:paraId="4153D790" w14:textId="77777777" w:rsidR="00967F53" w:rsidRDefault="00967F53" w:rsidP="00726BE1">
      <w:pPr>
        <w:pStyle w:val="CGCTableFootnote"/>
        <w:ind w:left="705" w:hanging="705"/>
      </w:pPr>
      <w:r>
        <w:t>Sources:</w:t>
      </w:r>
      <w:r>
        <w:tab/>
        <w:t xml:space="preserve">Commonwealth Grants Commission calculations for 2019 Update of State revenue sharing relativities and New South Wales Treasury, </w:t>
      </w:r>
      <w:r>
        <w:rPr>
          <w:i/>
        </w:rPr>
        <w:t>Interstate Comparison of Taxes, 2017-18</w:t>
      </w:r>
      <w:r>
        <w:t>.</w:t>
      </w:r>
    </w:p>
    <w:p w14:paraId="488181F5" w14:textId="77777777" w:rsidR="00967F53" w:rsidRDefault="00967F53" w:rsidP="00366099">
      <w:pPr>
        <w:pStyle w:val="CGCNumberedPara"/>
      </w:pPr>
      <w:r>
        <w:t xml:space="preserve">The NIRC imposes motor vehicle registration fees according to a scale of charges which reflects the types of vehicle and their use. For example, the fee for a </w:t>
      </w:r>
      <w:r w:rsidRPr="00366099">
        <w:t>private</w:t>
      </w:r>
      <w:r>
        <w:t xml:space="preserve"> vehicle was $180 in 2017-18 and that for commercial vehicles with a load capacity of over 1 tonne was $765. There is also a flat fee of $28 for transfers of registration. However, stamp duty does not appear to be imposed on the initial registration of new vehicles. </w:t>
      </w:r>
    </w:p>
    <w:p w14:paraId="2B637B42" w14:textId="77777777" w:rsidR="00967F53" w:rsidRDefault="00967F53" w:rsidP="00967F53">
      <w:pPr>
        <w:pStyle w:val="Heading4"/>
      </w:pPr>
      <w:bookmarkStart w:id="483" w:name="_Toc17380502"/>
      <w:bookmarkStart w:id="484" w:name="_Toc19262956"/>
      <w:bookmarkStart w:id="485" w:name="_Toc23847501"/>
      <w:r>
        <w:t>Assessed revenue for Norfolk Island</w:t>
      </w:r>
      <w:bookmarkEnd w:id="483"/>
      <w:bookmarkEnd w:id="484"/>
      <w:bookmarkEnd w:id="485"/>
    </w:p>
    <w:p w14:paraId="227C51FE" w14:textId="77777777" w:rsidR="00967F53" w:rsidRDefault="00967F53" w:rsidP="0020152D">
      <w:pPr>
        <w:pStyle w:val="CGCNumberedPara"/>
      </w:pPr>
      <w:r>
        <w:t xml:space="preserve">The </w:t>
      </w:r>
      <w:r w:rsidRPr="0020152D">
        <w:t>calculation</w:t>
      </w:r>
      <w:r>
        <w:t xml:space="preserve"> of Norfolk Island’s assessed revenue was done in three parts:</w:t>
      </w:r>
    </w:p>
    <w:p w14:paraId="16624DE6" w14:textId="77777777" w:rsidR="00967F53" w:rsidRPr="00C47D6D" w:rsidRDefault="00967F53" w:rsidP="00C47D6D">
      <w:pPr>
        <w:pStyle w:val="CGCBulletlist"/>
        <w:numPr>
          <w:ilvl w:val="0"/>
          <w:numId w:val="15"/>
        </w:numPr>
      </w:pPr>
      <w:r w:rsidRPr="00C47D6D">
        <w:t>light vehicle registration fees and taxes</w:t>
      </w:r>
    </w:p>
    <w:p w14:paraId="5453351D" w14:textId="77777777" w:rsidR="00967F53" w:rsidRPr="00C47D6D" w:rsidRDefault="00967F53" w:rsidP="00C47D6D">
      <w:pPr>
        <w:pStyle w:val="CGCBulletlist"/>
      </w:pPr>
      <w:r w:rsidRPr="00C47D6D">
        <w:t>heavy vehicle registration fees and taxes</w:t>
      </w:r>
    </w:p>
    <w:p w14:paraId="17297B18" w14:textId="77777777" w:rsidR="00967F53" w:rsidRDefault="00967F53" w:rsidP="00C47D6D">
      <w:pPr>
        <w:pStyle w:val="CGCBulletlist"/>
      </w:pPr>
      <w:r w:rsidRPr="00C47D6D">
        <w:t>stamp</w:t>
      </w:r>
      <w:r>
        <w:t xml:space="preserve"> duty on motor vehicle registrations and transfers. </w:t>
      </w:r>
    </w:p>
    <w:p w14:paraId="2D640E3A" w14:textId="77777777" w:rsidR="00967F53" w:rsidRDefault="00967F53" w:rsidP="0020152D">
      <w:pPr>
        <w:pStyle w:val="CGCNumberedPara"/>
      </w:pPr>
      <w:r>
        <w:t xml:space="preserve">The average fees in the States for light and heavy vehicles were applied to the number of registered vehicles by type on Norfolk Island. For the stamp duty element, the </w:t>
      </w:r>
      <w:r w:rsidRPr="0020152D">
        <w:t>average</w:t>
      </w:r>
      <w:r>
        <w:t xml:space="preserve"> tax rate in the States was applied to an estimate of the value of vehicles registered or transferred on Norfolk Island.</w:t>
      </w:r>
    </w:p>
    <w:p w14:paraId="72829DFC" w14:textId="77777777" w:rsidR="0020152D" w:rsidRPr="0020152D" w:rsidRDefault="00967F53" w:rsidP="0020152D">
      <w:pPr>
        <w:pStyle w:val="Heading5"/>
        <w:rPr>
          <w:rFonts w:eastAsiaTheme="minorHAnsi" w:cstheme="minorBidi"/>
          <w:color w:val="auto"/>
          <w:sz w:val="24"/>
        </w:rPr>
      </w:pPr>
      <w:r w:rsidRPr="0020152D">
        <w:t>Light and h</w:t>
      </w:r>
      <w:r w:rsidR="0020152D" w:rsidRPr="0020152D">
        <w:t>eavy vehicles registration fees</w:t>
      </w:r>
    </w:p>
    <w:p w14:paraId="17F3C15D" w14:textId="77777777" w:rsidR="00967F53" w:rsidRDefault="00967F53" w:rsidP="0020152D">
      <w:pPr>
        <w:pStyle w:val="CGCNumberedPara"/>
      </w:pPr>
      <w:r>
        <w:t xml:space="preserve">The necessary details of the number and type of vehicles on the Island were provided by the NIRC. They indicated 2 275 light vehicles and 35 heavy </w:t>
      </w:r>
      <w:r w:rsidRPr="0020152D">
        <w:t>vehicles</w:t>
      </w:r>
      <w:r>
        <w:t xml:space="preserve"> were registered </w:t>
      </w:r>
      <w:r>
        <w:lastRenderedPageBreak/>
        <w:t>on the Island in 2017-18. Applying the State average tax per vehicle to those numbers produced assessed revenues of $863 000 for light vehicles and $119 000 for heavy vehicles.</w:t>
      </w:r>
    </w:p>
    <w:p w14:paraId="7D4DC727" w14:textId="77777777" w:rsidR="00967F53" w:rsidRPr="007C60E1" w:rsidRDefault="00967F53" w:rsidP="007C60E1">
      <w:pPr>
        <w:pStyle w:val="CGCNumberedPara"/>
      </w:pPr>
      <w:r w:rsidRPr="007C60E1">
        <w:rPr>
          <w:rStyle w:val="Heading5Char"/>
          <w:rFonts w:eastAsiaTheme="minorHAnsi" w:cstheme="minorBidi"/>
          <w:b w:val="0"/>
          <w:i w:val="0"/>
          <w:color w:val="auto"/>
          <w:sz w:val="24"/>
        </w:rPr>
        <w:t xml:space="preserve">The resulting </w:t>
      </w:r>
      <w:r w:rsidRPr="007C60E1">
        <w:t xml:space="preserve">total of $982 000 is higher than the $703 000 assessed in the 2011 </w:t>
      </w:r>
      <w:r w:rsidR="00F547A5" w:rsidRPr="007C60E1">
        <w:t>inquiry</w:t>
      </w:r>
      <w:r w:rsidRPr="007C60E1">
        <w:t xml:space="preserve">. That increase is almost entirely due to increases in the average fees imposed in the States as a similar number of vehicles was on the register in both years. The average fee for a light vehicle rose from $281 in 2009-10 to $379 in 2017-18 and for a heavy vehicle they rose from $2 245 in 2009-10 to $3 406 in 2017-18. </w:t>
      </w:r>
    </w:p>
    <w:p w14:paraId="2BDE101E" w14:textId="77777777" w:rsidR="007C60E1" w:rsidRPr="007C60E1" w:rsidRDefault="00967F53" w:rsidP="007C60E1">
      <w:pPr>
        <w:pStyle w:val="Heading5"/>
        <w:rPr>
          <w:rFonts w:eastAsiaTheme="minorHAnsi" w:cstheme="minorBidi"/>
          <w:color w:val="auto"/>
          <w:sz w:val="24"/>
        </w:rPr>
      </w:pPr>
      <w:r w:rsidRPr="007C60E1">
        <w:t>Stamp duty on vehi</w:t>
      </w:r>
      <w:r w:rsidR="007C60E1" w:rsidRPr="007C60E1">
        <w:t>cle registrations and transfers</w:t>
      </w:r>
    </w:p>
    <w:p w14:paraId="011D0693" w14:textId="77777777" w:rsidR="00967F53" w:rsidRDefault="00967F53" w:rsidP="00E93263">
      <w:pPr>
        <w:pStyle w:val="CGCNumberedPara"/>
      </w:pPr>
      <w:r>
        <w:t xml:space="preserve">At the time of the 2011 </w:t>
      </w:r>
      <w:r w:rsidR="00F547A5">
        <w:t>inquiry</w:t>
      </w:r>
      <w:r>
        <w:t>, data were available on the number and value of vehicles imported to Norfolk Island and the number of existing vehicles transferred on Norfolk Island. However, no data were available for this inquiry on the value of new vehicles registered</w:t>
      </w:r>
      <w:r w:rsidR="00AA6179">
        <w:t>, vehicle imports</w:t>
      </w:r>
      <w:r>
        <w:t xml:space="preserve"> or the number and value of vehicles where the registration was transferred.</w:t>
      </w:r>
    </w:p>
    <w:p w14:paraId="5191E74E" w14:textId="77777777" w:rsidR="00967F53" w:rsidRDefault="00967F53" w:rsidP="00E93263">
      <w:pPr>
        <w:pStyle w:val="CGCNumberedPara"/>
      </w:pPr>
      <w:r>
        <w:t>In the absence of data, we estimated the Norfolk Island revenue base by assuming the per capita value of initial registrations and on-island transfers of vehicles was the same as that for Tasmania. This approach gave an estimated value of vehicles registered or transferred in 2017-18 of $5 387 000 compared to $2 186 000 for 2009</w:t>
      </w:r>
      <w:r>
        <w:noBreakHyphen/>
        <w:t xml:space="preserve">10. This increase in the value of vehicles is broadly consistent with the increase in the number of vehicles imported to the Island – it more than doubled from 97 in 2009-10 to 217 in 2017-18.  </w:t>
      </w:r>
    </w:p>
    <w:p w14:paraId="65637420" w14:textId="77777777" w:rsidR="00967F53" w:rsidRDefault="00967F53" w:rsidP="00E93263">
      <w:pPr>
        <w:pStyle w:val="CGCNumberedPara"/>
      </w:pPr>
      <w:r>
        <w:t xml:space="preserve">Applying the average State tax rate to that estimated value of vehicles produced an assessed revenue for 2017-18 of $189 000. The assessed revenue for 2009-10 derived in the 2011 </w:t>
      </w:r>
      <w:r w:rsidR="00F547A5">
        <w:t>inquiry</w:t>
      </w:r>
      <w:r>
        <w:t xml:space="preserve"> was $71 000. The increase in assessed revenue is the combined effect of the increase in the estimated value of vehicles registered or transferred and the increase in the average State rate of tax from 3.2% in 2009-10 to 3.5% in 2017-18. </w:t>
      </w:r>
    </w:p>
    <w:p w14:paraId="336ADE4C" w14:textId="77777777" w:rsidR="00E93263" w:rsidRPr="00E93263" w:rsidRDefault="00967F53" w:rsidP="00E93263">
      <w:pPr>
        <w:pStyle w:val="Heading5"/>
        <w:rPr>
          <w:rFonts w:eastAsiaTheme="minorHAnsi" w:cstheme="minorBidi"/>
          <w:color w:val="auto"/>
          <w:sz w:val="24"/>
        </w:rPr>
      </w:pPr>
      <w:r w:rsidRPr="00E93263">
        <w:t>Total moto</w:t>
      </w:r>
      <w:r w:rsidR="00E93263" w:rsidRPr="00E93263">
        <w:t>r tax</w:t>
      </w:r>
    </w:p>
    <w:p w14:paraId="25DEC7F4" w14:textId="77777777" w:rsidR="00967F53" w:rsidRDefault="00967F53" w:rsidP="00E93263">
      <w:pPr>
        <w:pStyle w:val="CGCNumberedPara"/>
      </w:pPr>
      <w:r>
        <w:t xml:space="preserve">The total 2017-18 assessed revenue for motor taxation is $1 171 000 (see Table C-1), which is higher </w:t>
      </w:r>
      <w:r w:rsidRPr="00E93263">
        <w:t>than</w:t>
      </w:r>
      <w:r>
        <w:t xml:space="preserve"> the $774 000 assessed previously for 2009-10. </w:t>
      </w:r>
    </w:p>
    <w:p w14:paraId="6EA993E9" w14:textId="77777777" w:rsidR="00967F53" w:rsidRPr="00F3725B" w:rsidRDefault="00967F53" w:rsidP="00F3725B">
      <w:pPr>
        <w:pStyle w:val="Heading3"/>
      </w:pPr>
      <w:bookmarkStart w:id="486" w:name="_Toc17380503"/>
      <w:bookmarkStart w:id="487" w:name="_Toc19262957"/>
      <w:bookmarkStart w:id="488" w:name="_Toc23847502"/>
      <w:r w:rsidRPr="00F3725B">
        <w:rPr>
          <w:rStyle w:val="Heading5Char"/>
          <w:b/>
          <w:i w:val="0"/>
          <w:sz w:val="32"/>
        </w:rPr>
        <w:t>Mining revenue</w:t>
      </w:r>
      <w:bookmarkEnd w:id="486"/>
      <w:bookmarkEnd w:id="487"/>
      <w:bookmarkEnd w:id="488"/>
    </w:p>
    <w:p w14:paraId="7A9C3B4A" w14:textId="77777777" w:rsidR="00967F53" w:rsidRDefault="00967F53" w:rsidP="00967F53">
      <w:pPr>
        <w:pStyle w:val="Heading4"/>
      </w:pPr>
      <w:bookmarkStart w:id="489" w:name="_Toc17380504"/>
      <w:bookmarkStart w:id="490" w:name="_Toc19262958"/>
      <w:bookmarkStart w:id="491" w:name="_Toc23847503"/>
      <w:r>
        <w:t>State and Norfolk Island taxation arrangements</w:t>
      </w:r>
      <w:bookmarkEnd w:id="489"/>
      <w:bookmarkEnd w:id="490"/>
      <w:bookmarkEnd w:id="491"/>
    </w:p>
    <w:p w14:paraId="569B8A94" w14:textId="77777777" w:rsidR="00967F53" w:rsidRDefault="00967F53" w:rsidP="00995A18">
      <w:pPr>
        <w:pStyle w:val="CGCNumberedPara"/>
      </w:pPr>
      <w:r>
        <w:t xml:space="preserve">All States (apart from the ACT, which does not have any mineral production) levy </w:t>
      </w:r>
      <w:r w:rsidRPr="00995A18">
        <w:t>royalties</w:t>
      </w:r>
      <w:r>
        <w:t xml:space="preserve"> on mineral producers. Mining revenues are an important component of </w:t>
      </w:r>
      <w:r>
        <w:lastRenderedPageBreak/>
        <w:t>State own</w:t>
      </w:r>
      <w:r>
        <w:noBreakHyphen/>
        <w:t>source revenues, especially in Western Australia, the Northern Territory and Queensland.</w:t>
      </w:r>
    </w:p>
    <w:p w14:paraId="282043FB" w14:textId="77777777" w:rsidR="00967F53" w:rsidRDefault="00210026" w:rsidP="00995A18">
      <w:pPr>
        <w:pStyle w:val="CGCNumberedPara"/>
      </w:pPr>
      <w:r>
        <w:t xml:space="preserve">Table C-7 </w:t>
      </w:r>
      <w:r w:rsidR="00967F53">
        <w:t>provides some details of the State mining revenue arrangements in 2017</w:t>
      </w:r>
      <w:r w:rsidR="00967F53">
        <w:noBreakHyphen/>
        <w:t>18.</w:t>
      </w:r>
    </w:p>
    <w:p w14:paraId="78DCC374" w14:textId="77777777" w:rsidR="00967F53" w:rsidRDefault="00967F53" w:rsidP="00967F53">
      <w:pPr>
        <w:pStyle w:val="CGCTableHeading"/>
        <w:ind w:left="0" w:firstLine="0"/>
      </w:pPr>
      <w:bookmarkStart w:id="492" w:name="_Ref16635766"/>
      <w:r>
        <w:t>Table C-</w:t>
      </w:r>
      <w:bookmarkEnd w:id="492"/>
      <w:r w:rsidR="00210026">
        <w:t>7</w:t>
      </w:r>
      <w:r>
        <w:tab/>
        <w:t>State mining revenue arrangements, 2017-18</w:t>
      </w:r>
    </w:p>
    <w:tbl>
      <w:tblPr>
        <w:tblW w:w="5001" w:type="pct"/>
        <w:tblCellMar>
          <w:left w:w="85" w:type="dxa"/>
          <w:right w:w="85" w:type="dxa"/>
        </w:tblCellMar>
        <w:tblLook w:val="04A0" w:firstRow="1" w:lastRow="0" w:firstColumn="1" w:lastColumn="0" w:noHBand="0" w:noVBand="1"/>
      </w:tblPr>
      <w:tblGrid>
        <w:gridCol w:w="6301"/>
        <w:gridCol w:w="186"/>
        <w:gridCol w:w="2466"/>
      </w:tblGrid>
      <w:tr w:rsidR="00967F53" w14:paraId="3EECB675" w14:textId="77777777" w:rsidTr="00967F53">
        <w:tc>
          <w:tcPr>
            <w:tcW w:w="3519" w:type="pct"/>
            <w:tcBorders>
              <w:top w:val="single" w:sz="4" w:space="0" w:color="auto"/>
              <w:left w:val="nil"/>
              <w:bottom w:val="nil"/>
              <w:right w:val="nil"/>
            </w:tcBorders>
            <w:vAlign w:val="bottom"/>
            <w:hideMark/>
          </w:tcPr>
          <w:p w14:paraId="48434016" w14:textId="77777777" w:rsidR="00967F53" w:rsidRDefault="00967F53" w:rsidP="00BC4885">
            <w:pPr>
              <w:pStyle w:val="CGCTableStub"/>
              <w:rPr>
                <w:rFonts w:cstheme="minorHAnsi"/>
              </w:rPr>
            </w:pPr>
            <w:r>
              <w:rPr>
                <w:rFonts w:cstheme="minorHAnsi"/>
              </w:rPr>
              <w:t>Australian avera</w:t>
            </w:r>
            <w:r w:rsidR="00BC4885">
              <w:rPr>
                <w:rFonts w:cstheme="minorHAnsi"/>
              </w:rPr>
              <w:t xml:space="preserve">ge revenue per capita </w:t>
            </w:r>
            <w:r>
              <w:rPr>
                <w:rFonts w:cstheme="minorHAnsi"/>
              </w:rPr>
              <w:t>($ per capita)</w:t>
            </w:r>
          </w:p>
        </w:tc>
        <w:tc>
          <w:tcPr>
            <w:tcW w:w="104" w:type="pct"/>
            <w:tcBorders>
              <w:top w:val="single" w:sz="4" w:space="0" w:color="auto"/>
              <w:left w:val="nil"/>
              <w:bottom w:val="nil"/>
              <w:right w:val="nil"/>
            </w:tcBorders>
            <w:vAlign w:val="bottom"/>
          </w:tcPr>
          <w:p w14:paraId="56FE6B13" w14:textId="77777777" w:rsidR="00967F53" w:rsidRDefault="00967F53">
            <w:pPr>
              <w:pStyle w:val="TableRowNormal"/>
              <w:rPr>
                <w:rFonts w:cstheme="minorHAnsi"/>
              </w:rPr>
            </w:pPr>
          </w:p>
        </w:tc>
        <w:tc>
          <w:tcPr>
            <w:tcW w:w="1377" w:type="pct"/>
            <w:tcBorders>
              <w:top w:val="single" w:sz="4" w:space="0" w:color="auto"/>
              <w:left w:val="nil"/>
              <w:bottom w:val="nil"/>
              <w:right w:val="nil"/>
            </w:tcBorders>
            <w:vAlign w:val="bottom"/>
            <w:hideMark/>
          </w:tcPr>
          <w:p w14:paraId="795EA4FF" w14:textId="77777777" w:rsidR="00967F53" w:rsidRDefault="00967F53">
            <w:pPr>
              <w:pStyle w:val="TableRowNormal"/>
              <w:rPr>
                <w:rFonts w:cstheme="minorHAnsi"/>
              </w:rPr>
            </w:pPr>
            <w:r>
              <w:rPr>
                <w:rFonts w:cstheme="minorHAnsi"/>
              </w:rPr>
              <w:t>$482</w:t>
            </w:r>
          </w:p>
        </w:tc>
      </w:tr>
      <w:tr w:rsidR="00967F53" w14:paraId="2C09E523" w14:textId="77777777" w:rsidTr="00967F53">
        <w:tc>
          <w:tcPr>
            <w:tcW w:w="3519" w:type="pct"/>
            <w:vAlign w:val="bottom"/>
            <w:hideMark/>
          </w:tcPr>
          <w:p w14:paraId="1A208F08" w14:textId="77777777" w:rsidR="00967F53" w:rsidRDefault="00967F53" w:rsidP="00BC4885">
            <w:pPr>
              <w:pStyle w:val="CGCTableStub"/>
              <w:rPr>
                <w:rFonts w:cstheme="minorHAnsi"/>
              </w:rPr>
            </w:pPr>
            <w:r>
              <w:rPr>
                <w:rFonts w:cstheme="minorHAnsi"/>
              </w:rPr>
              <w:t>Australian average revenue base per capita</w:t>
            </w:r>
            <w:r w:rsidR="00BC4885">
              <w:rPr>
                <w:rFonts w:cstheme="minorHAnsi"/>
              </w:rPr>
              <w:t xml:space="preserve"> </w:t>
            </w:r>
            <w:r>
              <w:rPr>
                <w:rFonts w:cstheme="minorHAnsi"/>
              </w:rPr>
              <w:t>($ per capita)</w:t>
            </w:r>
            <w:r w:rsidR="00BC4885">
              <w:rPr>
                <w:rFonts w:cstheme="minorHAnsi"/>
              </w:rPr>
              <w:t xml:space="preserve"> (a)</w:t>
            </w:r>
          </w:p>
        </w:tc>
        <w:tc>
          <w:tcPr>
            <w:tcW w:w="104" w:type="pct"/>
            <w:vAlign w:val="bottom"/>
          </w:tcPr>
          <w:p w14:paraId="6E1BE84A" w14:textId="77777777" w:rsidR="00967F53" w:rsidRDefault="00967F53">
            <w:pPr>
              <w:pStyle w:val="TableRowNormal"/>
              <w:rPr>
                <w:rFonts w:cstheme="minorHAnsi"/>
              </w:rPr>
            </w:pPr>
          </w:p>
        </w:tc>
        <w:tc>
          <w:tcPr>
            <w:tcW w:w="1377" w:type="pct"/>
            <w:vAlign w:val="bottom"/>
            <w:hideMark/>
          </w:tcPr>
          <w:p w14:paraId="3FAB5C8A" w14:textId="77777777" w:rsidR="00967F53" w:rsidRPr="00AE7B2E" w:rsidRDefault="00967F53">
            <w:pPr>
              <w:pStyle w:val="TableRowNormal"/>
              <w:rPr>
                <w:rFonts w:cstheme="minorHAnsi"/>
              </w:rPr>
            </w:pPr>
            <w:r w:rsidRPr="00AE7B2E">
              <w:rPr>
                <w:rFonts w:cstheme="minorHAnsi"/>
              </w:rPr>
              <w:t>$7 076</w:t>
            </w:r>
          </w:p>
        </w:tc>
      </w:tr>
      <w:tr w:rsidR="00967F53" w14:paraId="48D718EC" w14:textId="77777777" w:rsidTr="00967F53">
        <w:tc>
          <w:tcPr>
            <w:tcW w:w="3519" w:type="pct"/>
            <w:tcBorders>
              <w:top w:val="nil"/>
              <w:left w:val="nil"/>
              <w:bottom w:val="single" w:sz="4" w:space="0" w:color="auto"/>
              <w:right w:val="nil"/>
            </w:tcBorders>
            <w:vAlign w:val="bottom"/>
            <w:hideMark/>
          </w:tcPr>
          <w:p w14:paraId="12A842BD" w14:textId="77777777" w:rsidR="00967F53" w:rsidRDefault="00967F53" w:rsidP="00BC4885">
            <w:pPr>
              <w:pStyle w:val="CGCTableStub"/>
              <w:rPr>
                <w:rFonts w:cstheme="minorHAnsi"/>
              </w:rPr>
            </w:pPr>
            <w:r>
              <w:rPr>
                <w:rFonts w:cstheme="minorHAnsi"/>
              </w:rPr>
              <w:t>Australian average tax rate (% of value )</w:t>
            </w:r>
            <w:r w:rsidR="00BC4885">
              <w:rPr>
                <w:rFonts w:cstheme="minorHAnsi"/>
              </w:rPr>
              <w:t xml:space="preserve"> (b)</w:t>
            </w:r>
          </w:p>
        </w:tc>
        <w:tc>
          <w:tcPr>
            <w:tcW w:w="104" w:type="pct"/>
            <w:tcBorders>
              <w:top w:val="nil"/>
              <w:left w:val="nil"/>
              <w:bottom w:val="single" w:sz="4" w:space="0" w:color="auto"/>
              <w:right w:val="nil"/>
            </w:tcBorders>
            <w:vAlign w:val="bottom"/>
          </w:tcPr>
          <w:p w14:paraId="5C150A06" w14:textId="77777777" w:rsidR="00967F53" w:rsidRDefault="00967F53">
            <w:pPr>
              <w:pStyle w:val="TableRowNormal"/>
              <w:rPr>
                <w:rFonts w:cstheme="minorHAnsi"/>
              </w:rPr>
            </w:pPr>
          </w:p>
        </w:tc>
        <w:tc>
          <w:tcPr>
            <w:tcW w:w="1377" w:type="pct"/>
            <w:tcBorders>
              <w:top w:val="nil"/>
              <w:left w:val="nil"/>
              <w:bottom w:val="single" w:sz="4" w:space="0" w:color="auto"/>
              <w:right w:val="nil"/>
            </w:tcBorders>
            <w:vAlign w:val="bottom"/>
            <w:hideMark/>
          </w:tcPr>
          <w:p w14:paraId="2E2E7F51" w14:textId="77777777" w:rsidR="00967F53" w:rsidRDefault="00967F53">
            <w:pPr>
              <w:pStyle w:val="TableRowNormal"/>
              <w:rPr>
                <w:rFonts w:cstheme="minorHAnsi"/>
              </w:rPr>
            </w:pPr>
            <w:r>
              <w:rPr>
                <w:rFonts w:cstheme="minorHAnsi"/>
              </w:rPr>
              <w:t>6.9%</w:t>
            </w:r>
          </w:p>
        </w:tc>
      </w:tr>
    </w:tbl>
    <w:p w14:paraId="7EE3EF0C" w14:textId="77777777" w:rsidR="00967F53" w:rsidRDefault="00967F53" w:rsidP="00967F53">
      <w:pPr>
        <w:pStyle w:val="CGCTableFootnote"/>
      </w:pPr>
      <w:r>
        <w:t>(a)</w:t>
      </w:r>
      <w:r>
        <w:tab/>
        <w:t xml:space="preserve">Measured as the estimated value of mining production. </w:t>
      </w:r>
    </w:p>
    <w:p w14:paraId="09568CFC" w14:textId="77777777" w:rsidR="00967F53" w:rsidRDefault="00967F53" w:rsidP="00967F53">
      <w:pPr>
        <w:pStyle w:val="CGCTableFootnote"/>
      </w:pPr>
      <w:r>
        <w:t>(b)</w:t>
      </w:r>
      <w:r>
        <w:tab/>
        <w:t>Calculated as total revenue per capita divided by the total value of mining production.</w:t>
      </w:r>
    </w:p>
    <w:p w14:paraId="586B4922" w14:textId="77777777" w:rsidR="00967F53" w:rsidRDefault="00967F53" w:rsidP="00967F53">
      <w:pPr>
        <w:pStyle w:val="CGCTableFootnote"/>
      </w:pPr>
      <w:r>
        <w:t>Sources:</w:t>
      </w:r>
      <w:r>
        <w:tab/>
        <w:t xml:space="preserve">Commonwealth Grants Commission calculations for 2019 Update of State revenue sharing relativities and New South Wales Treasury, </w:t>
      </w:r>
      <w:r>
        <w:rPr>
          <w:i/>
        </w:rPr>
        <w:t>Interstate Comparison of Taxes, 2017-18</w:t>
      </w:r>
      <w:r>
        <w:t>.</w:t>
      </w:r>
    </w:p>
    <w:p w14:paraId="26E16FED" w14:textId="77777777" w:rsidR="00967F53" w:rsidRPr="00995A18" w:rsidRDefault="00967F53" w:rsidP="00995A18">
      <w:pPr>
        <w:pStyle w:val="CGCNumberedPara"/>
      </w:pPr>
      <w:r>
        <w:t xml:space="preserve">The only mining operation on Norfolk Island is a stockpile of rock </w:t>
      </w:r>
      <w:r w:rsidRPr="00995A18">
        <w:t>previously excavated from it as a result of a cliff stabilisation project</w:t>
      </w:r>
      <w:r w:rsidR="001105BD">
        <w:t xml:space="preserve"> at Cascade Cliff</w:t>
      </w:r>
      <w:r w:rsidRPr="00995A18">
        <w:t>.</w:t>
      </w:r>
      <w:r w:rsidR="001105BD">
        <w:t xml:space="preserve"> In addition, sand mining occurs at Port Hunter Reserve for building purposes</w:t>
      </w:r>
      <w:r w:rsidR="000657C1">
        <w:t xml:space="preserve">. </w:t>
      </w:r>
      <w:r w:rsidRPr="00995A18">
        <w:t>There are</w:t>
      </w:r>
      <w:r w:rsidR="001105BD">
        <w:t xml:space="preserve"> currently</w:t>
      </w:r>
      <w:r w:rsidRPr="00995A18">
        <w:t xml:space="preserve"> no other </w:t>
      </w:r>
      <w:r w:rsidR="001105BD">
        <w:t>active quarry operations</w:t>
      </w:r>
      <w:r w:rsidRPr="00995A18">
        <w:t xml:space="preserve">. </w:t>
      </w:r>
    </w:p>
    <w:p w14:paraId="318F9105" w14:textId="77777777" w:rsidR="00967F53" w:rsidRPr="00995A18" w:rsidRDefault="00967F53" w:rsidP="00995A18">
      <w:pPr>
        <w:pStyle w:val="CGCNumberedPara"/>
      </w:pPr>
      <w:r w:rsidRPr="00995A18">
        <w:t xml:space="preserve">Norfolk Island imposed a royalty of $28 per tonne on the sales of rock, which yielded revenue of $86 000 in 2017-18. That revenue was used to repay a loan from the Commonwealth which financed the cliff stabilisation project. That loan was fully repaid in June 2018. </w:t>
      </w:r>
    </w:p>
    <w:p w14:paraId="6BBB2FF3" w14:textId="77777777" w:rsidR="00967F53" w:rsidRDefault="00967F53" w:rsidP="00967F53">
      <w:pPr>
        <w:pStyle w:val="Heading4"/>
      </w:pPr>
      <w:bookmarkStart w:id="493" w:name="_Toc17380505"/>
      <w:bookmarkStart w:id="494" w:name="_Toc19262959"/>
      <w:bookmarkStart w:id="495" w:name="_Toc23847504"/>
      <w:r>
        <w:t>Assessed revenue for Norfolk Island</w:t>
      </w:r>
      <w:bookmarkEnd w:id="493"/>
      <w:bookmarkEnd w:id="494"/>
      <w:bookmarkEnd w:id="495"/>
    </w:p>
    <w:p w14:paraId="072B73E5" w14:textId="77777777" w:rsidR="00967F53" w:rsidRPr="00995A18" w:rsidRDefault="00967F53" w:rsidP="00995A18">
      <w:pPr>
        <w:pStyle w:val="CGCNumberedPara"/>
      </w:pPr>
      <w:r>
        <w:t xml:space="preserve">Norfolk Island has some capacity to raise royalty revenue. However, since State royalties on construction materials are low and rock supplies on Norfolk Island are running </w:t>
      </w:r>
      <w:r w:rsidRPr="00995A18">
        <w:t>out, that capacity is low and could be expected to fall in future years.</w:t>
      </w:r>
    </w:p>
    <w:p w14:paraId="2909B9FC" w14:textId="77777777" w:rsidR="00967F53" w:rsidRDefault="00967F53" w:rsidP="00995A18">
      <w:pPr>
        <w:pStyle w:val="CGCNumberedPara"/>
      </w:pPr>
      <w:r w:rsidRPr="00995A18">
        <w:t>Nevertheless, an assessed revenue has been calculated by applying the Australian average</w:t>
      </w:r>
      <w:r>
        <w:t xml:space="preserve"> royalty per tonne of rock produced to the tonnage produced on Norfolk. NIRC advised that about 3 000 tonnes of rock was produced in 2017-18 which at the average State royalty of $0.65 per tonne,</w:t>
      </w:r>
      <w:r>
        <w:rPr>
          <w:rStyle w:val="FootnoteReference"/>
        </w:rPr>
        <w:footnoteReference w:id="19"/>
      </w:r>
      <w:r>
        <w:t xml:space="preserve"> implied assessed </w:t>
      </w:r>
      <w:r w:rsidR="00AE7B2E">
        <w:t>revenue of $2 000 (see Table C-</w:t>
      </w:r>
      <w:r w:rsidR="00E1550A">
        <w:t>1</w:t>
      </w:r>
      <w:r>
        <w:t xml:space="preserve">). A zero assessed revenue was determined in the 2011 </w:t>
      </w:r>
      <w:r w:rsidR="00F547A5">
        <w:t>inquiry</w:t>
      </w:r>
      <w:r>
        <w:t>.</w:t>
      </w:r>
    </w:p>
    <w:p w14:paraId="7530CF50" w14:textId="77777777" w:rsidR="00967F53" w:rsidRDefault="00967F53" w:rsidP="00967F53">
      <w:pPr>
        <w:pStyle w:val="Heading3"/>
      </w:pPr>
      <w:bookmarkStart w:id="496" w:name="_Toc17380506"/>
      <w:bookmarkStart w:id="497" w:name="_Toc19262960"/>
      <w:bookmarkStart w:id="498" w:name="_Toc23847505"/>
      <w:r>
        <w:lastRenderedPageBreak/>
        <w:t>Gambling tax</w:t>
      </w:r>
      <w:bookmarkEnd w:id="496"/>
      <w:bookmarkEnd w:id="497"/>
      <w:bookmarkEnd w:id="498"/>
    </w:p>
    <w:p w14:paraId="6C8E16F0" w14:textId="77777777" w:rsidR="00967F53" w:rsidRDefault="00967F53" w:rsidP="00967F53">
      <w:pPr>
        <w:pStyle w:val="Heading4"/>
      </w:pPr>
      <w:bookmarkStart w:id="499" w:name="_Toc17380507"/>
      <w:bookmarkStart w:id="500" w:name="_Toc19262961"/>
      <w:bookmarkStart w:id="501" w:name="_Toc23847506"/>
      <w:r>
        <w:t>State and Norfolk Island taxation arrangements</w:t>
      </w:r>
      <w:bookmarkEnd w:id="499"/>
      <w:bookmarkEnd w:id="500"/>
      <w:bookmarkEnd w:id="501"/>
    </w:p>
    <w:p w14:paraId="2212DE2A" w14:textId="77777777" w:rsidR="00967F53" w:rsidRPr="00F2162F" w:rsidRDefault="00967F53" w:rsidP="00F2162F">
      <w:pPr>
        <w:pStyle w:val="CGCNumberedPara"/>
      </w:pPr>
      <w:r>
        <w:t xml:space="preserve">States collect a range of revenues by imposing licence fees and turnover taxes on a range of </w:t>
      </w:r>
      <w:r w:rsidRPr="00F2162F">
        <w:t xml:space="preserve">gambling activities, including electronic gaming machines, casinos, racing and sports betting and lotteries. </w:t>
      </w:r>
    </w:p>
    <w:p w14:paraId="48E1B72A" w14:textId="77777777" w:rsidR="00967F53" w:rsidRDefault="00967F53" w:rsidP="00F2162F">
      <w:pPr>
        <w:pStyle w:val="CGCNumberedPara"/>
      </w:pPr>
      <w:r w:rsidRPr="00F2162F">
        <w:t>The form of those taxes varies across the States. The average revenue raised by the States from taxes on</w:t>
      </w:r>
      <w:r>
        <w:t xml:space="preserve"> all gambling activities in 2017-18 was $251 per capita.</w:t>
      </w:r>
    </w:p>
    <w:p w14:paraId="163CB228" w14:textId="77777777" w:rsidR="00967F53" w:rsidRDefault="00967F53" w:rsidP="00F2162F">
      <w:pPr>
        <w:pStyle w:val="CGCNumberedPara"/>
      </w:pPr>
      <w:r>
        <w:t xml:space="preserve">Arrangements for gambling activities on Norfolk Island differ from those in most States. The Norfolk Island Gaming Authority, which previously issued licences and imposed fees and taxes on bookmaking, totalisator/online exchange betting products, interactive home gaming and internet/online lottery licences, was disbanded by the Commonwealth. A payment </w:t>
      </w:r>
      <w:r w:rsidR="00F2162F">
        <w:t>of $124 000 was made to Norfolk </w:t>
      </w:r>
      <w:r>
        <w:t>Island in 2017-18 to replace the foregone revenue. Similar payments will be made until 2019-20 at least. There are no electronic gaming machines, casinos or associated revenue on Norfolk Island.</w:t>
      </w:r>
    </w:p>
    <w:p w14:paraId="318B7196" w14:textId="77777777" w:rsidR="00967F53" w:rsidRDefault="00967F53" w:rsidP="00967F53">
      <w:pPr>
        <w:pStyle w:val="Heading4"/>
      </w:pPr>
      <w:bookmarkStart w:id="502" w:name="_Toc17380508"/>
      <w:bookmarkStart w:id="503" w:name="_Toc19262962"/>
      <w:bookmarkStart w:id="504" w:name="_Toc23847507"/>
      <w:r>
        <w:t>Assessed revenue for Norfolk Island</w:t>
      </w:r>
      <w:bookmarkEnd w:id="502"/>
      <w:bookmarkEnd w:id="503"/>
      <w:bookmarkEnd w:id="504"/>
    </w:p>
    <w:p w14:paraId="4D916527" w14:textId="77777777" w:rsidR="00967F53" w:rsidRDefault="00967F53" w:rsidP="00281214">
      <w:pPr>
        <w:pStyle w:val="CGCNumberedPara"/>
      </w:pPr>
      <w:r>
        <w:t xml:space="preserve">The States have a wide range of policies relating to the type and level of gambling activities permitted and the taxation of them. In those circumstances, the Commission, in its inquiries into the financial capacities of the States, considers each State </w:t>
      </w:r>
      <w:r w:rsidRPr="00281214">
        <w:t>has</w:t>
      </w:r>
      <w:r>
        <w:t xml:space="preserve"> the capacity to raise the average per capita revenue from taxing gambling. </w:t>
      </w:r>
    </w:p>
    <w:p w14:paraId="5DE264F4" w14:textId="77777777" w:rsidR="00967F53" w:rsidRDefault="00967F53" w:rsidP="00281214">
      <w:pPr>
        <w:pStyle w:val="CGCNumberedPara"/>
      </w:pPr>
      <w:r>
        <w:t xml:space="preserve">We applied a similar approach in this inquiry. However, as the only permitted gambling is lotteries and other minor activities, assessed revenue has been derived by applying the average State gambling tax revenue from lotteries and other related gambling </w:t>
      </w:r>
      <w:r w:rsidRPr="00281214">
        <w:t>activities</w:t>
      </w:r>
      <w:r>
        <w:t xml:space="preserve"> ($56 per capita in 2017-18) to the Norfolk Island population. This produced an assessed revenue of $98 000</w:t>
      </w:r>
      <w:r w:rsidR="00E1550A">
        <w:t xml:space="preserve"> (see Table C-1)</w:t>
      </w:r>
      <w:r>
        <w:t>.</w:t>
      </w:r>
    </w:p>
    <w:p w14:paraId="5147D209" w14:textId="77777777" w:rsidR="00967F53" w:rsidRDefault="00967F53" w:rsidP="00281214">
      <w:pPr>
        <w:pStyle w:val="CGCNumberedPara"/>
      </w:pPr>
      <w:r>
        <w:t xml:space="preserve">The 2017-18 assessed revenue is lower than the $468 000 assessed for 2009-10 in the 2011 </w:t>
      </w:r>
      <w:r w:rsidR="00F547A5">
        <w:t>inquiry</w:t>
      </w:r>
      <w:r>
        <w:t xml:space="preserve">. </w:t>
      </w:r>
      <w:r w:rsidRPr="00281214">
        <w:t>The</w:t>
      </w:r>
      <w:r>
        <w:t xml:space="preserve"> lower assessed revenue in the current inquiry reflects the reduced level of gambling activity on Norfolk Island. </w:t>
      </w:r>
    </w:p>
    <w:p w14:paraId="4B51849A" w14:textId="77777777" w:rsidR="00967F53" w:rsidRDefault="00967F53" w:rsidP="00967F53">
      <w:pPr>
        <w:pStyle w:val="Heading3"/>
      </w:pPr>
      <w:bookmarkStart w:id="505" w:name="_Toc17380509"/>
      <w:bookmarkStart w:id="506" w:name="_Toc19262963"/>
      <w:bookmarkStart w:id="507" w:name="_Toc23847508"/>
      <w:r>
        <w:t>Other revenue</w:t>
      </w:r>
      <w:bookmarkEnd w:id="505"/>
      <w:bookmarkEnd w:id="506"/>
      <w:bookmarkEnd w:id="507"/>
    </w:p>
    <w:p w14:paraId="1158DFEA" w14:textId="77777777" w:rsidR="00967F53" w:rsidRDefault="00967F53" w:rsidP="000D00A3">
      <w:pPr>
        <w:pStyle w:val="CGCNumberedPara"/>
      </w:pPr>
      <w:r>
        <w:t xml:space="preserve">This category comprises a wide range of comparatively small revenue sources where differences between the States in their capacity to collect the taxes are primarily </w:t>
      </w:r>
      <w:r w:rsidRPr="000D00A3">
        <w:t>driven</w:t>
      </w:r>
      <w:r>
        <w:t xml:space="preserve"> by the policy choices of the State governments. It primarily covers revenue from fees and fines and user charges, other than those related to health, education </w:t>
      </w:r>
      <w:r>
        <w:lastRenderedPageBreak/>
        <w:t xml:space="preserve">and emergency services. Revenues related to those services are offset against the expenses in our assessments. </w:t>
      </w:r>
    </w:p>
    <w:p w14:paraId="1992D0ED" w14:textId="77777777" w:rsidR="00967F53" w:rsidRDefault="00967F53" w:rsidP="000D00A3">
      <w:pPr>
        <w:pStyle w:val="CGCNumberedPara"/>
      </w:pPr>
      <w:r>
        <w:t>Some States collect revenue from metropolitan improvement levies and duty on corporate reconstructions. However, those revenues have been excluded from our analysis because there is no capacity to collect them on Norfolk Island. We also excluded State revenue from interest earnings because the funding arrangements for State-type activities on Norfolk Island leave no capacity to earn interest.</w:t>
      </w:r>
    </w:p>
    <w:p w14:paraId="3065E16D" w14:textId="77777777" w:rsidR="00967F53" w:rsidRDefault="00967F53" w:rsidP="000D00A3">
      <w:pPr>
        <w:pStyle w:val="CGCNumberedPara"/>
      </w:pPr>
      <w:r>
        <w:t xml:space="preserve">The Commission’s method for this category in its State inquiries assumes each State could collect </w:t>
      </w:r>
      <w:r w:rsidRPr="000D00A3">
        <w:t>the</w:t>
      </w:r>
      <w:r>
        <w:t xml:space="preserve"> average per capita revenue.</w:t>
      </w:r>
    </w:p>
    <w:p w14:paraId="4F85D775" w14:textId="77777777" w:rsidR="00967F53" w:rsidRDefault="00967F53" w:rsidP="000D00A3">
      <w:pPr>
        <w:pStyle w:val="CGCNumberedPara"/>
      </w:pPr>
      <w:r>
        <w:t>The same approach has been adopted for the current inquiry. The average State revenue per capita from the charges in the category was $1 </w:t>
      </w:r>
      <w:r w:rsidR="007C2203">
        <w:t>545</w:t>
      </w:r>
      <w:r>
        <w:t xml:space="preserve"> in 2017-18. When that amount is applied to the Norfolk Island population the resulting assessed revenue is $619 000, or $352 per capita</w:t>
      </w:r>
      <w:r w:rsidR="00E1550A">
        <w:t xml:space="preserve"> (see Table C-1)</w:t>
      </w:r>
      <w:r>
        <w:t>. This is less than the assessed revenue for 2009</w:t>
      </w:r>
      <w:r>
        <w:noBreakHyphen/>
        <w:t xml:space="preserve">10 of $757 000 derived in the 2011 </w:t>
      </w:r>
      <w:r w:rsidR="00F547A5">
        <w:t>inquiry</w:t>
      </w:r>
      <w:r>
        <w:t xml:space="preserve">. The reduction reflects changes in the amounts of State revenue in this category and in our methods, specifically the extent to which some user charges revenues are offset against the related expenses. </w:t>
      </w:r>
    </w:p>
    <w:p w14:paraId="5CA77A92" w14:textId="77777777" w:rsidR="00967F53" w:rsidRDefault="00967F53" w:rsidP="00967F53">
      <w:pPr>
        <w:pStyle w:val="CGCNumberedPara"/>
        <w:numPr>
          <w:ilvl w:val="0"/>
          <w:numId w:val="0"/>
        </w:numPr>
      </w:pPr>
    </w:p>
    <w:p w14:paraId="20160F6E" w14:textId="77777777" w:rsidR="00967F53" w:rsidRDefault="00967F53" w:rsidP="00967F53">
      <w:pPr>
        <w:pStyle w:val="CGCNumberedPara"/>
        <w:numPr>
          <w:ilvl w:val="0"/>
          <w:numId w:val="0"/>
        </w:numPr>
        <w:ind w:left="567" w:hanging="567"/>
      </w:pPr>
    </w:p>
    <w:p w14:paraId="095AA104" w14:textId="77777777" w:rsidR="00967F53" w:rsidRDefault="00967F53" w:rsidP="00967F53">
      <w:pPr>
        <w:spacing w:after="0" w:line="240" w:lineRule="auto"/>
        <w:rPr>
          <w:szCs w:val="24"/>
        </w:rPr>
        <w:sectPr w:rsidR="00967F53">
          <w:pgSz w:w="11899" w:h="16838"/>
          <w:pgMar w:top="1701" w:right="1474" w:bottom="1701" w:left="1474" w:header="709" w:footer="709" w:gutter="0"/>
          <w:cols w:space="720"/>
        </w:sectPr>
      </w:pPr>
    </w:p>
    <w:p w14:paraId="74DFD6D0" w14:textId="77777777" w:rsidR="00967F53" w:rsidRDefault="00967F53" w:rsidP="0058218B">
      <w:pPr>
        <w:pStyle w:val="Heading2"/>
      </w:pPr>
      <w:bookmarkStart w:id="508" w:name="_Toc19262964"/>
      <w:bookmarkStart w:id="509" w:name="_Toc23847509"/>
      <w:r>
        <w:lastRenderedPageBreak/>
        <w:t>Attachment D</w:t>
      </w:r>
      <w:r w:rsidR="00A60D29">
        <w:t>: Local government taxes and charges</w:t>
      </w:r>
      <w:bookmarkEnd w:id="508"/>
      <w:bookmarkEnd w:id="509"/>
    </w:p>
    <w:p w14:paraId="4A40EAE3" w14:textId="77777777" w:rsidR="00967F53" w:rsidRDefault="00967F53" w:rsidP="00967F53">
      <w:pPr>
        <w:pStyle w:val="Heading3"/>
      </w:pPr>
      <w:bookmarkStart w:id="510" w:name="_Toc17380510"/>
      <w:bookmarkStart w:id="511" w:name="_Toc19262965"/>
      <w:bookmarkStart w:id="512" w:name="_Toc23847510"/>
      <w:r>
        <w:t>Introduction</w:t>
      </w:r>
      <w:bookmarkEnd w:id="510"/>
      <w:bookmarkEnd w:id="511"/>
      <w:bookmarkEnd w:id="512"/>
    </w:p>
    <w:p w14:paraId="377FF416" w14:textId="77777777" w:rsidR="00967F53" w:rsidRDefault="00967F53" w:rsidP="001E4105">
      <w:pPr>
        <w:pStyle w:val="CGCNumberedPara"/>
        <w:tabs>
          <w:tab w:val="left" w:pos="567"/>
          <w:tab w:val="num" w:pos="1134"/>
        </w:tabs>
      </w:pPr>
      <w:r>
        <w:t xml:space="preserve">This attachment provides details of how we estimated the revenue which could be raised on Norfolk Island from local government-type taxes and charges if policies of comparable Australian communities were applied. Local government revenues have been defined to include those taxes normally raised by local governments in the rest of Australia. Those revenues include municipal rates, user charges and other revenues. </w:t>
      </w:r>
    </w:p>
    <w:p w14:paraId="42C3BFDE" w14:textId="77777777" w:rsidR="00967F53" w:rsidRDefault="00967F53" w:rsidP="00967F53">
      <w:pPr>
        <w:pStyle w:val="Heading3"/>
      </w:pPr>
      <w:bookmarkStart w:id="513" w:name="_Toc307910475"/>
      <w:bookmarkStart w:id="514" w:name="_Toc307909571"/>
      <w:bookmarkStart w:id="515" w:name="_Toc307845623"/>
      <w:bookmarkStart w:id="516" w:name="_Toc307837341"/>
      <w:bookmarkStart w:id="517" w:name="_Toc146707846"/>
      <w:bookmarkStart w:id="518" w:name="_Toc146089012"/>
      <w:bookmarkStart w:id="519" w:name="_Toc140635644"/>
      <w:bookmarkStart w:id="520" w:name="_Toc17380511"/>
      <w:bookmarkStart w:id="521" w:name="_Toc19262966"/>
      <w:bookmarkStart w:id="522" w:name="_Toc23847511"/>
      <w:r>
        <w:t>Methods</w:t>
      </w:r>
      <w:bookmarkEnd w:id="513"/>
      <w:bookmarkEnd w:id="514"/>
      <w:bookmarkEnd w:id="515"/>
      <w:bookmarkEnd w:id="516"/>
      <w:bookmarkEnd w:id="517"/>
      <w:bookmarkEnd w:id="518"/>
      <w:bookmarkEnd w:id="519"/>
      <w:bookmarkEnd w:id="520"/>
      <w:bookmarkEnd w:id="521"/>
      <w:bookmarkEnd w:id="522"/>
    </w:p>
    <w:p w14:paraId="6AA47340" w14:textId="77777777" w:rsidR="00967F53" w:rsidRPr="00DC1B2B" w:rsidRDefault="00967F53" w:rsidP="00DC1B2B">
      <w:pPr>
        <w:pStyle w:val="CGCNumberedPara"/>
      </w:pPr>
      <w:r>
        <w:t xml:space="preserve">The assessed local government revenues have been derived by the same broad process as that used for State revenues. That is, for each tax or charge, the revenue </w:t>
      </w:r>
      <w:r w:rsidRPr="00DC1B2B">
        <w:t xml:space="preserve">raising policies observed in broadly comparable circumstances on the mainland have been applied to estimates of the revenue base on Norfolk Island. </w:t>
      </w:r>
    </w:p>
    <w:p w14:paraId="41E642A7" w14:textId="77777777" w:rsidR="00967F53" w:rsidRPr="00DC1B2B" w:rsidRDefault="00967F53" w:rsidP="00DC1B2B">
      <w:pPr>
        <w:pStyle w:val="CGCNumberedPara"/>
      </w:pPr>
      <w:r w:rsidRPr="00DC1B2B">
        <w:t>The choice of the mainland circumstances used to derive the base or standard revenue raising policies for each tax or charge depended on what we considered was most consistent with the circumstances of Norfolk Island. In some cases, we derived the base or standard policies from an average of those adopted by local governments in all or selected States (such as Tasmania), in others we based them on King Island policies. The basis of each choice is explained in this attachment.</w:t>
      </w:r>
    </w:p>
    <w:p w14:paraId="3997E9CB" w14:textId="77777777" w:rsidR="00967F53" w:rsidRPr="00DC1B2B" w:rsidRDefault="00967F53" w:rsidP="00DC1B2B">
      <w:pPr>
        <w:pStyle w:val="CGCNumberedPara"/>
      </w:pPr>
      <w:r w:rsidRPr="00DC1B2B">
        <w:t>As far as possible, we measured the potential revenue base on Norfolk Island using data provided by NIRC. Where such data were not available estimates have been made using the most relevant data available from State or local government sources.</w:t>
      </w:r>
    </w:p>
    <w:p w14:paraId="13F0E485" w14:textId="77777777" w:rsidR="00967F53" w:rsidRDefault="00967F53" w:rsidP="00DC1B2B">
      <w:pPr>
        <w:pStyle w:val="CGCNumberedPara"/>
      </w:pPr>
      <w:r w:rsidRPr="00DC1B2B">
        <w:t>The methods used to estimate revenue raising capacity carry no implications for how revenue should be raised</w:t>
      </w:r>
      <w:r>
        <w:t xml:space="preserve"> on Norfolk Island. Many different approaches could be adopted and decisions about such local government-type revenue raising policies are a matter for the </w:t>
      </w:r>
      <w:r w:rsidR="00BC61A1">
        <w:t>NIRC</w:t>
      </w:r>
      <w:r>
        <w:t xml:space="preserve">. </w:t>
      </w:r>
    </w:p>
    <w:p w14:paraId="1B7B78A4" w14:textId="18A2573A" w:rsidR="00967F53" w:rsidRDefault="00967F53" w:rsidP="00DC1B2B">
      <w:pPr>
        <w:pStyle w:val="CGCNumberedPara"/>
      </w:pPr>
      <w:r>
        <w:fldChar w:fldCharType="begin"/>
      </w:r>
      <w:r>
        <w:instrText xml:space="preserve"> REF _Ref17284649 \h  \* MERGEFORMAT </w:instrText>
      </w:r>
      <w:r>
        <w:fldChar w:fldCharType="separate"/>
      </w:r>
      <w:r w:rsidR="00DE7AA1">
        <w:t xml:space="preserve">Table </w:t>
      </w:r>
      <w:r>
        <w:fldChar w:fldCharType="end"/>
      </w:r>
      <w:r w:rsidR="00DC1B2B">
        <w:t>D-1</w:t>
      </w:r>
      <w:r>
        <w:t xml:space="preserve"> provides a summary of our estimates of the local government-type revenues that could have been raised on Norfolk Island in 2017-18 if the average revenue raising policies of comparable councils in the States had been applied. The table also shows: financial assistance and local roads grants provided by the Commonwealth; specific purpose grants to local government by their State </w:t>
      </w:r>
      <w:r>
        <w:lastRenderedPageBreak/>
        <w:t>government; the average revenue per capita for all councils (except the ACT); and, where possible, the actua</w:t>
      </w:r>
      <w:r w:rsidR="006A65D0">
        <w:t>l revenues received on Norfolk I</w:t>
      </w:r>
      <w:r>
        <w:t xml:space="preserve">sland in 2017-18. </w:t>
      </w:r>
    </w:p>
    <w:p w14:paraId="6ACFF980" w14:textId="77777777" w:rsidR="00967F53" w:rsidRDefault="00967F53" w:rsidP="00967F53">
      <w:pPr>
        <w:pStyle w:val="CGCTableHeading"/>
      </w:pPr>
      <w:bookmarkStart w:id="523" w:name="_Ref17284649"/>
      <w:r>
        <w:t xml:space="preserve">Table </w:t>
      </w:r>
      <w:bookmarkEnd w:id="523"/>
      <w:r>
        <w:t>D-1</w:t>
      </w:r>
      <w:r>
        <w:tab/>
        <w:t xml:space="preserve">Local government-type revenue, 2017-18 - summary </w:t>
      </w:r>
    </w:p>
    <w:tbl>
      <w:tblPr>
        <w:tblW w:w="8960" w:type="dxa"/>
        <w:tblLook w:val="04A0" w:firstRow="1" w:lastRow="0" w:firstColumn="1" w:lastColumn="0" w:noHBand="0" w:noVBand="1"/>
      </w:tblPr>
      <w:tblGrid>
        <w:gridCol w:w="2860"/>
        <w:gridCol w:w="1220"/>
        <w:gridCol w:w="1220"/>
        <w:gridCol w:w="1220"/>
        <w:gridCol w:w="1220"/>
        <w:gridCol w:w="1220"/>
      </w:tblGrid>
      <w:tr w:rsidR="00967F53" w14:paraId="41976E6C" w14:textId="77777777" w:rsidTr="00967F53">
        <w:trPr>
          <w:trHeight w:val="315"/>
        </w:trPr>
        <w:tc>
          <w:tcPr>
            <w:tcW w:w="2860" w:type="dxa"/>
            <w:vMerge w:val="restart"/>
            <w:tcBorders>
              <w:top w:val="single" w:sz="4" w:space="0" w:color="auto"/>
              <w:left w:val="nil"/>
              <w:bottom w:val="single" w:sz="4" w:space="0" w:color="000000"/>
              <w:right w:val="nil"/>
            </w:tcBorders>
            <w:vAlign w:val="center"/>
            <w:hideMark/>
          </w:tcPr>
          <w:p w14:paraId="47A3A01B"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Revenue </w:t>
            </w:r>
          </w:p>
        </w:tc>
        <w:tc>
          <w:tcPr>
            <w:tcW w:w="1220" w:type="dxa"/>
            <w:vMerge w:val="restart"/>
            <w:tcBorders>
              <w:top w:val="single" w:sz="4" w:space="0" w:color="auto"/>
              <w:left w:val="nil"/>
              <w:bottom w:val="single" w:sz="4" w:space="0" w:color="000000"/>
              <w:right w:val="single" w:sz="4" w:space="0" w:color="auto"/>
            </w:tcBorders>
            <w:noWrap/>
            <w:vAlign w:val="center"/>
            <w:hideMark/>
          </w:tcPr>
          <w:p w14:paraId="6B420858" w14:textId="77777777" w:rsidR="00967F53" w:rsidRDefault="00967F53">
            <w:pPr>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State average (a)</w:t>
            </w:r>
          </w:p>
        </w:tc>
        <w:tc>
          <w:tcPr>
            <w:tcW w:w="4880" w:type="dxa"/>
            <w:gridSpan w:val="4"/>
            <w:tcBorders>
              <w:top w:val="single" w:sz="4" w:space="0" w:color="auto"/>
              <w:left w:val="nil"/>
              <w:bottom w:val="single" w:sz="4" w:space="0" w:color="auto"/>
              <w:right w:val="nil"/>
            </w:tcBorders>
            <w:vAlign w:val="center"/>
            <w:hideMark/>
          </w:tcPr>
          <w:p w14:paraId="5F46FE52" w14:textId="77777777" w:rsidR="00967F53" w:rsidRDefault="00967F53">
            <w:pPr>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Norfolk Island</w:t>
            </w:r>
          </w:p>
        </w:tc>
      </w:tr>
      <w:tr w:rsidR="00967F53" w14:paraId="0E19B512" w14:textId="77777777" w:rsidTr="00967F53">
        <w:trPr>
          <w:trHeight w:val="555"/>
        </w:trPr>
        <w:tc>
          <w:tcPr>
            <w:tcW w:w="0" w:type="auto"/>
            <w:vMerge/>
            <w:tcBorders>
              <w:top w:val="single" w:sz="4" w:space="0" w:color="auto"/>
              <w:left w:val="nil"/>
              <w:bottom w:val="single" w:sz="4" w:space="0" w:color="000000"/>
              <w:right w:val="nil"/>
            </w:tcBorders>
            <w:vAlign w:val="center"/>
            <w:hideMark/>
          </w:tcPr>
          <w:p w14:paraId="69740EE2" w14:textId="77777777" w:rsidR="00967F53" w:rsidRDefault="00967F53">
            <w:pPr>
              <w:spacing w:after="0"/>
              <w:rPr>
                <w:rFonts w:ascii="Calibri" w:eastAsia="Times New Roman" w:hAnsi="Calibri" w:cs="Calibri"/>
                <w:sz w:val="20"/>
                <w:szCs w:val="20"/>
                <w:lang w:eastAsia="en-AU"/>
              </w:rPr>
            </w:pPr>
          </w:p>
        </w:tc>
        <w:tc>
          <w:tcPr>
            <w:tcW w:w="0" w:type="auto"/>
            <w:vMerge/>
            <w:tcBorders>
              <w:top w:val="single" w:sz="4" w:space="0" w:color="auto"/>
              <w:left w:val="nil"/>
              <w:bottom w:val="single" w:sz="4" w:space="0" w:color="000000"/>
              <w:right w:val="single" w:sz="4" w:space="0" w:color="auto"/>
            </w:tcBorders>
            <w:vAlign w:val="center"/>
            <w:hideMark/>
          </w:tcPr>
          <w:p w14:paraId="246BD24A" w14:textId="77777777" w:rsidR="00967F53" w:rsidRDefault="00967F53">
            <w:pPr>
              <w:spacing w:after="0"/>
              <w:rPr>
                <w:rFonts w:ascii="Calibri" w:eastAsia="Times New Roman" w:hAnsi="Calibri" w:cs="Calibri"/>
                <w:sz w:val="20"/>
                <w:szCs w:val="20"/>
                <w:lang w:eastAsia="en-AU"/>
              </w:rPr>
            </w:pPr>
          </w:p>
        </w:tc>
        <w:tc>
          <w:tcPr>
            <w:tcW w:w="2440" w:type="dxa"/>
            <w:gridSpan w:val="2"/>
            <w:tcBorders>
              <w:top w:val="single" w:sz="4" w:space="0" w:color="auto"/>
              <w:left w:val="nil"/>
              <w:bottom w:val="single" w:sz="4" w:space="0" w:color="auto"/>
              <w:right w:val="single" w:sz="4" w:space="0" w:color="000000"/>
            </w:tcBorders>
            <w:noWrap/>
            <w:vAlign w:val="center"/>
            <w:hideMark/>
          </w:tcPr>
          <w:p w14:paraId="576F20B8" w14:textId="77777777" w:rsidR="00967F53" w:rsidRDefault="00967F53">
            <w:pPr>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Assessed</w:t>
            </w:r>
          </w:p>
        </w:tc>
        <w:tc>
          <w:tcPr>
            <w:tcW w:w="2440" w:type="dxa"/>
            <w:gridSpan w:val="2"/>
            <w:tcBorders>
              <w:top w:val="single" w:sz="4" w:space="0" w:color="auto"/>
              <w:left w:val="nil"/>
              <w:bottom w:val="single" w:sz="4" w:space="0" w:color="auto"/>
              <w:right w:val="nil"/>
            </w:tcBorders>
            <w:noWrap/>
            <w:vAlign w:val="center"/>
            <w:hideMark/>
          </w:tcPr>
          <w:p w14:paraId="5D4729C1" w14:textId="77777777" w:rsidR="00967F53" w:rsidRDefault="00967F53">
            <w:pPr>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Actual</w:t>
            </w:r>
          </w:p>
        </w:tc>
      </w:tr>
      <w:tr w:rsidR="00967F53" w14:paraId="1110B00B" w14:textId="77777777" w:rsidTr="00967F53">
        <w:trPr>
          <w:trHeight w:val="259"/>
        </w:trPr>
        <w:tc>
          <w:tcPr>
            <w:tcW w:w="2860" w:type="dxa"/>
            <w:vAlign w:val="center"/>
            <w:hideMark/>
          </w:tcPr>
          <w:p w14:paraId="0B4432DB" w14:textId="77777777" w:rsidR="00967F53" w:rsidRDefault="00967F53">
            <w:pPr>
              <w:rPr>
                <w:rFonts w:ascii="Calibri" w:eastAsia="Times New Roman" w:hAnsi="Calibri" w:cs="Calibri"/>
                <w:sz w:val="20"/>
                <w:szCs w:val="20"/>
                <w:lang w:eastAsia="en-AU"/>
              </w:rPr>
            </w:pPr>
          </w:p>
        </w:tc>
        <w:tc>
          <w:tcPr>
            <w:tcW w:w="1220" w:type="dxa"/>
            <w:tcBorders>
              <w:top w:val="nil"/>
              <w:left w:val="nil"/>
              <w:bottom w:val="nil"/>
              <w:right w:val="single" w:sz="4" w:space="0" w:color="auto"/>
            </w:tcBorders>
            <w:vAlign w:val="center"/>
            <w:hideMark/>
          </w:tcPr>
          <w:p w14:paraId="525FC1B1"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$pc</w:t>
            </w:r>
          </w:p>
        </w:tc>
        <w:tc>
          <w:tcPr>
            <w:tcW w:w="1220" w:type="dxa"/>
            <w:vAlign w:val="center"/>
            <w:hideMark/>
          </w:tcPr>
          <w:p w14:paraId="3E967DBD"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$pc</w:t>
            </w:r>
          </w:p>
        </w:tc>
        <w:tc>
          <w:tcPr>
            <w:tcW w:w="1220" w:type="dxa"/>
            <w:tcBorders>
              <w:top w:val="nil"/>
              <w:left w:val="nil"/>
              <w:bottom w:val="nil"/>
              <w:right w:val="single" w:sz="4" w:space="0" w:color="auto"/>
            </w:tcBorders>
            <w:vAlign w:val="center"/>
            <w:hideMark/>
          </w:tcPr>
          <w:p w14:paraId="2E629EB7"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w:t>
            </w:r>
          </w:p>
        </w:tc>
        <w:tc>
          <w:tcPr>
            <w:tcW w:w="1220" w:type="dxa"/>
            <w:vAlign w:val="center"/>
            <w:hideMark/>
          </w:tcPr>
          <w:p w14:paraId="186FB144"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$pc</w:t>
            </w:r>
          </w:p>
        </w:tc>
        <w:tc>
          <w:tcPr>
            <w:tcW w:w="1220" w:type="dxa"/>
            <w:vAlign w:val="center"/>
            <w:hideMark/>
          </w:tcPr>
          <w:p w14:paraId="0FF04EEE"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w:t>
            </w:r>
          </w:p>
        </w:tc>
      </w:tr>
      <w:tr w:rsidR="00967F53" w14:paraId="10A6E02C" w14:textId="77777777" w:rsidTr="00967F53">
        <w:trPr>
          <w:trHeight w:val="315"/>
        </w:trPr>
        <w:tc>
          <w:tcPr>
            <w:tcW w:w="2860" w:type="dxa"/>
            <w:noWrap/>
            <w:vAlign w:val="bottom"/>
            <w:hideMark/>
          </w:tcPr>
          <w:p w14:paraId="483E5696"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Financial assistance grants</w:t>
            </w:r>
            <w:r w:rsidR="0078667B">
              <w:rPr>
                <w:rFonts w:ascii="Calibri" w:eastAsia="Times New Roman" w:hAnsi="Calibri" w:cs="Calibri"/>
                <w:sz w:val="20"/>
                <w:szCs w:val="20"/>
                <w:lang w:eastAsia="en-AU"/>
              </w:rPr>
              <w:t xml:space="preserve"> (b)</w:t>
            </w:r>
          </w:p>
        </w:tc>
        <w:tc>
          <w:tcPr>
            <w:tcW w:w="1220" w:type="dxa"/>
            <w:tcBorders>
              <w:top w:val="nil"/>
              <w:left w:val="nil"/>
              <w:bottom w:val="nil"/>
              <w:right w:val="single" w:sz="4" w:space="0" w:color="auto"/>
            </w:tcBorders>
            <w:vAlign w:val="center"/>
            <w:hideMark/>
          </w:tcPr>
          <w:p w14:paraId="1A8C8200"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w:t>
            </w:r>
          </w:p>
        </w:tc>
        <w:tc>
          <w:tcPr>
            <w:tcW w:w="1220" w:type="dxa"/>
            <w:vAlign w:val="center"/>
            <w:hideMark/>
          </w:tcPr>
          <w:p w14:paraId="1B63F4BF" w14:textId="77777777" w:rsidR="00967F53" w:rsidRDefault="00967F53">
            <w:pPr>
              <w:rPr>
                <w:rFonts w:ascii="Calibri" w:eastAsia="Times New Roman" w:hAnsi="Calibri" w:cs="Calibri"/>
                <w:sz w:val="20"/>
                <w:szCs w:val="20"/>
                <w:lang w:eastAsia="en-AU"/>
              </w:rPr>
            </w:pPr>
          </w:p>
        </w:tc>
        <w:tc>
          <w:tcPr>
            <w:tcW w:w="1220" w:type="dxa"/>
            <w:tcBorders>
              <w:top w:val="nil"/>
              <w:left w:val="nil"/>
              <w:bottom w:val="nil"/>
              <w:right w:val="single" w:sz="4" w:space="0" w:color="auto"/>
            </w:tcBorders>
            <w:vAlign w:val="center"/>
            <w:hideMark/>
          </w:tcPr>
          <w:p w14:paraId="64B10672"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w:t>
            </w:r>
          </w:p>
        </w:tc>
        <w:tc>
          <w:tcPr>
            <w:tcW w:w="1220" w:type="dxa"/>
            <w:vAlign w:val="center"/>
            <w:hideMark/>
          </w:tcPr>
          <w:p w14:paraId="7651330E" w14:textId="77777777" w:rsidR="00967F53" w:rsidRDefault="00967F53">
            <w:pPr>
              <w:rPr>
                <w:rFonts w:ascii="Calibri" w:eastAsia="Times New Roman" w:hAnsi="Calibri" w:cs="Calibri"/>
                <w:sz w:val="20"/>
                <w:szCs w:val="20"/>
                <w:lang w:eastAsia="en-AU"/>
              </w:rPr>
            </w:pPr>
          </w:p>
        </w:tc>
        <w:tc>
          <w:tcPr>
            <w:tcW w:w="1220" w:type="dxa"/>
            <w:noWrap/>
            <w:vAlign w:val="bottom"/>
            <w:hideMark/>
          </w:tcPr>
          <w:p w14:paraId="242092A7" w14:textId="77777777" w:rsidR="00967F53" w:rsidRDefault="00967F53">
            <w:pPr>
              <w:spacing w:after="0"/>
              <w:rPr>
                <w:sz w:val="20"/>
                <w:szCs w:val="20"/>
                <w:lang w:eastAsia="en-AU"/>
              </w:rPr>
            </w:pPr>
          </w:p>
        </w:tc>
      </w:tr>
      <w:tr w:rsidR="00967F53" w14:paraId="5D2D280D" w14:textId="77777777" w:rsidTr="00967F53">
        <w:trPr>
          <w:trHeight w:val="315"/>
        </w:trPr>
        <w:tc>
          <w:tcPr>
            <w:tcW w:w="2860" w:type="dxa"/>
            <w:noWrap/>
            <w:vAlign w:val="bottom"/>
            <w:hideMark/>
          </w:tcPr>
          <w:p w14:paraId="6CF2A0BE" w14:textId="77777777" w:rsidR="00967F53" w:rsidRDefault="00967F53">
            <w:pPr>
              <w:spacing w:after="0" w:line="240" w:lineRule="auto"/>
              <w:ind w:firstLineChars="100" w:firstLine="200"/>
              <w:rPr>
                <w:rFonts w:ascii="Calibri" w:eastAsia="Times New Roman" w:hAnsi="Calibri" w:cs="Calibri"/>
                <w:sz w:val="20"/>
                <w:szCs w:val="20"/>
                <w:lang w:eastAsia="en-AU"/>
              </w:rPr>
            </w:pPr>
            <w:r>
              <w:rPr>
                <w:rFonts w:ascii="Calibri" w:eastAsia="Times New Roman" w:hAnsi="Calibri" w:cs="Calibri"/>
                <w:sz w:val="20"/>
                <w:szCs w:val="20"/>
                <w:lang w:eastAsia="en-AU"/>
              </w:rPr>
              <w:t>General purpose</w:t>
            </w:r>
          </w:p>
        </w:tc>
        <w:tc>
          <w:tcPr>
            <w:tcW w:w="1220" w:type="dxa"/>
            <w:tcBorders>
              <w:top w:val="nil"/>
              <w:left w:val="nil"/>
              <w:bottom w:val="nil"/>
              <w:right w:val="single" w:sz="4" w:space="0" w:color="auto"/>
            </w:tcBorders>
            <w:vAlign w:val="center"/>
            <w:hideMark/>
          </w:tcPr>
          <w:p w14:paraId="330D9209"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67</w:t>
            </w:r>
          </w:p>
        </w:tc>
        <w:tc>
          <w:tcPr>
            <w:tcW w:w="1220" w:type="dxa"/>
            <w:vAlign w:val="center"/>
            <w:hideMark/>
          </w:tcPr>
          <w:p w14:paraId="2AA8243C"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1 335</w:t>
            </w:r>
          </w:p>
        </w:tc>
        <w:tc>
          <w:tcPr>
            <w:tcW w:w="1220" w:type="dxa"/>
            <w:tcBorders>
              <w:top w:val="nil"/>
              <w:left w:val="nil"/>
              <w:bottom w:val="nil"/>
              <w:right w:val="single" w:sz="4" w:space="0" w:color="auto"/>
            </w:tcBorders>
            <w:vAlign w:val="center"/>
            <w:hideMark/>
          </w:tcPr>
          <w:p w14:paraId="0F82D7C8"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2 343 708</w:t>
            </w:r>
          </w:p>
        </w:tc>
        <w:tc>
          <w:tcPr>
            <w:tcW w:w="1220" w:type="dxa"/>
            <w:vAlign w:val="center"/>
            <w:hideMark/>
          </w:tcPr>
          <w:p w14:paraId="299CE029"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1 335</w:t>
            </w:r>
          </w:p>
        </w:tc>
        <w:tc>
          <w:tcPr>
            <w:tcW w:w="1220" w:type="dxa"/>
            <w:vAlign w:val="center"/>
            <w:hideMark/>
          </w:tcPr>
          <w:p w14:paraId="025049D5"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2 343 708</w:t>
            </w:r>
          </w:p>
        </w:tc>
      </w:tr>
      <w:tr w:rsidR="00967F53" w14:paraId="1CDA5D4F" w14:textId="77777777" w:rsidTr="00967F53">
        <w:trPr>
          <w:trHeight w:val="315"/>
        </w:trPr>
        <w:tc>
          <w:tcPr>
            <w:tcW w:w="2860" w:type="dxa"/>
            <w:noWrap/>
            <w:vAlign w:val="bottom"/>
            <w:hideMark/>
          </w:tcPr>
          <w:p w14:paraId="286652FE" w14:textId="77777777" w:rsidR="00967F53" w:rsidRDefault="00967F53">
            <w:pPr>
              <w:spacing w:after="0" w:line="240" w:lineRule="auto"/>
              <w:ind w:firstLineChars="100" w:firstLine="200"/>
              <w:rPr>
                <w:rFonts w:ascii="Calibri" w:eastAsia="Times New Roman" w:hAnsi="Calibri" w:cs="Calibri"/>
                <w:sz w:val="20"/>
                <w:szCs w:val="20"/>
                <w:lang w:eastAsia="en-AU"/>
              </w:rPr>
            </w:pPr>
            <w:r>
              <w:rPr>
                <w:rFonts w:ascii="Calibri" w:eastAsia="Times New Roman" w:hAnsi="Calibri" w:cs="Calibri"/>
                <w:sz w:val="20"/>
                <w:szCs w:val="20"/>
                <w:lang w:eastAsia="en-AU"/>
              </w:rPr>
              <w:t>Local roads</w:t>
            </w:r>
          </w:p>
        </w:tc>
        <w:tc>
          <w:tcPr>
            <w:tcW w:w="1220" w:type="dxa"/>
            <w:tcBorders>
              <w:top w:val="nil"/>
              <w:left w:val="nil"/>
              <w:bottom w:val="nil"/>
              <w:right w:val="single" w:sz="4" w:space="0" w:color="auto"/>
            </w:tcBorders>
            <w:vAlign w:val="center"/>
            <w:hideMark/>
          </w:tcPr>
          <w:p w14:paraId="788AA3B3"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29</w:t>
            </w:r>
          </w:p>
        </w:tc>
        <w:tc>
          <w:tcPr>
            <w:tcW w:w="1220" w:type="dxa"/>
            <w:vAlign w:val="center"/>
            <w:hideMark/>
          </w:tcPr>
          <w:p w14:paraId="79B70A87"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60</w:t>
            </w:r>
          </w:p>
        </w:tc>
        <w:tc>
          <w:tcPr>
            <w:tcW w:w="1220" w:type="dxa"/>
            <w:tcBorders>
              <w:top w:val="nil"/>
              <w:left w:val="nil"/>
              <w:bottom w:val="nil"/>
              <w:right w:val="single" w:sz="4" w:space="0" w:color="auto"/>
            </w:tcBorders>
            <w:vAlign w:val="center"/>
            <w:hideMark/>
          </w:tcPr>
          <w:p w14:paraId="7E1BCAA9"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106 030</w:t>
            </w:r>
          </w:p>
        </w:tc>
        <w:tc>
          <w:tcPr>
            <w:tcW w:w="1220" w:type="dxa"/>
            <w:vAlign w:val="center"/>
            <w:hideMark/>
          </w:tcPr>
          <w:p w14:paraId="0B3AABB6"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60</w:t>
            </w:r>
          </w:p>
        </w:tc>
        <w:tc>
          <w:tcPr>
            <w:tcW w:w="1220" w:type="dxa"/>
            <w:vAlign w:val="center"/>
            <w:hideMark/>
          </w:tcPr>
          <w:p w14:paraId="64DA1166"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106 030</w:t>
            </w:r>
          </w:p>
        </w:tc>
      </w:tr>
      <w:tr w:rsidR="00967F53" w14:paraId="2B32765C" w14:textId="77777777" w:rsidTr="00967F53">
        <w:trPr>
          <w:trHeight w:val="315"/>
        </w:trPr>
        <w:tc>
          <w:tcPr>
            <w:tcW w:w="2860" w:type="dxa"/>
            <w:noWrap/>
            <w:vAlign w:val="bottom"/>
            <w:hideMark/>
          </w:tcPr>
          <w:p w14:paraId="003A5EB8"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Other grant support</w:t>
            </w:r>
          </w:p>
        </w:tc>
        <w:tc>
          <w:tcPr>
            <w:tcW w:w="1220" w:type="dxa"/>
            <w:tcBorders>
              <w:top w:val="nil"/>
              <w:left w:val="nil"/>
              <w:bottom w:val="nil"/>
              <w:right w:val="single" w:sz="4" w:space="0" w:color="auto"/>
            </w:tcBorders>
            <w:vAlign w:val="center"/>
            <w:hideMark/>
          </w:tcPr>
          <w:p w14:paraId="5A50631A"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w:t>
            </w:r>
          </w:p>
        </w:tc>
        <w:tc>
          <w:tcPr>
            <w:tcW w:w="1220" w:type="dxa"/>
            <w:vAlign w:val="center"/>
            <w:hideMark/>
          </w:tcPr>
          <w:p w14:paraId="58F6C75E" w14:textId="77777777" w:rsidR="00967F53" w:rsidRDefault="00967F53">
            <w:pPr>
              <w:rPr>
                <w:rFonts w:ascii="Calibri" w:eastAsia="Times New Roman" w:hAnsi="Calibri" w:cs="Calibri"/>
                <w:sz w:val="20"/>
                <w:szCs w:val="20"/>
                <w:lang w:eastAsia="en-AU"/>
              </w:rPr>
            </w:pPr>
          </w:p>
        </w:tc>
        <w:tc>
          <w:tcPr>
            <w:tcW w:w="1220" w:type="dxa"/>
            <w:tcBorders>
              <w:top w:val="nil"/>
              <w:left w:val="nil"/>
              <w:bottom w:val="nil"/>
              <w:right w:val="single" w:sz="4" w:space="0" w:color="auto"/>
            </w:tcBorders>
            <w:vAlign w:val="center"/>
            <w:hideMark/>
          </w:tcPr>
          <w:p w14:paraId="0E4B5118" w14:textId="77777777" w:rsidR="00967F53" w:rsidRDefault="00967F53">
            <w:pPr>
              <w:spacing w:after="0" w:line="240" w:lineRule="auto"/>
              <w:jc w:val="right"/>
              <w:rPr>
                <w:rFonts w:ascii="Calibri" w:eastAsia="Times New Roman" w:hAnsi="Calibri" w:cs="Calibri"/>
                <w:sz w:val="20"/>
                <w:szCs w:val="20"/>
                <w:lang w:eastAsia="en-AU"/>
              </w:rPr>
            </w:pPr>
          </w:p>
        </w:tc>
        <w:tc>
          <w:tcPr>
            <w:tcW w:w="1220" w:type="dxa"/>
            <w:vAlign w:val="center"/>
            <w:hideMark/>
          </w:tcPr>
          <w:p w14:paraId="7A72C76D" w14:textId="77777777" w:rsidR="00967F53" w:rsidRDefault="00967F53">
            <w:pPr>
              <w:spacing w:after="0" w:line="240" w:lineRule="auto"/>
              <w:jc w:val="right"/>
              <w:rPr>
                <w:rFonts w:ascii="Calibri" w:eastAsia="Times New Roman" w:hAnsi="Calibri" w:cs="Calibri"/>
                <w:sz w:val="20"/>
                <w:szCs w:val="20"/>
                <w:lang w:eastAsia="en-AU"/>
              </w:rPr>
            </w:pPr>
          </w:p>
        </w:tc>
        <w:tc>
          <w:tcPr>
            <w:tcW w:w="1220" w:type="dxa"/>
            <w:vAlign w:val="center"/>
            <w:hideMark/>
          </w:tcPr>
          <w:p w14:paraId="2059AC44" w14:textId="77777777" w:rsidR="00967F53" w:rsidRDefault="00967F53">
            <w:pPr>
              <w:spacing w:after="0" w:line="240" w:lineRule="auto"/>
              <w:jc w:val="right"/>
              <w:rPr>
                <w:rFonts w:ascii="Calibri" w:eastAsia="Times New Roman" w:hAnsi="Calibri" w:cs="Calibri"/>
                <w:sz w:val="20"/>
                <w:szCs w:val="20"/>
                <w:lang w:eastAsia="en-AU"/>
              </w:rPr>
            </w:pPr>
          </w:p>
        </w:tc>
      </w:tr>
      <w:tr w:rsidR="00967F53" w14:paraId="2FE0346B" w14:textId="77777777" w:rsidTr="00967F53">
        <w:trPr>
          <w:trHeight w:val="315"/>
        </w:trPr>
        <w:tc>
          <w:tcPr>
            <w:tcW w:w="2860" w:type="dxa"/>
            <w:noWrap/>
            <w:vAlign w:val="bottom"/>
            <w:hideMark/>
          </w:tcPr>
          <w:p w14:paraId="49F3701A" w14:textId="77777777" w:rsidR="00967F53" w:rsidRDefault="00967F53">
            <w:pPr>
              <w:spacing w:after="0" w:line="240" w:lineRule="auto"/>
              <w:ind w:firstLineChars="100" w:firstLine="200"/>
              <w:rPr>
                <w:rFonts w:ascii="Calibri" w:eastAsia="Times New Roman" w:hAnsi="Calibri" w:cs="Calibri"/>
                <w:sz w:val="20"/>
                <w:szCs w:val="20"/>
                <w:lang w:eastAsia="en-AU"/>
              </w:rPr>
            </w:pPr>
            <w:r>
              <w:rPr>
                <w:rFonts w:ascii="Calibri" w:eastAsia="Times New Roman" w:hAnsi="Calibri" w:cs="Calibri"/>
                <w:sz w:val="20"/>
                <w:szCs w:val="20"/>
                <w:lang w:eastAsia="en-AU"/>
              </w:rPr>
              <w:t>Commonwealth</w:t>
            </w:r>
          </w:p>
        </w:tc>
        <w:tc>
          <w:tcPr>
            <w:tcW w:w="1220" w:type="dxa"/>
            <w:tcBorders>
              <w:top w:val="nil"/>
              <w:left w:val="nil"/>
              <w:bottom w:val="nil"/>
              <w:right w:val="single" w:sz="4" w:space="0" w:color="auto"/>
            </w:tcBorders>
            <w:noWrap/>
            <w:vAlign w:val="bottom"/>
            <w:hideMark/>
          </w:tcPr>
          <w:p w14:paraId="1B2076A1"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41</w:t>
            </w:r>
          </w:p>
        </w:tc>
        <w:tc>
          <w:tcPr>
            <w:tcW w:w="1220" w:type="dxa"/>
            <w:noWrap/>
            <w:vAlign w:val="bottom"/>
            <w:hideMark/>
          </w:tcPr>
          <w:p w14:paraId="4773C884"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38</w:t>
            </w:r>
          </w:p>
        </w:tc>
        <w:tc>
          <w:tcPr>
            <w:tcW w:w="1220" w:type="dxa"/>
            <w:tcBorders>
              <w:top w:val="nil"/>
              <w:left w:val="nil"/>
              <w:bottom w:val="nil"/>
              <w:right w:val="single" w:sz="4" w:space="0" w:color="auto"/>
            </w:tcBorders>
            <w:noWrap/>
            <w:vAlign w:val="bottom"/>
            <w:hideMark/>
          </w:tcPr>
          <w:p w14:paraId="3FE05B7A"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67 500</w:t>
            </w:r>
          </w:p>
        </w:tc>
        <w:tc>
          <w:tcPr>
            <w:tcW w:w="1220" w:type="dxa"/>
            <w:noWrap/>
            <w:vAlign w:val="bottom"/>
            <w:hideMark/>
          </w:tcPr>
          <w:p w14:paraId="1D2223E6"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38</w:t>
            </w:r>
          </w:p>
        </w:tc>
        <w:tc>
          <w:tcPr>
            <w:tcW w:w="1220" w:type="dxa"/>
            <w:noWrap/>
            <w:vAlign w:val="bottom"/>
            <w:hideMark/>
          </w:tcPr>
          <w:p w14:paraId="41C7FA75"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67 500</w:t>
            </w:r>
          </w:p>
        </w:tc>
      </w:tr>
      <w:tr w:rsidR="00967F53" w14:paraId="068B4D8D" w14:textId="77777777" w:rsidTr="00967F53">
        <w:trPr>
          <w:trHeight w:val="315"/>
        </w:trPr>
        <w:tc>
          <w:tcPr>
            <w:tcW w:w="2860" w:type="dxa"/>
            <w:noWrap/>
            <w:vAlign w:val="bottom"/>
            <w:hideMark/>
          </w:tcPr>
          <w:p w14:paraId="4747C583" w14:textId="77777777" w:rsidR="00967F53" w:rsidRDefault="0078667B">
            <w:pPr>
              <w:spacing w:after="0" w:line="240" w:lineRule="auto"/>
              <w:ind w:firstLineChars="100" w:firstLine="200"/>
              <w:rPr>
                <w:rFonts w:ascii="Calibri" w:eastAsia="Times New Roman" w:hAnsi="Calibri" w:cs="Calibri"/>
                <w:sz w:val="20"/>
                <w:szCs w:val="20"/>
                <w:lang w:eastAsia="en-AU"/>
              </w:rPr>
            </w:pPr>
            <w:r>
              <w:rPr>
                <w:rFonts w:ascii="Calibri" w:eastAsia="Times New Roman" w:hAnsi="Calibri" w:cs="Calibri"/>
                <w:sz w:val="20"/>
                <w:szCs w:val="20"/>
                <w:lang w:eastAsia="en-AU"/>
              </w:rPr>
              <w:t>State</w:t>
            </w:r>
          </w:p>
        </w:tc>
        <w:tc>
          <w:tcPr>
            <w:tcW w:w="1220" w:type="dxa"/>
            <w:tcBorders>
              <w:top w:val="nil"/>
              <w:left w:val="nil"/>
              <w:bottom w:val="nil"/>
              <w:right w:val="single" w:sz="4" w:space="0" w:color="auto"/>
            </w:tcBorders>
            <w:noWrap/>
            <w:vAlign w:val="bottom"/>
            <w:hideMark/>
          </w:tcPr>
          <w:p w14:paraId="277107DC"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124</w:t>
            </w:r>
          </w:p>
        </w:tc>
        <w:tc>
          <w:tcPr>
            <w:tcW w:w="1220" w:type="dxa"/>
            <w:noWrap/>
            <w:vAlign w:val="bottom"/>
            <w:hideMark/>
          </w:tcPr>
          <w:p w14:paraId="36475186"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131</w:t>
            </w:r>
          </w:p>
        </w:tc>
        <w:tc>
          <w:tcPr>
            <w:tcW w:w="1220" w:type="dxa"/>
            <w:tcBorders>
              <w:top w:val="nil"/>
              <w:left w:val="nil"/>
              <w:bottom w:val="nil"/>
              <w:right w:val="single" w:sz="4" w:space="0" w:color="auto"/>
            </w:tcBorders>
            <w:noWrap/>
            <w:vAlign w:val="bottom"/>
            <w:hideMark/>
          </w:tcPr>
          <w:p w14:paraId="690F49E9"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229 585</w:t>
            </w:r>
          </w:p>
        </w:tc>
        <w:tc>
          <w:tcPr>
            <w:tcW w:w="1220" w:type="dxa"/>
            <w:noWrap/>
            <w:vAlign w:val="bottom"/>
            <w:hideMark/>
          </w:tcPr>
          <w:p w14:paraId="0A934D62"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0</w:t>
            </w:r>
          </w:p>
        </w:tc>
        <w:tc>
          <w:tcPr>
            <w:tcW w:w="1220" w:type="dxa"/>
            <w:noWrap/>
            <w:vAlign w:val="bottom"/>
            <w:hideMark/>
          </w:tcPr>
          <w:p w14:paraId="500C64FE"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0</w:t>
            </w:r>
          </w:p>
        </w:tc>
      </w:tr>
      <w:tr w:rsidR="00967F53" w14:paraId="6A83693D" w14:textId="77777777" w:rsidTr="00967F53">
        <w:trPr>
          <w:trHeight w:val="315"/>
        </w:trPr>
        <w:tc>
          <w:tcPr>
            <w:tcW w:w="2860" w:type="dxa"/>
            <w:tcBorders>
              <w:top w:val="nil"/>
              <w:left w:val="nil"/>
              <w:bottom w:val="single" w:sz="4" w:space="0" w:color="auto"/>
              <w:right w:val="nil"/>
            </w:tcBorders>
            <w:noWrap/>
            <w:vAlign w:val="bottom"/>
            <w:hideMark/>
          </w:tcPr>
          <w:p w14:paraId="292AD591"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Total</w:t>
            </w:r>
          </w:p>
        </w:tc>
        <w:tc>
          <w:tcPr>
            <w:tcW w:w="1220" w:type="dxa"/>
            <w:tcBorders>
              <w:top w:val="single" w:sz="4" w:space="0" w:color="auto"/>
              <w:left w:val="nil"/>
              <w:bottom w:val="single" w:sz="4" w:space="0" w:color="auto"/>
              <w:right w:val="single" w:sz="4" w:space="0" w:color="auto"/>
            </w:tcBorders>
            <w:noWrap/>
            <w:vAlign w:val="bottom"/>
            <w:hideMark/>
          </w:tcPr>
          <w:p w14:paraId="6B4FF01E"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262</w:t>
            </w:r>
          </w:p>
        </w:tc>
        <w:tc>
          <w:tcPr>
            <w:tcW w:w="1220" w:type="dxa"/>
            <w:tcBorders>
              <w:top w:val="single" w:sz="4" w:space="0" w:color="auto"/>
              <w:left w:val="nil"/>
              <w:bottom w:val="single" w:sz="4" w:space="0" w:color="auto"/>
              <w:right w:val="nil"/>
            </w:tcBorders>
            <w:noWrap/>
            <w:vAlign w:val="bottom"/>
            <w:hideMark/>
          </w:tcPr>
          <w:p w14:paraId="74BBA3EF"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1 564</w:t>
            </w:r>
          </w:p>
        </w:tc>
        <w:tc>
          <w:tcPr>
            <w:tcW w:w="1220" w:type="dxa"/>
            <w:tcBorders>
              <w:top w:val="single" w:sz="4" w:space="0" w:color="auto"/>
              <w:left w:val="nil"/>
              <w:bottom w:val="single" w:sz="4" w:space="0" w:color="auto"/>
              <w:right w:val="single" w:sz="4" w:space="0" w:color="auto"/>
            </w:tcBorders>
            <w:noWrap/>
            <w:vAlign w:val="bottom"/>
            <w:hideMark/>
          </w:tcPr>
          <w:p w14:paraId="5D8CFD89"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2 746 823</w:t>
            </w:r>
          </w:p>
        </w:tc>
        <w:tc>
          <w:tcPr>
            <w:tcW w:w="1220" w:type="dxa"/>
            <w:tcBorders>
              <w:top w:val="single" w:sz="4" w:space="0" w:color="auto"/>
              <w:left w:val="nil"/>
              <w:bottom w:val="single" w:sz="4" w:space="0" w:color="auto"/>
              <w:right w:val="nil"/>
            </w:tcBorders>
            <w:noWrap/>
            <w:vAlign w:val="bottom"/>
            <w:hideMark/>
          </w:tcPr>
          <w:p w14:paraId="04E75866"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1 434</w:t>
            </w:r>
          </w:p>
        </w:tc>
        <w:tc>
          <w:tcPr>
            <w:tcW w:w="1220" w:type="dxa"/>
            <w:tcBorders>
              <w:top w:val="single" w:sz="4" w:space="0" w:color="auto"/>
              <w:left w:val="nil"/>
              <w:bottom w:val="single" w:sz="4" w:space="0" w:color="auto"/>
              <w:right w:val="nil"/>
            </w:tcBorders>
            <w:noWrap/>
            <w:vAlign w:val="bottom"/>
            <w:hideMark/>
          </w:tcPr>
          <w:p w14:paraId="3A36FC8C"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2 517 238</w:t>
            </w:r>
          </w:p>
        </w:tc>
      </w:tr>
      <w:tr w:rsidR="00967F53" w14:paraId="13095A54" w14:textId="77777777" w:rsidTr="00967F53">
        <w:trPr>
          <w:trHeight w:val="315"/>
        </w:trPr>
        <w:tc>
          <w:tcPr>
            <w:tcW w:w="2860" w:type="dxa"/>
            <w:noWrap/>
            <w:vAlign w:val="bottom"/>
            <w:hideMark/>
          </w:tcPr>
          <w:p w14:paraId="4E6935F5" w14:textId="77777777" w:rsidR="00967F53" w:rsidRDefault="00967F53">
            <w:pPr>
              <w:rPr>
                <w:rFonts w:ascii="Calibri" w:eastAsia="Times New Roman" w:hAnsi="Calibri" w:cs="Calibri"/>
                <w:sz w:val="20"/>
                <w:szCs w:val="20"/>
                <w:lang w:eastAsia="en-AU"/>
              </w:rPr>
            </w:pPr>
          </w:p>
        </w:tc>
        <w:tc>
          <w:tcPr>
            <w:tcW w:w="1220" w:type="dxa"/>
            <w:tcBorders>
              <w:top w:val="nil"/>
              <w:left w:val="nil"/>
              <w:bottom w:val="nil"/>
              <w:right w:val="single" w:sz="4" w:space="0" w:color="auto"/>
            </w:tcBorders>
            <w:noWrap/>
            <w:vAlign w:val="bottom"/>
            <w:hideMark/>
          </w:tcPr>
          <w:p w14:paraId="3547C7F4"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w:t>
            </w:r>
          </w:p>
        </w:tc>
        <w:tc>
          <w:tcPr>
            <w:tcW w:w="1220" w:type="dxa"/>
            <w:noWrap/>
            <w:vAlign w:val="bottom"/>
            <w:hideMark/>
          </w:tcPr>
          <w:p w14:paraId="1DCEAE37" w14:textId="77777777" w:rsidR="00967F53" w:rsidRDefault="00967F53">
            <w:pPr>
              <w:rPr>
                <w:rFonts w:ascii="Calibri" w:eastAsia="Times New Roman" w:hAnsi="Calibri" w:cs="Calibri"/>
                <w:sz w:val="20"/>
                <w:szCs w:val="20"/>
                <w:lang w:eastAsia="en-AU"/>
              </w:rPr>
            </w:pPr>
          </w:p>
        </w:tc>
        <w:tc>
          <w:tcPr>
            <w:tcW w:w="1220" w:type="dxa"/>
            <w:tcBorders>
              <w:top w:val="nil"/>
              <w:left w:val="nil"/>
              <w:bottom w:val="nil"/>
              <w:right w:val="single" w:sz="4" w:space="0" w:color="auto"/>
            </w:tcBorders>
            <w:noWrap/>
            <w:vAlign w:val="bottom"/>
            <w:hideMark/>
          </w:tcPr>
          <w:p w14:paraId="1CFE2DE7" w14:textId="77777777" w:rsidR="00967F53" w:rsidRDefault="00967F53">
            <w:pPr>
              <w:spacing w:after="0" w:line="240" w:lineRule="auto"/>
              <w:jc w:val="right"/>
              <w:rPr>
                <w:rFonts w:ascii="Calibri" w:eastAsia="Times New Roman" w:hAnsi="Calibri" w:cs="Calibri"/>
                <w:sz w:val="20"/>
                <w:szCs w:val="20"/>
                <w:lang w:eastAsia="en-AU"/>
              </w:rPr>
            </w:pPr>
          </w:p>
        </w:tc>
        <w:tc>
          <w:tcPr>
            <w:tcW w:w="1220" w:type="dxa"/>
            <w:noWrap/>
            <w:vAlign w:val="bottom"/>
            <w:hideMark/>
          </w:tcPr>
          <w:p w14:paraId="5E33BA0D" w14:textId="77777777" w:rsidR="00967F53" w:rsidRDefault="00967F53">
            <w:pPr>
              <w:spacing w:after="0" w:line="240" w:lineRule="auto"/>
              <w:jc w:val="right"/>
              <w:rPr>
                <w:rFonts w:ascii="Calibri" w:eastAsia="Times New Roman" w:hAnsi="Calibri" w:cs="Calibri"/>
                <w:sz w:val="20"/>
                <w:szCs w:val="20"/>
                <w:lang w:eastAsia="en-AU"/>
              </w:rPr>
            </w:pPr>
          </w:p>
        </w:tc>
        <w:tc>
          <w:tcPr>
            <w:tcW w:w="1220" w:type="dxa"/>
            <w:noWrap/>
            <w:vAlign w:val="bottom"/>
            <w:hideMark/>
          </w:tcPr>
          <w:p w14:paraId="01757B57" w14:textId="77777777" w:rsidR="00967F53" w:rsidRDefault="00967F53">
            <w:pPr>
              <w:spacing w:after="0" w:line="240" w:lineRule="auto"/>
              <w:jc w:val="right"/>
              <w:rPr>
                <w:rFonts w:ascii="Calibri" w:eastAsia="Times New Roman" w:hAnsi="Calibri" w:cs="Calibri"/>
                <w:sz w:val="20"/>
                <w:szCs w:val="20"/>
                <w:lang w:eastAsia="en-AU"/>
              </w:rPr>
            </w:pPr>
          </w:p>
        </w:tc>
      </w:tr>
      <w:tr w:rsidR="00967F53" w14:paraId="220E21CF" w14:textId="77777777" w:rsidTr="00967F53">
        <w:trPr>
          <w:trHeight w:val="315"/>
        </w:trPr>
        <w:tc>
          <w:tcPr>
            <w:tcW w:w="2860" w:type="dxa"/>
            <w:noWrap/>
            <w:vAlign w:val="bottom"/>
            <w:hideMark/>
          </w:tcPr>
          <w:p w14:paraId="68DAF1F3"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Own source revenue</w:t>
            </w:r>
          </w:p>
        </w:tc>
        <w:tc>
          <w:tcPr>
            <w:tcW w:w="1220" w:type="dxa"/>
            <w:tcBorders>
              <w:top w:val="nil"/>
              <w:left w:val="nil"/>
              <w:bottom w:val="nil"/>
              <w:right w:val="single" w:sz="4" w:space="0" w:color="auto"/>
            </w:tcBorders>
            <w:noWrap/>
            <w:vAlign w:val="bottom"/>
            <w:hideMark/>
          </w:tcPr>
          <w:p w14:paraId="3280EDC7"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w:t>
            </w:r>
          </w:p>
        </w:tc>
        <w:tc>
          <w:tcPr>
            <w:tcW w:w="1220" w:type="dxa"/>
            <w:noWrap/>
            <w:vAlign w:val="bottom"/>
            <w:hideMark/>
          </w:tcPr>
          <w:p w14:paraId="172EBC12" w14:textId="77777777" w:rsidR="00967F53" w:rsidRDefault="00967F53">
            <w:pPr>
              <w:rPr>
                <w:rFonts w:ascii="Calibri" w:eastAsia="Times New Roman" w:hAnsi="Calibri" w:cs="Calibri"/>
                <w:sz w:val="20"/>
                <w:szCs w:val="20"/>
                <w:lang w:eastAsia="en-AU"/>
              </w:rPr>
            </w:pPr>
          </w:p>
        </w:tc>
        <w:tc>
          <w:tcPr>
            <w:tcW w:w="1220" w:type="dxa"/>
            <w:tcBorders>
              <w:top w:val="nil"/>
              <w:left w:val="nil"/>
              <w:bottom w:val="nil"/>
              <w:right w:val="single" w:sz="4" w:space="0" w:color="auto"/>
            </w:tcBorders>
            <w:noWrap/>
            <w:vAlign w:val="bottom"/>
            <w:hideMark/>
          </w:tcPr>
          <w:p w14:paraId="76F1AAAB" w14:textId="77777777" w:rsidR="00967F53" w:rsidRDefault="00967F53">
            <w:pPr>
              <w:spacing w:after="0" w:line="240" w:lineRule="auto"/>
              <w:jc w:val="right"/>
              <w:rPr>
                <w:rFonts w:ascii="Calibri" w:eastAsia="Times New Roman" w:hAnsi="Calibri" w:cs="Calibri"/>
                <w:sz w:val="20"/>
                <w:szCs w:val="20"/>
                <w:lang w:eastAsia="en-AU"/>
              </w:rPr>
            </w:pPr>
          </w:p>
        </w:tc>
        <w:tc>
          <w:tcPr>
            <w:tcW w:w="1220" w:type="dxa"/>
            <w:noWrap/>
            <w:vAlign w:val="bottom"/>
            <w:hideMark/>
          </w:tcPr>
          <w:p w14:paraId="302D61CD" w14:textId="77777777" w:rsidR="00967F53" w:rsidRDefault="00967F53">
            <w:pPr>
              <w:spacing w:after="0" w:line="240" w:lineRule="auto"/>
              <w:jc w:val="right"/>
              <w:rPr>
                <w:rFonts w:ascii="Calibri" w:eastAsia="Times New Roman" w:hAnsi="Calibri" w:cs="Calibri"/>
                <w:sz w:val="20"/>
                <w:szCs w:val="20"/>
                <w:lang w:eastAsia="en-AU"/>
              </w:rPr>
            </w:pPr>
          </w:p>
        </w:tc>
        <w:tc>
          <w:tcPr>
            <w:tcW w:w="1220" w:type="dxa"/>
            <w:noWrap/>
            <w:vAlign w:val="bottom"/>
            <w:hideMark/>
          </w:tcPr>
          <w:p w14:paraId="580DBCBA" w14:textId="77777777" w:rsidR="00967F53" w:rsidRDefault="00967F53">
            <w:pPr>
              <w:spacing w:after="0" w:line="240" w:lineRule="auto"/>
              <w:jc w:val="right"/>
              <w:rPr>
                <w:rFonts w:ascii="Calibri" w:eastAsia="Times New Roman" w:hAnsi="Calibri" w:cs="Calibri"/>
                <w:sz w:val="20"/>
                <w:szCs w:val="20"/>
                <w:lang w:eastAsia="en-AU"/>
              </w:rPr>
            </w:pPr>
          </w:p>
        </w:tc>
      </w:tr>
      <w:tr w:rsidR="00967F53" w14:paraId="1E7707E1" w14:textId="77777777" w:rsidTr="00967F53">
        <w:trPr>
          <w:trHeight w:val="315"/>
        </w:trPr>
        <w:tc>
          <w:tcPr>
            <w:tcW w:w="2860" w:type="dxa"/>
            <w:noWrap/>
            <w:vAlign w:val="bottom"/>
            <w:hideMark/>
          </w:tcPr>
          <w:p w14:paraId="1333CDCE" w14:textId="77777777" w:rsidR="00967F53" w:rsidRDefault="00967F53">
            <w:pPr>
              <w:spacing w:after="0" w:line="240" w:lineRule="auto"/>
              <w:ind w:firstLineChars="100" w:firstLine="200"/>
              <w:rPr>
                <w:rFonts w:ascii="Calibri" w:eastAsia="Times New Roman" w:hAnsi="Calibri" w:cs="Calibri"/>
                <w:sz w:val="20"/>
                <w:szCs w:val="20"/>
                <w:lang w:eastAsia="en-AU"/>
              </w:rPr>
            </w:pPr>
            <w:r>
              <w:rPr>
                <w:rFonts w:ascii="Calibri" w:eastAsia="Times New Roman" w:hAnsi="Calibri" w:cs="Calibri"/>
                <w:sz w:val="20"/>
                <w:szCs w:val="20"/>
                <w:lang w:eastAsia="en-AU"/>
              </w:rPr>
              <w:t>Municipal rates</w:t>
            </w:r>
          </w:p>
        </w:tc>
        <w:tc>
          <w:tcPr>
            <w:tcW w:w="1220" w:type="dxa"/>
            <w:tcBorders>
              <w:top w:val="nil"/>
              <w:left w:val="nil"/>
              <w:bottom w:val="nil"/>
              <w:right w:val="single" w:sz="4" w:space="0" w:color="auto"/>
            </w:tcBorders>
            <w:noWrap/>
            <w:vAlign w:val="bottom"/>
            <w:hideMark/>
          </w:tcPr>
          <w:p w14:paraId="456B15E0"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739</w:t>
            </w:r>
          </w:p>
        </w:tc>
        <w:tc>
          <w:tcPr>
            <w:tcW w:w="1220" w:type="dxa"/>
            <w:noWrap/>
            <w:vAlign w:val="bottom"/>
            <w:hideMark/>
          </w:tcPr>
          <w:p w14:paraId="38331B80"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894</w:t>
            </w:r>
          </w:p>
        </w:tc>
        <w:tc>
          <w:tcPr>
            <w:tcW w:w="1220" w:type="dxa"/>
            <w:tcBorders>
              <w:top w:val="nil"/>
              <w:left w:val="nil"/>
              <w:bottom w:val="nil"/>
              <w:right w:val="single" w:sz="4" w:space="0" w:color="auto"/>
            </w:tcBorders>
            <w:noWrap/>
            <w:vAlign w:val="bottom"/>
            <w:hideMark/>
          </w:tcPr>
          <w:p w14:paraId="1BB2D146"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1 569 962</w:t>
            </w:r>
          </w:p>
        </w:tc>
        <w:tc>
          <w:tcPr>
            <w:tcW w:w="1220" w:type="dxa"/>
            <w:noWrap/>
            <w:vAlign w:val="bottom"/>
            <w:hideMark/>
          </w:tcPr>
          <w:p w14:paraId="361320C1"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694</w:t>
            </w:r>
          </w:p>
        </w:tc>
        <w:tc>
          <w:tcPr>
            <w:tcW w:w="1220" w:type="dxa"/>
            <w:noWrap/>
            <w:vAlign w:val="bottom"/>
            <w:hideMark/>
          </w:tcPr>
          <w:p w14:paraId="16DC5A0B"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1 217 982</w:t>
            </w:r>
          </w:p>
        </w:tc>
      </w:tr>
      <w:tr w:rsidR="00967F53" w14:paraId="0F147311" w14:textId="77777777" w:rsidTr="00967F53">
        <w:trPr>
          <w:trHeight w:val="315"/>
        </w:trPr>
        <w:tc>
          <w:tcPr>
            <w:tcW w:w="2860" w:type="dxa"/>
            <w:noWrap/>
            <w:vAlign w:val="bottom"/>
            <w:hideMark/>
          </w:tcPr>
          <w:p w14:paraId="5775F8D6" w14:textId="77777777" w:rsidR="00967F53" w:rsidRDefault="00967F53">
            <w:pPr>
              <w:spacing w:after="0" w:line="240" w:lineRule="auto"/>
              <w:ind w:firstLineChars="100" w:firstLine="200"/>
              <w:rPr>
                <w:rFonts w:ascii="Calibri" w:eastAsia="Times New Roman" w:hAnsi="Calibri" w:cs="Calibri"/>
                <w:sz w:val="20"/>
                <w:szCs w:val="20"/>
                <w:lang w:eastAsia="en-AU"/>
              </w:rPr>
            </w:pPr>
            <w:r>
              <w:rPr>
                <w:rFonts w:ascii="Calibri" w:eastAsia="Times New Roman" w:hAnsi="Calibri" w:cs="Calibri"/>
                <w:sz w:val="20"/>
                <w:szCs w:val="20"/>
                <w:lang w:eastAsia="en-AU"/>
              </w:rPr>
              <w:t>User charges</w:t>
            </w:r>
          </w:p>
        </w:tc>
        <w:tc>
          <w:tcPr>
            <w:tcW w:w="1220" w:type="dxa"/>
            <w:tcBorders>
              <w:top w:val="nil"/>
              <w:left w:val="nil"/>
              <w:bottom w:val="nil"/>
              <w:right w:val="single" w:sz="4" w:space="0" w:color="auto"/>
            </w:tcBorders>
            <w:noWrap/>
            <w:vAlign w:val="bottom"/>
            <w:hideMark/>
          </w:tcPr>
          <w:p w14:paraId="63D80920"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519</w:t>
            </w:r>
          </w:p>
        </w:tc>
        <w:tc>
          <w:tcPr>
            <w:tcW w:w="1220" w:type="dxa"/>
            <w:noWrap/>
            <w:vAlign w:val="bottom"/>
            <w:hideMark/>
          </w:tcPr>
          <w:p w14:paraId="71E2F33A"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339</w:t>
            </w:r>
          </w:p>
        </w:tc>
        <w:tc>
          <w:tcPr>
            <w:tcW w:w="1220" w:type="dxa"/>
            <w:tcBorders>
              <w:top w:val="nil"/>
              <w:left w:val="nil"/>
              <w:bottom w:val="nil"/>
              <w:right w:val="single" w:sz="4" w:space="0" w:color="auto"/>
            </w:tcBorders>
            <w:noWrap/>
            <w:vAlign w:val="bottom"/>
            <w:hideMark/>
          </w:tcPr>
          <w:p w14:paraId="2A99F9C6"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595 193</w:t>
            </w:r>
          </w:p>
        </w:tc>
        <w:tc>
          <w:tcPr>
            <w:tcW w:w="1220" w:type="dxa"/>
            <w:noWrap/>
            <w:vAlign w:val="bottom"/>
            <w:hideMark/>
          </w:tcPr>
          <w:p w14:paraId="700FE496"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571</w:t>
            </w:r>
          </w:p>
        </w:tc>
        <w:tc>
          <w:tcPr>
            <w:tcW w:w="1220" w:type="dxa"/>
            <w:noWrap/>
            <w:vAlign w:val="bottom"/>
            <w:hideMark/>
          </w:tcPr>
          <w:p w14:paraId="2CC14F85"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w:t>
            </w:r>
            <w:r w:rsidR="000F49E3">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003 007</w:t>
            </w:r>
          </w:p>
        </w:tc>
      </w:tr>
      <w:tr w:rsidR="00967F53" w14:paraId="3A02ABFE" w14:textId="77777777" w:rsidTr="00967F53">
        <w:trPr>
          <w:trHeight w:val="315"/>
        </w:trPr>
        <w:tc>
          <w:tcPr>
            <w:tcW w:w="2860" w:type="dxa"/>
            <w:noWrap/>
            <w:vAlign w:val="bottom"/>
            <w:hideMark/>
          </w:tcPr>
          <w:p w14:paraId="1E8F0D2C" w14:textId="77777777" w:rsidR="00967F53" w:rsidRDefault="00967F53">
            <w:pPr>
              <w:spacing w:after="0" w:line="240" w:lineRule="auto"/>
              <w:ind w:firstLineChars="100" w:firstLine="200"/>
              <w:rPr>
                <w:rFonts w:ascii="Calibri" w:eastAsia="Times New Roman" w:hAnsi="Calibri" w:cs="Calibri"/>
                <w:sz w:val="20"/>
                <w:szCs w:val="20"/>
                <w:lang w:eastAsia="en-AU"/>
              </w:rPr>
            </w:pPr>
            <w:r>
              <w:rPr>
                <w:rFonts w:ascii="Calibri" w:eastAsia="Times New Roman" w:hAnsi="Calibri" w:cs="Calibri"/>
                <w:sz w:val="20"/>
                <w:szCs w:val="20"/>
                <w:lang w:eastAsia="en-AU"/>
              </w:rPr>
              <w:t>Contribution from GBEs</w:t>
            </w:r>
          </w:p>
        </w:tc>
        <w:tc>
          <w:tcPr>
            <w:tcW w:w="1220" w:type="dxa"/>
            <w:tcBorders>
              <w:top w:val="nil"/>
              <w:left w:val="nil"/>
              <w:bottom w:val="nil"/>
              <w:right w:val="single" w:sz="4" w:space="0" w:color="auto"/>
            </w:tcBorders>
            <w:noWrap/>
            <w:vAlign w:val="bottom"/>
            <w:hideMark/>
          </w:tcPr>
          <w:p w14:paraId="70F91B16"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w:t>
            </w:r>
          </w:p>
        </w:tc>
        <w:tc>
          <w:tcPr>
            <w:tcW w:w="1220" w:type="dxa"/>
            <w:noWrap/>
            <w:vAlign w:val="bottom"/>
            <w:hideMark/>
          </w:tcPr>
          <w:p w14:paraId="1F910D7C" w14:textId="77777777" w:rsidR="00967F53" w:rsidRDefault="00967F53">
            <w:pPr>
              <w:rPr>
                <w:rFonts w:ascii="Calibri" w:eastAsia="Times New Roman" w:hAnsi="Calibri" w:cs="Calibri"/>
                <w:sz w:val="20"/>
                <w:szCs w:val="20"/>
                <w:lang w:eastAsia="en-AU"/>
              </w:rPr>
            </w:pPr>
          </w:p>
        </w:tc>
        <w:tc>
          <w:tcPr>
            <w:tcW w:w="1220" w:type="dxa"/>
            <w:tcBorders>
              <w:top w:val="nil"/>
              <w:left w:val="nil"/>
              <w:bottom w:val="nil"/>
              <w:right w:val="single" w:sz="4" w:space="0" w:color="auto"/>
            </w:tcBorders>
            <w:noWrap/>
            <w:vAlign w:val="bottom"/>
            <w:hideMark/>
          </w:tcPr>
          <w:p w14:paraId="1ABF1681" w14:textId="77777777" w:rsidR="00967F53" w:rsidRDefault="00967F53">
            <w:pPr>
              <w:spacing w:after="0" w:line="240" w:lineRule="auto"/>
              <w:jc w:val="right"/>
              <w:rPr>
                <w:rFonts w:ascii="Calibri" w:eastAsia="Times New Roman" w:hAnsi="Calibri" w:cs="Calibri"/>
                <w:sz w:val="20"/>
                <w:szCs w:val="20"/>
                <w:lang w:eastAsia="en-AU"/>
              </w:rPr>
            </w:pPr>
          </w:p>
        </w:tc>
        <w:tc>
          <w:tcPr>
            <w:tcW w:w="1220" w:type="dxa"/>
            <w:noWrap/>
            <w:vAlign w:val="bottom"/>
            <w:hideMark/>
          </w:tcPr>
          <w:p w14:paraId="2FCF1F24" w14:textId="77777777" w:rsidR="00967F53" w:rsidRDefault="00967F53">
            <w:pPr>
              <w:spacing w:after="0" w:line="240" w:lineRule="auto"/>
              <w:jc w:val="right"/>
              <w:rPr>
                <w:rFonts w:ascii="Calibri" w:eastAsia="Times New Roman" w:hAnsi="Calibri" w:cs="Calibri"/>
                <w:sz w:val="20"/>
                <w:szCs w:val="20"/>
                <w:lang w:eastAsia="en-AU"/>
              </w:rPr>
            </w:pPr>
          </w:p>
        </w:tc>
        <w:tc>
          <w:tcPr>
            <w:tcW w:w="1220" w:type="dxa"/>
            <w:noWrap/>
            <w:vAlign w:val="bottom"/>
            <w:hideMark/>
          </w:tcPr>
          <w:p w14:paraId="37EA7E79" w14:textId="77777777" w:rsidR="00967F53" w:rsidRDefault="00967F53">
            <w:pPr>
              <w:spacing w:after="0" w:line="240" w:lineRule="auto"/>
              <w:jc w:val="right"/>
              <w:rPr>
                <w:rFonts w:ascii="Calibri" w:eastAsia="Times New Roman" w:hAnsi="Calibri" w:cs="Calibri"/>
                <w:sz w:val="20"/>
                <w:szCs w:val="20"/>
                <w:lang w:eastAsia="en-AU"/>
              </w:rPr>
            </w:pPr>
          </w:p>
        </w:tc>
      </w:tr>
      <w:tr w:rsidR="00967F53" w14:paraId="35267685" w14:textId="77777777" w:rsidTr="00967F53">
        <w:trPr>
          <w:trHeight w:val="315"/>
        </w:trPr>
        <w:tc>
          <w:tcPr>
            <w:tcW w:w="2860" w:type="dxa"/>
            <w:noWrap/>
            <w:vAlign w:val="bottom"/>
            <w:hideMark/>
          </w:tcPr>
          <w:p w14:paraId="138D066B" w14:textId="77777777" w:rsidR="00967F53" w:rsidRDefault="00967F53">
            <w:pPr>
              <w:spacing w:after="0" w:line="240" w:lineRule="auto"/>
              <w:ind w:firstLineChars="200" w:firstLine="400"/>
              <w:rPr>
                <w:rFonts w:ascii="Calibri" w:eastAsia="Times New Roman" w:hAnsi="Calibri" w:cs="Calibri"/>
                <w:sz w:val="20"/>
                <w:szCs w:val="20"/>
                <w:lang w:eastAsia="en-AU"/>
              </w:rPr>
            </w:pPr>
            <w:r>
              <w:rPr>
                <w:rFonts w:ascii="Calibri" w:eastAsia="Times New Roman" w:hAnsi="Calibri" w:cs="Calibri"/>
                <w:sz w:val="20"/>
                <w:szCs w:val="20"/>
                <w:lang w:eastAsia="en-AU"/>
              </w:rPr>
              <w:t>Liquor Bond</w:t>
            </w:r>
          </w:p>
        </w:tc>
        <w:tc>
          <w:tcPr>
            <w:tcW w:w="1220" w:type="dxa"/>
            <w:tcBorders>
              <w:top w:val="nil"/>
              <w:left w:val="nil"/>
              <w:bottom w:val="nil"/>
              <w:right w:val="single" w:sz="4" w:space="0" w:color="auto"/>
            </w:tcBorders>
            <w:noWrap/>
            <w:vAlign w:val="bottom"/>
            <w:hideMark/>
          </w:tcPr>
          <w:p w14:paraId="243BF3DD"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0</w:t>
            </w:r>
          </w:p>
        </w:tc>
        <w:tc>
          <w:tcPr>
            <w:tcW w:w="1220" w:type="dxa"/>
            <w:noWrap/>
            <w:vAlign w:val="bottom"/>
            <w:hideMark/>
          </w:tcPr>
          <w:p w14:paraId="2B073995"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1 339</w:t>
            </w:r>
          </w:p>
        </w:tc>
        <w:tc>
          <w:tcPr>
            <w:tcW w:w="1220" w:type="dxa"/>
            <w:tcBorders>
              <w:top w:val="nil"/>
              <w:left w:val="nil"/>
              <w:bottom w:val="nil"/>
              <w:right w:val="single" w:sz="4" w:space="0" w:color="auto"/>
            </w:tcBorders>
            <w:noWrap/>
            <w:vAlign w:val="bottom"/>
            <w:hideMark/>
          </w:tcPr>
          <w:p w14:paraId="4F38C9DE"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2 351 044</w:t>
            </w:r>
          </w:p>
        </w:tc>
        <w:tc>
          <w:tcPr>
            <w:tcW w:w="1220" w:type="dxa"/>
            <w:noWrap/>
            <w:vAlign w:val="bottom"/>
            <w:hideMark/>
          </w:tcPr>
          <w:p w14:paraId="50A52117"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1 339</w:t>
            </w:r>
          </w:p>
        </w:tc>
        <w:tc>
          <w:tcPr>
            <w:tcW w:w="1220" w:type="dxa"/>
            <w:noWrap/>
            <w:vAlign w:val="bottom"/>
            <w:hideMark/>
          </w:tcPr>
          <w:p w14:paraId="69F34838"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2 351 044</w:t>
            </w:r>
          </w:p>
        </w:tc>
      </w:tr>
      <w:tr w:rsidR="00967F53" w14:paraId="2010F1E8" w14:textId="77777777" w:rsidTr="00967F53">
        <w:trPr>
          <w:trHeight w:val="315"/>
        </w:trPr>
        <w:tc>
          <w:tcPr>
            <w:tcW w:w="2860" w:type="dxa"/>
            <w:noWrap/>
            <w:vAlign w:val="bottom"/>
            <w:hideMark/>
          </w:tcPr>
          <w:p w14:paraId="1F9D8E8E" w14:textId="77777777" w:rsidR="00967F53" w:rsidRDefault="00967F53">
            <w:pPr>
              <w:spacing w:after="0" w:line="240" w:lineRule="auto"/>
              <w:ind w:firstLineChars="200" w:firstLine="400"/>
              <w:rPr>
                <w:rFonts w:ascii="Calibri" w:eastAsia="Times New Roman" w:hAnsi="Calibri" w:cs="Calibri"/>
                <w:sz w:val="20"/>
                <w:szCs w:val="20"/>
                <w:lang w:eastAsia="en-AU"/>
              </w:rPr>
            </w:pPr>
            <w:r>
              <w:rPr>
                <w:rFonts w:ascii="Calibri" w:eastAsia="Times New Roman" w:hAnsi="Calibri" w:cs="Calibri"/>
                <w:sz w:val="20"/>
                <w:szCs w:val="20"/>
                <w:lang w:eastAsia="en-AU"/>
              </w:rPr>
              <w:t>Airport</w:t>
            </w:r>
          </w:p>
        </w:tc>
        <w:tc>
          <w:tcPr>
            <w:tcW w:w="1220" w:type="dxa"/>
            <w:tcBorders>
              <w:top w:val="nil"/>
              <w:left w:val="nil"/>
              <w:bottom w:val="nil"/>
              <w:right w:val="single" w:sz="4" w:space="0" w:color="auto"/>
            </w:tcBorders>
            <w:noWrap/>
            <w:vAlign w:val="bottom"/>
            <w:hideMark/>
          </w:tcPr>
          <w:p w14:paraId="7A72A6F0"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0</w:t>
            </w:r>
          </w:p>
        </w:tc>
        <w:tc>
          <w:tcPr>
            <w:tcW w:w="1220" w:type="dxa"/>
            <w:noWrap/>
            <w:vAlign w:val="bottom"/>
            <w:hideMark/>
          </w:tcPr>
          <w:p w14:paraId="1B7B3EB9"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17</w:t>
            </w:r>
          </w:p>
        </w:tc>
        <w:tc>
          <w:tcPr>
            <w:tcW w:w="1220" w:type="dxa"/>
            <w:tcBorders>
              <w:top w:val="nil"/>
              <w:left w:val="nil"/>
              <w:bottom w:val="nil"/>
              <w:right w:val="single" w:sz="4" w:space="0" w:color="auto"/>
            </w:tcBorders>
            <w:noWrap/>
            <w:vAlign w:val="bottom"/>
            <w:hideMark/>
          </w:tcPr>
          <w:p w14:paraId="62220AA8"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29 201</w:t>
            </w:r>
          </w:p>
        </w:tc>
        <w:tc>
          <w:tcPr>
            <w:tcW w:w="1220" w:type="dxa"/>
            <w:noWrap/>
            <w:vAlign w:val="bottom"/>
            <w:hideMark/>
          </w:tcPr>
          <w:p w14:paraId="4EFFCBDC"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17</w:t>
            </w:r>
          </w:p>
        </w:tc>
        <w:tc>
          <w:tcPr>
            <w:tcW w:w="1220" w:type="dxa"/>
            <w:noWrap/>
            <w:vAlign w:val="bottom"/>
            <w:hideMark/>
          </w:tcPr>
          <w:p w14:paraId="463CA84A"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29 201</w:t>
            </w:r>
          </w:p>
        </w:tc>
      </w:tr>
      <w:tr w:rsidR="00967F53" w14:paraId="07033395" w14:textId="77777777" w:rsidTr="00967F53">
        <w:trPr>
          <w:trHeight w:val="315"/>
        </w:trPr>
        <w:tc>
          <w:tcPr>
            <w:tcW w:w="2860" w:type="dxa"/>
            <w:noWrap/>
            <w:vAlign w:val="bottom"/>
            <w:hideMark/>
          </w:tcPr>
          <w:p w14:paraId="451D0EA6" w14:textId="77777777" w:rsidR="00967F53" w:rsidRDefault="00967F53">
            <w:pPr>
              <w:spacing w:after="0" w:line="240" w:lineRule="auto"/>
              <w:ind w:firstLineChars="100" w:firstLine="200"/>
              <w:rPr>
                <w:rFonts w:ascii="Calibri" w:eastAsia="Times New Roman" w:hAnsi="Calibri" w:cs="Calibri"/>
                <w:sz w:val="20"/>
                <w:szCs w:val="20"/>
                <w:lang w:eastAsia="en-AU"/>
              </w:rPr>
            </w:pPr>
            <w:r>
              <w:rPr>
                <w:rFonts w:ascii="Calibri" w:eastAsia="Times New Roman" w:hAnsi="Calibri" w:cs="Calibri"/>
                <w:sz w:val="20"/>
                <w:szCs w:val="20"/>
                <w:lang w:eastAsia="en-AU"/>
              </w:rPr>
              <w:t>Other revenue</w:t>
            </w:r>
          </w:p>
        </w:tc>
        <w:tc>
          <w:tcPr>
            <w:tcW w:w="1220" w:type="dxa"/>
            <w:tcBorders>
              <w:top w:val="nil"/>
              <w:left w:val="nil"/>
              <w:bottom w:val="nil"/>
              <w:right w:val="single" w:sz="4" w:space="0" w:color="auto"/>
            </w:tcBorders>
            <w:noWrap/>
            <w:vAlign w:val="bottom"/>
            <w:hideMark/>
          </w:tcPr>
          <w:p w14:paraId="06C7C715"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401</w:t>
            </w:r>
          </w:p>
        </w:tc>
        <w:tc>
          <w:tcPr>
            <w:tcW w:w="1220" w:type="dxa"/>
            <w:noWrap/>
            <w:vAlign w:val="bottom"/>
            <w:hideMark/>
          </w:tcPr>
          <w:p w14:paraId="392D1CC3"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307</w:t>
            </w:r>
          </w:p>
        </w:tc>
        <w:tc>
          <w:tcPr>
            <w:tcW w:w="1220" w:type="dxa"/>
            <w:tcBorders>
              <w:top w:val="nil"/>
              <w:left w:val="nil"/>
              <w:bottom w:val="nil"/>
              <w:right w:val="single" w:sz="4" w:space="0" w:color="auto"/>
            </w:tcBorders>
            <w:noWrap/>
            <w:vAlign w:val="bottom"/>
            <w:hideMark/>
          </w:tcPr>
          <w:p w14:paraId="12B53E28"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539 265</w:t>
            </w:r>
          </w:p>
        </w:tc>
        <w:tc>
          <w:tcPr>
            <w:tcW w:w="1220" w:type="dxa"/>
            <w:noWrap/>
            <w:vAlign w:val="bottom"/>
            <w:hideMark/>
          </w:tcPr>
          <w:p w14:paraId="4E1E4BCA"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644</w:t>
            </w:r>
          </w:p>
        </w:tc>
        <w:tc>
          <w:tcPr>
            <w:tcW w:w="1220" w:type="dxa"/>
            <w:noWrap/>
            <w:vAlign w:val="bottom"/>
            <w:hideMark/>
          </w:tcPr>
          <w:p w14:paraId="7B4E5441"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w:t>
            </w:r>
            <w:r w:rsidR="000F49E3">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130 940</w:t>
            </w:r>
          </w:p>
        </w:tc>
      </w:tr>
      <w:tr w:rsidR="00967F53" w14:paraId="15795B30" w14:textId="77777777" w:rsidTr="00967F53">
        <w:trPr>
          <w:trHeight w:val="315"/>
        </w:trPr>
        <w:tc>
          <w:tcPr>
            <w:tcW w:w="2860" w:type="dxa"/>
            <w:tcBorders>
              <w:top w:val="nil"/>
              <w:left w:val="nil"/>
              <w:bottom w:val="single" w:sz="4" w:space="0" w:color="auto"/>
              <w:right w:val="nil"/>
            </w:tcBorders>
            <w:noWrap/>
            <w:vAlign w:val="bottom"/>
            <w:hideMark/>
          </w:tcPr>
          <w:p w14:paraId="20DE993F"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Total</w:t>
            </w:r>
          </w:p>
        </w:tc>
        <w:tc>
          <w:tcPr>
            <w:tcW w:w="1220" w:type="dxa"/>
            <w:tcBorders>
              <w:top w:val="single" w:sz="4" w:space="0" w:color="auto"/>
              <w:left w:val="nil"/>
              <w:bottom w:val="single" w:sz="4" w:space="0" w:color="auto"/>
              <w:right w:val="single" w:sz="4" w:space="0" w:color="auto"/>
            </w:tcBorders>
            <w:noWrap/>
            <w:vAlign w:val="bottom"/>
            <w:hideMark/>
          </w:tcPr>
          <w:p w14:paraId="16A9CF9E"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1 659</w:t>
            </w:r>
          </w:p>
        </w:tc>
        <w:tc>
          <w:tcPr>
            <w:tcW w:w="1220" w:type="dxa"/>
            <w:tcBorders>
              <w:top w:val="single" w:sz="4" w:space="0" w:color="auto"/>
              <w:left w:val="nil"/>
              <w:bottom w:val="single" w:sz="4" w:space="0" w:color="auto"/>
              <w:right w:val="nil"/>
            </w:tcBorders>
            <w:noWrap/>
            <w:vAlign w:val="bottom"/>
            <w:hideMark/>
          </w:tcPr>
          <w:p w14:paraId="0B8EB00D"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2 896</w:t>
            </w:r>
          </w:p>
        </w:tc>
        <w:tc>
          <w:tcPr>
            <w:tcW w:w="1220" w:type="dxa"/>
            <w:tcBorders>
              <w:top w:val="single" w:sz="4" w:space="0" w:color="auto"/>
              <w:left w:val="nil"/>
              <w:bottom w:val="single" w:sz="4" w:space="0" w:color="auto"/>
              <w:right w:val="single" w:sz="4" w:space="0" w:color="auto"/>
            </w:tcBorders>
            <w:noWrap/>
            <w:vAlign w:val="bottom"/>
            <w:hideMark/>
          </w:tcPr>
          <w:p w14:paraId="7C04996B"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5 084 665</w:t>
            </w:r>
          </w:p>
        </w:tc>
        <w:tc>
          <w:tcPr>
            <w:tcW w:w="1220" w:type="dxa"/>
            <w:tcBorders>
              <w:top w:val="single" w:sz="4" w:space="0" w:color="auto"/>
              <w:left w:val="nil"/>
              <w:bottom w:val="single" w:sz="4" w:space="0" w:color="auto"/>
              <w:right w:val="nil"/>
            </w:tcBorders>
            <w:noWrap/>
            <w:vAlign w:val="bottom"/>
            <w:hideMark/>
          </w:tcPr>
          <w:p w14:paraId="577E8EA3"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3 264</w:t>
            </w:r>
          </w:p>
        </w:tc>
        <w:tc>
          <w:tcPr>
            <w:tcW w:w="1220" w:type="dxa"/>
            <w:tcBorders>
              <w:top w:val="single" w:sz="4" w:space="0" w:color="auto"/>
              <w:left w:val="nil"/>
              <w:bottom w:val="single" w:sz="4" w:space="0" w:color="auto"/>
              <w:right w:val="nil"/>
            </w:tcBorders>
            <w:noWrap/>
            <w:vAlign w:val="bottom"/>
            <w:hideMark/>
          </w:tcPr>
          <w:p w14:paraId="2D32EB4B"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5 732 174</w:t>
            </w:r>
          </w:p>
        </w:tc>
      </w:tr>
      <w:tr w:rsidR="00967F53" w14:paraId="739DD68D" w14:textId="77777777" w:rsidTr="00967F53">
        <w:trPr>
          <w:trHeight w:val="315"/>
        </w:trPr>
        <w:tc>
          <w:tcPr>
            <w:tcW w:w="2860" w:type="dxa"/>
            <w:tcBorders>
              <w:top w:val="nil"/>
              <w:left w:val="nil"/>
              <w:bottom w:val="single" w:sz="4" w:space="0" w:color="auto"/>
              <w:right w:val="nil"/>
            </w:tcBorders>
            <w:noWrap/>
            <w:vAlign w:val="bottom"/>
            <w:hideMark/>
          </w:tcPr>
          <w:p w14:paraId="6BAC0A17" w14:textId="77777777" w:rsidR="00967F53" w:rsidRDefault="00967F53">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Total local government revenue</w:t>
            </w:r>
          </w:p>
        </w:tc>
        <w:tc>
          <w:tcPr>
            <w:tcW w:w="1220" w:type="dxa"/>
            <w:tcBorders>
              <w:top w:val="nil"/>
              <w:left w:val="nil"/>
              <w:bottom w:val="single" w:sz="4" w:space="0" w:color="auto"/>
              <w:right w:val="single" w:sz="4" w:space="0" w:color="auto"/>
            </w:tcBorders>
            <w:noWrap/>
            <w:vAlign w:val="bottom"/>
            <w:hideMark/>
          </w:tcPr>
          <w:p w14:paraId="420C0366"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1 921</w:t>
            </w:r>
          </w:p>
        </w:tc>
        <w:tc>
          <w:tcPr>
            <w:tcW w:w="1220" w:type="dxa"/>
            <w:tcBorders>
              <w:top w:val="nil"/>
              <w:left w:val="nil"/>
              <w:bottom w:val="single" w:sz="4" w:space="0" w:color="auto"/>
              <w:right w:val="nil"/>
            </w:tcBorders>
            <w:noWrap/>
            <w:vAlign w:val="bottom"/>
            <w:hideMark/>
          </w:tcPr>
          <w:p w14:paraId="61EB4163"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4 460</w:t>
            </w:r>
          </w:p>
        </w:tc>
        <w:tc>
          <w:tcPr>
            <w:tcW w:w="1220" w:type="dxa"/>
            <w:tcBorders>
              <w:top w:val="nil"/>
              <w:left w:val="nil"/>
              <w:bottom w:val="single" w:sz="4" w:space="0" w:color="auto"/>
              <w:right w:val="single" w:sz="4" w:space="0" w:color="auto"/>
            </w:tcBorders>
            <w:noWrap/>
            <w:vAlign w:val="bottom"/>
            <w:hideMark/>
          </w:tcPr>
          <w:p w14:paraId="19384AEF"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7 831 489</w:t>
            </w:r>
          </w:p>
        </w:tc>
        <w:tc>
          <w:tcPr>
            <w:tcW w:w="1220" w:type="dxa"/>
            <w:tcBorders>
              <w:top w:val="nil"/>
              <w:left w:val="nil"/>
              <w:bottom w:val="single" w:sz="4" w:space="0" w:color="auto"/>
              <w:right w:val="nil"/>
            </w:tcBorders>
            <w:noWrap/>
            <w:vAlign w:val="bottom"/>
            <w:hideMark/>
          </w:tcPr>
          <w:p w14:paraId="1F9F6FBE"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4 698</w:t>
            </w:r>
          </w:p>
        </w:tc>
        <w:tc>
          <w:tcPr>
            <w:tcW w:w="1220" w:type="dxa"/>
            <w:tcBorders>
              <w:top w:val="nil"/>
              <w:left w:val="nil"/>
              <w:bottom w:val="single" w:sz="4" w:space="0" w:color="auto"/>
              <w:right w:val="nil"/>
            </w:tcBorders>
            <w:noWrap/>
            <w:vAlign w:val="bottom"/>
            <w:hideMark/>
          </w:tcPr>
          <w:p w14:paraId="428E9959" w14:textId="77777777" w:rsidR="00967F53" w:rsidRDefault="00967F53">
            <w:pPr>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8 249 412</w:t>
            </w:r>
          </w:p>
        </w:tc>
      </w:tr>
    </w:tbl>
    <w:p w14:paraId="093CDCA8" w14:textId="77777777" w:rsidR="00967F53" w:rsidRDefault="00967F53" w:rsidP="00967F53">
      <w:pPr>
        <w:pStyle w:val="CGCTableFootnote"/>
        <w:numPr>
          <w:ilvl w:val="4"/>
          <w:numId w:val="15"/>
        </w:numPr>
        <w:tabs>
          <w:tab w:val="clear" w:pos="709"/>
          <w:tab w:val="left" w:pos="567"/>
          <w:tab w:val="left" w:pos="851"/>
        </w:tabs>
        <w:ind w:left="567" w:hanging="567"/>
      </w:pPr>
      <w:r>
        <w:t>Excludes ACT.</w:t>
      </w:r>
    </w:p>
    <w:p w14:paraId="7EE9CF33" w14:textId="77777777" w:rsidR="00967F53" w:rsidRDefault="00967F53" w:rsidP="00967F53">
      <w:pPr>
        <w:pStyle w:val="CGCTableFootnote"/>
        <w:numPr>
          <w:ilvl w:val="4"/>
          <w:numId w:val="15"/>
        </w:numPr>
        <w:tabs>
          <w:tab w:val="clear" w:pos="709"/>
          <w:tab w:val="left" w:pos="567"/>
          <w:tab w:val="left" w:pos="851"/>
        </w:tabs>
        <w:ind w:left="567" w:hanging="567"/>
      </w:pPr>
      <w:r>
        <w:t>The State average financial assistance and local roads grant is the per capita amount received by the Brewarrina Shire</w:t>
      </w:r>
      <w:r w:rsidR="0060327B">
        <w:t xml:space="preserve">, </w:t>
      </w:r>
      <w:r>
        <w:t>which is the base the New South Wales Local Government Grants Commission used to determine the recommended financial assistance grant for Norfolk Island plus the all State average per</w:t>
      </w:r>
      <w:r w:rsidR="0060327B">
        <w:t xml:space="preserve"> capita local roads grant.</w:t>
      </w:r>
    </w:p>
    <w:p w14:paraId="6ABEE43E" w14:textId="77777777" w:rsidR="00967F53" w:rsidRDefault="00967F53" w:rsidP="00967F53">
      <w:pPr>
        <w:pStyle w:val="CGCTableFootnote"/>
      </w:pPr>
      <w:r>
        <w:t>Source:</w:t>
      </w:r>
      <w:r>
        <w:tab/>
        <w:t>Commission</w:t>
      </w:r>
      <w:r w:rsidR="008E0E40">
        <w:t xml:space="preserve"> staff</w:t>
      </w:r>
      <w:r>
        <w:t xml:space="preserve"> analysis.</w:t>
      </w:r>
    </w:p>
    <w:p w14:paraId="3846FD29" w14:textId="77777777" w:rsidR="00967F53" w:rsidRDefault="00967F53" w:rsidP="00967F53">
      <w:pPr>
        <w:pStyle w:val="Heading3"/>
      </w:pPr>
      <w:bookmarkStart w:id="524" w:name="_Toc307909573"/>
      <w:bookmarkStart w:id="525" w:name="_Toc307845625"/>
      <w:bookmarkStart w:id="526" w:name="_Toc307837343"/>
      <w:bookmarkStart w:id="527" w:name="_Toc146707848"/>
      <w:bookmarkStart w:id="528" w:name="_Toc146089014"/>
      <w:bookmarkStart w:id="529" w:name="_Toc17380512"/>
      <w:bookmarkStart w:id="530" w:name="_Toc19262967"/>
      <w:bookmarkStart w:id="531" w:name="_Toc23847512"/>
      <w:r>
        <w:t>Municipal rates</w:t>
      </w:r>
      <w:bookmarkEnd w:id="524"/>
      <w:bookmarkEnd w:id="525"/>
      <w:bookmarkEnd w:id="526"/>
      <w:bookmarkEnd w:id="527"/>
      <w:bookmarkEnd w:id="528"/>
      <w:bookmarkEnd w:id="529"/>
      <w:bookmarkEnd w:id="530"/>
      <w:bookmarkEnd w:id="531"/>
    </w:p>
    <w:p w14:paraId="166AD12F" w14:textId="77777777" w:rsidR="00967F53" w:rsidRDefault="00967F53" w:rsidP="00967F53">
      <w:pPr>
        <w:pStyle w:val="Heading4"/>
      </w:pPr>
      <w:bookmarkStart w:id="532" w:name="_Toc17380513"/>
      <w:bookmarkStart w:id="533" w:name="_Toc19262968"/>
      <w:bookmarkStart w:id="534" w:name="_Toc23847513"/>
      <w:r>
        <w:t>Rating arrangements</w:t>
      </w:r>
      <w:bookmarkEnd w:id="532"/>
      <w:bookmarkEnd w:id="533"/>
      <w:bookmarkEnd w:id="534"/>
      <w:r>
        <w:t xml:space="preserve"> </w:t>
      </w:r>
    </w:p>
    <w:p w14:paraId="1AE7AFE6" w14:textId="77777777" w:rsidR="00967F53" w:rsidRDefault="00967F53" w:rsidP="00975E27">
      <w:pPr>
        <w:pStyle w:val="CGCNumberedPara"/>
      </w:pPr>
      <w:r>
        <w:t xml:space="preserve">Municipal rates are charged by the vast majority of local councils in Australia. The basis on which they are charged varies from State to State. They are generally </w:t>
      </w:r>
      <w:r w:rsidRPr="00975E27">
        <w:t>based</w:t>
      </w:r>
      <w:r>
        <w:t xml:space="preserve"> on the value of land but also often include a base fixed charge per property. Charges applied to residential and commercial properties may vary.</w:t>
      </w:r>
    </w:p>
    <w:p w14:paraId="4553CA65" w14:textId="77777777" w:rsidR="00967F53" w:rsidRDefault="00967F53" w:rsidP="00975E27">
      <w:pPr>
        <w:pStyle w:val="CGCNumberedPara"/>
      </w:pPr>
      <w:r>
        <w:lastRenderedPageBreak/>
        <w:t xml:space="preserve">The average per </w:t>
      </w:r>
      <w:r w:rsidRPr="00975E27">
        <w:t>capita</w:t>
      </w:r>
      <w:r>
        <w:t xml:space="preserve"> rate revenue collected by all councils in the States (excluding the ACT) in 2017-18 was $739. </w:t>
      </w:r>
    </w:p>
    <w:p w14:paraId="3A88553D" w14:textId="77777777" w:rsidR="00967F53" w:rsidRDefault="00967F53" w:rsidP="00975E27">
      <w:pPr>
        <w:pStyle w:val="CGCNumberedPara"/>
      </w:pPr>
      <w:r>
        <w:t xml:space="preserve">A municipal rating structure was introduced on Norfolk Island in 2016-17. Under the </w:t>
      </w:r>
      <w:r>
        <w:rPr>
          <w:i/>
        </w:rPr>
        <w:t>Local Government Act 1993 (NSW) (Norfolk Island)</w:t>
      </w:r>
      <w:r>
        <w:t xml:space="preserve">, </w:t>
      </w:r>
      <w:r w:rsidR="00C343EA">
        <w:t>NIRC</w:t>
      </w:r>
      <w:r>
        <w:t xml:space="preserve"> was required to levy ordinary rates which would produce minimum revenues of $500 000 in 2016-17 and $1 000 000 in 2017-18 and future years. In 2016-17 and 2017-18, the rates imposed depended on the use</w:t>
      </w:r>
      <w:r>
        <w:rPr>
          <w:rStyle w:val="FootnoteReference"/>
        </w:rPr>
        <w:footnoteReference w:id="20"/>
      </w:r>
      <w:r>
        <w:t xml:space="preserve"> and size of properties. However, the </w:t>
      </w:r>
      <w:r w:rsidRPr="00975E27">
        <w:t>rating</w:t>
      </w:r>
      <w:r>
        <w:t xml:space="preserve"> model changed in 2018-19 to one where the charges consist of a base amount plus an amount based on the value of the property. The base amounts and the tax rate applied to property values under the new rating model varies with the land use classification of the property. </w:t>
      </w:r>
    </w:p>
    <w:p w14:paraId="1B3AE91E" w14:textId="77777777" w:rsidR="00967F53" w:rsidRDefault="00967F53" w:rsidP="00967F53">
      <w:pPr>
        <w:pStyle w:val="Heading4"/>
      </w:pPr>
      <w:bookmarkStart w:id="535" w:name="_Toc17380514"/>
      <w:bookmarkStart w:id="536" w:name="_Toc19262969"/>
      <w:bookmarkStart w:id="537" w:name="_Toc23847514"/>
      <w:r>
        <w:t>Assessed revenue for Norfolk Island</w:t>
      </w:r>
      <w:bookmarkEnd w:id="535"/>
      <w:bookmarkEnd w:id="536"/>
      <w:bookmarkEnd w:id="537"/>
    </w:p>
    <w:p w14:paraId="3E0DE337" w14:textId="77777777" w:rsidR="00967F53" w:rsidRDefault="00967F53" w:rsidP="00975E27">
      <w:pPr>
        <w:pStyle w:val="CGCNumberedPara"/>
      </w:pPr>
      <w:r>
        <w:t xml:space="preserve">Insufficient information was available for us to prepare a measure of the average rating policy of local governments across Australia. This was primarily because of differences </w:t>
      </w:r>
      <w:r w:rsidRPr="00975E27">
        <w:t>in</w:t>
      </w:r>
      <w:r>
        <w:t xml:space="preserve"> the basis of valuation. Some States use unimproved values, some use land values and others use an annual value concept. </w:t>
      </w:r>
    </w:p>
    <w:p w14:paraId="35D27B1D" w14:textId="77777777" w:rsidR="00967F53" w:rsidRDefault="00967F53" w:rsidP="00975E27">
      <w:pPr>
        <w:pStyle w:val="CGCNumberedPara"/>
      </w:pPr>
      <w:r>
        <w:t xml:space="preserve">In the absence of other information, we used the per capita King Island rate revenue for 2017-18 ($1 223 per capita) to measure the base or standard revenue raising effort. That figure was applied to the Norfolk Island population to derive an </w:t>
      </w:r>
      <w:r w:rsidRPr="00975E27">
        <w:t>initial</w:t>
      </w:r>
      <w:r>
        <w:t xml:space="preserve"> estimate of the assessed municipal rate revenue for 2017-18.  </w:t>
      </w:r>
    </w:p>
    <w:p w14:paraId="66C9E1F9" w14:textId="77777777" w:rsidR="00967F53" w:rsidRDefault="00967F53" w:rsidP="00975E27">
      <w:pPr>
        <w:pStyle w:val="CGCNumberedPara"/>
      </w:pPr>
      <w:r>
        <w:t>However, we considered that initial estimate overstated the capacity of NIRC to raise revenue because of differences in the recent economic circumstances of</w:t>
      </w:r>
      <w:r w:rsidR="008E0E40">
        <w:t xml:space="preserve"> Norfolk Island and King Island</w:t>
      </w:r>
      <w:r>
        <w:t>. In particular, land values have been increasing on King Island but they appear to have fallen substantially on Norfolk Island. To allow for the impact of those differences, the initial estimate was reduced by 30%, which reflected the fall in land valuations on Norfolk.</w:t>
      </w:r>
    </w:p>
    <w:p w14:paraId="69EEF083" w14:textId="77777777" w:rsidR="00967F53" w:rsidRDefault="00967F53" w:rsidP="00975E27">
      <w:pPr>
        <w:pStyle w:val="CGCNumberedPara"/>
      </w:pPr>
      <w:r>
        <w:t>The New South Wales local government legislation which is applied to Norfolk Island requires councils to provide eligible pensioners with a rates rebate of up to $250. The legislation also says 55% of those rebates are to be financed by the State and 45% by the councils. We, therefore, made a further small adjustment to the assessed revenue to take account of the council funded component of the rebate.</w:t>
      </w:r>
      <w:r>
        <w:rPr>
          <w:rStyle w:val="FootnoteReference"/>
        </w:rPr>
        <w:footnoteReference w:id="21"/>
      </w:r>
      <w:r>
        <w:t xml:space="preserve"> </w:t>
      </w:r>
    </w:p>
    <w:p w14:paraId="0E8DB061" w14:textId="77777777" w:rsidR="00967F53" w:rsidRDefault="00967F53" w:rsidP="00975E27">
      <w:pPr>
        <w:pStyle w:val="CGCNumberedPara"/>
      </w:pPr>
      <w:r>
        <w:t xml:space="preserve">As was done in the 2011 </w:t>
      </w:r>
      <w:r w:rsidR="00F547A5">
        <w:t>inquiry</w:t>
      </w:r>
      <w:r>
        <w:t>, we also applied the rating policies of the Shoalhaven City Council, a community with some similarities to Norfolk Island</w:t>
      </w:r>
      <w:r>
        <w:rPr>
          <w:rStyle w:val="FootnoteReference"/>
        </w:rPr>
        <w:footnoteReference w:id="22"/>
      </w:r>
      <w:r>
        <w:t>, to the land valuation data for Norfolk Island. This impli</w:t>
      </w:r>
      <w:r w:rsidR="0036615B">
        <w:t>ed potential rate revenue of $1.8 million</w:t>
      </w:r>
      <w:r>
        <w:t xml:space="preserve">. </w:t>
      </w:r>
      <w:r>
        <w:lastRenderedPageBreak/>
        <w:t xml:space="preserve">That figure is broadly comparable with the final estimated assessed revenue for Norfolk Island, once allowance is made for the impact of the larger urban areas in Shoalhaven on the rates needed to fund the services required (for example, relatively more kerbing, street lighting and recreational facilities would be expected). </w:t>
      </w:r>
    </w:p>
    <w:p w14:paraId="6CB42418" w14:textId="77777777" w:rsidR="00967F53" w:rsidRDefault="00967F53" w:rsidP="00975E27">
      <w:pPr>
        <w:pStyle w:val="CGCNumberedPara"/>
      </w:pPr>
      <w:r>
        <w:t xml:space="preserve">The final estimated </w:t>
      </w:r>
      <w:r w:rsidRPr="00975E27">
        <w:t>assessed</w:t>
      </w:r>
      <w:r w:rsidR="00F41653">
        <w:t xml:space="preserve"> revenue of $1.6 million </w:t>
      </w:r>
      <w:r>
        <w:t>for 2017</w:t>
      </w:r>
      <w:r w:rsidR="00F41653">
        <w:t>-18 is similar to the $1.4 million</w:t>
      </w:r>
      <w:r>
        <w:t xml:space="preserve"> assessed for 2009-10 in the 2011 </w:t>
      </w:r>
      <w:r w:rsidR="00F547A5">
        <w:t>inquiry</w:t>
      </w:r>
      <w:r>
        <w:t xml:space="preserve">.  </w:t>
      </w:r>
    </w:p>
    <w:p w14:paraId="55D9A906" w14:textId="77777777" w:rsidR="00967F53" w:rsidRDefault="00967F53" w:rsidP="00967F53">
      <w:pPr>
        <w:pStyle w:val="Heading3"/>
      </w:pPr>
      <w:bookmarkStart w:id="538" w:name="_Toc17380515"/>
      <w:bookmarkStart w:id="539" w:name="_Toc19262970"/>
      <w:bookmarkStart w:id="540" w:name="_Toc23847515"/>
      <w:r>
        <w:t>other revenue</w:t>
      </w:r>
      <w:bookmarkEnd w:id="538"/>
      <w:bookmarkEnd w:id="539"/>
      <w:bookmarkEnd w:id="540"/>
    </w:p>
    <w:p w14:paraId="1A363235" w14:textId="77777777" w:rsidR="00967F53" w:rsidRDefault="00967F53" w:rsidP="00975E27">
      <w:pPr>
        <w:pStyle w:val="CGCNumberedPara"/>
      </w:pPr>
      <w:r>
        <w:t xml:space="preserve">Local governments in the rest of Australia raise revenues from a wide range of charges and fees for goods and services, interest on cash balances and investments. These include building application fees, development fees, subdivision fees, water, sewerage, septic and waste levies, licence fees and fines, hall hire charges, landing charges and dog registration fees. </w:t>
      </w:r>
    </w:p>
    <w:p w14:paraId="2C30EBBA" w14:textId="77777777" w:rsidR="00967F53" w:rsidRDefault="00967F53" w:rsidP="00975E27">
      <w:pPr>
        <w:pStyle w:val="CGCNumberedPara"/>
      </w:pPr>
      <w:r>
        <w:t xml:space="preserve">The basis on which these revenues are collected varies considerably from State to State and council to council. In view of the broad similarities between Norfolk Island and King Island, we used the average per capita non-rate revenue collected by King Island as the basis of the assessed revenue for Norfolk Island. In 2017-18, King Island collected $625 per capita from its miscellaneous fees, charges, interest and other revenues. About half </w:t>
      </w:r>
      <w:r w:rsidR="00580AC7">
        <w:t xml:space="preserve">of </w:t>
      </w:r>
      <w:r>
        <w:t>that revenue ($316 per capita) came from charges for waste collection and disposal.</w:t>
      </w:r>
    </w:p>
    <w:p w14:paraId="6BD01B8E" w14:textId="77777777" w:rsidR="00967F53" w:rsidRDefault="00967F53" w:rsidP="00975E27">
      <w:pPr>
        <w:pStyle w:val="CGCNumberedPara"/>
      </w:pPr>
      <w:r>
        <w:t>That base (or standard) per capita revenue implied an assessed reven</w:t>
      </w:r>
      <w:r w:rsidR="00580AC7">
        <w:t>ue for Norfolk Island of $1.1 million</w:t>
      </w:r>
      <w:r>
        <w:t xml:space="preserve">. This is largely because the amounts actually collected by </w:t>
      </w:r>
      <w:r w:rsidR="00C343EA">
        <w:t>NIRC</w:t>
      </w:r>
      <w:r>
        <w:t xml:space="preserve"> from rent of council properties ($563 000 or $320 per capita) and interest earnings ($291 000</w:t>
      </w:r>
      <w:r>
        <w:rPr>
          <w:rStyle w:val="FootnoteReference"/>
        </w:rPr>
        <w:footnoteReference w:id="23"/>
      </w:r>
      <w:r>
        <w:t xml:space="preserve"> or $166 per capita) exceed those collected by the King Island Council and are used as the base for the assessment</w:t>
      </w:r>
      <w:r w:rsidR="00182E10">
        <w:t xml:space="preserve">. </w:t>
      </w:r>
      <w:r>
        <w:rPr>
          <w:rStyle w:val="FootnoteReference"/>
        </w:rPr>
        <w:footnoteReference w:id="24"/>
      </w:r>
      <w:r>
        <w:t xml:space="preserve"> The total assessed revenue is therefore lower at $539 000. </w:t>
      </w:r>
    </w:p>
    <w:p w14:paraId="29BE0063" w14:textId="77777777" w:rsidR="00967F53" w:rsidRDefault="00967F53" w:rsidP="00967F53">
      <w:pPr>
        <w:pStyle w:val="Heading4"/>
      </w:pPr>
      <w:bookmarkStart w:id="541" w:name="_Toc17380516"/>
      <w:bookmarkStart w:id="542" w:name="_Toc19262971"/>
      <w:bookmarkStart w:id="543" w:name="_Toc23847516"/>
      <w:r>
        <w:t>Airport</w:t>
      </w:r>
      <w:bookmarkEnd w:id="541"/>
      <w:bookmarkEnd w:id="542"/>
      <w:bookmarkEnd w:id="543"/>
    </w:p>
    <w:p w14:paraId="79219BB8" w14:textId="77777777" w:rsidR="00967F53" w:rsidRDefault="00967F53" w:rsidP="001E4105">
      <w:pPr>
        <w:pStyle w:val="CGCNumberedPara"/>
        <w:tabs>
          <w:tab w:val="left" w:pos="567"/>
          <w:tab w:val="num" w:pos="1134"/>
        </w:tabs>
      </w:pPr>
      <w:r>
        <w:t>We note that the airport operating result in 2017-18 was positive ($29 000), indicating that the operating costs can be fully met through airport fees and charges. The small profit on continuing operations has been included as a revenue in the local government revenue assessment. For further discussion about the airport see Attachment F</w:t>
      </w:r>
      <w:r w:rsidR="002372AE">
        <w:t xml:space="preserve"> </w:t>
      </w:r>
      <w:r>
        <w:t>— Local Government services.</w:t>
      </w:r>
    </w:p>
    <w:p w14:paraId="195FE62B" w14:textId="77777777" w:rsidR="00967F53" w:rsidRDefault="00967F53" w:rsidP="00967F53">
      <w:pPr>
        <w:pStyle w:val="Heading3"/>
      </w:pPr>
      <w:bookmarkStart w:id="544" w:name="_Toc17380517"/>
      <w:bookmarkStart w:id="545" w:name="_Toc19262972"/>
      <w:bookmarkStart w:id="546" w:name="_Toc23847517"/>
      <w:r>
        <w:lastRenderedPageBreak/>
        <w:t>Financial assistance and local roads grants</w:t>
      </w:r>
      <w:bookmarkEnd w:id="544"/>
      <w:bookmarkEnd w:id="545"/>
      <w:bookmarkEnd w:id="546"/>
    </w:p>
    <w:p w14:paraId="0F0DD112" w14:textId="77777777" w:rsidR="00967F53" w:rsidRPr="00740DA7" w:rsidRDefault="00967F53" w:rsidP="00740DA7">
      <w:pPr>
        <w:pStyle w:val="CGCNumberedPara"/>
      </w:pPr>
      <w:r>
        <w:t xml:space="preserve">The Commonwealth provides financial assistance and local roads grants to all local </w:t>
      </w:r>
      <w:r w:rsidRPr="00740DA7">
        <w:t>governments, including NIRC.</w:t>
      </w:r>
    </w:p>
    <w:p w14:paraId="201A6407" w14:textId="77777777" w:rsidR="00967F53" w:rsidRPr="00740DA7" w:rsidRDefault="00967F53" w:rsidP="00740DA7">
      <w:pPr>
        <w:pStyle w:val="CGCNumberedPara"/>
      </w:pPr>
      <w:r w:rsidRPr="00740DA7">
        <w:t xml:space="preserve">For councils in the States, the local government financial assistance grant process consists of two basic steps. First, the Commonwealth makes an amount available for each State, with each State receiving the same per capita amount ($67 per capita in 2017-18). Second, a local government grants commission in each State allocates that amount among the local governments in the State. The allocation of grants is intended to broadly equalise the financial capacities of the local governments in the State to provide services, subject to all councils receiving a minimum amount. </w:t>
      </w:r>
    </w:p>
    <w:p w14:paraId="2F7C14C5" w14:textId="77777777" w:rsidR="00967F53" w:rsidRPr="00740DA7" w:rsidRDefault="00967F53" w:rsidP="00740DA7">
      <w:pPr>
        <w:pStyle w:val="CGCNumberedPara"/>
      </w:pPr>
      <w:r w:rsidRPr="00740DA7">
        <w:t xml:space="preserve">The State local government grants commissions also allocate the local roads grants to individual councils. In New South Wales, councils receive an amount based on the population in the council’s area, plus an amount per kilometre of its local roads, plus an amount per metre of bridges. </w:t>
      </w:r>
    </w:p>
    <w:p w14:paraId="46359432" w14:textId="77777777" w:rsidR="00967F53" w:rsidRDefault="00967F53" w:rsidP="00740DA7">
      <w:pPr>
        <w:pStyle w:val="CGCNumberedPara"/>
      </w:pPr>
      <w:r w:rsidRPr="00740DA7">
        <w:t>The 2017-18 financial assistance and local roads grants for NIRC were based on independent advice from the New South Wales Local Government Grants Commission. It determined</w:t>
      </w:r>
      <w:r>
        <w:t xml:space="preserve"> the recommended financial assistance grant by applying the per capita grant for the Brewarrina Shire to the Norfolk Island population.</w:t>
      </w:r>
      <w:r>
        <w:rPr>
          <w:rStyle w:val="FootnoteReference"/>
        </w:rPr>
        <w:footnoteReference w:id="25"/>
      </w:r>
      <w:r>
        <w:t xml:space="preserve"> The local roads grant was based on the per capita, per kilometre of road and per metre of bridges used in deriving the grants for local governments in New South Wales.</w:t>
      </w:r>
    </w:p>
    <w:p w14:paraId="108318B6" w14:textId="77777777" w:rsidR="00967F53" w:rsidRDefault="00967F53" w:rsidP="00740DA7">
      <w:pPr>
        <w:pStyle w:val="CGCNumberedPara"/>
      </w:pPr>
      <w:r>
        <w:t xml:space="preserve">The total amount paid to NIRC for financial assistance </w:t>
      </w:r>
      <w:r w:rsidR="00A52FA2">
        <w:t>and local roads grants for 2017</w:t>
      </w:r>
      <w:r w:rsidR="00A52FA2">
        <w:noBreakHyphen/>
        <w:t>18 was $2.4 million</w:t>
      </w:r>
      <w:r>
        <w:t>. That amo</w:t>
      </w:r>
      <w:r w:rsidR="00A52FA2">
        <w:t>unt is to increase to $3.5 million</w:t>
      </w:r>
      <w:r>
        <w:t xml:space="preserve"> in 2018-19, partly to allow for some additional factors facing a remote island community not fully reflected in the </w:t>
      </w:r>
      <w:r w:rsidRPr="00740DA7">
        <w:t>grant</w:t>
      </w:r>
      <w:r>
        <w:t xml:space="preserve"> provided to Brewarrina.</w:t>
      </w:r>
    </w:p>
    <w:p w14:paraId="1057A9BB" w14:textId="77777777" w:rsidR="00967F53" w:rsidRDefault="00967F53" w:rsidP="00967F53">
      <w:pPr>
        <w:pStyle w:val="Heading3"/>
      </w:pPr>
      <w:bookmarkStart w:id="547" w:name="_Toc17380518"/>
      <w:bookmarkStart w:id="548" w:name="_Toc19262973"/>
      <w:bookmarkStart w:id="549" w:name="_Toc23847518"/>
      <w:r>
        <w:t>Grants from State governmentS</w:t>
      </w:r>
      <w:bookmarkEnd w:id="547"/>
      <w:bookmarkEnd w:id="548"/>
      <w:bookmarkEnd w:id="549"/>
    </w:p>
    <w:p w14:paraId="0E171379" w14:textId="77777777" w:rsidR="00967F53" w:rsidRPr="00FF11FF" w:rsidRDefault="00967F53" w:rsidP="00FF11FF">
      <w:pPr>
        <w:pStyle w:val="CGCNumberedPara"/>
      </w:pPr>
      <w:r>
        <w:t xml:space="preserve">Local governments typically receive funding in the form of specific purpose grants from their State government. Many of those grants relate to roads, community </w:t>
      </w:r>
      <w:r w:rsidRPr="00FF11FF">
        <w:t>development activities and culture, sport and recreation facilities. The grants are generally obtained following council applications to the State agency administering each program.</w:t>
      </w:r>
    </w:p>
    <w:p w14:paraId="2652C6B3" w14:textId="77777777" w:rsidR="00967F53" w:rsidRDefault="00967F53" w:rsidP="00FF11FF">
      <w:pPr>
        <w:pStyle w:val="CGCNumberedPara"/>
      </w:pPr>
      <w:r w:rsidRPr="00FF11FF">
        <w:t>These grants are transfers</w:t>
      </w:r>
      <w:r>
        <w:t xml:space="preserve"> from the State to the council. They are a State expense and a council receipt. When the combined State and local government financial position </w:t>
      </w:r>
      <w:r>
        <w:lastRenderedPageBreak/>
        <w:t>of Norfolk Island is determined, those transactions should offset each other and the final spending of the funds on the relevant service would appear as a council expense.</w:t>
      </w:r>
    </w:p>
    <w:p w14:paraId="509D8E47" w14:textId="77777777" w:rsidR="00967F53" w:rsidRPr="00FF11FF" w:rsidRDefault="00967F53" w:rsidP="00FF11FF">
      <w:pPr>
        <w:pStyle w:val="CGCNumberedPara"/>
      </w:pPr>
      <w:r>
        <w:t xml:space="preserve">Our assessed State-type expenses for Services to communities, Roads and Other expenses include </w:t>
      </w:r>
      <w:r w:rsidRPr="00FF11FF">
        <w:t xml:space="preserve">amounts equivalent to the grants States provide to local governments. </w:t>
      </w:r>
    </w:p>
    <w:p w14:paraId="47681E0C" w14:textId="77777777" w:rsidR="00967F53" w:rsidRDefault="00967F53" w:rsidP="00FF11FF">
      <w:pPr>
        <w:pStyle w:val="CGCNumberedPara"/>
      </w:pPr>
      <w:r w:rsidRPr="00FF11FF">
        <w:t>Ideally, the assessed local government</w:t>
      </w:r>
      <w:r>
        <w:t xml:space="preserve">-type revenues would include an amount for assessed revenue from State-type grants that would reflect NIRC’s receipt of the grants included in the assessed State expenses. However, sufficient details were not available to adopt that approach. We therefore estimated NIRC’s assessed State grant revenue by reference to the average per capita grants provided by New South Wales to its local governments, which was $131 in 2017-18. Applying that figure to the Norfolk Island population produced an assessed revenue from State grants of $230 000.  </w:t>
      </w:r>
    </w:p>
    <w:p w14:paraId="00558D8D" w14:textId="77777777" w:rsidR="00C35EB3" w:rsidRDefault="00C35EB3" w:rsidP="00C35EB3">
      <w:pPr>
        <w:pStyle w:val="CGCTableFootnote"/>
        <w:spacing w:line="200" w:lineRule="atLeast"/>
      </w:pPr>
    </w:p>
    <w:p w14:paraId="6D240FDE" w14:textId="77777777" w:rsidR="00364B8A" w:rsidRDefault="00364B8A">
      <w:pPr>
        <w:tabs>
          <w:tab w:val="clear" w:pos="567"/>
        </w:tabs>
        <w:spacing w:after="200" w:line="276" w:lineRule="auto"/>
        <w:rPr>
          <w:sz w:val="22"/>
          <w:szCs w:val="24"/>
        </w:rPr>
      </w:pPr>
      <w:r>
        <w:rPr>
          <w:sz w:val="22"/>
        </w:rPr>
        <w:br w:type="page"/>
      </w:r>
    </w:p>
    <w:p w14:paraId="1B81B9F4" w14:textId="77777777" w:rsidR="00C37DB0" w:rsidRDefault="009C7CDC" w:rsidP="0058218B">
      <w:pPr>
        <w:pStyle w:val="Heading2"/>
      </w:pPr>
      <w:bookmarkStart w:id="550" w:name="_Toc19262974"/>
      <w:bookmarkStart w:id="551" w:name="_Toc23847519"/>
      <w:r>
        <w:lastRenderedPageBreak/>
        <w:t xml:space="preserve">Attachment E: state </w:t>
      </w:r>
      <w:r w:rsidRPr="009C7CDC">
        <w:t>government</w:t>
      </w:r>
      <w:r>
        <w:t xml:space="preserve"> services</w:t>
      </w:r>
      <w:bookmarkEnd w:id="550"/>
      <w:bookmarkEnd w:id="551"/>
    </w:p>
    <w:p w14:paraId="5AC782B5" w14:textId="77777777" w:rsidR="00C37DB0" w:rsidRDefault="00C37DB0" w:rsidP="00C37DB0">
      <w:pPr>
        <w:pStyle w:val="Heading3"/>
      </w:pPr>
      <w:bookmarkStart w:id="552" w:name="_Toc17380519"/>
      <w:bookmarkStart w:id="553" w:name="_Toc19262975"/>
      <w:bookmarkStart w:id="554" w:name="_Toc23847520"/>
      <w:r>
        <w:t>Introduction</w:t>
      </w:r>
      <w:bookmarkEnd w:id="552"/>
      <w:bookmarkEnd w:id="553"/>
      <w:bookmarkEnd w:id="554"/>
    </w:p>
    <w:p w14:paraId="32EE3505" w14:textId="77777777" w:rsidR="00C37DB0" w:rsidRDefault="00C37DB0" w:rsidP="001E4105">
      <w:pPr>
        <w:pStyle w:val="CGCNumberedPara"/>
        <w:tabs>
          <w:tab w:val="num" w:pos="567"/>
        </w:tabs>
      </w:pPr>
      <w:r>
        <w:t xml:space="preserve">The </w:t>
      </w:r>
      <w:r w:rsidR="00D974B2">
        <w:t>T</w:t>
      </w:r>
      <w:r>
        <w:t xml:space="preserve">erms of </w:t>
      </w:r>
      <w:r w:rsidR="00D974B2">
        <w:t>R</w:t>
      </w:r>
      <w:r>
        <w:t xml:space="preserve">eference for this inquiry asked the Commission to: </w:t>
      </w:r>
    </w:p>
    <w:p w14:paraId="7774BD6E" w14:textId="77777777" w:rsidR="00C37DB0" w:rsidRDefault="00C37DB0" w:rsidP="00C37DB0">
      <w:pPr>
        <w:pStyle w:val="CGCQuotation"/>
      </w:pPr>
      <w:r>
        <w:t>(1)   Calculate the amount of annual expenditure, including infrastructure costs, required to provide state-type government services, local government services and support for legacy state-type government business enterprises on Norfolk Island, taking into account the circumstances of Norfolk Island.</w:t>
      </w:r>
    </w:p>
    <w:p w14:paraId="54942324" w14:textId="77777777" w:rsidR="00C37DB0" w:rsidRDefault="00C37DB0" w:rsidP="001E4105">
      <w:pPr>
        <w:pStyle w:val="CGCNumberedPara"/>
        <w:tabs>
          <w:tab w:val="left" w:pos="567"/>
          <w:tab w:val="num" w:pos="1134"/>
        </w:tabs>
      </w:pPr>
      <w:r>
        <w:t xml:space="preserve">The </w:t>
      </w:r>
      <w:r w:rsidR="00D974B2">
        <w:t>T</w:t>
      </w:r>
      <w:r w:rsidR="00915FAB">
        <w:t xml:space="preserve">erms of </w:t>
      </w:r>
      <w:r w:rsidR="00D974B2">
        <w:t>R</w:t>
      </w:r>
      <w:r>
        <w:t xml:space="preserve">eference also says estimates of annual services must have regard to services available in comparable communities and assume Norfolk Island operates at the average level of efficiency. </w:t>
      </w:r>
    </w:p>
    <w:p w14:paraId="5214F16C" w14:textId="77777777" w:rsidR="00C37DB0" w:rsidRDefault="00C37DB0" w:rsidP="001E4105">
      <w:pPr>
        <w:pStyle w:val="CGCNumberedPara"/>
        <w:tabs>
          <w:tab w:val="left" w:pos="720"/>
        </w:tabs>
      </w:pPr>
      <w:r>
        <w:t xml:space="preserve">This attachment considers what it would cost to provide services on Norfolk Island like those normally provided by State governments. </w:t>
      </w:r>
    </w:p>
    <w:p w14:paraId="087E91CE" w14:textId="77777777" w:rsidR="00C37DB0" w:rsidRDefault="00C37DB0" w:rsidP="00C37DB0">
      <w:pPr>
        <w:pStyle w:val="Heading3"/>
      </w:pPr>
      <w:bookmarkStart w:id="555" w:name="_Toc17380520"/>
      <w:bookmarkStart w:id="556" w:name="_Toc19262976"/>
      <w:bookmarkStart w:id="557" w:name="_Toc23847521"/>
      <w:r>
        <w:t>Scope of State Services</w:t>
      </w:r>
      <w:bookmarkEnd w:id="555"/>
      <w:bookmarkEnd w:id="556"/>
      <w:bookmarkEnd w:id="557"/>
    </w:p>
    <w:p w14:paraId="7AAC4FF1" w14:textId="77777777" w:rsidR="00C37DB0" w:rsidRDefault="00C37DB0" w:rsidP="001E4105">
      <w:pPr>
        <w:pStyle w:val="CGCNumberedPara"/>
        <w:tabs>
          <w:tab w:val="left" w:pos="720"/>
        </w:tabs>
      </w:pPr>
      <w:r>
        <w:t xml:space="preserve">In the rest of Australia, State governments provide the following services. </w:t>
      </w:r>
    </w:p>
    <w:p w14:paraId="3F83D506" w14:textId="77777777" w:rsidR="00C37DB0" w:rsidRPr="00242722" w:rsidRDefault="00915FAB" w:rsidP="00242722">
      <w:pPr>
        <w:pStyle w:val="CGCBulletlist"/>
        <w:numPr>
          <w:ilvl w:val="0"/>
          <w:numId w:val="15"/>
        </w:numPr>
      </w:pPr>
      <w:r>
        <w:t>e</w:t>
      </w:r>
      <w:r w:rsidR="00C37DB0" w:rsidRPr="00242722">
        <w:t>ducation including pre-school, school and</w:t>
      </w:r>
      <w:r w:rsidR="00A55D75" w:rsidRPr="00242722">
        <w:t xml:space="preserve"> post-secondary education</w:t>
      </w:r>
      <w:r w:rsidR="00C37DB0" w:rsidRPr="00242722">
        <w:t>.</w:t>
      </w:r>
    </w:p>
    <w:p w14:paraId="3F90266A" w14:textId="77777777" w:rsidR="00C37DB0" w:rsidRPr="00242722" w:rsidRDefault="00915FAB" w:rsidP="00242722">
      <w:pPr>
        <w:pStyle w:val="CGCBulletlist"/>
      </w:pPr>
      <w:r>
        <w:t>h</w:t>
      </w:r>
      <w:r w:rsidR="00C37DB0" w:rsidRPr="00242722">
        <w:t>ealth including hospital, community and public health services.</w:t>
      </w:r>
    </w:p>
    <w:p w14:paraId="181E852E" w14:textId="77777777" w:rsidR="00C37DB0" w:rsidRPr="00242722" w:rsidRDefault="00915FAB" w:rsidP="00242722">
      <w:pPr>
        <w:pStyle w:val="CGCBulletlist"/>
      </w:pPr>
      <w:r>
        <w:t>w</w:t>
      </w:r>
      <w:r w:rsidR="00C37DB0" w:rsidRPr="00242722">
        <w:t xml:space="preserve">elfare including child protection, out of home care </w:t>
      </w:r>
      <w:r w:rsidR="00C37DB0" w:rsidRPr="002A4234">
        <w:t>and social housing.</w:t>
      </w:r>
    </w:p>
    <w:p w14:paraId="65E7F2ED" w14:textId="77777777" w:rsidR="00C37DB0" w:rsidRPr="00242722" w:rsidRDefault="00915FAB" w:rsidP="00242722">
      <w:pPr>
        <w:pStyle w:val="CGCBulletlist"/>
      </w:pPr>
      <w:r>
        <w:t>p</w:t>
      </w:r>
      <w:r w:rsidR="00C37DB0" w:rsidRPr="00242722">
        <w:t>olice, prisons, criminal courts and other legal services.</w:t>
      </w:r>
    </w:p>
    <w:p w14:paraId="0E5F574D" w14:textId="77777777" w:rsidR="00C37DB0" w:rsidRPr="00242722" w:rsidRDefault="00915FAB" w:rsidP="00242722">
      <w:pPr>
        <w:pStyle w:val="CGCBulletlist"/>
      </w:pPr>
      <w:r>
        <w:t>w</w:t>
      </w:r>
      <w:r w:rsidR="00C37DB0" w:rsidRPr="00242722">
        <w:t>ater supply, wastewater and electricity subsidies, community development and environmental protection.</w:t>
      </w:r>
    </w:p>
    <w:p w14:paraId="7AA4D958" w14:textId="77777777" w:rsidR="00C37DB0" w:rsidRPr="00242722" w:rsidRDefault="00915FAB" w:rsidP="00242722">
      <w:pPr>
        <w:pStyle w:val="CGCBulletlist"/>
      </w:pPr>
      <w:r>
        <w:t>t</w:t>
      </w:r>
      <w:r w:rsidR="00C37DB0" w:rsidRPr="00242722">
        <w:t>ransport including State roads and public transport.</w:t>
      </w:r>
    </w:p>
    <w:p w14:paraId="213303E6" w14:textId="77777777" w:rsidR="00C37DB0" w:rsidRPr="00242722" w:rsidRDefault="00915FAB" w:rsidP="00242722">
      <w:pPr>
        <w:pStyle w:val="CGCBulletlist"/>
      </w:pPr>
      <w:r>
        <w:t>s</w:t>
      </w:r>
      <w:r w:rsidR="00C37DB0" w:rsidRPr="00242722">
        <w:t>ervices to industry including tourism promotion, other economic development and business and industry regulation.</w:t>
      </w:r>
    </w:p>
    <w:p w14:paraId="3D295D01" w14:textId="77777777" w:rsidR="00C37DB0" w:rsidRPr="00035198" w:rsidRDefault="00915FAB" w:rsidP="00242722">
      <w:pPr>
        <w:pStyle w:val="CGCBulletlist"/>
      </w:pPr>
      <w:r>
        <w:t>g</w:t>
      </w:r>
      <w:r w:rsidR="00C37DB0" w:rsidRPr="00242722">
        <w:t>eneral public</w:t>
      </w:r>
      <w:r w:rsidR="00C37DB0" w:rsidRPr="00035198">
        <w:t xml:space="preserve"> services including the legislature, central administrative agencies that support State service delivery, emergency services and fire protection.</w:t>
      </w:r>
    </w:p>
    <w:p w14:paraId="76E1D005" w14:textId="77777777" w:rsidR="00C37DB0" w:rsidRDefault="00C37DB0" w:rsidP="001E4105">
      <w:pPr>
        <w:pStyle w:val="CGCNumberedPara"/>
        <w:tabs>
          <w:tab w:val="num" w:pos="567"/>
        </w:tabs>
      </w:pPr>
      <w:r>
        <w:t xml:space="preserve">Table </w:t>
      </w:r>
      <w:r w:rsidR="00D57886">
        <w:t>E-</w:t>
      </w:r>
      <w:r>
        <w:t>1 shows the classification of State government services adopted for this inquiry. It also shows the average State expenses and Norfolk Island assessed and actual expenses for 2017-18, which include</w:t>
      </w:r>
      <w:r w:rsidR="00655725">
        <w:t>s</w:t>
      </w:r>
      <w:r>
        <w:t xml:space="preserve"> spending by </w:t>
      </w:r>
      <w:r w:rsidR="00C343EA">
        <w:t xml:space="preserve">the Department of Infrastructure, </w:t>
      </w:r>
      <w:r w:rsidR="009C1A7D">
        <w:t xml:space="preserve">Transport, Cities and </w:t>
      </w:r>
      <w:r w:rsidR="00C343EA">
        <w:t>Regional Development (</w:t>
      </w:r>
      <w:r w:rsidR="008F4885">
        <w:t>the Department</w:t>
      </w:r>
      <w:r w:rsidR="00C343EA">
        <w:t xml:space="preserve">) </w:t>
      </w:r>
      <w:r>
        <w:t>and</w:t>
      </w:r>
      <w:r w:rsidR="00C343EA">
        <w:t xml:space="preserve"> the Norfolk Island Regional Council (NIRC)</w:t>
      </w:r>
      <w:r>
        <w:t xml:space="preserve">.  </w:t>
      </w:r>
    </w:p>
    <w:p w14:paraId="4FF635CB" w14:textId="77777777" w:rsidR="00C37DB0" w:rsidRDefault="00C37DB0" w:rsidP="00C37DB0">
      <w:pPr>
        <w:pStyle w:val="CGCTableHeading"/>
      </w:pPr>
      <w:bookmarkStart w:id="558" w:name="_Ref16246107"/>
      <w:r>
        <w:lastRenderedPageBreak/>
        <w:t xml:space="preserve">Table </w:t>
      </w:r>
      <w:r w:rsidR="00D57886">
        <w:t>E-1</w:t>
      </w:r>
      <w:bookmarkEnd w:id="558"/>
      <w:r>
        <w:tab/>
        <w:t>State-type expenses, Norfolk Island, 2017-18 — summary</w:t>
      </w:r>
    </w:p>
    <w:tbl>
      <w:tblPr>
        <w:tblW w:w="8940" w:type="dxa"/>
        <w:tblLook w:val="04A0" w:firstRow="1" w:lastRow="0" w:firstColumn="1" w:lastColumn="0" w:noHBand="0" w:noVBand="1"/>
      </w:tblPr>
      <w:tblGrid>
        <w:gridCol w:w="3820"/>
        <w:gridCol w:w="960"/>
        <w:gridCol w:w="900"/>
        <w:gridCol w:w="1180"/>
        <w:gridCol w:w="900"/>
        <w:gridCol w:w="1180"/>
      </w:tblGrid>
      <w:tr w:rsidR="00726B1E" w:rsidRPr="00726B1E" w14:paraId="712382E8" w14:textId="77777777" w:rsidTr="0029660B">
        <w:trPr>
          <w:trHeight w:val="284"/>
        </w:trPr>
        <w:tc>
          <w:tcPr>
            <w:tcW w:w="3820" w:type="dxa"/>
            <w:vMerge w:val="restart"/>
            <w:tcBorders>
              <w:top w:val="single" w:sz="4" w:space="0" w:color="auto"/>
              <w:left w:val="nil"/>
              <w:bottom w:val="single" w:sz="4" w:space="0" w:color="000000"/>
              <w:right w:val="nil"/>
            </w:tcBorders>
            <w:shd w:val="clear" w:color="auto" w:fill="auto"/>
            <w:vAlign w:val="center"/>
            <w:hideMark/>
          </w:tcPr>
          <w:p w14:paraId="337A8ED4" w14:textId="77777777" w:rsidR="00726B1E" w:rsidRPr="00726B1E" w:rsidRDefault="00726B1E" w:rsidP="00726B1E">
            <w:pPr>
              <w:tabs>
                <w:tab w:val="clear" w:pos="567"/>
              </w:tabs>
              <w:spacing w:after="0" w:line="240" w:lineRule="auto"/>
              <w:jc w:val="center"/>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 </w:t>
            </w:r>
          </w:p>
        </w:tc>
        <w:tc>
          <w:tcPr>
            <w:tcW w:w="960" w:type="dxa"/>
            <w:vMerge w:val="restart"/>
            <w:tcBorders>
              <w:top w:val="single" w:sz="4" w:space="0" w:color="auto"/>
              <w:left w:val="nil"/>
              <w:bottom w:val="single" w:sz="4" w:space="0" w:color="000000"/>
              <w:right w:val="single" w:sz="4" w:space="0" w:color="auto"/>
            </w:tcBorders>
            <w:shd w:val="clear" w:color="auto" w:fill="auto"/>
            <w:vAlign w:val="center"/>
            <w:hideMark/>
          </w:tcPr>
          <w:p w14:paraId="7FC62BEF" w14:textId="77777777" w:rsidR="00726B1E" w:rsidRPr="00726B1E" w:rsidRDefault="00726B1E" w:rsidP="00726B1E">
            <w:pPr>
              <w:tabs>
                <w:tab w:val="clear" w:pos="567"/>
              </w:tabs>
              <w:spacing w:after="0" w:line="240" w:lineRule="auto"/>
              <w:jc w:val="center"/>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State average</w:t>
            </w:r>
          </w:p>
        </w:tc>
        <w:tc>
          <w:tcPr>
            <w:tcW w:w="4160" w:type="dxa"/>
            <w:gridSpan w:val="4"/>
            <w:tcBorders>
              <w:top w:val="single" w:sz="4" w:space="0" w:color="auto"/>
              <w:left w:val="nil"/>
              <w:bottom w:val="single" w:sz="4" w:space="0" w:color="auto"/>
              <w:right w:val="nil"/>
            </w:tcBorders>
            <w:shd w:val="clear" w:color="auto" w:fill="auto"/>
            <w:vAlign w:val="center"/>
            <w:hideMark/>
          </w:tcPr>
          <w:p w14:paraId="7090769E" w14:textId="77777777" w:rsidR="00726B1E" w:rsidRPr="00726B1E" w:rsidRDefault="00726B1E" w:rsidP="00726B1E">
            <w:pPr>
              <w:tabs>
                <w:tab w:val="clear" w:pos="567"/>
              </w:tabs>
              <w:spacing w:after="0" w:line="240" w:lineRule="auto"/>
              <w:jc w:val="center"/>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Norfolk Island</w:t>
            </w:r>
          </w:p>
        </w:tc>
      </w:tr>
      <w:tr w:rsidR="00726B1E" w:rsidRPr="00726B1E" w14:paraId="5C528AE4" w14:textId="77777777" w:rsidTr="0029660B">
        <w:trPr>
          <w:trHeight w:val="284"/>
        </w:trPr>
        <w:tc>
          <w:tcPr>
            <w:tcW w:w="3820" w:type="dxa"/>
            <w:vMerge/>
            <w:tcBorders>
              <w:top w:val="single" w:sz="4" w:space="0" w:color="auto"/>
              <w:left w:val="nil"/>
              <w:bottom w:val="single" w:sz="4" w:space="0" w:color="000000"/>
              <w:right w:val="nil"/>
            </w:tcBorders>
            <w:vAlign w:val="center"/>
            <w:hideMark/>
          </w:tcPr>
          <w:p w14:paraId="7A61F3B1" w14:textId="77777777" w:rsidR="00726B1E" w:rsidRPr="00726B1E" w:rsidRDefault="00726B1E" w:rsidP="00726B1E">
            <w:pPr>
              <w:tabs>
                <w:tab w:val="clear" w:pos="567"/>
              </w:tabs>
              <w:spacing w:after="0" w:line="240" w:lineRule="auto"/>
              <w:rPr>
                <w:rFonts w:ascii="Calibri" w:eastAsia="Times New Roman" w:hAnsi="Calibri" w:cs="Times New Roman"/>
                <w:sz w:val="20"/>
                <w:szCs w:val="20"/>
                <w:lang w:eastAsia="en-AU"/>
              </w:rPr>
            </w:pPr>
          </w:p>
        </w:tc>
        <w:tc>
          <w:tcPr>
            <w:tcW w:w="960" w:type="dxa"/>
            <w:vMerge/>
            <w:tcBorders>
              <w:top w:val="single" w:sz="4" w:space="0" w:color="auto"/>
              <w:left w:val="nil"/>
              <w:bottom w:val="single" w:sz="4" w:space="0" w:color="000000"/>
              <w:right w:val="single" w:sz="4" w:space="0" w:color="auto"/>
            </w:tcBorders>
            <w:vAlign w:val="center"/>
            <w:hideMark/>
          </w:tcPr>
          <w:p w14:paraId="1ACEBF6B" w14:textId="77777777" w:rsidR="00726B1E" w:rsidRPr="00726B1E" w:rsidRDefault="00726B1E" w:rsidP="00726B1E">
            <w:pPr>
              <w:tabs>
                <w:tab w:val="clear" w:pos="567"/>
              </w:tabs>
              <w:spacing w:after="0" w:line="240" w:lineRule="auto"/>
              <w:rPr>
                <w:rFonts w:ascii="Calibri" w:eastAsia="Times New Roman" w:hAnsi="Calibri" w:cs="Times New Roman"/>
                <w:sz w:val="20"/>
                <w:szCs w:val="20"/>
                <w:lang w:eastAsia="en-AU"/>
              </w:rPr>
            </w:pPr>
          </w:p>
        </w:tc>
        <w:tc>
          <w:tcPr>
            <w:tcW w:w="2080" w:type="dxa"/>
            <w:gridSpan w:val="2"/>
            <w:tcBorders>
              <w:top w:val="single" w:sz="4" w:space="0" w:color="auto"/>
              <w:left w:val="nil"/>
              <w:bottom w:val="single" w:sz="4" w:space="0" w:color="auto"/>
              <w:right w:val="nil"/>
            </w:tcBorders>
            <w:shd w:val="clear" w:color="auto" w:fill="auto"/>
            <w:noWrap/>
            <w:vAlign w:val="center"/>
            <w:hideMark/>
          </w:tcPr>
          <w:p w14:paraId="089237ED" w14:textId="77777777" w:rsidR="00726B1E" w:rsidRPr="00726B1E" w:rsidRDefault="00726B1E" w:rsidP="00726B1E">
            <w:pPr>
              <w:tabs>
                <w:tab w:val="clear" w:pos="567"/>
              </w:tabs>
              <w:spacing w:after="0" w:line="240" w:lineRule="auto"/>
              <w:jc w:val="center"/>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Assessed</w:t>
            </w:r>
          </w:p>
        </w:tc>
        <w:tc>
          <w:tcPr>
            <w:tcW w:w="2080" w:type="dxa"/>
            <w:gridSpan w:val="2"/>
            <w:tcBorders>
              <w:top w:val="single" w:sz="4" w:space="0" w:color="auto"/>
              <w:left w:val="nil"/>
              <w:bottom w:val="single" w:sz="4" w:space="0" w:color="auto"/>
              <w:right w:val="nil"/>
            </w:tcBorders>
            <w:shd w:val="clear" w:color="auto" w:fill="auto"/>
            <w:noWrap/>
            <w:vAlign w:val="center"/>
            <w:hideMark/>
          </w:tcPr>
          <w:p w14:paraId="6C784095" w14:textId="77777777" w:rsidR="00726B1E" w:rsidRPr="00726B1E" w:rsidRDefault="00726B1E" w:rsidP="00726B1E">
            <w:pPr>
              <w:tabs>
                <w:tab w:val="clear" w:pos="567"/>
              </w:tabs>
              <w:spacing w:after="0" w:line="240" w:lineRule="auto"/>
              <w:jc w:val="center"/>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Actual</w:t>
            </w:r>
          </w:p>
        </w:tc>
      </w:tr>
      <w:tr w:rsidR="00726B1E" w:rsidRPr="00726B1E" w14:paraId="395A3739" w14:textId="77777777" w:rsidTr="0029660B">
        <w:trPr>
          <w:trHeight w:val="284"/>
        </w:trPr>
        <w:tc>
          <w:tcPr>
            <w:tcW w:w="3820" w:type="dxa"/>
            <w:tcBorders>
              <w:top w:val="nil"/>
              <w:left w:val="nil"/>
              <w:bottom w:val="nil"/>
              <w:right w:val="nil"/>
            </w:tcBorders>
            <w:shd w:val="clear" w:color="auto" w:fill="auto"/>
            <w:noWrap/>
            <w:vAlign w:val="bottom"/>
            <w:hideMark/>
          </w:tcPr>
          <w:p w14:paraId="65A722EB" w14:textId="77777777" w:rsidR="00726B1E" w:rsidRPr="00726B1E" w:rsidRDefault="00726B1E" w:rsidP="00726B1E">
            <w:pPr>
              <w:tabs>
                <w:tab w:val="clear" w:pos="567"/>
              </w:tabs>
              <w:spacing w:after="0" w:line="240" w:lineRule="auto"/>
              <w:jc w:val="center"/>
              <w:rPr>
                <w:rFonts w:ascii="Calibri" w:eastAsia="Times New Roman" w:hAnsi="Calibri" w:cs="Times New Roman"/>
                <w:sz w:val="20"/>
                <w:szCs w:val="20"/>
                <w:lang w:eastAsia="en-AU"/>
              </w:rPr>
            </w:pPr>
          </w:p>
        </w:tc>
        <w:tc>
          <w:tcPr>
            <w:tcW w:w="960" w:type="dxa"/>
            <w:tcBorders>
              <w:top w:val="nil"/>
              <w:left w:val="nil"/>
              <w:bottom w:val="nil"/>
              <w:right w:val="single" w:sz="4" w:space="0" w:color="auto"/>
            </w:tcBorders>
            <w:shd w:val="clear" w:color="auto" w:fill="auto"/>
            <w:vAlign w:val="center"/>
            <w:hideMark/>
          </w:tcPr>
          <w:p w14:paraId="57F38642"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$pc</w:t>
            </w:r>
          </w:p>
        </w:tc>
        <w:tc>
          <w:tcPr>
            <w:tcW w:w="900" w:type="dxa"/>
            <w:tcBorders>
              <w:top w:val="nil"/>
              <w:left w:val="nil"/>
              <w:bottom w:val="nil"/>
              <w:right w:val="nil"/>
            </w:tcBorders>
            <w:shd w:val="clear" w:color="auto" w:fill="auto"/>
            <w:vAlign w:val="center"/>
            <w:hideMark/>
          </w:tcPr>
          <w:p w14:paraId="3472799A"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$pc</w:t>
            </w:r>
          </w:p>
        </w:tc>
        <w:tc>
          <w:tcPr>
            <w:tcW w:w="1180" w:type="dxa"/>
            <w:tcBorders>
              <w:top w:val="nil"/>
              <w:left w:val="nil"/>
              <w:bottom w:val="nil"/>
              <w:right w:val="nil"/>
            </w:tcBorders>
            <w:shd w:val="clear" w:color="auto" w:fill="auto"/>
            <w:vAlign w:val="center"/>
            <w:hideMark/>
          </w:tcPr>
          <w:p w14:paraId="26AFEACE"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w:t>
            </w:r>
          </w:p>
        </w:tc>
        <w:tc>
          <w:tcPr>
            <w:tcW w:w="900" w:type="dxa"/>
            <w:tcBorders>
              <w:top w:val="nil"/>
              <w:left w:val="nil"/>
              <w:bottom w:val="nil"/>
              <w:right w:val="nil"/>
            </w:tcBorders>
            <w:shd w:val="clear" w:color="auto" w:fill="auto"/>
            <w:vAlign w:val="center"/>
            <w:hideMark/>
          </w:tcPr>
          <w:p w14:paraId="45CF9CDA"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$pc</w:t>
            </w:r>
          </w:p>
        </w:tc>
        <w:tc>
          <w:tcPr>
            <w:tcW w:w="1180" w:type="dxa"/>
            <w:tcBorders>
              <w:top w:val="nil"/>
              <w:left w:val="nil"/>
              <w:bottom w:val="nil"/>
              <w:right w:val="nil"/>
            </w:tcBorders>
            <w:shd w:val="clear" w:color="auto" w:fill="auto"/>
            <w:vAlign w:val="center"/>
            <w:hideMark/>
          </w:tcPr>
          <w:p w14:paraId="48C143FE"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w:t>
            </w:r>
          </w:p>
        </w:tc>
      </w:tr>
      <w:tr w:rsidR="00726B1E" w:rsidRPr="00726B1E" w14:paraId="67DA4DEF" w14:textId="77777777" w:rsidTr="0029660B">
        <w:trPr>
          <w:trHeight w:val="284"/>
        </w:trPr>
        <w:tc>
          <w:tcPr>
            <w:tcW w:w="3820" w:type="dxa"/>
            <w:tcBorders>
              <w:top w:val="nil"/>
              <w:left w:val="nil"/>
              <w:bottom w:val="nil"/>
              <w:right w:val="nil"/>
            </w:tcBorders>
            <w:shd w:val="clear" w:color="auto" w:fill="auto"/>
            <w:noWrap/>
            <w:vAlign w:val="bottom"/>
            <w:hideMark/>
          </w:tcPr>
          <w:p w14:paraId="55055847" w14:textId="77777777" w:rsidR="00726B1E" w:rsidRPr="00726B1E" w:rsidRDefault="00726B1E" w:rsidP="00726B1E">
            <w:pPr>
              <w:tabs>
                <w:tab w:val="clear" w:pos="567"/>
              </w:tabs>
              <w:spacing w:after="0" w:line="240" w:lineRule="auto"/>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Schools</w:t>
            </w:r>
          </w:p>
        </w:tc>
        <w:tc>
          <w:tcPr>
            <w:tcW w:w="960" w:type="dxa"/>
            <w:tcBorders>
              <w:top w:val="nil"/>
              <w:left w:val="nil"/>
              <w:bottom w:val="nil"/>
              <w:right w:val="single" w:sz="4" w:space="0" w:color="auto"/>
            </w:tcBorders>
            <w:shd w:val="clear" w:color="auto" w:fill="auto"/>
            <w:vAlign w:val="center"/>
            <w:hideMark/>
          </w:tcPr>
          <w:p w14:paraId="49187C13"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1 614</w:t>
            </w:r>
          </w:p>
        </w:tc>
        <w:tc>
          <w:tcPr>
            <w:tcW w:w="900" w:type="dxa"/>
            <w:tcBorders>
              <w:top w:val="nil"/>
              <w:left w:val="nil"/>
              <w:bottom w:val="nil"/>
              <w:right w:val="nil"/>
            </w:tcBorders>
            <w:shd w:val="clear" w:color="auto" w:fill="auto"/>
            <w:vAlign w:val="center"/>
            <w:hideMark/>
          </w:tcPr>
          <w:p w14:paraId="4B5CCE67"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4 083</w:t>
            </w:r>
          </w:p>
        </w:tc>
        <w:tc>
          <w:tcPr>
            <w:tcW w:w="1180" w:type="dxa"/>
            <w:tcBorders>
              <w:top w:val="nil"/>
              <w:left w:val="nil"/>
              <w:bottom w:val="nil"/>
              <w:right w:val="nil"/>
            </w:tcBorders>
            <w:shd w:val="clear" w:color="auto" w:fill="auto"/>
            <w:vAlign w:val="center"/>
            <w:hideMark/>
          </w:tcPr>
          <w:p w14:paraId="426715AB"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7 169 413</w:t>
            </w:r>
          </w:p>
        </w:tc>
        <w:tc>
          <w:tcPr>
            <w:tcW w:w="900" w:type="dxa"/>
            <w:tcBorders>
              <w:top w:val="nil"/>
              <w:left w:val="nil"/>
              <w:bottom w:val="nil"/>
              <w:right w:val="nil"/>
            </w:tcBorders>
            <w:shd w:val="clear" w:color="auto" w:fill="auto"/>
            <w:vAlign w:val="center"/>
            <w:hideMark/>
          </w:tcPr>
          <w:p w14:paraId="07B70935"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4 153</w:t>
            </w:r>
          </w:p>
        </w:tc>
        <w:tc>
          <w:tcPr>
            <w:tcW w:w="1180" w:type="dxa"/>
            <w:tcBorders>
              <w:top w:val="nil"/>
              <w:left w:val="nil"/>
              <w:bottom w:val="nil"/>
              <w:right w:val="nil"/>
            </w:tcBorders>
            <w:shd w:val="clear" w:color="auto" w:fill="auto"/>
            <w:vAlign w:val="center"/>
            <w:hideMark/>
          </w:tcPr>
          <w:p w14:paraId="13E8DFB1"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7 292 744</w:t>
            </w:r>
          </w:p>
        </w:tc>
      </w:tr>
      <w:tr w:rsidR="00726B1E" w:rsidRPr="00726B1E" w14:paraId="1F1E4220" w14:textId="77777777" w:rsidTr="0029660B">
        <w:trPr>
          <w:trHeight w:val="284"/>
        </w:trPr>
        <w:tc>
          <w:tcPr>
            <w:tcW w:w="3820" w:type="dxa"/>
            <w:tcBorders>
              <w:top w:val="nil"/>
              <w:left w:val="nil"/>
              <w:bottom w:val="nil"/>
              <w:right w:val="nil"/>
            </w:tcBorders>
            <w:shd w:val="clear" w:color="auto" w:fill="auto"/>
            <w:noWrap/>
            <w:vAlign w:val="bottom"/>
            <w:hideMark/>
          </w:tcPr>
          <w:p w14:paraId="3CECB25A" w14:textId="77777777" w:rsidR="00726B1E" w:rsidRPr="00726B1E" w:rsidRDefault="00C6204F" w:rsidP="00726B1E">
            <w:pPr>
              <w:tabs>
                <w:tab w:val="clear" w:pos="567"/>
              </w:tabs>
              <w:spacing w:after="0" w:line="240" w:lineRule="auto"/>
              <w:rPr>
                <w:rFonts w:ascii="Calibri" w:eastAsia="Times New Roman" w:hAnsi="Calibri" w:cs="Times New Roman"/>
                <w:sz w:val="20"/>
                <w:szCs w:val="20"/>
                <w:lang w:eastAsia="en-AU"/>
              </w:rPr>
            </w:pPr>
            <w:r>
              <w:rPr>
                <w:rFonts w:ascii="Calibri" w:eastAsia="Times New Roman" w:hAnsi="Calibri" w:cs="Times New Roman"/>
                <w:sz w:val="20"/>
                <w:szCs w:val="20"/>
                <w:lang w:eastAsia="en-AU"/>
              </w:rPr>
              <w:t>Post-secondary education</w:t>
            </w:r>
          </w:p>
        </w:tc>
        <w:tc>
          <w:tcPr>
            <w:tcW w:w="960" w:type="dxa"/>
            <w:tcBorders>
              <w:top w:val="nil"/>
              <w:left w:val="nil"/>
              <w:bottom w:val="nil"/>
              <w:right w:val="single" w:sz="4" w:space="0" w:color="auto"/>
            </w:tcBorders>
            <w:shd w:val="clear" w:color="auto" w:fill="auto"/>
            <w:vAlign w:val="center"/>
            <w:hideMark/>
          </w:tcPr>
          <w:p w14:paraId="5F82E915"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231</w:t>
            </w:r>
          </w:p>
        </w:tc>
        <w:tc>
          <w:tcPr>
            <w:tcW w:w="900" w:type="dxa"/>
            <w:tcBorders>
              <w:top w:val="nil"/>
              <w:left w:val="nil"/>
              <w:bottom w:val="nil"/>
              <w:right w:val="nil"/>
            </w:tcBorders>
            <w:shd w:val="clear" w:color="auto" w:fill="auto"/>
            <w:vAlign w:val="center"/>
            <w:hideMark/>
          </w:tcPr>
          <w:p w14:paraId="3C34A1EC"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324</w:t>
            </w:r>
          </w:p>
        </w:tc>
        <w:tc>
          <w:tcPr>
            <w:tcW w:w="1180" w:type="dxa"/>
            <w:tcBorders>
              <w:top w:val="nil"/>
              <w:left w:val="nil"/>
              <w:bottom w:val="nil"/>
              <w:right w:val="nil"/>
            </w:tcBorders>
            <w:shd w:val="clear" w:color="auto" w:fill="auto"/>
            <w:vAlign w:val="center"/>
            <w:hideMark/>
          </w:tcPr>
          <w:p w14:paraId="4A34A5AA"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568 952</w:t>
            </w:r>
          </w:p>
        </w:tc>
        <w:tc>
          <w:tcPr>
            <w:tcW w:w="900" w:type="dxa"/>
            <w:tcBorders>
              <w:top w:val="nil"/>
              <w:left w:val="nil"/>
              <w:bottom w:val="nil"/>
              <w:right w:val="nil"/>
            </w:tcBorders>
            <w:shd w:val="clear" w:color="auto" w:fill="auto"/>
            <w:vAlign w:val="center"/>
            <w:hideMark/>
          </w:tcPr>
          <w:p w14:paraId="60C436CF"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c>
          <w:tcPr>
            <w:tcW w:w="1180" w:type="dxa"/>
            <w:tcBorders>
              <w:top w:val="nil"/>
              <w:left w:val="nil"/>
              <w:bottom w:val="nil"/>
              <w:right w:val="nil"/>
            </w:tcBorders>
            <w:shd w:val="clear" w:color="auto" w:fill="auto"/>
            <w:vAlign w:val="center"/>
            <w:hideMark/>
          </w:tcPr>
          <w:p w14:paraId="62778B0C"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r>
      <w:tr w:rsidR="00726B1E" w:rsidRPr="00726B1E" w14:paraId="2706B3E9" w14:textId="77777777" w:rsidTr="0029660B">
        <w:trPr>
          <w:trHeight w:val="284"/>
        </w:trPr>
        <w:tc>
          <w:tcPr>
            <w:tcW w:w="3820" w:type="dxa"/>
            <w:tcBorders>
              <w:top w:val="nil"/>
              <w:left w:val="nil"/>
              <w:bottom w:val="nil"/>
              <w:right w:val="nil"/>
            </w:tcBorders>
            <w:shd w:val="clear" w:color="auto" w:fill="auto"/>
            <w:noWrap/>
            <w:vAlign w:val="bottom"/>
            <w:hideMark/>
          </w:tcPr>
          <w:p w14:paraId="66DB7547" w14:textId="77777777" w:rsidR="00726B1E" w:rsidRPr="00726B1E" w:rsidRDefault="00726B1E" w:rsidP="00726B1E">
            <w:pPr>
              <w:tabs>
                <w:tab w:val="clear" w:pos="567"/>
              </w:tabs>
              <w:spacing w:after="0" w:line="240" w:lineRule="auto"/>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Health and general welfare</w:t>
            </w:r>
          </w:p>
        </w:tc>
        <w:tc>
          <w:tcPr>
            <w:tcW w:w="960" w:type="dxa"/>
            <w:tcBorders>
              <w:top w:val="nil"/>
              <w:left w:val="nil"/>
              <w:bottom w:val="nil"/>
              <w:right w:val="single" w:sz="4" w:space="0" w:color="auto"/>
            </w:tcBorders>
            <w:shd w:val="clear" w:color="auto" w:fill="auto"/>
            <w:vAlign w:val="center"/>
            <w:hideMark/>
          </w:tcPr>
          <w:p w14:paraId="0C2F12B7"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04EDBBDE"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2F4CEEC5"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3570BB1B"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40C6D5D9"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r>
      <w:tr w:rsidR="00726B1E" w:rsidRPr="00726B1E" w14:paraId="7C06ED96" w14:textId="77777777" w:rsidTr="0029660B">
        <w:trPr>
          <w:trHeight w:val="284"/>
        </w:trPr>
        <w:tc>
          <w:tcPr>
            <w:tcW w:w="3820" w:type="dxa"/>
            <w:tcBorders>
              <w:top w:val="nil"/>
              <w:left w:val="nil"/>
              <w:bottom w:val="nil"/>
              <w:right w:val="nil"/>
            </w:tcBorders>
            <w:shd w:val="clear" w:color="auto" w:fill="auto"/>
            <w:noWrap/>
            <w:vAlign w:val="bottom"/>
            <w:hideMark/>
          </w:tcPr>
          <w:p w14:paraId="4730AF76"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Hospital</w:t>
            </w:r>
          </w:p>
        </w:tc>
        <w:tc>
          <w:tcPr>
            <w:tcW w:w="960" w:type="dxa"/>
            <w:tcBorders>
              <w:top w:val="nil"/>
              <w:left w:val="nil"/>
              <w:bottom w:val="nil"/>
              <w:right w:val="single" w:sz="4" w:space="0" w:color="auto"/>
            </w:tcBorders>
            <w:shd w:val="clear" w:color="auto" w:fill="auto"/>
            <w:vAlign w:val="center"/>
            <w:hideMark/>
          </w:tcPr>
          <w:p w14:paraId="31C81616"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2 196</w:t>
            </w:r>
          </w:p>
        </w:tc>
        <w:tc>
          <w:tcPr>
            <w:tcW w:w="900" w:type="dxa"/>
            <w:tcBorders>
              <w:top w:val="nil"/>
              <w:left w:val="nil"/>
              <w:bottom w:val="nil"/>
              <w:right w:val="nil"/>
            </w:tcBorders>
            <w:shd w:val="clear" w:color="auto" w:fill="auto"/>
            <w:vAlign w:val="center"/>
            <w:hideMark/>
          </w:tcPr>
          <w:p w14:paraId="64042A20"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4 623</w:t>
            </w:r>
          </w:p>
        </w:tc>
        <w:tc>
          <w:tcPr>
            <w:tcW w:w="1180" w:type="dxa"/>
            <w:tcBorders>
              <w:top w:val="nil"/>
              <w:left w:val="nil"/>
              <w:bottom w:val="nil"/>
              <w:right w:val="nil"/>
            </w:tcBorders>
            <w:shd w:val="clear" w:color="auto" w:fill="auto"/>
            <w:vAlign w:val="center"/>
            <w:hideMark/>
          </w:tcPr>
          <w:p w14:paraId="0ED0E931"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8 118 214</w:t>
            </w:r>
          </w:p>
        </w:tc>
        <w:tc>
          <w:tcPr>
            <w:tcW w:w="900" w:type="dxa"/>
            <w:tcBorders>
              <w:top w:val="nil"/>
              <w:left w:val="nil"/>
              <w:bottom w:val="nil"/>
              <w:right w:val="nil"/>
            </w:tcBorders>
            <w:shd w:val="clear" w:color="auto" w:fill="auto"/>
            <w:vAlign w:val="center"/>
            <w:hideMark/>
          </w:tcPr>
          <w:p w14:paraId="7F8EAEED"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4 721</w:t>
            </w:r>
          </w:p>
        </w:tc>
        <w:tc>
          <w:tcPr>
            <w:tcW w:w="1180" w:type="dxa"/>
            <w:tcBorders>
              <w:top w:val="nil"/>
              <w:left w:val="nil"/>
              <w:bottom w:val="nil"/>
              <w:right w:val="nil"/>
            </w:tcBorders>
            <w:shd w:val="clear" w:color="auto" w:fill="auto"/>
            <w:vAlign w:val="center"/>
            <w:hideMark/>
          </w:tcPr>
          <w:p w14:paraId="1FD9A7CC"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8 289 700</w:t>
            </w:r>
          </w:p>
        </w:tc>
      </w:tr>
      <w:tr w:rsidR="00726B1E" w:rsidRPr="00726B1E" w14:paraId="4062FE5C" w14:textId="77777777" w:rsidTr="0029660B">
        <w:trPr>
          <w:trHeight w:val="284"/>
        </w:trPr>
        <w:tc>
          <w:tcPr>
            <w:tcW w:w="3820" w:type="dxa"/>
            <w:tcBorders>
              <w:top w:val="nil"/>
              <w:left w:val="nil"/>
              <w:bottom w:val="nil"/>
              <w:right w:val="nil"/>
            </w:tcBorders>
            <w:shd w:val="clear" w:color="auto" w:fill="auto"/>
            <w:noWrap/>
            <w:vAlign w:val="bottom"/>
            <w:hideMark/>
          </w:tcPr>
          <w:p w14:paraId="30D58157"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Patient transport</w:t>
            </w:r>
          </w:p>
        </w:tc>
        <w:tc>
          <w:tcPr>
            <w:tcW w:w="960" w:type="dxa"/>
            <w:tcBorders>
              <w:top w:val="nil"/>
              <w:left w:val="nil"/>
              <w:bottom w:val="nil"/>
              <w:right w:val="single" w:sz="4" w:space="0" w:color="auto"/>
            </w:tcBorders>
            <w:shd w:val="clear" w:color="auto" w:fill="auto"/>
            <w:vAlign w:val="center"/>
            <w:hideMark/>
          </w:tcPr>
          <w:p w14:paraId="09CFA52D"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25</w:t>
            </w:r>
          </w:p>
        </w:tc>
        <w:tc>
          <w:tcPr>
            <w:tcW w:w="900" w:type="dxa"/>
            <w:tcBorders>
              <w:top w:val="nil"/>
              <w:left w:val="nil"/>
              <w:bottom w:val="nil"/>
              <w:right w:val="nil"/>
            </w:tcBorders>
            <w:shd w:val="clear" w:color="auto" w:fill="auto"/>
            <w:vAlign w:val="center"/>
            <w:hideMark/>
          </w:tcPr>
          <w:p w14:paraId="7E005628"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1 756</w:t>
            </w:r>
          </w:p>
        </w:tc>
        <w:tc>
          <w:tcPr>
            <w:tcW w:w="1180" w:type="dxa"/>
            <w:tcBorders>
              <w:top w:val="nil"/>
              <w:left w:val="nil"/>
              <w:bottom w:val="nil"/>
              <w:right w:val="nil"/>
            </w:tcBorders>
            <w:shd w:val="clear" w:color="auto" w:fill="auto"/>
            <w:vAlign w:val="center"/>
            <w:hideMark/>
          </w:tcPr>
          <w:p w14:paraId="6DF6402E"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3 083 000</w:t>
            </w:r>
          </w:p>
        </w:tc>
        <w:tc>
          <w:tcPr>
            <w:tcW w:w="900" w:type="dxa"/>
            <w:tcBorders>
              <w:top w:val="nil"/>
              <w:left w:val="nil"/>
              <w:bottom w:val="nil"/>
              <w:right w:val="nil"/>
            </w:tcBorders>
            <w:shd w:val="clear" w:color="auto" w:fill="auto"/>
            <w:vAlign w:val="center"/>
            <w:hideMark/>
          </w:tcPr>
          <w:p w14:paraId="1B090419"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1 756</w:t>
            </w:r>
          </w:p>
        </w:tc>
        <w:tc>
          <w:tcPr>
            <w:tcW w:w="1180" w:type="dxa"/>
            <w:tcBorders>
              <w:top w:val="nil"/>
              <w:left w:val="nil"/>
              <w:bottom w:val="nil"/>
              <w:right w:val="nil"/>
            </w:tcBorders>
            <w:shd w:val="clear" w:color="auto" w:fill="auto"/>
            <w:vAlign w:val="center"/>
            <w:hideMark/>
          </w:tcPr>
          <w:p w14:paraId="43EEEF66"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3 083 000</w:t>
            </w:r>
          </w:p>
        </w:tc>
      </w:tr>
      <w:tr w:rsidR="00726B1E" w:rsidRPr="00726B1E" w14:paraId="6D5B5880" w14:textId="77777777" w:rsidTr="0029660B">
        <w:trPr>
          <w:trHeight w:val="284"/>
        </w:trPr>
        <w:tc>
          <w:tcPr>
            <w:tcW w:w="3820" w:type="dxa"/>
            <w:tcBorders>
              <w:top w:val="nil"/>
              <w:left w:val="nil"/>
              <w:bottom w:val="nil"/>
              <w:right w:val="nil"/>
            </w:tcBorders>
            <w:shd w:val="clear" w:color="auto" w:fill="auto"/>
            <w:noWrap/>
            <w:vAlign w:val="bottom"/>
            <w:hideMark/>
          </w:tcPr>
          <w:p w14:paraId="30C4F540"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Community health</w:t>
            </w:r>
          </w:p>
        </w:tc>
        <w:tc>
          <w:tcPr>
            <w:tcW w:w="960" w:type="dxa"/>
            <w:tcBorders>
              <w:top w:val="nil"/>
              <w:left w:val="nil"/>
              <w:bottom w:val="nil"/>
              <w:right w:val="single" w:sz="4" w:space="0" w:color="auto"/>
            </w:tcBorders>
            <w:shd w:val="clear" w:color="auto" w:fill="auto"/>
            <w:vAlign w:val="center"/>
            <w:hideMark/>
          </w:tcPr>
          <w:p w14:paraId="0F016C53"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380</w:t>
            </w:r>
          </w:p>
        </w:tc>
        <w:tc>
          <w:tcPr>
            <w:tcW w:w="900" w:type="dxa"/>
            <w:tcBorders>
              <w:top w:val="nil"/>
              <w:left w:val="nil"/>
              <w:bottom w:val="nil"/>
              <w:right w:val="nil"/>
            </w:tcBorders>
            <w:shd w:val="clear" w:color="auto" w:fill="auto"/>
            <w:vAlign w:val="center"/>
            <w:hideMark/>
          </w:tcPr>
          <w:p w14:paraId="44A557FC"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1 698</w:t>
            </w:r>
          </w:p>
        </w:tc>
        <w:tc>
          <w:tcPr>
            <w:tcW w:w="1180" w:type="dxa"/>
            <w:tcBorders>
              <w:top w:val="nil"/>
              <w:left w:val="nil"/>
              <w:bottom w:val="nil"/>
              <w:right w:val="nil"/>
            </w:tcBorders>
            <w:shd w:val="clear" w:color="auto" w:fill="auto"/>
            <w:vAlign w:val="center"/>
            <w:hideMark/>
          </w:tcPr>
          <w:p w14:paraId="162D425B"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2 981 458</w:t>
            </w:r>
          </w:p>
        </w:tc>
        <w:tc>
          <w:tcPr>
            <w:tcW w:w="900" w:type="dxa"/>
            <w:tcBorders>
              <w:top w:val="nil"/>
              <w:left w:val="nil"/>
              <w:bottom w:val="nil"/>
              <w:right w:val="nil"/>
            </w:tcBorders>
            <w:shd w:val="clear" w:color="auto" w:fill="auto"/>
            <w:vAlign w:val="center"/>
            <w:hideMark/>
          </w:tcPr>
          <w:p w14:paraId="61574E6F"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1 720</w:t>
            </w:r>
          </w:p>
        </w:tc>
        <w:tc>
          <w:tcPr>
            <w:tcW w:w="1180" w:type="dxa"/>
            <w:tcBorders>
              <w:top w:val="nil"/>
              <w:left w:val="nil"/>
              <w:bottom w:val="nil"/>
              <w:right w:val="nil"/>
            </w:tcBorders>
            <w:shd w:val="clear" w:color="auto" w:fill="auto"/>
            <w:vAlign w:val="center"/>
            <w:hideMark/>
          </w:tcPr>
          <w:p w14:paraId="6D68ED0F"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3 020 150</w:t>
            </w:r>
          </w:p>
        </w:tc>
      </w:tr>
      <w:tr w:rsidR="00726B1E" w:rsidRPr="00726B1E" w14:paraId="42A5A552" w14:textId="77777777" w:rsidTr="0029660B">
        <w:trPr>
          <w:trHeight w:val="284"/>
        </w:trPr>
        <w:tc>
          <w:tcPr>
            <w:tcW w:w="3820" w:type="dxa"/>
            <w:tcBorders>
              <w:top w:val="nil"/>
              <w:left w:val="nil"/>
              <w:bottom w:val="nil"/>
              <w:right w:val="nil"/>
            </w:tcBorders>
            <w:shd w:val="clear" w:color="auto" w:fill="auto"/>
            <w:noWrap/>
            <w:vAlign w:val="bottom"/>
            <w:hideMark/>
          </w:tcPr>
          <w:p w14:paraId="645F10AC"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 xml:space="preserve">General welfare </w:t>
            </w:r>
          </w:p>
        </w:tc>
        <w:tc>
          <w:tcPr>
            <w:tcW w:w="960" w:type="dxa"/>
            <w:tcBorders>
              <w:top w:val="nil"/>
              <w:left w:val="nil"/>
              <w:bottom w:val="nil"/>
              <w:right w:val="single" w:sz="4" w:space="0" w:color="auto"/>
            </w:tcBorders>
            <w:shd w:val="clear" w:color="auto" w:fill="auto"/>
            <w:vAlign w:val="center"/>
            <w:hideMark/>
          </w:tcPr>
          <w:p w14:paraId="2E0F7F29"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85</w:t>
            </w:r>
          </w:p>
        </w:tc>
        <w:tc>
          <w:tcPr>
            <w:tcW w:w="900" w:type="dxa"/>
            <w:tcBorders>
              <w:top w:val="nil"/>
              <w:left w:val="nil"/>
              <w:bottom w:val="nil"/>
              <w:right w:val="nil"/>
            </w:tcBorders>
            <w:shd w:val="clear" w:color="auto" w:fill="auto"/>
            <w:vAlign w:val="center"/>
            <w:hideMark/>
          </w:tcPr>
          <w:p w14:paraId="238E1838"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127</w:t>
            </w:r>
          </w:p>
        </w:tc>
        <w:tc>
          <w:tcPr>
            <w:tcW w:w="1180" w:type="dxa"/>
            <w:tcBorders>
              <w:top w:val="nil"/>
              <w:left w:val="nil"/>
              <w:bottom w:val="nil"/>
              <w:right w:val="nil"/>
            </w:tcBorders>
            <w:shd w:val="clear" w:color="auto" w:fill="auto"/>
            <w:vAlign w:val="center"/>
            <w:hideMark/>
          </w:tcPr>
          <w:p w14:paraId="1D43EB65"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223 875</w:t>
            </w:r>
          </w:p>
        </w:tc>
        <w:tc>
          <w:tcPr>
            <w:tcW w:w="900" w:type="dxa"/>
            <w:tcBorders>
              <w:top w:val="nil"/>
              <w:left w:val="nil"/>
              <w:bottom w:val="nil"/>
              <w:right w:val="nil"/>
            </w:tcBorders>
            <w:shd w:val="clear" w:color="auto" w:fill="auto"/>
            <w:vAlign w:val="center"/>
            <w:hideMark/>
          </w:tcPr>
          <w:p w14:paraId="51AA4D5E"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202</w:t>
            </w:r>
          </w:p>
        </w:tc>
        <w:tc>
          <w:tcPr>
            <w:tcW w:w="1180" w:type="dxa"/>
            <w:tcBorders>
              <w:top w:val="nil"/>
              <w:left w:val="nil"/>
              <w:bottom w:val="nil"/>
              <w:right w:val="nil"/>
            </w:tcBorders>
            <w:shd w:val="clear" w:color="auto" w:fill="auto"/>
            <w:vAlign w:val="center"/>
            <w:hideMark/>
          </w:tcPr>
          <w:p w14:paraId="0D66FA86"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354 000</w:t>
            </w:r>
          </w:p>
        </w:tc>
      </w:tr>
      <w:tr w:rsidR="00726B1E" w:rsidRPr="00726B1E" w14:paraId="1837D03B" w14:textId="77777777" w:rsidTr="0029660B">
        <w:trPr>
          <w:trHeight w:val="284"/>
        </w:trPr>
        <w:tc>
          <w:tcPr>
            <w:tcW w:w="3820" w:type="dxa"/>
            <w:tcBorders>
              <w:top w:val="nil"/>
              <w:left w:val="nil"/>
              <w:bottom w:val="nil"/>
              <w:right w:val="nil"/>
            </w:tcBorders>
            <w:shd w:val="clear" w:color="auto" w:fill="auto"/>
            <w:noWrap/>
            <w:vAlign w:val="bottom"/>
            <w:hideMark/>
          </w:tcPr>
          <w:p w14:paraId="67C40EEE" w14:textId="77777777" w:rsidR="00726B1E" w:rsidRPr="00726B1E" w:rsidRDefault="00726B1E" w:rsidP="00726B1E">
            <w:pPr>
              <w:tabs>
                <w:tab w:val="clear" w:pos="567"/>
              </w:tabs>
              <w:spacing w:after="0" w:line="240" w:lineRule="auto"/>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Other Welfare</w:t>
            </w:r>
          </w:p>
        </w:tc>
        <w:tc>
          <w:tcPr>
            <w:tcW w:w="960" w:type="dxa"/>
            <w:tcBorders>
              <w:top w:val="nil"/>
              <w:left w:val="nil"/>
              <w:bottom w:val="nil"/>
              <w:right w:val="single" w:sz="4" w:space="0" w:color="auto"/>
            </w:tcBorders>
            <w:shd w:val="clear" w:color="auto" w:fill="auto"/>
            <w:vAlign w:val="center"/>
            <w:hideMark/>
          </w:tcPr>
          <w:p w14:paraId="677DBFFD"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5E3B2C98"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1F2A9B56"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4095FD19"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551B6D2A"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r>
      <w:tr w:rsidR="00726B1E" w:rsidRPr="00726B1E" w14:paraId="0C7DF3DA" w14:textId="77777777" w:rsidTr="0029660B">
        <w:trPr>
          <w:trHeight w:val="284"/>
        </w:trPr>
        <w:tc>
          <w:tcPr>
            <w:tcW w:w="3820" w:type="dxa"/>
            <w:tcBorders>
              <w:top w:val="nil"/>
              <w:left w:val="nil"/>
              <w:bottom w:val="nil"/>
              <w:right w:val="nil"/>
            </w:tcBorders>
            <w:shd w:val="clear" w:color="auto" w:fill="auto"/>
            <w:noWrap/>
            <w:vAlign w:val="bottom"/>
            <w:hideMark/>
          </w:tcPr>
          <w:p w14:paraId="303C3775"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Family and child</w:t>
            </w:r>
          </w:p>
        </w:tc>
        <w:tc>
          <w:tcPr>
            <w:tcW w:w="960" w:type="dxa"/>
            <w:tcBorders>
              <w:top w:val="nil"/>
              <w:left w:val="nil"/>
              <w:bottom w:val="nil"/>
              <w:right w:val="single" w:sz="4" w:space="0" w:color="auto"/>
            </w:tcBorders>
            <w:shd w:val="clear" w:color="auto" w:fill="auto"/>
            <w:vAlign w:val="center"/>
            <w:hideMark/>
          </w:tcPr>
          <w:p w14:paraId="11285D0C"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256</w:t>
            </w:r>
          </w:p>
        </w:tc>
        <w:tc>
          <w:tcPr>
            <w:tcW w:w="900" w:type="dxa"/>
            <w:tcBorders>
              <w:top w:val="nil"/>
              <w:left w:val="nil"/>
              <w:bottom w:val="nil"/>
              <w:right w:val="nil"/>
            </w:tcBorders>
            <w:shd w:val="clear" w:color="auto" w:fill="auto"/>
            <w:vAlign w:val="center"/>
            <w:hideMark/>
          </w:tcPr>
          <w:p w14:paraId="54864B28"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151</w:t>
            </w:r>
          </w:p>
        </w:tc>
        <w:tc>
          <w:tcPr>
            <w:tcW w:w="1180" w:type="dxa"/>
            <w:tcBorders>
              <w:top w:val="nil"/>
              <w:left w:val="nil"/>
              <w:bottom w:val="nil"/>
              <w:right w:val="nil"/>
            </w:tcBorders>
            <w:shd w:val="clear" w:color="auto" w:fill="auto"/>
            <w:vAlign w:val="center"/>
            <w:hideMark/>
          </w:tcPr>
          <w:p w14:paraId="3EFE2768"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264 931</w:t>
            </w:r>
          </w:p>
        </w:tc>
        <w:tc>
          <w:tcPr>
            <w:tcW w:w="900" w:type="dxa"/>
            <w:tcBorders>
              <w:top w:val="nil"/>
              <w:left w:val="nil"/>
              <w:bottom w:val="nil"/>
              <w:right w:val="nil"/>
            </w:tcBorders>
            <w:shd w:val="clear" w:color="auto" w:fill="auto"/>
            <w:vAlign w:val="center"/>
            <w:hideMark/>
          </w:tcPr>
          <w:p w14:paraId="373A8D82"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563</w:t>
            </w:r>
          </w:p>
        </w:tc>
        <w:tc>
          <w:tcPr>
            <w:tcW w:w="1180" w:type="dxa"/>
            <w:tcBorders>
              <w:top w:val="nil"/>
              <w:left w:val="nil"/>
              <w:bottom w:val="nil"/>
              <w:right w:val="nil"/>
            </w:tcBorders>
            <w:shd w:val="clear" w:color="auto" w:fill="auto"/>
            <w:vAlign w:val="center"/>
            <w:hideMark/>
          </w:tcPr>
          <w:p w14:paraId="5C538E10"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989 500</w:t>
            </w:r>
          </w:p>
        </w:tc>
      </w:tr>
      <w:tr w:rsidR="00726B1E" w:rsidRPr="00726B1E" w14:paraId="7317B14D" w14:textId="77777777" w:rsidTr="0029660B">
        <w:trPr>
          <w:trHeight w:val="284"/>
        </w:trPr>
        <w:tc>
          <w:tcPr>
            <w:tcW w:w="3820" w:type="dxa"/>
            <w:tcBorders>
              <w:top w:val="nil"/>
              <w:left w:val="nil"/>
              <w:bottom w:val="nil"/>
              <w:right w:val="nil"/>
            </w:tcBorders>
            <w:shd w:val="clear" w:color="auto" w:fill="auto"/>
            <w:noWrap/>
            <w:vAlign w:val="bottom"/>
            <w:hideMark/>
          </w:tcPr>
          <w:p w14:paraId="5700A538"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NDIS</w:t>
            </w:r>
          </w:p>
        </w:tc>
        <w:tc>
          <w:tcPr>
            <w:tcW w:w="960" w:type="dxa"/>
            <w:tcBorders>
              <w:top w:val="nil"/>
              <w:left w:val="nil"/>
              <w:bottom w:val="nil"/>
              <w:right w:val="single" w:sz="4" w:space="0" w:color="auto"/>
            </w:tcBorders>
            <w:shd w:val="clear" w:color="auto" w:fill="auto"/>
            <w:vAlign w:val="center"/>
            <w:hideMark/>
          </w:tcPr>
          <w:p w14:paraId="4ECF49EE"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373</w:t>
            </w:r>
          </w:p>
        </w:tc>
        <w:tc>
          <w:tcPr>
            <w:tcW w:w="900" w:type="dxa"/>
            <w:tcBorders>
              <w:top w:val="nil"/>
              <w:left w:val="nil"/>
              <w:bottom w:val="nil"/>
              <w:right w:val="nil"/>
            </w:tcBorders>
            <w:shd w:val="clear" w:color="auto" w:fill="auto"/>
            <w:vAlign w:val="center"/>
            <w:hideMark/>
          </w:tcPr>
          <w:p w14:paraId="01542195"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373</w:t>
            </w:r>
          </w:p>
        </w:tc>
        <w:tc>
          <w:tcPr>
            <w:tcW w:w="1180" w:type="dxa"/>
            <w:tcBorders>
              <w:top w:val="nil"/>
              <w:left w:val="nil"/>
              <w:bottom w:val="nil"/>
              <w:right w:val="nil"/>
            </w:tcBorders>
            <w:shd w:val="clear" w:color="auto" w:fill="auto"/>
            <w:vAlign w:val="center"/>
            <w:hideMark/>
          </w:tcPr>
          <w:p w14:paraId="1398F6BF"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655 794</w:t>
            </w:r>
          </w:p>
        </w:tc>
        <w:tc>
          <w:tcPr>
            <w:tcW w:w="900" w:type="dxa"/>
            <w:tcBorders>
              <w:top w:val="nil"/>
              <w:left w:val="nil"/>
              <w:bottom w:val="nil"/>
              <w:right w:val="nil"/>
            </w:tcBorders>
            <w:shd w:val="clear" w:color="auto" w:fill="auto"/>
            <w:vAlign w:val="center"/>
            <w:hideMark/>
          </w:tcPr>
          <w:p w14:paraId="6E3EB7E8"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c>
          <w:tcPr>
            <w:tcW w:w="1180" w:type="dxa"/>
            <w:tcBorders>
              <w:top w:val="nil"/>
              <w:left w:val="nil"/>
              <w:bottom w:val="nil"/>
              <w:right w:val="nil"/>
            </w:tcBorders>
            <w:shd w:val="clear" w:color="auto" w:fill="auto"/>
            <w:vAlign w:val="center"/>
            <w:hideMark/>
          </w:tcPr>
          <w:p w14:paraId="77221F4C"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r>
      <w:tr w:rsidR="00726B1E" w:rsidRPr="00726B1E" w14:paraId="295B8814" w14:textId="77777777" w:rsidTr="0029660B">
        <w:trPr>
          <w:trHeight w:val="284"/>
        </w:trPr>
        <w:tc>
          <w:tcPr>
            <w:tcW w:w="3820" w:type="dxa"/>
            <w:tcBorders>
              <w:top w:val="nil"/>
              <w:left w:val="nil"/>
              <w:bottom w:val="nil"/>
              <w:right w:val="nil"/>
            </w:tcBorders>
            <w:shd w:val="clear" w:color="auto" w:fill="auto"/>
            <w:noWrap/>
            <w:vAlign w:val="bottom"/>
            <w:hideMark/>
          </w:tcPr>
          <w:p w14:paraId="6EF9B933"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Concessions</w:t>
            </w:r>
          </w:p>
        </w:tc>
        <w:tc>
          <w:tcPr>
            <w:tcW w:w="960" w:type="dxa"/>
            <w:tcBorders>
              <w:top w:val="nil"/>
              <w:left w:val="nil"/>
              <w:bottom w:val="nil"/>
              <w:right w:val="single" w:sz="4" w:space="0" w:color="auto"/>
            </w:tcBorders>
            <w:shd w:val="clear" w:color="auto" w:fill="auto"/>
            <w:vAlign w:val="center"/>
            <w:hideMark/>
          </w:tcPr>
          <w:p w14:paraId="7D42DED2"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88</w:t>
            </w:r>
          </w:p>
        </w:tc>
        <w:tc>
          <w:tcPr>
            <w:tcW w:w="900" w:type="dxa"/>
            <w:tcBorders>
              <w:top w:val="nil"/>
              <w:left w:val="nil"/>
              <w:bottom w:val="nil"/>
              <w:right w:val="nil"/>
            </w:tcBorders>
            <w:shd w:val="clear" w:color="auto" w:fill="auto"/>
            <w:vAlign w:val="center"/>
            <w:hideMark/>
          </w:tcPr>
          <w:p w14:paraId="096B23E4"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32</w:t>
            </w:r>
          </w:p>
        </w:tc>
        <w:tc>
          <w:tcPr>
            <w:tcW w:w="1180" w:type="dxa"/>
            <w:tcBorders>
              <w:top w:val="nil"/>
              <w:left w:val="nil"/>
              <w:bottom w:val="nil"/>
              <w:right w:val="nil"/>
            </w:tcBorders>
            <w:shd w:val="clear" w:color="auto" w:fill="auto"/>
            <w:vAlign w:val="center"/>
            <w:hideMark/>
          </w:tcPr>
          <w:p w14:paraId="6E4C9035"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56 026</w:t>
            </w:r>
          </w:p>
        </w:tc>
        <w:tc>
          <w:tcPr>
            <w:tcW w:w="900" w:type="dxa"/>
            <w:tcBorders>
              <w:top w:val="nil"/>
              <w:left w:val="nil"/>
              <w:bottom w:val="nil"/>
              <w:right w:val="nil"/>
            </w:tcBorders>
            <w:shd w:val="clear" w:color="auto" w:fill="auto"/>
            <w:vAlign w:val="center"/>
            <w:hideMark/>
          </w:tcPr>
          <w:p w14:paraId="0A452BCE"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11</w:t>
            </w:r>
          </w:p>
        </w:tc>
        <w:tc>
          <w:tcPr>
            <w:tcW w:w="1180" w:type="dxa"/>
            <w:tcBorders>
              <w:top w:val="nil"/>
              <w:left w:val="nil"/>
              <w:bottom w:val="nil"/>
              <w:right w:val="nil"/>
            </w:tcBorders>
            <w:shd w:val="clear" w:color="auto" w:fill="auto"/>
            <w:vAlign w:val="center"/>
            <w:hideMark/>
          </w:tcPr>
          <w:p w14:paraId="1AAE3CB4"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18 968</w:t>
            </w:r>
          </w:p>
        </w:tc>
      </w:tr>
      <w:tr w:rsidR="00726B1E" w:rsidRPr="00726B1E" w14:paraId="7B2BB901" w14:textId="77777777" w:rsidTr="0029660B">
        <w:trPr>
          <w:trHeight w:val="284"/>
        </w:trPr>
        <w:tc>
          <w:tcPr>
            <w:tcW w:w="3820" w:type="dxa"/>
            <w:tcBorders>
              <w:top w:val="nil"/>
              <w:left w:val="nil"/>
              <w:bottom w:val="nil"/>
              <w:right w:val="nil"/>
            </w:tcBorders>
            <w:shd w:val="clear" w:color="auto" w:fill="auto"/>
            <w:noWrap/>
            <w:vAlign w:val="bottom"/>
            <w:hideMark/>
          </w:tcPr>
          <w:p w14:paraId="37803411" w14:textId="77777777" w:rsidR="00726B1E" w:rsidRPr="00726B1E" w:rsidRDefault="00726B1E" w:rsidP="00726B1E">
            <w:pPr>
              <w:tabs>
                <w:tab w:val="clear" w:pos="567"/>
              </w:tabs>
              <w:spacing w:after="0" w:line="240" w:lineRule="auto"/>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Housing</w:t>
            </w:r>
          </w:p>
        </w:tc>
        <w:tc>
          <w:tcPr>
            <w:tcW w:w="960" w:type="dxa"/>
            <w:tcBorders>
              <w:top w:val="nil"/>
              <w:left w:val="nil"/>
              <w:bottom w:val="nil"/>
              <w:right w:val="single" w:sz="4" w:space="0" w:color="auto"/>
            </w:tcBorders>
            <w:shd w:val="clear" w:color="auto" w:fill="auto"/>
            <w:vAlign w:val="center"/>
            <w:hideMark/>
          </w:tcPr>
          <w:p w14:paraId="4C5A50FC"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3FE1A119"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4DEE15D8"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41C8F089"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54C09547"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r>
      <w:tr w:rsidR="00726B1E" w:rsidRPr="00726B1E" w14:paraId="73D27983" w14:textId="77777777" w:rsidTr="0029660B">
        <w:trPr>
          <w:trHeight w:val="284"/>
        </w:trPr>
        <w:tc>
          <w:tcPr>
            <w:tcW w:w="3820" w:type="dxa"/>
            <w:tcBorders>
              <w:top w:val="nil"/>
              <w:left w:val="nil"/>
              <w:bottom w:val="nil"/>
              <w:right w:val="nil"/>
            </w:tcBorders>
            <w:shd w:val="clear" w:color="auto" w:fill="auto"/>
            <w:noWrap/>
            <w:vAlign w:val="bottom"/>
            <w:hideMark/>
          </w:tcPr>
          <w:p w14:paraId="57655100"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Social housing</w:t>
            </w:r>
          </w:p>
        </w:tc>
        <w:tc>
          <w:tcPr>
            <w:tcW w:w="960" w:type="dxa"/>
            <w:tcBorders>
              <w:top w:val="nil"/>
              <w:left w:val="nil"/>
              <w:bottom w:val="nil"/>
              <w:right w:val="single" w:sz="4" w:space="0" w:color="auto"/>
            </w:tcBorders>
            <w:shd w:val="clear" w:color="auto" w:fill="auto"/>
            <w:vAlign w:val="center"/>
            <w:hideMark/>
          </w:tcPr>
          <w:p w14:paraId="64E14DBB"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97</w:t>
            </w:r>
          </w:p>
        </w:tc>
        <w:tc>
          <w:tcPr>
            <w:tcW w:w="900" w:type="dxa"/>
            <w:tcBorders>
              <w:top w:val="nil"/>
              <w:left w:val="nil"/>
              <w:bottom w:val="nil"/>
              <w:right w:val="nil"/>
            </w:tcBorders>
            <w:shd w:val="clear" w:color="auto" w:fill="auto"/>
            <w:vAlign w:val="center"/>
            <w:hideMark/>
          </w:tcPr>
          <w:p w14:paraId="326FEBE1"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127</w:t>
            </w:r>
          </w:p>
        </w:tc>
        <w:tc>
          <w:tcPr>
            <w:tcW w:w="1180" w:type="dxa"/>
            <w:tcBorders>
              <w:top w:val="nil"/>
              <w:left w:val="nil"/>
              <w:bottom w:val="nil"/>
              <w:right w:val="nil"/>
            </w:tcBorders>
            <w:shd w:val="clear" w:color="auto" w:fill="auto"/>
            <w:vAlign w:val="center"/>
            <w:hideMark/>
          </w:tcPr>
          <w:p w14:paraId="0AB8F4A1"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222 432</w:t>
            </w:r>
          </w:p>
        </w:tc>
        <w:tc>
          <w:tcPr>
            <w:tcW w:w="900" w:type="dxa"/>
            <w:tcBorders>
              <w:top w:val="nil"/>
              <w:left w:val="nil"/>
              <w:bottom w:val="nil"/>
              <w:right w:val="nil"/>
            </w:tcBorders>
            <w:shd w:val="clear" w:color="auto" w:fill="auto"/>
            <w:vAlign w:val="center"/>
            <w:hideMark/>
          </w:tcPr>
          <w:p w14:paraId="748D6873"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c>
          <w:tcPr>
            <w:tcW w:w="1180" w:type="dxa"/>
            <w:tcBorders>
              <w:top w:val="nil"/>
              <w:left w:val="nil"/>
              <w:bottom w:val="nil"/>
              <w:right w:val="nil"/>
            </w:tcBorders>
            <w:shd w:val="clear" w:color="auto" w:fill="auto"/>
            <w:vAlign w:val="center"/>
            <w:hideMark/>
          </w:tcPr>
          <w:p w14:paraId="6FED0B2C"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r>
      <w:tr w:rsidR="00726B1E" w:rsidRPr="00726B1E" w14:paraId="4CBAC139" w14:textId="77777777" w:rsidTr="0029660B">
        <w:trPr>
          <w:trHeight w:val="284"/>
        </w:trPr>
        <w:tc>
          <w:tcPr>
            <w:tcW w:w="3820" w:type="dxa"/>
            <w:tcBorders>
              <w:top w:val="nil"/>
              <w:left w:val="nil"/>
              <w:bottom w:val="nil"/>
              <w:right w:val="nil"/>
            </w:tcBorders>
            <w:shd w:val="clear" w:color="auto" w:fill="auto"/>
            <w:noWrap/>
            <w:vAlign w:val="bottom"/>
            <w:hideMark/>
          </w:tcPr>
          <w:p w14:paraId="6C8C9165"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First home owner grants</w:t>
            </w:r>
          </w:p>
        </w:tc>
        <w:tc>
          <w:tcPr>
            <w:tcW w:w="960" w:type="dxa"/>
            <w:tcBorders>
              <w:top w:val="nil"/>
              <w:left w:val="nil"/>
              <w:bottom w:val="nil"/>
              <w:right w:val="single" w:sz="4" w:space="0" w:color="auto"/>
            </w:tcBorders>
            <w:shd w:val="clear" w:color="auto" w:fill="auto"/>
            <w:vAlign w:val="center"/>
            <w:hideMark/>
          </w:tcPr>
          <w:p w14:paraId="67B2C4CD"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25</w:t>
            </w:r>
          </w:p>
        </w:tc>
        <w:tc>
          <w:tcPr>
            <w:tcW w:w="900" w:type="dxa"/>
            <w:tcBorders>
              <w:top w:val="nil"/>
              <w:left w:val="nil"/>
              <w:bottom w:val="nil"/>
              <w:right w:val="nil"/>
            </w:tcBorders>
            <w:shd w:val="clear" w:color="auto" w:fill="auto"/>
            <w:vAlign w:val="center"/>
            <w:hideMark/>
          </w:tcPr>
          <w:p w14:paraId="5034E914"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23</w:t>
            </w:r>
          </w:p>
        </w:tc>
        <w:tc>
          <w:tcPr>
            <w:tcW w:w="1180" w:type="dxa"/>
            <w:tcBorders>
              <w:top w:val="nil"/>
              <w:left w:val="nil"/>
              <w:bottom w:val="nil"/>
              <w:right w:val="nil"/>
            </w:tcBorders>
            <w:shd w:val="clear" w:color="auto" w:fill="auto"/>
            <w:vAlign w:val="center"/>
            <w:hideMark/>
          </w:tcPr>
          <w:p w14:paraId="18DE80BB"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41 141</w:t>
            </w:r>
          </w:p>
        </w:tc>
        <w:tc>
          <w:tcPr>
            <w:tcW w:w="900" w:type="dxa"/>
            <w:tcBorders>
              <w:top w:val="nil"/>
              <w:left w:val="nil"/>
              <w:bottom w:val="nil"/>
              <w:right w:val="nil"/>
            </w:tcBorders>
            <w:shd w:val="clear" w:color="auto" w:fill="auto"/>
            <w:vAlign w:val="center"/>
            <w:hideMark/>
          </w:tcPr>
          <w:p w14:paraId="2AFD3EF5"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c>
          <w:tcPr>
            <w:tcW w:w="1180" w:type="dxa"/>
            <w:tcBorders>
              <w:top w:val="nil"/>
              <w:left w:val="nil"/>
              <w:bottom w:val="nil"/>
              <w:right w:val="nil"/>
            </w:tcBorders>
            <w:shd w:val="clear" w:color="auto" w:fill="auto"/>
            <w:vAlign w:val="center"/>
            <w:hideMark/>
          </w:tcPr>
          <w:p w14:paraId="5064F93F"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r>
      <w:tr w:rsidR="00726B1E" w:rsidRPr="00726B1E" w14:paraId="4AA5D020" w14:textId="77777777" w:rsidTr="0029660B">
        <w:trPr>
          <w:trHeight w:val="284"/>
        </w:trPr>
        <w:tc>
          <w:tcPr>
            <w:tcW w:w="3820" w:type="dxa"/>
            <w:tcBorders>
              <w:top w:val="nil"/>
              <w:left w:val="nil"/>
              <w:bottom w:val="nil"/>
              <w:right w:val="nil"/>
            </w:tcBorders>
            <w:shd w:val="clear" w:color="auto" w:fill="auto"/>
            <w:noWrap/>
            <w:vAlign w:val="bottom"/>
            <w:hideMark/>
          </w:tcPr>
          <w:p w14:paraId="339391A8" w14:textId="77777777" w:rsidR="00726B1E" w:rsidRPr="00726B1E" w:rsidRDefault="00726B1E" w:rsidP="00726B1E">
            <w:pPr>
              <w:tabs>
                <w:tab w:val="clear" w:pos="567"/>
              </w:tabs>
              <w:spacing w:after="0" w:line="240" w:lineRule="auto"/>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Justice</w:t>
            </w:r>
          </w:p>
        </w:tc>
        <w:tc>
          <w:tcPr>
            <w:tcW w:w="960" w:type="dxa"/>
            <w:tcBorders>
              <w:top w:val="nil"/>
              <w:left w:val="nil"/>
              <w:bottom w:val="nil"/>
              <w:right w:val="single" w:sz="4" w:space="0" w:color="auto"/>
            </w:tcBorders>
            <w:shd w:val="clear" w:color="auto" w:fill="auto"/>
            <w:vAlign w:val="center"/>
            <w:hideMark/>
          </w:tcPr>
          <w:p w14:paraId="3F47ADBA"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3BE08E4A"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30BF7EEE"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3D754654"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5717E47F"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r>
      <w:tr w:rsidR="00726B1E" w:rsidRPr="00726B1E" w14:paraId="7811DEF2" w14:textId="77777777" w:rsidTr="0029660B">
        <w:trPr>
          <w:trHeight w:val="284"/>
        </w:trPr>
        <w:tc>
          <w:tcPr>
            <w:tcW w:w="3820" w:type="dxa"/>
            <w:tcBorders>
              <w:top w:val="nil"/>
              <w:left w:val="nil"/>
              <w:bottom w:val="nil"/>
              <w:right w:val="nil"/>
            </w:tcBorders>
            <w:shd w:val="clear" w:color="auto" w:fill="auto"/>
            <w:noWrap/>
            <w:vAlign w:val="bottom"/>
            <w:hideMark/>
          </w:tcPr>
          <w:p w14:paraId="562E3C5B"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Police</w:t>
            </w:r>
          </w:p>
        </w:tc>
        <w:tc>
          <w:tcPr>
            <w:tcW w:w="960" w:type="dxa"/>
            <w:tcBorders>
              <w:top w:val="nil"/>
              <w:left w:val="nil"/>
              <w:bottom w:val="nil"/>
              <w:right w:val="single" w:sz="4" w:space="0" w:color="auto"/>
            </w:tcBorders>
            <w:shd w:val="clear" w:color="auto" w:fill="auto"/>
            <w:vAlign w:val="center"/>
            <w:hideMark/>
          </w:tcPr>
          <w:p w14:paraId="46CE5C01"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438</w:t>
            </w:r>
          </w:p>
        </w:tc>
        <w:tc>
          <w:tcPr>
            <w:tcW w:w="900" w:type="dxa"/>
            <w:tcBorders>
              <w:top w:val="nil"/>
              <w:left w:val="nil"/>
              <w:bottom w:val="nil"/>
              <w:right w:val="nil"/>
            </w:tcBorders>
            <w:shd w:val="clear" w:color="auto" w:fill="auto"/>
            <w:vAlign w:val="center"/>
            <w:hideMark/>
          </w:tcPr>
          <w:p w14:paraId="75AC703F"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851</w:t>
            </w:r>
          </w:p>
        </w:tc>
        <w:tc>
          <w:tcPr>
            <w:tcW w:w="1180" w:type="dxa"/>
            <w:tcBorders>
              <w:top w:val="nil"/>
              <w:left w:val="nil"/>
              <w:bottom w:val="nil"/>
              <w:right w:val="nil"/>
            </w:tcBorders>
            <w:shd w:val="clear" w:color="auto" w:fill="auto"/>
            <w:vAlign w:val="center"/>
            <w:hideMark/>
          </w:tcPr>
          <w:p w14:paraId="735B1193"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1 495 000</w:t>
            </w:r>
          </w:p>
        </w:tc>
        <w:tc>
          <w:tcPr>
            <w:tcW w:w="900" w:type="dxa"/>
            <w:tcBorders>
              <w:top w:val="nil"/>
              <w:left w:val="nil"/>
              <w:bottom w:val="nil"/>
              <w:right w:val="nil"/>
            </w:tcBorders>
            <w:shd w:val="clear" w:color="auto" w:fill="auto"/>
            <w:vAlign w:val="center"/>
            <w:hideMark/>
          </w:tcPr>
          <w:p w14:paraId="07BE3BCD"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1 225</w:t>
            </w:r>
          </w:p>
        </w:tc>
        <w:tc>
          <w:tcPr>
            <w:tcW w:w="1180" w:type="dxa"/>
            <w:tcBorders>
              <w:top w:val="nil"/>
              <w:left w:val="nil"/>
              <w:bottom w:val="nil"/>
              <w:right w:val="nil"/>
            </w:tcBorders>
            <w:shd w:val="clear" w:color="auto" w:fill="auto"/>
            <w:vAlign w:val="center"/>
            <w:hideMark/>
          </w:tcPr>
          <w:p w14:paraId="2808E3A4"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2 151 000</w:t>
            </w:r>
          </w:p>
        </w:tc>
      </w:tr>
      <w:tr w:rsidR="00726B1E" w:rsidRPr="00726B1E" w14:paraId="740C1EF6" w14:textId="77777777" w:rsidTr="0029660B">
        <w:trPr>
          <w:trHeight w:val="284"/>
        </w:trPr>
        <w:tc>
          <w:tcPr>
            <w:tcW w:w="3820" w:type="dxa"/>
            <w:tcBorders>
              <w:top w:val="nil"/>
              <w:left w:val="nil"/>
              <w:bottom w:val="nil"/>
              <w:right w:val="nil"/>
            </w:tcBorders>
            <w:shd w:val="clear" w:color="auto" w:fill="auto"/>
            <w:noWrap/>
            <w:vAlign w:val="bottom"/>
            <w:hideMark/>
          </w:tcPr>
          <w:p w14:paraId="60A2D7FB"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Courts and other legal services</w:t>
            </w:r>
          </w:p>
        </w:tc>
        <w:tc>
          <w:tcPr>
            <w:tcW w:w="960" w:type="dxa"/>
            <w:tcBorders>
              <w:top w:val="nil"/>
              <w:left w:val="nil"/>
              <w:bottom w:val="nil"/>
              <w:right w:val="single" w:sz="4" w:space="0" w:color="auto"/>
            </w:tcBorders>
            <w:shd w:val="clear" w:color="auto" w:fill="auto"/>
            <w:vAlign w:val="center"/>
            <w:hideMark/>
          </w:tcPr>
          <w:p w14:paraId="6244B1F1"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189</w:t>
            </w:r>
          </w:p>
        </w:tc>
        <w:tc>
          <w:tcPr>
            <w:tcW w:w="900" w:type="dxa"/>
            <w:tcBorders>
              <w:top w:val="nil"/>
              <w:left w:val="nil"/>
              <w:bottom w:val="nil"/>
              <w:right w:val="nil"/>
            </w:tcBorders>
            <w:shd w:val="clear" w:color="auto" w:fill="auto"/>
            <w:vAlign w:val="center"/>
            <w:hideMark/>
          </w:tcPr>
          <w:p w14:paraId="006B4AC3"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202</w:t>
            </w:r>
          </w:p>
        </w:tc>
        <w:tc>
          <w:tcPr>
            <w:tcW w:w="1180" w:type="dxa"/>
            <w:tcBorders>
              <w:top w:val="nil"/>
              <w:left w:val="nil"/>
              <w:bottom w:val="nil"/>
              <w:right w:val="nil"/>
            </w:tcBorders>
            <w:shd w:val="clear" w:color="auto" w:fill="auto"/>
            <w:vAlign w:val="center"/>
            <w:hideMark/>
          </w:tcPr>
          <w:p w14:paraId="2F1FD702"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354 379</w:t>
            </w:r>
          </w:p>
        </w:tc>
        <w:tc>
          <w:tcPr>
            <w:tcW w:w="900" w:type="dxa"/>
            <w:tcBorders>
              <w:top w:val="nil"/>
              <w:left w:val="nil"/>
              <w:bottom w:val="nil"/>
              <w:right w:val="nil"/>
            </w:tcBorders>
            <w:shd w:val="clear" w:color="auto" w:fill="auto"/>
            <w:vAlign w:val="center"/>
            <w:hideMark/>
          </w:tcPr>
          <w:p w14:paraId="73883C18"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494</w:t>
            </w:r>
          </w:p>
        </w:tc>
        <w:tc>
          <w:tcPr>
            <w:tcW w:w="1180" w:type="dxa"/>
            <w:tcBorders>
              <w:top w:val="nil"/>
              <w:left w:val="nil"/>
              <w:bottom w:val="nil"/>
              <w:right w:val="nil"/>
            </w:tcBorders>
            <w:shd w:val="clear" w:color="auto" w:fill="auto"/>
            <w:vAlign w:val="center"/>
            <w:hideMark/>
          </w:tcPr>
          <w:p w14:paraId="4C765E4A"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867 367</w:t>
            </w:r>
          </w:p>
        </w:tc>
      </w:tr>
      <w:tr w:rsidR="00726B1E" w:rsidRPr="00726B1E" w14:paraId="582D6F1F" w14:textId="77777777" w:rsidTr="0029660B">
        <w:trPr>
          <w:trHeight w:val="284"/>
        </w:trPr>
        <w:tc>
          <w:tcPr>
            <w:tcW w:w="3820" w:type="dxa"/>
            <w:tcBorders>
              <w:top w:val="nil"/>
              <w:left w:val="nil"/>
              <w:bottom w:val="nil"/>
              <w:right w:val="nil"/>
            </w:tcBorders>
            <w:shd w:val="clear" w:color="auto" w:fill="auto"/>
            <w:noWrap/>
            <w:vAlign w:val="bottom"/>
            <w:hideMark/>
          </w:tcPr>
          <w:p w14:paraId="100CBAA8"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Corrective services</w:t>
            </w:r>
          </w:p>
        </w:tc>
        <w:tc>
          <w:tcPr>
            <w:tcW w:w="960" w:type="dxa"/>
            <w:tcBorders>
              <w:top w:val="nil"/>
              <w:left w:val="nil"/>
              <w:bottom w:val="nil"/>
              <w:right w:val="single" w:sz="4" w:space="0" w:color="auto"/>
            </w:tcBorders>
            <w:shd w:val="clear" w:color="auto" w:fill="auto"/>
            <w:vAlign w:val="center"/>
            <w:hideMark/>
          </w:tcPr>
          <w:p w14:paraId="5361791A"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196</w:t>
            </w:r>
          </w:p>
        </w:tc>
        <w:tc>
          <w:tcPr>
            <w:tcW w:w="900" w:type="dxa"/>
            <w:tcBorders>
              <w:top w:val="nil"/>
              <w:left w:val="nil"/>
              <w:bottom w:val="nil"/>
              <w:right w:val="nil"/>
            </w:tcBorders>
            <w:shd w:val="clear" w:color="auto" w:fill="auto"/>
            <w:vAlign w:val="center"/>
            <w:hideMark/>
          </w:tcPr>
          <w:p w14:paraId="5D6FAB84"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147</w:t>
            </w:r>
          </w:p>
        </w:tc>
        <w:tc>
          <w:tcPr>
            <w:tcW w:w="1180" w:type="dxa"/>
            <w:tcBorders>
              <w:top w:val="nil"/>
              <w:left w:val="nil"/>
              <w:bottom w:val="nil"/>
              <w:right w:val="nil"/>
            </w:tcBorders>
            <w:shd w:val="clear" w:color="auto" w:fill="auto"/>
            <w:vAlign w:val="center"/>
            <w:hideMark/>
          </w:tcPr>
          <w:p w14:paraId="2013D553"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257 263</w:t>
            </w:r>
          </w:p>
        </w:tc>
        <w:tc>
          <w:tcPr>
            <w:tcW w:w="900" w:type="dxa"/>
            <w:tcBorders>
              <w:top w:val="nil"/>
              <w:left w:val="nil"/>
              <w:bottom w:val="nil"/>
              <w:right w:val="nil"/>
            </w:tcBorders>
            <w:shd w:val="clear" w:color="auto" w:fill="auto"/>
            <w:vAlign w:val="center"/>
            <w:hideMark/>
          </w:tcPr>
          <w:p w14:paraId="33EB99FC"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c>
          <w:tcPr>
            <w:tcW w:w="1180" w:type="dxa"/>
            <w:tcBorders>
              <w:top w:val="nil"/>
              <w:left w:val="nil"/>
              <w:bottom w:val="nil"/>
              <w:right w:val="nil"/>
            </w:tcBorders>
            <w:shd w:val="clear" w:color="auto" w:fill="auto"/>
            <w:vAlign w:val="center"/>
            <w:hideMark/>
          </w:tcPr>
          <w:p w14:paraId="707F214D"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r>
      <w:tr w:rsidR="00726B1E" w:rsidRPr="00726B1E" w14:paraId="4564D317" w14:textId="77777777" w:rsidTr="0029660B">
        <w:trPr>
          <w:trHeight w:val="284"/>
        </w:trPr>
        <w:tc>
          <w:tcPr>
            <w:tcW w:w="3820" w:type="dxa"/>
            <w:tcBorders>
              <w:top w:val="nil"/>
              <w:left w:val="nil"/>
              <w:bottom w:val="nil"/>
              <w:right w:val="nil"/>
            </w:tcBorders>
            <w:shd w:val="clear" w:color="auto" w:fill="auto"/>
            <w:noWrap/>
            <w:vAlign w:val="bottom"/>
            <w:hideMark/>
          </w:tcPr>
          <w:p w14:paraId="620CE4AE" w14:textId="77777777" w:rsidR="00726B1E" w:rsidRPr="00726B1E" w:rsidRDefault="00726B1E" w:rsidP="00726B1E">
            <w:pPr>
              <w:tabs>
                <w:tab w:val="clear" w:pos="567"/>
              </w:tabs>
              <w:spacing w:after="0" w:line="240" w:lineRule="auto"/>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Services to communities</w:t>
            </w:r>
          </w:p>
        </w:tc>
        <w:tc>
          <w:tcPr>
            <w:tcW w:w="960" w:type="dxa"/>
            <w:tcBorders>
              <w:top w:val="nil"/>
              <w:left w:val="nil"/>
              <w:bottom w:val="nil"/>
              <w:right w:val="single" w:sz="4" w:space="0" w:color="auto"/>
            </w:tcBorders>
            <w:shd w:val="clear" w:color="auto" w:fill="auto"/>
            <w:vAlign w:val="center"/>
            <w:hideMark/>
          </w:tcPr>
          <w:p w14:paraId="23ADE10C"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609F4A2C"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59ED5865"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0164EF70"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18425FE0"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r>
      <w:tr w:rsidR="00726B1E" w:rsidRPr="00726B1E" w14:paraId="1FCE412A" w14:textId="77777777" w:rsidTr="0029660B">
        <w:trPr>
          <w:trHeight w:val="284"/>
        </w:trPr>
        <w:tc>
          <w:tcPr>
            <w:tcW w:w="3820" w:type="dxa"/>
            <w:tcBorders>
              <w:top w:val="nil"/>
              <w:left w:val="nil"/>
              <w:bottom w:val="nil"/>
              <w:right w:val="nil"/>
            </w:tcBorders>
            <w:shd w:val="clear" w:color="auto" w:fill="auto"/>
            <w:noWrap/>
            <w:vAlign w:val="bottom"/>
            <w:hideMark/>
          </w:tcPr>
          <w:p w14:paraId="4802FFF8"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 xml:space="preserve">Electricity </w:t>
            </w:r>
          </w:p>
        </w:tc>
        <w:tc>
          <w:tcPr>
            <w:tcW w:w="960" w:type="dxa"/>
            <w:tcBorders>
              <w:top w:val="nil"/>
              <w:left w:val="nil"/>
              <w:bottom w:val="nil"/>
              <w:right w:val="single" w:sz="4" w:space="0" w:color="auto"/>
            </w:tcBorders>
            <w:shd w:val="clear" w:color="auto" w:fill="auto"/>
            <w:vAlign w:val="center"/>
            <w:hideMark/>
          </w:tcPr>
          <w:p w14:paraId="3622B0C0"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41</w:t>
            </w:r>
          </w:p>
        </w:tc>
        <w:tc>
          <w:tcPr>
            <w:tcW w:w="900" w:type="dxa"/>
            <w:tcBorders>
              <w:top w:val="nil"/>
              <w:left w:val="nil"/>
              <w:bottom w:val="nil"/>
              <w:right w:val="nil"/>
            </w:tcBorders>
            <w:shd w:val="clear" w:color="auto" w:fill="auto"/>
            <w:vAlign w:val="center"/>
            <w:hideMark/>
          </w:tcPr>
          <w:p w14:paraId="6BE37F8D"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1 079</w:t>
            </w:r>
          </w:p>
        </w:tc>
        <w:tc>
          <w:tcPr>
            <w:tcW w:w="1180" w:type="dxa"/>
            <w:tcBorders>
              <w:top w:val="nil"/>
              <w:left w:val="nil"/>
              <w:bottom w:val="nil"/>
              <w:right w:val="nil"/>
            </w:tcBorders>
            <w:shd w:val="clear" w:color="auto" w:fill="auto"/>
            <w:vAlign w:val="center"/>
            <w:hideMark/>
          </w:tcPr>
          <w:p w14:paraId="11A14135"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1 894 855</w:t>
            </w:r>
          </w:p>
        </w:tc>
        <w:tc>
          <w:tcPr>
            <w:tcW w:w="900" w:type="dxa"/>
            <w:tcBorders>
              <w:top w:val="nil"/>
              <w:left w:val="nil"/>
              <w:bottom w:val="nil"/>
              <w:right w:val="nil"/>
            </w:tcBorders>
            <w:shd w:val="clear" w:color="auto" w:fill="auto"/>
            <w:vAlign w:val="center"/>
            <w:hideMark/>
          </w:tcPr>
          <w:p w14:paraId="724F40D4"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474</w:t>
            </w:r>
          </w:p>
        </w:tc>
        <w:tc>
          <w:tcPr>
            <w:tcW w:w="1180" w:type="dxa"/>
            <w:tcBorders>
              <w:top w:val="nil"/>
              <w:left w:val="nil"/>
              <w:bottom w:val="nil"/>
              <w:right w:val="nil"/>
            </w:tcBorders>
            <w:shd w:val="clear" w:color="auto" w:fill="auto"/>
            <w:vAlign w:val="center"/>
            <w:hideMark/>
          </w:tcPr>
          <w:p w14:paraId="6576F628"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833 071</w:t>
            </w:r>
          </w:p>
        </w:tc>
      </w:tr>
      <w:tr w:rsidR="00726B1E" w:rsidRPr="00726B1E" w14:paraId="6CC2A421" w14:textId="77777777" w:rsidTr="0029660B">
        <w:trPr>
          <w:trHeight w:val="284"/>
        </w:trPr>
        <w:tc>
          <w:tcPr>
            <w:tcW w:w="3820" w:type="dxa"/>
            <w:tcBorders>
              <w:top w:val="nil"/>
              <w:left w:val="nil"/>
              <w:bottom w:val="nil"/>
              <w:right w:val="nil"/>
            </w:tcBorders>
            <w:shd w:val="clear" w:color="auto" w:fill="auto"/>
            <w:noWrap/>
            <w:vAlign w:val="bottom"/>
            <w:hideMark/>
          </w:tcPr>
          <w:p w14:paraId="46A69990"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 xml:space="preserve">Water and waste water </w:t>
            </w:r>
          </w:p>
        </w:tc>
        <w:tc>
          <w:tcPr>
            <w:tcW w:w="960" w:type="dxa"/>
            <w:tcBorders>
              <w:top w:val="nil"/>
              <w:left w:val="nil"/>
              <w:bottom w:val="nil"/>
              <w:right w:val="single" w:sz="4" w:space="0" w:color="auto"/>
            </w:tcBorders>
            <w:shd w:val="clear" w:color="auto" w:fill="auto"/>
            <w:vAlign w:val="center"/>
            <w:hideMark/>
          </w:tcPr>
          <w:p w14:paraId="005DF0B9"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18</w:t>
            </w:r>
          </w:p>
        </w:tc>
        <w:tc>
          <w:tcPr>
            <w:tcW w:w="900" w:type="dxa"/>
            <w:tcBorders>
              <w:top w:val="nil"/>
              <w:left w:val="nil"/>
              <w:bottom w:val="nil"/>
              <w:right w:val="nil"/>
            </w:tcBorders>
            <w:shd w:val="clear" w:color="auto" w:fill="auto"/>
            <w:vAlign w:val="center"/>
            <w:hideMark/>
          </w:tcPr>
          <w:p w14:paraId="2EE8A0A8"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32</w:t>
            </w:r>
          </w:p>
        </w:tc>
        <w:tc>
          <w:tcPr>
            <w:tcW w:w="1180" w:type="dxa"/>
            <w:tcBorders>
              <w:top w:val="nil"/>
              <w:left w:val="nil"/>
              <w:bottom w:val="nil"/>
              <w:right w:val="nil"/>
            </w:tcBorders>
            <w:shd w:val="clear" w:color="auto" w:fill="auto"/>
            <w:vAlign w:val="center"/>
            <w:hideMark/>
          </w:tcPr>
          <w:p w14:paraId="2D681065"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55 499</w:t>
            </w:r>
          </w:p>
        </w:tc>
        <w:tc>
          <w:tcPr>
            <w:tcW w:w="900" w:type="dxa"/>
            <w:tcBorders>
              <w:top w:val="nil"/>
              <w:left w:val="nil"/>
              <w:bottom w:val="nil"/>
              <w:right w:val="nil"/>
            </w:tcBorders>
            <w:shd w:val="clear" w:color="auto" w:fill="auto"/>
            <w:vAlign w:val="center"/>
            <w:hideMark/>
          </w:tcPr>
          <w:p w14:paraId="0C49BFDF"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37</w:t>
            </w:r>
          </w:p>
        </w:tc>
        <w:tc>
          <w:tcPr>
            <w:tcW w:w="1180" w:type="dxa"/>
            <w:tcBorders>
              <w:top w:val="nil"/>
              <w:left w:val="nil"/>
              <w:bottom w:val="nil"/>
              <w:right w:val="nil"/>
            </w:tcBorders>
            <w:shd w:val="clear" w:color="auto" w:fill="auto"/>
            <w:vAlign w:val="center"/>
            <w:hideMark/>
          </w:tcPr>
          <w:p w14:paraId="045284F0"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64 607</w:t>
            </w:r>
          </w:p>
        </w:tc>
      </w:tr>
      <w:tr w:rsidR="00726B1E" w:rsidRPr="00726B1E" w14:paraId="084067E6" w14:textId="77777777" w:rsidTr="0029660B">
        <w:trPr>
          <w:trHeight w:val="284"/>
        </w:trPr>
        <w:tc>
          <w:tcPr>
            <w:tcW w:w="3820" w:type="dxa"/>
            <w:tcBorders>
              <w:top w:val="nil"/>
              <w:left w:val="nil"/>
              <w:bottom w:val="nil"/>
              <w:right w:val="nil"/>
            </w:tcBorders>
            <w:shd w:val="clear" w:color="auto" w:fill="auto"/>
            <w:noWrap/>
            <w:vAlign w:val="bottom"/>
            <w:hideMark/>
          </w:tcPr>
          <w:p w14:paraId="021F87FE"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Community development</w:t>
            </w:r>
          </w:p>
        </w:tc>
        <w:tc>
          <w:tcPr>
            <w:tcW w:w="960" w:type="dxa"/>
            <w:tcBorders>
              <w:top w:val="nil"/>
              <w:left w:val="nil"/>
              <w:bottom w:val="nil"/>
              <w:right w:val="single" w:sz="4" w:space="0" w:color="auto"/>
            </w:tcBorders>
            <w:shd w:val="clear" w:color="auto" w:fill="auto"/>
            <w:vAlign w:val="center"/>
            <w:hideMark/>
          </w:tcPr>
          <w:p w14:paraId="0EB0D472"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88</w:t>
            </w:r>
          </w:p>
        </w:tc>
        <w:tc>
          <w:tcPr>
            <w:tcW w:w="900" w:type="dxa"/>
            <w:tcBorders>
              <w:top w:val="nil"/>
              <w:left w:val="nil"/>
              <w:bottom w:val="nil"/>
              <w:right w:val="nil"/>
            </w:tcBorders>
            <w:shd w:val="clear" w:color="auto" w:fill="auto"/>
            <w:vAlign w:val="center"/>
            <w:hideMark/>
          </w:tcPr>
          <w:p w14:paraId="30D2E399"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60</w:t>
            </w:r>
          </w:p>
        </w:tc>
        <w:tc>
          <w:tcPr>
            <w:tcW w:w="1180" w:type="dxa"/>
            <w:tcBorders>
              <w:top w:val="nil"/>
              <w:left w:val="nil"/>
              <w:bottom w:val="nil"/>
              <w:right w:val="nil"/>
            </w:tcBorders>
            <w:shd w:val="clear" w:color="auto" w:fill="auto"/>
            <w:vAlign w:val="center"/>
            <w:hideMark/>
          </w:tcPr>
          <w:p w14:paraId="25722852"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105 627</w:t>
            </w:r>
          </w:p>
        </w:tc>
        <w:tc>
          <w:tcPr>
            <w:tcW w:w="900" w:type="dxa"/>
            <w:tcBorders>
              <w:top w:val="nil"/>
              <w:left w:val="nil"/>
              <w:bottom w:val="nil"/>
              <w:right w:val="nil"/>
            </w:tcBorders>
            <w:shd w:val="clear" w:color="auto" w:fill="auto"/>
            <w:vAlign w:val="center"/>
            <w:hideMark/>
          </w:tcPr>
          <w:p w14:paraId="27818D0F"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c>
          <w:tcPr>
            <w:tcW w:w="1180" w:type="dxa"/>
            <w:tcBorders>
              <w:top w:val="nil"/>
              <w:left w:val="nil"/>
              <w:bottom w:val="nil"/>
              <w:right w:val="nil"/>
            </w:tcBorders>
            <w:shd w:val="clear" w:color="auto" w:fill="auto"/>
            <w:vAlign w:val="center"/>
            <w:hideMark/>
          </w:tcPr>
          <w:p w14:paraId="300D45ED"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r>
      <w:tr w:rsidR="00726B1E" w:rsidRPr="00726B1E" w14:paraId="41B3D852" w14:textId="77777777" w:rsidTr="0029660B">
        <w:trPr>
          <w:trHeight w:val="284"/>
        </w:trPr>
        <w:tc>
          <w:tcPr>
            <w:tcW w:w="3820" w:type="dxa"/>
            <w:tcBorders>
              <w:top w:val="nil"/>
              <w:left w:val="nil"/>
              <w:bottom w:val="nil"/>
              <w:right w:val="nil"/>
            </w:tcBorders>
            <w:shd w:val="clear" w:color="auto" w:fill="auto"/>
            <w:noWrap/>
            <w:vAlign w:val="bottom"/>
            <w:hideMark/>
          </w:tcPr>
          <w:p w14:paraId="29DE8B05"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Environmental protection</w:t>
            </w:r>
          </w:p>
        </w:tc>
        <w:tc>
          <w:tcPr>
            <w:tcW w:w="960" w:type="dxa"/>
            <w:tcBorders>
              <w:top w:val="nil"/>
              <w:left w:val="nil"/>
              <w:bottom w:val="nil"/>
              <w:right w:val="single" w:sz="4" w:space="0" w:color="auto"/>
            </w:tcBorders>
            <w:shd w:val="clear" w:color="auto" w:fill="auto"/>
            <w:vAlign w:val="center"/>
            <w:hideMark/>
          </w:tcPr>
          <w:p w14:paraId="5987F596"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145</w:t>
            </w:r>
          </w:p>
        </w:tc>
        <w:tc>
          <w:tcPr>
            <w:tcW w:w="900" w:type="dxa"/>
            <w:tcBorders>
              <w:top w:val="nil"/>
              <w:left w:val="nil"/>
              <w:bottom w:val="nil"/>
              <w:right w:val="nil"/>
            </w:tcBorders>
            <w:shd w:val="clear" w:color="auto" w:fill="auto"/>
            <w:vAlign w:val="center"/>
            <w:hideMark/>
          </w:tcPr>
          <w:p w14:paraId="4FE5733A"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52</w:t>
            </w:r>
          </w:p>
        </w:tc>
        <w:tc>
          <w:tcPr>
            <w:tcW w:w="1180" w:type="dxa"/>
            <w:tcBorders>
              <w:top w:val="nil"/>
              <w:left w:val="nil"/>
              <w:bottom w:val="nil"/>
              <w:right w:val="nil"/>
            </w:tcBorders>
            <w:shd w:val="clear" w:color="auto" w:fill="auto"/>
            <w:vAlign w:val="center"/>
            <w:hideMark/>
          </w:tcPr>
          <w:p w14:paraId="30825BF3"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91 967</w:t>
            </w:r>
          </w:p>
        </w:tc>
        <w:tc>
          <w:tcPr>
            <w:tcW w:w="900" w:type="dxa"/>
            <w:tcBorders>
              <w:top w:val="nil"/>
              <w:left w:val="nil"/>
              <w:bottom w:val="nil"/>
              <w:right w:val="nil"/>
            </w:tcBorders>
            <w:shd w:val="clear" w:color="auto" w:fill="auto"/>
            <w:vAlign w:val="center"/>
            <w:hideMark/>
          </w:tcPr>
          <w:p w14:paraId="140E57FD"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183</w:t>
            </w:r>
          </w:p>
        </w:tc>
        <w:tc>
          <w:tcPr>
            <w:tcW w:w="1180" w:type="dxa"/>
            <w:tcBorders>
              <w:top w:val="nil"/>
              <w:left w:val="nil"/>
              <w:bottom w:val="nil"/>
              <w:right w:val="nil"/>
            </w:tcBorders>
            <w:shd w:val="clear" w:color="auto" w:fill="auto"/>
            <w:vAlign w:val="center"/>
            <w:hideMark/>
          </w:tcPr>
          <w:p w14:paraId="05524F2B"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321 315</w:t>
            </w:r>
          </w:p>
        </w:tc>
      </w:tr>
      <w:tr w:rsidR="00726B1E" w:rsidRPr="00726B1E" w14:paraId="089C7903" w14:textId="77777777" w:rsidTr="0029660B">
        <w:trPr>
          <w:trHeight w:val="284"/>
        </w:trPr>
        <w:tc>
          <w:tcPr>
            <w:tcW w:w="3820" w:type="dxa"/>
            <w:tcBorders>
              <w:top w:val="nil"/>
              <w:left w:val="nil"/>
              <w:bottom w:val="nil"/>
              <w:right w:val="nil"/>
            </w:tcBorders>
            <w:shd w:val="clear" w:color="auto" w:fill="auto"/>
            <w:noWrap/>
            <w:vAlign w:val="bottom"/>
            <w:hideMark/>
          </w:tcPr>
          <w:p w14:paraId="2B7EA85E" w14:textId="77777777" w:rsidR="00726B1E" w:rsidRPr="00726B1E" w:rsidRDefault="00726B1E" w:rsidP="00726B1E">
            <w:pPr>
              <w:tabs>
                <w:tab w:val="clear" w:pos="567"/>
              </w:tabs>
              <w:spacing w:after="0" w:line="240" w:lineRule="auto"/>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Transport</w:t>
            </w:r>
          </w:p>
        </w:tc>
        <w:tc>
          <w:tcPr>
            <w:tcW w:w="960" w:type="dxa"/>
            <w:tcBorders>
              <w:top w:val="nil"/>
              <w:left w:val="nil"/>
              <w:bottom w:val="nil"/>
              <w:right w:val="single" w:sz="4" w:space="0" w:color="auto"/>
            </w:tcBorders>
            <w:shd w:val="clear" w:color="auto" w:fill="auto"/>
            <w:vAlign w:val="center"/>
            <w:hideMark/>
          </w:tcPr>
          <w:p w14:paraId="350DEB2D"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7203ECB2"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1B9C5038"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56BE2904"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583872E4"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r>
      <w:tr w:rsidR="00726B1E" w:rsidRPr="00726B1E" w14:paraId="0DCC6566" w14:textId="77777777" w:rsidTr="0029660B">
        <w:trPr>
          <w:trHeight w:val="284"/>
        </w:trPr>
        <w:tc>
          <w:tcPr>
            <w:tcW w:w="3820" w:type="dxa"/>
            <w:tcBorders>
              <w:top w:val="nil"/>
              <w:left w:val="nil"/>
              <w:bottom w:val="nil"/>
              <w:right w:val="nil"/>
            </w:tcBorders>
            <w:shd w:val="clear" w:color="auto" w:fill="auto"/>
            <w:noWrap/>
            <w:vAlign w:val="bottom"/>
            <w:hideMark/>
          </w:tcPr>
          <w:p w14:paraId="75DB15F1"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State roads grant for local government</w:t>
            </w:r>
          </w:p>
        </w:tc>
        <w:tc>
          <w:tcPr>
            <w:tcW w:w="960" w:type="dxa"/>
            <w:tcBorders>
              <w:top w:val="nil"/>
              <w:left w:val="nil"/>
              <w:bottom w:val="nil"/>
              <w:right w:val="single" w:sz="4" w:space="0" w:color="auto"/>
            </w:tcBorders>
            <w:shd w:val="clear" w:color="auto" w:fill="auto"/>
            <w:noWrap/>
            <w:vAlign w:val="bottom"/>
            <w:hideMark/>
          </w:tcPr>
          <w:p w14:paraId="70E5C50B"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37</w:t>
            </w:r>
          </w:p>
        </w:tc>
        <w:tc>
          <w:tcPr>
            <w:tcW w:w="900" w:type="dxa"/>
            <w:tcBorders>
              <w:top w:val="nil"/>
              <w:left w:val="nil"/>
              <w:bottom w:val="nil"/>
              <w:right w:val="nil"/>
            </w:tcBorders>
            <w:shd w:val="clear" w:color="auto" w:fill="auto"/>
            <w:noWrap/>
            <w:vAlign w:val="bottom"/>
            <w:hideMark/>
          </w:tcPr>
          <w:p w14:paraId="39C538FF"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55</w:t>
            </w:r>
          </w:p>
        </w:tc>
        <w:tc>
          <w:tcPr>
            <w:tcW w:w="1180" w:type="dxa"/>
            <w:tcBorders>
              <w:top w:val="nil"/>
              <w:left w:val="nil"/>
              <w:bottom w:val="nil"/>
              <w:right w:val="nil"/>
            </w:tcBorders>
            <w:shd w:val="clear" w:color="auto" w:fill="auto"/>
            <w:vAlign w:val="center"/>
            <w:hideMark/>
          </w:tcPr>
          <w:p w14:paraId="5E286E2B"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97 084</w:t>
            </w:r>
          </w:p>
        </w:tc>
        <w:tc>
          <w:tcPr>
            <w:tcW w:w="900" w:type="dxa"/>
            <w:tcBorders>
              <w:top w:val="nil"/>
              <w:left w:val="nil"/>
              <w:bottom w:val="nil"/>
              <w:right w:val="nil"/>
            </w:tcBorders>
            <w:shd w:val="clear" w:color="auto" w:fill="auto"/>
            <w:vAlign w:val="center"/>
            <w:hideMark/>
          </w:tcPr>
          <w:p w14:paraId="5017582A"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c>
          <w:tcPr>
            <w:tcW w:w="1180" w:type="dxa"/>
            <w:tcBorders>
              <w:top w:val="nil"/>
              <w:left w:val="nil"/>
              <w:bottom w:val="nil"/>
              <w:right w:val="nil"/>
            </w:tcBorders>
            <w:shd w:val="clear" w:color="auto" w:fill="auto"/>
            <w:vAlign w:val="center"/>
            <w:hideMark/>
          </w:tcPr>
          <w:p w14:paraId="2A9E165B"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r>
      <w:tr w:rsidR="00726B1E" w:rsidRPr="00726B1E" w14:paraId="45520E15" w14:textId="77777777" w:rsidTr="0029660B">
        <w:trPr>
          <w:trHeight w:val="284"/>
        </w:trPr>
        <w:tc>
          <w:tcPr>
            <w:tcW w:w="3820" w:type="dxa"/>
            <w:tcBorders>
              <w:top w:val="nil"/>
              <w:left w:val="nil"/>
              <w:bottom w:val="nil"/>
              <w:right w:val="nil"/>
            </w:tcBorders>
            <w:shd w:val="clear" w:color="auto" w:fill="auto"/>
            <w:noWrap/>
            <w:vAlign w:val="bottom"/>
            <w:hideMark/>
          </w:tcPr>
          <w:p w14:paraId="755AA057"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Port services</w:t>
            </w:r>
          </w:p>
        </w:tc>
        <w:tc>
          <w:tcPr>
            <w:tcW w:w="960" w:type="dxa"/>
            <w:tcBorders>
              <w:top w:val="nil"/>
              <w:left w:val="nil"/>
              <w:bottom w:val="nil"/>
              <w:right w:val="single" w:sz="4" w:space="0" w:color="auto"/>
            </w:tcBorders>
            <w:shd w:val="clear" w:color="auto" w:fill="auto"/>
            <w:noWrap/>
            <w:vAlign w:val="bottom"/>
            <w:hideMark/>
          </w:tcPr>
          <w:p w14:paraId="30C622D7"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w:t>
            </w:r>
          </w:p>
        </w:tc>
        <w:tc>
          <w:tcPr>
            <w:tcW w:w="900" w:type="dxa"/>
            <w:tcBorders>
              <w:top w:val="nil"/>
              <w:left w:val="nil"/>
              <w:bottom w:val="nil"/>
              <w:right w:val="nil"/>
            </w:tcBorders>
            <w:shd w:val="clear" w:color="auto" w:fill="auto"/>
            <w:noWrap/>
            <w:vAlign w:val="bottom"/>
            <w:hideMark/>
          </w:tcPr>
          <w:p w14:paraId="3C33680C"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282</w:t>
            </w:r>
          </w:p>
        </w:tc>
        <w:tc>
          <w:tcPr>
            <w:tcW w:w="1180" w:type="dxa"/>
            <w:tcBorders>
              <w:top w:val="nil"/>
              <w:left w:val="nil"/>
              <w:bottom w:val="nil"/>
              <w:right w:val="nil"/>
            </w:tcBorders>
            <w:shd w:val="clear" w:color="auto" w:fill="auto"/>
            <w:vAlign w:val="center"/>
            <w:hideMark/>
          </w:tcPr>
          <w:p w14:paraId="1B2B7B50"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495 008</w:t>
            </w:r>
          </w:p>
        </w:tc>
        <w:tc>
          <w:tcPr>
            <w:tcW w:w="900" w:type="dxa"/>
            <w:tcBorders>
              <w:top w:val="nil"/>
              <w:left w:val="nil"/>
              <w:bottom w:val="nil"/>
              <w:right w:val="nil"/>
            </w:tcBorders>
            <w:shd w:val="clear" w:color="auto" w:fill="auto"/>
            <w:vAlign w:val="center"/>
            <w:hideMark/>
          </w:tcPr>
          <w:p w14:paraId="6E267591"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282</w:t>
            </w:r>
          </w:p>
        </w:tc>
        <w:tc>
          <w:tcPr>
            <w:tcW w:w="1180" w:type="dxa"/>
            <w:tcBorders>
              <w:top w:val="nil"/>
              <w:left w:val="nil"/>
              <w:bottom w:val="nil"/>
              <w:right w:val="nil"/>
            </w:tcBorders>
            <w:shd w:val="clear" w:color="auto" w:fill="auto"/>
            <w:vAlign w:val="center"/>
            <w:hideMark/>
          </w:tcPr>
          <w:p w14:paraId="54791CC8"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495 008</w:t>
            </w:r>
          </w:p>
        </w:tc>
      </w:tr>
      <w:tr w:rsidR="00726B1E" w:rsidRPr="00726B1E" w14:paraId="71109632" w14:textId="77777777" w:rsidTr="0029660B">
        <w:trPr>
          <w:trHeight w:val="284"/>
        </w:trPr>
        <w:tc>
          <w:tcPr>
            <w:tcW w:w="3820" w:type="dxa"/>
            <w:tcBorders>
              <w:top w:val="nil"/>
              <w:left w:val="nil"/>
              <w:bottom w:val="nil"/>
              <w:right w:val="nil"/>
            </w:tcBorders>
            <w:shd w:val="clear" w:color="auto" w:fill="auto"/>
            <w:noWrap/>
            <w:vAlign w:val="bottom"/>
            <w:hideMark/>
          </w:tcPr>
          <w:p w14:paraId="77F304E8" w14:textId="77777777" w:rsidR="00726B1E" w:rsidRPr="00726B1E" w:rsidRDefault="00726B1E" w:rsidP="00726B1E">
            <w:pPr>
              <w:tabs>
                <w:tab w:val="clear" w:pos="567"/>
              </w:tabs>
              <w:spacing w:after="0" w:line="240" w:lineRule="auto"/>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Services to industry</w:t>
            </w:r>
          </w:p>
        </w:tc>
        <w:tc>
          <w:tcPr>
            <w:tcW w:w="960" w:type="dxa"/>
            <w:tcBorders>
              <w:top w:val="nil"/>
              <w:left w:val="nil"/>
              <w:bottom w:val="nil"/>
              <w:right w:val="single" w:sz="4" w:space="0" w:color="auto"/>
            </w:tcBorders>
            <w:shd w:val="clear" w:color="auto" w:fill="auto"/>
            <w:vAlign w:val="center"/>
            <w:hideMark/>
          </w:tcPr>
          <w:p w14:paraId="41102AD9"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24489655"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0FBC0A02"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3BD89B03"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7FBF82F9"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r>
      <w:tr w:rsidR="00726B1E" w:rsidRPr="00726B1E" w14:paraId="0B7EBD91" w14:textId="77777777" w:rsidTr="0029660B">
        <w:trPr>
          <w:trHeight w:val="284"/>
        </w:trPr>
        <w:tc>
          <w:tcPr>
            <w:tcW w:w="3820" w:type="dxa"/>
            <w:tcBorders>
              <w:top w:val="nil"/>
              <w:left w:val="nil"/>
              <w:bottom w:val="nil"/>
              <w:right w:val="nil"/>
            </w:tcBorders>
            <w:shd w:val="clear" w:color="auto" w:fill="auto"/>
            <w:noWrap/>
            <w:vAlign w:val="bottom"/>
            <w:hideMark/>
          </w:tcPr>
          <w:p w14:paraId="245EF33A"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Tourism</w:t>
            </w:r>
          </w:p>
        </w:tc>
        <w:tc>
          <w:tcPr>
            <w:tcW w:w="960" w:type="dxa"/>
            <w:tcBorders>
              <w:top w:val="nil"/>
              <w:left w:val="nil"/>
              <w:bottom w:val="nil"/>
              <w:right w:val="single" w:sz="4" w:space="0" w:color="auto"/>
            </w:tcBorders>
            <w:shd w:val="clear" w:color="auto" w:fill="auto"/>
            <w:vAlign w:val="center"/>
            <w:hideMark/>
          </w:tcPr>
          <w:p w14:paraId="69A5C3AC"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40</w:t>
            </w:r>
          </w:p>
        </w:tc>
        <w:tc>
          <w:tcPr>
            <w:tcW w:w="900" w:type="dxa"/>
            <w:tcBorders>
              <w:top w:val="nil"/>
              <w:left w:val="nil"/>
              <w:bottom w:val="nil"/>
              <w:right w:val="nil"/>
            </w:tcBorders>
            <w:shd w:val="clear" w:color="auto" w:fill="auto"/>
            <w:vAlign w:val="center"/>
            <w:hideMark/>
          </w:tcPr>
          <w:p w14:paraId="175081E4"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844</w:t>
            </w:r>
          </w:p>
        </w:tc>
        <w:tc>
          <w:tcPr>
            <w:tcW w:w="1180" w:type="dxa"/>
            <w:tcBorders>
              <w:top w:val="nil"/>
              <w:left w:val="nil"/>
              <w:bottom w:val="nil"/>
              <w:right w:val="nil"/>
            </w:tcBorders>
            <w:shd w:val="clear" w:color="auto" w:fill="auto"/>
            <w:vAlign w:val="center"/>
            <w:hideMark/>
          </w:tcPr>
          <w:p w14:paraId="0693CA98"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1 481 523</w:t>
            </w:r>
          </w:p>
        </w:tc>
        <w:tc>
          <w:tcPr>
            <w:tcW w:w="900" w:type="dxa"/>
            <w:tcBorders>
              <w:top w:val="nil"/>
              <w:left w:val="nil"/>
              <w:bottom w:val="nil"/>
              <w:right w:val="nil"/>
            </w:tcBorders>
            <w:shd w:val="clear" w:color="auto" w:fill="auto"/>
            <w:vAlign w:val="center"/>
            <w:hideMark/>
          </w:tcPr>
          <w:p w14:paraId="6ECFD69F"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597</w:t>
            </w:r>
          </w:p>
        </w:tc>
        <w:tc>
          <w:tcPr>
            <w:tcW w:w="1180" w:type="dxa"/>
            <w:tcBorders>
              <w:top w:val="nil"/>
              <w:left w:val="nil"/>
              <w:bottom w:val="nil"/>
              <w:right w:val="nil"/>
            </w:tcBorders>
            <w:shd w:val="clear" w:color="auto" w:fill="auto"/>
            <w:vAlign w:val="center"/>
            <w:hideMark/>
          </w:tcPr>
          <w:p w14:paraId="366994D0"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1 047 888</w:t>
            </w:r>
          </w:p>
        </w:tc>
      </w:tr>
      <w:tr w:rsidR="00726B1E" w:rsidRPr="00726B1E" w14:paraId="4A50C214" w14:textId="77777777" w:rsidTr="0029660B">
        <w:trPr>
          <w:trHeight w:val="284"/>
        </w:trPr>
        <w:tc>
          <w:tcPr>
            <w:tcW w:w="3820" w:type="dxa"/>
            <w:tcBorders>
              <w:top w:val="nil"/>
              <w:left w:val="nil"/>
              <w:bottom w:val="nil"/>
              <w:right w:val="nil"/>
            </w:tcBorders>
            <w:shd w:val="clear" w:color="auto" w:fill="auto"/>
            <w:noWrap/>
            <w:vAlign w:val="bottom"/>
            <w:hideMark/>
          </w:tcPr>
          <w:p w14:paraId="183B1A87"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Industry regulation</w:t>
            </w:r>
          </w:p>
        </w:tc>
        <w:tc>
          <w:tcPr>
            <w:tcW w:w="960" w:type="dxa"/>
            <w:tcBorders>
              <w:top w:val="nil"/>
              <w:left w:val="nil"/>
              <w:bottom w:val="nil"/>
              <w:right w:val="single" w:sz="4" w:space="0" w:color="auto"/>
            </w:tcBorders>
            <w:shd w:val="clear" w:color="auto" w:fill="auto"/>
            <w:vAlign w:val="center"/>
            <w:hideMark/>
          </w:tcPr>
          <w:p w14:paraId="2E755F06"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121</w:t>
            </w:r>
          </w:p>
        </w:tc>
        <w:tc>
          <w:tcPr>
            <w:tcW w:w="900" w:type="dxa"/>
            <w:tcBorders>
              <w:top w:val="nil"/>
              <w:left w:val="nil"/>
              <w:bottom w:val="nil"/>
              <w:right w:val="nil"/>
            </w:tcBorders>
            <w:shd w:val="clear" w:color="auto" w:fill="auto"/>
            <w:vAlign w:val="center"/>
            <w:hideMark/>
          </w:tcPr>
          <w:p w14:paraId="67CB2293"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63</w:t>
            </w:r>
          </w:p>
        </w:tc>
        <w:tc>
          <w:tcPr>
            <w:tcW w:w="1180" w:type="dxa"/>
            <w:tcBorders>
              <w:top w:val="nil"/>
              <w:left w:val="nil"/>
              <w:bottom w:val="nil"/>
              <w:right w:val="nil"/>
            </w:tcBorders>
            <w:shd w:val="clear" w:color="auto" w:fill="auto"/>
            <w:vAlign w:val="center"/>
            <w:hideMark/>
          </w:tcPr>
          <w:p w14:paraId="76FA407C"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111 354</w:t>
            </w:r>
          </w:p>
        </w:tc>
        <w:tc>
          <w:tcPr>
            <w:tcW w:w="900" w:type="dxa"/>
            <w:tcBorders>
              <w:top w:val="nil"/>
              <w:left w:val="nil"/>
              <w:bottom w:val="nil"/>
              <w:right w:val="nil"/>
            </w:tcBorders>
            <w:shd w:val="clear" w:color="auto" w:fill="auto"/>
            <w:vAlign w:val="center"/>
            <w:hideMark/>
          </w:tcPr>
          <w:p w14:paraId="7988C224"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c>
          <w:tcPr>
            <w:tcW w:w="1180" w:type="dxa"/>
            <w:tcBorders>
              <w:top w:val="nil"/>
              <w:left w:val="nil"/>
              <w:bottom w:val="nil"/>
              <w:right w:val="nil"/>
            </w:tcBorders>
            <w:shd w:val="clear" w:color="auto" w:fill="auto"/>
            <w:vAlign w:val="center"/>
            <w:hideMark/>
          </w:tcPr>
          <w:p w14:paraId="0E8CCAE7"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r>
      <w:tr w:rsidR="00726B1E" w:rsidRPr="00726B1E" w14:paraId="6FDF50FF" w14:textId="77777777" w:rsidTr="0029660B">
        <w:trPr>
          <w:trHeight w:val="284"/>
        </w:trPr>
        <w:tc>
          <w:tcPr>
            <w:tcW w:w="3820" w:type="dxa"/>
            <w:tcBorders>
              <w:top w:val="nil"/>
              <w:left w:val="nil"/>
              <w:bottom w:val="nil"/>
              <w:right w:val="nil"/>
            </w:tcBorders>
            <w:shd w:val="clear" w:color="auto" w:fill="auto"/>
            <w:noWrap/>
            <w:vAlign w:val="bottom"/>
            <w:hideMark/>
          </w:tcPr>
          <w:p w14:paraId="17326205"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Other business development</w:t>
            </w:r>
          </w:p>
        </w:tc>
        <w:tc>
          <w:tcPr>
            <w:tcW w:w="960" w:type="dxa"/>
            <w:tcBorders>
              <w:top w:val="nil"/>
              <w:left w:val="nil"/>
              <w:bottom w:val="nil"/>
              <w:right w:val="single" w:sz="4" w:space="0" w:color="auto"/>
            </w:tcBorders>
            <w:shd w:val="clear" w:color="auto" w:fill="auto"/>
            <w:vAlign w:val="center"/>
            <w:hideMark/>
          </w:tcPr>
          <w:p w14:paraId="02E70AC0"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84</w:t>
            </w:r>
          </w:p>
        </w:tc>
        <w:tc>
          <w:tcPr>
            <w:tcW w:w="900" w:type="dxa"/>
            <w:tcBorders>
              <w:top w:val="nil"/>
              <w:left w:val="nil"/>
              <w:bottom w:val="nil"/>
              <w:right w:val="nil"/>
            </w:tcBorders>
            <w:shd w:val="clear" w:color="auto" w:fill="auto"/>
            <w:vAlign w:val="center"/>
            <w:hideMark/>
          </w:tcPr>
          <w:p w14:paraId="74940C50"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130</w:t>
            </w:r>
          </w:p>
        </w:tc>
        <w:tc>
          <w:tcPr>
            <w:tcW w:w="1180" w:type="dxa"/>
            <w:tcBorders>
              <w:top w:val="nil"/>
              <w:left w:val="nil"/>
              <w:bottom w:val="nil"/>
              <w:right w:val="nil"/>
            </w:tcBorders>
            <w:shd w:val="clear" w:color="auto" w:fill="auto"/>
            <w:vAlign w:val="center"/>
            <w:hideMark/>
          </w:tcPr>
          <w:p w14:paraId="6EA94B7A"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228 966</w:t>
            </w:r>
          </w:p>
        </w:tc>
        <w:tc>
          <w:tcPr>
            <w:tcW w:w="900" w:type="dxa"/>
            <w:tcBorders>
              <w:top w:val="nil"/>
              <w:left w:val="nil"/>
              <w:bottom w:val="nil"/>
              <w:right w:val="nil"/>
            </w:tcBorders>
            <w:shd w:val="clear" w:color="auto" w:fill="auto"/>
            <w:vAlign w:val="center"/>
            <w:hideMark/>
          </w:tcPr>
          <w:p w14:paraId="6FC1862C"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c>
          <w:tcPr>
            <w:tcW w:w="1180" w:type="dxa"/>
            <w:tcBorders>
              <w:top w:val="nil"/>
              <w:left w:val="nil"/>
              <w:bottom w:val="nil"/>
              <w:right w:val="nil"/>
            </w:tcBorders>
            <w:shd w:val="clear" w:color="auto" w:fill="auto"/>
            <w:vAlign w:val="center"/>
            <w:hideMark/>
          </w:tcPr>
          <w:p w14:paraId="6E4533C0"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r>
      <w:tr w:rsidR="00726B1E" w:rsidRPr="00726B1E" w14:paraId="0510B060" w14:textId="77777777" w:rsidTr="0029660B">
        <w:trPr>
          <w:trHeight w:val="284"/>
        </w:trPr>
        <w:tc>
          <w:tcPr>
            <w:tcW w:w="3820" w:type="dxa"/>
            <w:tcBorders>
              <w:top w:val="nil"/>
              <w:left w:val="nil"/>
              <w:bottom w:val="nil"/>
              <w:right w:val="nil"/>
            </w:tcBorders>
            <w:shd w:val="clear" w:color="auto" w:fill="auto"/>
            <w:noWrap/>
            <w:vAlign w:val="bottom"/>
            <w:hideMark/>
          </w:tcPr>
          <w:p w14:paraId="65333767" w14:textId="77777777" w:rsidR="00726B1E" w:rsidRPr="00726B1E" w:rsidRDefault="00726B1E" w:rsidP="00726B1E">
            <w:pPr>
              <w:tabs>
                <w:tab w:val="clear" w:pos="567"/>
              </w:tabs>
              <w:spacing w:after="0" w:line="240" w:lineRule="auto"/>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Other expenses</w:t>
            </w:r>
          </w:p>
        </w:tc>
        <w:tc>
          <w:tcPr>
            <w:tcW w:w="960" w:type="dxa"/>
            <w:tcBorders>
              <w:top w:val="nil"/>
              <w:left w:val="nil"/>
              <w:bottom w:val="nil"/>
              <w:right w:val="single" w:sz="4" w:space="0" w:color="auto"/>
            </w:tcBorders>
            <w:shd w:val="clear" w:color="auto" w:fill="auto"/>
            <w:noWrap/>
            <w:vAlign w:val="bottom"/>
            <w:hideMark/>
          </w:tcPr>
          <w:p w14:paraId="78E1527D"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noWrap/>
            <w:vAlign w:val="bottom"/>
            <w:hideMark/>
          </w:tcPr>
          <w:p w14:paraId="77269113"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1D9875EC"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900" w:type="dxa"/>
            <w:tcBorders>
              <w:top w:val="nil"/>
              <w:left w:val="nil"/>
              <w:bottom w:val="nil"/>
              <w:right w:val="nil"/>
            </w:tcBorders>
            <w:shd w:val="clear" w:color="auto" w:fill="auto"/>
            <w:vAlign w:val="center"/>
            <w:hideMark/>
          </w:tcPr>
          <w:p w14:paraId="7CF0A77D"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c>
          <w:tcPr>
            <w:tcW w:w="1180" w:type="dxa"/>
            <w:tcBorders>
              <w:top w:val="nil"/>
              <w:left w:val="nil"/>
              <w:bottom w:val="nil"/>
              <w:right w:val="nil"/>
            </w:tcBorders>
            <w:shd w:val="clear" w:color="auto" w:fill="auto"/>
            <w:vAlign w:val="center"/>
            <w:hideMark/>
          </w:tcPr>
          <w:p w14:paraId="37564E90" w14:textId="77777777" w:rsidR="00726B1E" w:rsidRPr="00726B1E" w:rsidRDefault="00726B1E" w:rsidP="00726B1E">
            <w:pPr>
              <w:tabs>
                <w:tab w:val="clear" w:pos="567"/>
              </w:tabs>
              <w:spacing w:after="0" w:line="240" w:lineRule="auto"/>
              <w:jc w:val="right"/>
              <w:rPr>
                <w:rFonts w:ascii="Calibri" w:eastAsia="Times New Roman" w:hAnsi="Calibri" w:cs="Times New Roman"/>
                <w:color w:val="FFFFFF"/>
                <w:sz w:val="20"/>
                <w:szCs w:val="20"/>
                <w:lang w:eastAsia="en-AU"/>
              </w:rPr>
            </w:pPr>
            <w:r w:rsidRPr="00726B1E">
              <w:rPr>
                <w:rFonts w:ascii="Calibri" w:eastAsia="Times New Roman" w:hAnsi="Calibri" w:cs="Times New Roman"/>
                <w:color w:val="FFFFFF"/>
                <w:sz w:val="20"/>
                <w:szCs w:val="20"/>
                <w:lang w:eastAsia="en-AU"/>
              </w:rPr>
              <w:t>0</w:t>
            </w:r>
          </w:p>
        </w:tc>
      </w:tr>
      <w:tr w:rsidR="00726B1E" w:rsidRPr="00726B1E" w14:paraId="61D1B125" w14:textId="77777777" w:rsidTr="0029660B">
        <w:trPr>
          <w:trHeight w:val="284"/>
        </w:trPr>
        <w:tc>
          <w:tcPr>
            <w:tcW w:w="3820" w:type="dxa"/>
            <w:tcBorders>
              <w:top w:val="nil"/>
              <w:left w:val="nil"/>
              <w:bottom w:val="nil"/>
              <w:right w:val="nil"/>
            </w:tcBorders>
            <w:shd w:val="clear" w:color="auto" w:fill="auto"/>
            <w:noWrap/>
            <w:vAlign w:val="bottom"/>
            <w:hideMark/>
          </w:tcPr>
          <w:p w14:paraId="6C4AFFFB"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Recreation and culture</w:t>
            </w:r>
          </w:p>
        </w:tc>
        <w:tc>
          <w:tcPr>
            <w:tcW w:w="960" w:type="dxa"/>
            <w:tcBorders>
              <w:top w:val="nil"/>
              <w:left w:val="nil"/>
              <w:bottom w:val="nil"/>
              <w:right w:val="single" w:sz="4" w:space="0" w:color="auto"/>
            </w:tcBorders>
            <w:shd w:val="clear" w:color="auto" w:fill="auto"/>
            <w:vAlign w:val="center"/>
            <w:hideMark/>
          </w:tcPr>
          <w:p w14:paraId="144B275D"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123</w:t>
            </w:r>
          </w:p>
        </w:tc>
        <w:tc>
          <w:tcPr>
            <w:tcW w:w="900" w:type="dxa"/>
            <w:tcBorders>
              <w:top w:val="nil"/>
              <w:left w:val="nil"/>
              <w:bottom w:val="nil"/>
              <w:right w:val="nil"/>
            </w:tcBorders>
            <w:shd w:val="clear" w:color="auto" w:fill="auto"/>
            <w:vAlign w:val="center"/>
            <w:hideMark/>
          </w:tcPr>
          <w:p w14:paraId="2231D2E9"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162</w:t>
            </w:r>
          </w:p>
        </w:tc>
        <w:tc>
          <w:tcPr>
            <w:tcW w:w="1180" w:type="dxa"/>
            <w:tcBorders>
              <w:top w:val="nil"/>
              <w:left w:val="nil"/>
              <w:bottom w:val="nil"/>
              <w:right w:val="nil"/>
            </w:tcBorders>
            <w:shd w:val="clear" w:color="auto" w:fill="auto"/>
            <w:vAlign w:val="center"/>
            <w:hideMark/>
          </w:tcPr>
          <w:p w14:paraId="6C74E9FE"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285 185</w:t>
            </w:r>
          </w:p>
        </w:tc>
        <w:tc>
          <w:tcPr>
            <w:tcW w:w="900" w:type="dxa"/>
            <w:tcBorders>
              <w:top w:val="nil"/>
              <w:left w:val="nil"/>
              <w:bottom w:val="nil"/>
              <w:right w:val="nil"/>
            </w:tcBorders>
            <w:shd w:val="clear" w:color="auto" w:fill="auto"/>
            <w:vAlign w:val="center"/>
            <w:hideMark/>
          </w:tcPr>
          <w:p w14:paraId="5C419BB3"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c>
          <w:tcPr>
            <w:tcW w:w="1180" w:type="dxa"/>
            <w:tcBorders>
              <w:top w:val="nil"/>
              <w:left w:val="nil"/>
              <w:bottom w:val="nil"/>
              <w:right w:val="nil"/>
            </w:tcBorders>
            <w:shd w:val="clear" w:color="auto" w:fill="auto"/>
            <w:vAlign w:val="center"/>
            <w:hideMark/>
          </w:tcPr>
          <w:p w14:paraId="5BFF078E"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r>
      <w:tr w:rsidR="00726B1E" w:rsidRPr="00726B1E" w14:paraId="38B76360" w14:textId="77777777" w:rsidTr="0029660B">
        <w:trPr>
          <w:trHeight w:val="284"/>
        </w:trPr>
        <w:tc>
          <w:tcPr>
            <w:tcW w:w="3820" w:type="dxa"/>
            <w:tcBorders>
              <w:top w:val="nil"/>
              <w:left w:val="nil"/>
              <w:bottom w:val="nil"/>
              <w:right w:val="nil"/>
            </w:tcBorders>
            <w:shd w:val="clear" w:color="auto" w:fill="auto"/>
            <w:noWrap/>
            <w:vAlign w:val="bottom"/>
            <w:hideMark/>
          </w:tcPr>
          <w:p w14:paraId="4485BB1F"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Public order and safety</w:t>
            </w:r>
          </w:p>
        </w:tc>
        <w:tc>
          <w:tcPr>
            <w:tcW w:w="960" w:type="dxa"/>
            <w:tcBorders>
              <w:top w:val="nil"/>
              <w:left w:val="nil"/>
              <w:bottom w:val="nil"/>
              <w:right w:val="single" w:sz="4" w:space="0" w:color="auto"/>
            </w:tcBorders>
            <w:shd w:val="clear" w:color="auto" w:fill="auto"/>
            <w:vAlign w:val="center"/>
            <w:hideMark/>
          </w:tcPr>
          <w:p w14:paraId="59687691"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62</w:t>
            </w:r>
          </w:p>
        </w:tc>
        <w:tc>
          <w:tcPr>
            <w:tcW w:w="900" w:type="dxa"/>
            <w:tcBorders>
              <w:top w:val="nil"/>
              <w:left w:val="nil"/>
              <w:bottom w:val="nil"/>
              <w:right w:val="nil"/>
            </w:tcBorders>
            <w:shd w:val="clear" w:color="auto" w:fill="auto"/>
            <w:vAlign w:val="center"/>
            <w:hideMark/>
          </w:tcPr>
          <w:p w14:paraId="17997E82"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163</w:t>
            </w:r>
          </w:p>
        </w:tc>
        <w:tc>
          <w:tcPr>
            <w:tcW w:w="1180" w:type="dxa"/>
            <w:tcBorders>
              <w:top w:val="nil"/>
              <w:left w:val="nil"/>
              <w:bottom w:val="nil"/>
              <w:right w:val="nil"/>
            </w:tcBorders>
            <w:shd w:val="clear" w:color="auto" w:fill="auto"/>
            <w:vAlign w:val="center"/>
            <w:hideMark/>
          </w:tcPr>
          <w:p w14:paraId="7696EEEE"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285 740</w:t>
            </w:r>
          </w:p>
        </w:tc>
        <w:tc>
          <w:tcPr>
            <w:tcW w:w="900" w:type="dxa"/>
            <w:tcBorders>
              <w:top w:val="nil"/>
              <w:left w:val="nil"/>
              <w:bottom w:val="nil"/>
              <w:right w:val="nil"/>
            </w:tcBorders>
            <w:shd w:val="clear" w:color="auto" w:fill="auto"/>
            <w:vAlign w:val="center"/>
            <w:hideMark/>
          </w:tcPr>
          <w:p w14:paraId="17591906"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658</w:t>
            </w:r>
          </w:p>
        </w:tc>
        <w:tc>
          <w:tcPr>
            <w:tcW w:w="1180" w:type="dxa"/>
            <w:tcBorders>
              <w:top w:val="nil"/>
              <w:left w:val="nil"/>
              <w:bottom w:val="nil"/>
              <w:right w:val="nil"/>
            </w:tcBorders>
            <w:shd w:val="clear" w:color="auto" w:fill="auto"/>
            <w:vAlign w:val="center"/>
            <w:hideMark/>
          </w:tcPr>
          <w:p w14:paraId="5021B8B2"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1 155 678</w:t>
            </w:r>
          </w:p>
        </w:tc>
      </w:tr>
      <w:tr w:rsidR="00726B1E" w:rsidRPr="00726B1E" w14:paraId="796E2781" w14:textId="77777777" w:rsidTr="0029660B">
        <w:trPr>
          <w:trHeight w:val="284"/>
        </w:trPr>
        <w:tc>
          <w:tcPr>
            <w:tcW w:w="3820" w:type="dxa"/>
            <w:tcBorders>
              <w:top w:val="nil"/>
              <w:left w:val="nil"/>
              <w:bottom w:val="nil"/>
              <w:right w:val="nil"/>
            </w:tcBorders>
            <w:shd w:val="clear" w:color="auto" w:fill="auto"/>
            <w:noWrap/>
            <w:vAlign w:val="bottom"/>
            <w:hideMark/>
          </w:tcPr>
          <w:p w14:paraId="6E6C2420" w14:textId="77777777" w:rsidR="00726B1E" w:rsidRPr="00726B1E" w:rsidRDefault="00726B1E" w:rsidP="00726B1E">
            <w:pPr>
              <w:tabs>
                <w:tab w:val="clear" w:pos="567"/>
              </w:tabs>
              <w:spacing w:after="0" w:line="240" w:lineRule="auto"/>
              <w:ind w:firstLineChars="100" w:firstLine="200"/>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 xml:space="preserve">Other  </w:t>
            </w:r>
          </w:p>
        </w:tc>
        <w:tc>
          <w:tcPr>
            <w:tcW w:w="960" w:type="dxa"/>
            <w:tcBorders>
              <w:top w:val="nil"/>
              <w:left w:val="nil"/>
              <w:bottom w:val="nil"/>
              <w:right w:val="single" w:sz="4" w:space="0" w:color="auto"/>
            </w:tcBorders>
            <w:shd w:val="clear" w:color="auto" w:fill="auto"/>
            <w:vAlign w:val="center"/>
            <w:hideMark/>
          </w:tcPr>
          <w:p w14:paraId="45B2E00D"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692</w:t>
            </w:r>
          </w:p>
        </w:tc>
        <w:tc>
          <w:tcPr>
            <w:tcW w:w="900" w:type="dxa"/>
            <w:tcBorders>
              <w:top w:val="nil"/>
              <w:left w:val="nil"/>
              <w:bottom w:val="nil"/>
              <w:right w:val="nil"/>
            </w:tcBorders>
            <w:shd w:val="clear" w:color="auto" w:fill="auto"/>
            <w:vAlign w:val="center"/>
            <w:hideMark/>
          </w:tcPr>
          <w:p w14:paraId="7A4A3972"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7</w:t>
            </w:r>
          </w:p>
        </w:tc>
        <w:tc>
          <w:tcPr>
            <w:tcW w:w="1180" w:type="dxa"/>
            <w:tcBorders>
              <w:top w:val="nil"/>
              <w:left w:val="nil"/>
              <w:bottom w:val="nil"/>
              <w:right w:val="nil"/>
            </w:tcBorders>
            <w:shd w:val="clear" w:color="auto" w:fill="auto"/>
            <w:vAlign w:val="center"/>
            <w:hideMark/>
          </w:tcPr>
          <w:p w14:paraId="0C8ACBBE"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12 654</w:t>
            </w:r>
          </w:p>
        </w:tc>
        <w:tc>
          <w:tcPr>
            <w:tcW w:w="900" w:type="dxa"/>
            <w:tcBorders>
              <w:top w:val="nil"/>
              <w:left w:val="nil"/>
              <w:bottom w:val="nil"/>
              <w:right w:val="nil"/>
            </w:tcBorders>
            <w:shd w:val="clear" w:color="auto" w:fill="auto"/>
            <w:vAlign w:val="center"/>
            <w:hideMark/>
          </w:tcPr>
          <w:p w14:paraId="43B6FF48"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1 793</w:t>
            </w:r>
          </w:p>
        </w:tc>
        <w:tc>
          <w:tcPr>
            <w:tcW w:w="1180" w:type="dxa"/>
            <w:tcBorders>
              <w:top w:val="nil"/>
              <w:left w:val="nil"/>
              <w:bottom w:val="nil"/>
              <w:right w:val="nil"/>
            </w:tcBorders>
            <w:shd w:val="clear" w:color="auto" w:fill="auto"/>
            <w:vAlign w:val="center"/>
            <w:hideMark/>
          </w:tcPr>
          <w:p w14:paraId="5E6C3D07"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3 148 849</w:t>
            </w:r>
          </w:p>
        </w:tc>
      </w:tr>
      <w:tr w:rsidR="00726B1E" w:rsidRPr="00726B1E" w14:paraId="136E2FB1" w14:textId="77777777" w:rsidTr="0029660B">
        <w:trPr>
          <w:trHeight w:val="284"/>
        </w:trPr>
        <w:tc>
          <w:tcPr>
            <w:tcW w:w="3820" w:type="dxa"/>
            <w:tcBorders>
              <w:top w:val="nil"/>
              <w:left w:val="nil"/>
              <w:bottom w:val="single" w:sz="4" w:space="0" w:color="auto"/>
              <w:right w:val="nil"/>
            </w:tcBorders>
            <w:shd w:val="clear" w:color="auto" w:fill="auto"/>
            <w:noWrap/>
            <w:vAlign w:val="bottom"/>
            <w:hideMark/>
          </w:tcPr>
          <w:p w14:paraId="11EE8AA2" w14:textId="77777777" w:rsidR="00726B1E" w:rsidRPr="00726B1E" w:rsidRDefault="00726B1E" w:rsidP="00726B1E">
            <w:pPr>
              <w:tabs>
                <w:tab w:val="clear" w:pos="567"/>
              </w:tabs>
              <w:spacing w:after="0" w:line="240" w:lineRule="auto"/>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Depreciation</w:t>
            </w:r>
          </w:p>
        </w:tc>
        <w:tc>
          <w:tcPr>
            <w:tcW w:w="960" w:type="dxa"/>
            <w:tcBorders>
              <w:top w:val="nil"/>
              <w:left w:val="nil"/>
              <w:bottom w:val="single" w:sz="4" w:space="0" w:color="auto"/>
              <w:right w:val="single" w:sz="4" w:space="0" w:color="auto"/>
            </w:tcBorders>
            <w:shd w:val="clear" w:color="auto" w:fill="auto"/>
            <w:vAlign w:val="center"/>
            <w:hideMark/>
          </w:tcPr>
          <w:p w14:paraId="07492B9E"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1 013</w:t>
            </w:r>
          </w:p>
        </w:tc>
        <w:tc>
          <w:tcPr>
            <w:tcW w:w="900" w:type="dxa"/>
            <w:tcBorders>
              <w:top w:val="nil"/>
              <w:left w:val="nil"/>
              <w:bottom w:val="single" w:sz="4" w:space="0" w:color="auto"/>
              <w:right w:val="nil"/>
            </w:tcBorders>
            <w:shd w:val="clear" w:color="auto" w:fill="auto"/>
            <w:vAlign w:val="center"/>
            <w:hideMark/>
          </w:tcPr>
          <w:p w14:paraId="1D1AF9CF"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794</w:t>
            </w:r>
          </w:p>
        </w:tc>
        <w:tc>
          <w:tcPr>
            <w:tcW w:w="1180" w:type="dxa"/>
            <w:tcBorders>
              <w:top w:val="nil"/>
              <w:left w:val="nil"/>
              <w:bottom w:val="single" w:sz="4" w:space="0" w:color="auto"/>
              <w:right w:val="nil"/>
            </w:tcBorders>
            <w:shd w:val="clear" w:color="auto" w:fill="auto"/>
            <w:vAlign w:val="center"/>
            <w:hideMark/>
          </w:tcPr>
          <w:p w14:paraId="2EEE3086"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1 394 047</w:t>
            </w:r>
          </w:p>
        </w:tc>
        <w:tc>
          <w:tcPr>
            <w:tcW w:w="900" w:type="dxa"/>
            <w:tcBorders>
              <w:top w:val="nil"/>
              <w:left w:val="nil"/>
              <w:bottom w:val="single" w:sz="4" w:space="0" w:color="auto"/>
              <w:right w:val="nil"/>
            </w:tcBorders>
            <w:shd w:val="clear" w:color="auto" w:fill="auto"/>
            <w:vAlign w:val="center"/>
            <w:hideMark/>
          </w:tcPr>
          <w:p w14:paraId="02C8529C"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c>
          <w:tcPr>
            <w:tcW w:w="1180" w:type="dxa"/>
            <w:tcBorders>
              <w:top w:val="nil"/>
              <w:left w:val="nil"/>
              <w:bottom w:val="single" w:sz="4" w:space="0" w:color="auto"/>
              <w:right w:val="nil"/>
            </w:tcBorders>
            <w:shd w:val="clear" w:color="auto" w:fill="auto"/>
            <w:vAlign w:val="center"/>
            <w:hideMark/>
          </w:tcPr>
          <w:p w14:paraId="5A15DA8D"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0</w:t>
            </w:r>
          </w:p>
        </w:tc>
      </w:tr>
      <w:tr w:rsidR="00726B1E" w:rsidRPr="00726B1E" w14:paraId="6D8183D9" w14:textId="77777777" w:rsidTr="0029660B">
        <w:trPr>
          <w:trHeight w:val="284"/>
        </w:trPr>
        <w:tc>
          <w:tcPr>
            <w:tcW w:w="3820" w:type="dxa"/>
            <w:tcBorders>
              <w:top w:val="single" w:sz="4" w:space="0" w:color="auto"/>
              <w:left w:val="nil"/>
              <w:bottom w:val="single" w:sz="4" w:space="0" w:color="auto"/>
              <w:right w:val="nil"/>
            </w:tcBorders>
            <w:shd w:val="clear" w:color="auto" w:fill="auto"/>
            <w:vAlign w:val="center"/>
            <w:hideMark/>
          </w:tcPr>
          <w:p w14:paraId="052842F7" w14:textId="77777777" w:rsidR="00726B1E" w:rsidRPr="00726B1E" w:rsidRDefault="00726B1E" w:rsidP="00737770">
            <w:pPr>
              <w:tabs>
                <w:tab w:val="clear" w:pos="567"/>
              </w:tabs>
              <w:spacing w:after="0" w:line="240" w:lineRule="auto"/>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Total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49DB0E7"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8 658</w:t>
            </w:r>
          </w:p>
        </w:tc>
        <w:tc>
          <w:tcPr>
            <w:tcW w:w="900" w:type="dxa"/>
            <w:tcBorders>
              <w:top w:val="single" w:sz="4" w:space="0" w:color="auto"/>
              <w:left w:val="nil"/>
              <w:bottom w:val="single" w:sz="4" w:space="0" w:color="auto"/>
              <w:right w:val="nil"/>
            </w:tcBorders>
            <w:shd w:val="clear" w:color="auto" w:fill="auto"/>
            <w:vAlign w:val="center"/>
            <w:hideMark/>
          </w:tcPr>
          <w:p w14:paraId="60989071"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18 241</w:t>
            </w:r>
          </w:p>
        </w:tc>
        <w:tc>
          <w:tcPr>
            <w:tcW w:w="1180" w:type="dxa"/>
            <w:tcBorders>
              <w:top w:val="single" w:sz="4" w:space="0" w:color="auto"/>
              <w:left w:val="nil"/>
              <w:bottom w:val="single" w:sz="4" w:space="0" w:color="auto"/>
              <w:right w:val="nil"/>
            </w:tcBorders>
            <w:shd w:val="clear" w:color="auto" w:fill="auto"/>
            <w:vAlign w:val="center"/>
            <w:hideMark/>
          </w:tcPr>
          <w:p w14:paraId="57EA2913"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32 031 387</w:t>
            </w:r>
          </w:p>
        </w:tc>
        <w:tc>
          <w:tcPr>
            <w:tcW w:w="900" w:type="dxa"/>
            <w:tcBorders>
              <w:top w:val="single" w:sz="4" w:space="0" w:color="auto"/>
              <w:left w:val="nil"/>
              <w:bottom w:val="single" w:sz="4" w:space="0" w:color="auto"/>
              <w:right w:val="nil"/>
            </w:tcBorders>
            <w:shd w:val="clear" w:color="auto" w:fill="auto"/>
            <w:vAlign w:val="center"/>
            <w:hideMark/>
          </w:tcPr>
          <w:p w14:paraId="4D369891"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18 868</w:t>
            </w:r>
          </w:p>
        </w:tc>
        <w:tc>
          <w:tcPr>
            <w:tcW w:w="1180" w:type="dxa"/>
            <w:tcBorders>
              <w:top w:val="single" w:sz="4" w:space="0" w:color="auto"/>
              <w:left w:val="nil"/>
              <w:bottom w:val="single" w:sz="4" w:space="0" w:color="auto"/>
              <w:right w:val="nil"/>
            </w:tcBorders>
            <w:shd w:val="clear" w:color="auto" w:fill="auto"/>
            <w:vAlign w:val="center"/>
            <w:hideMark/>
          </w:tcPr>
          <w:p w14:paraId="4287C446" w14:textId="77777777" w:rsidR="00726B1E" w:rsidRPr="00726B1E" w:rsidRDefault="00726B1E" w:rsidP="00726B1E">
            <w:pPr>
              <w:tabs>
                <w:tab w:val="clear" w:pos="567"/>
              </w:tabs>
              <w:spacing w:after="0" w:line="240" w:lineRule="auto"/>
              <w:jc w:val="right"/>
              <w:rPr>
                <w:rFonts w:ascii="Calibri" w:eastAsia="Times New Roman" w:hAnsi="Calibri" w:cs="Times New Roman"/>
                <w:sz w:val="20"/>
                <w:szCs w:val="20"/>
                <w:lang w:eastAsia="en-AU"/>
              </w:rPr>
            </w:pPr>
            <w:r w:rsidRPr="00726B1E">
              <w:rPr>
                <w:rFonts w:ascii="Calibri" w:eastAsia="Times New Roman" w:hAnsi="Calibri" w:cs="Times New Roman"/>
                <w:sz w:val="20"/>
                <w:szCs w:val="20"/>
                <w:lang w:eastAsia="en-AU"/>
              </w:rPr>
              <w:t>33 132 844</w:t>
            </w:r>
          </w:p>
        </w:tc>
      </w:tr>
    </w:tbl>
    <w:p w14:paraId="1CAC148B" w14:textId="77777777" w:rsidR="00C37DB0" w:rsidRDefault="00C37DB0" w:rsidP="00C37DB0">
      <w:pPr>
        <w:pStyle w:val="CGCTableFootnote"/>
        <w:numPr>
          <w:ilvl w:val="4"/>
          <w:numId w:val="15"/>
        </w:numPr>
        <w:ind w:left="567" w:hanging="567"/>
      </w:pPr>
      <w:r>
        <w:t>Actual expenses include expenses incurred by both</w:t>
      </w:r>
      <w:r w:rsidR="002F493D">
        <w:t xml:space="preserve"> </w:t>
      </w:r>
      <w:r w:rsidR="008F4885">
        <w:t>the Department</w:t>
      </w:r>
      <w:r w:rsidR="002F493D">
        <w:t xml:space="preserve"> and NIRC</w:t>
      </w:r>
      <w:r>
        <w:t>.</w:t>
      </w:r>
    </w:p>
    <w:p w14:paraId="109CE3F4" w14:textId="77777777" w:rsidR="00C37DB0" w:rsidRDefault="00C37DB0" w:rsidP="00C37DB0">
      <w:pPr>
        <w:pStyle w:val="CGCTableFootnote"/>
        <w:numPr>
          <w:ilvl w:val="4"/>
          <w:numId w:val="15"/>
        </w:numPr>
        <w:ind w:left="567" w:hanging="567"/>
      </w:pPr>
      <w:r>
        <w:t xml:space="preserve">The difference between assessed and actual expenses is due to the inability to dissect actual expenses by function.  </w:t>
      </w:r>
    </w:p>
    <w:p w14:paraId="6DE1B7BE" w14:textId="77777777" w:rsidR="00C37DB0" w:rsidRDefault="00C37DB0" w:rsidP="00C37DB0">
      <w:pPr>
        <w:pStyle w:val="CGCTableFootnote"/>
      </w:pPr>
      <w:r>
        <w:t>Source: Commission staff analysis.</w:t>
      </w:r>
    </w:p>
    <w:p w14:paraId="0752E565" w14:textId="77777777" w:rsidR="00C37DB0" w:rsidRDefault="00C37DB0" w:rsidP="001E4105">
      <w:pPr>
        <w:pStyle w:val="CGCNumberedPara"/>
        <w:tabs>
          <w:tab w:val="num" w:pos="567"/>
        </w:tabs>
      </w:pPr>
      <w:r>
        <w:lastRenderedPageBreak/>
        <w:t xml:space="preserve">The classification of services is similar to the classification the Commission now uses for its inquiries into State finances and as such differs from that used in the 2011 </w:t>
      </w:r>
      <w:r w:rsidR="00F547A5">
        <w:t>inquiry</w:t>
      </w:r>
      <w:r>
        <w:t xml:space="preserve">. </w:t>
      </w:r>
    </w:p>
    <w:p w14:paraId="1237006D" w14:textId="77777777" w:rsidR="00C37DB0" w:rsidRDefault="00C37DB0" w:rsidP="001E4105">
      <w:pPr>
        <w:pStyle w:val="CGCNumberedPara"/>
        <w:tabs>
          <w:tab w:val="num" w:pos="567"/>
        </w:tabs>
      </w:pPr>
      <w:r>
        <w:t>The following sections discuss the approaches used to calculate comparable State-type expenses for Norfolk Island.</w:t>
      </w:r>
    </w:p>
    <w:p w14:paraId="631819EE" w14:textId="77777777" w:rsidR="00C37DB0" w:rsidRDefault="00C37DB0" w:rsidP="00C37DB0">
      <w:pPr>
        <w:pStyle w:val="Heading3"/>
      </w:pPr>
      <w:bookmarkStart w:id="559" w:name="_Toc17380521"/>
      <w:bookmarkStart w:id="560" w:name="_Toc19262977"/>
      <w:bookmarkStart w:id="561" w:name="_Toc23847522"/>
      <w:r>
        <w:t>Methods</w:t>
      </w:r>
      <w:bookmarkEnd w:id="559"/>
      <w:bookmarkEnd w:id="560"/>
      <w:bookmarkEnd w:id="561"/>
    </w:p>
    <w:p w14:paraId="2EA7B27A" w14:textId="77777777" w:rsidR="00C37DB0" w:rsidRDefault="00C37DB0" w:rsidP="00242722">
      <w:pPr>
        <w:pStyle w:val="CGCNumberedPara"/>
      </w:pPr>
      <w:r>
        <w:t xml:space="preserve">The 2011 Norfolk Island </w:t>
      </w:r>
      <w:r w:rsidR="00F547A5">
        <w:t>inquiry</w:t>
      </w:r>
      <w:r>
        <w:t xml:space="preserve"> used two methods to derive assessed expenses. Assessed expenses were either based on those in a comparable community in other parts of Australia (including in some cases the all-State average expense) or existing costs on </w:t>
      </w:r>
      <w:r w:rsidRPr="00242722">
        <w:t>Norfolk</w:t>
      </w:r>
      <w:r>
        <w:t xml:space="preserve"> Island. Where costs for a comparable Australian community were used, adjustments were made to take account of Norfolk Island’s unique circumstances (for example, lower wages, isolation and the influence of tourism). Many of the methods adopted in 2011 were based on those used in the 2006 Norfolk </w:t>
      </w:r>
      <w:r w:rsidR="00F547A5">
        <w:t>inquiry</w:t>
      </w:r>
      <w:r>
        <w:t>.</w:t>
      </w:r>
    </w:p>
    <w:p w14:paraId="7276C530" w14:textId="77777777" w:rsidR="00C37DB0" w:rsidRDefault="00C37DB0" w:rsidP="001E4105">
      <w:pPr>
        <w:pStyle w:val="CGCNumberedPara"/>
        <w:tabs>
          <w:tab w:val="left" w:pos="720"/>
        </w:tabs>
      </w:pPr>
      <w:r>
        <w:t xml:space="preserve">For this inquiry, we have drawn on the latest methods and data the Commission uses for its State finance inquiries. There have been significant changes to the Commission’s methods since the 2011 </w:t>
      </w:r>
      <w:r w:rsidR="00F547A5">
        <w:t>inquiry</w:t>
      </w:r>
      <w:r>
        <w:t xml:space="preserve"> because it has been asked to simplify its methods and the available data have changed, particularly in the areas of schools, police and health. </w:t>
      </w:r>
    </w:p>
    <w:p w14:paraId="5177BE98" w14:textId="77777777" w:rsidR="00C37DB0" w:rsidRDefault="00C37DB0" w:rsidP="001E4105">
      <w:pPr>
        <w:pStyle w:val="CGCNumberedPara"/>
        <w:tabs>
          <w:tab w:val="left" w:pos="720"/>
        </w:tabs>
      </w:pPr>
      <w:r>
        <w:t xml:space="preserve">For each service category, we considered whether we could use the methods the Commission is developing for its 2020 Review methods to derive assessed expenses for Norfolk Island. We concluded they were appropriate for most services. The following sections outline the methods used to assess Norfolk Island State-type service expenses. </w:t>
      </w:r>
    </w:p>
    <w:p w14:paraId="79D7A64E" w14:textId="77777777" w:rsidR="00C37DB0" w:rsidRDefault="00C37DB0" w:rsidP="00C37DB0">
      <w:pPr>
        <w:pStyle w:val="Heading3"/>
      </w:pPr>
      <w:bookmarkStart w:id="562" w:name="_Toc17380522"/>
      <w:bookmarkStart w:id="563" w:name="_Toc19262978"/>
      <w:bookmarkStart w:id="564" w:name="_Toc23847523"/>
      <w:r>
        <w:t>Schools</w:t>
      </w:r>
      <w:bookmarkEnd w:id="562"/>
      <w:bookmarkEnd w:id="563"/>
      <w:bookmarkEnd w:id="564"/>
    </w:p>
    <w:p w14:paraId="6113FD6A" w14:textId="77777777" w:rsidR="00C37DB0" w:rsidRDefault="00C37DB0" w:rsidP="00C37DB0">
      <w:pPr>
        <w:pStyle w:val="Heading4"/>
      </w:pPr>
      <w:bookmarkStart w:id="565" w:name="_Toc17380523"/>
      <w:bookmarkStart w:id="566" w:name="_Toc19262979"/>
      <w:bookmarkStart w:id="567" w:name="_Toc23847524"/>
      <w:r>
        <w:t>State service and funding arrangements</w:t>
      </w:r>
      <w:bookmarkEnd w:id="565"/>
      <w:bookmarkEnd w:id="566"/>
      <w:bookmarkEnd w:id="567"/>
    </w:p>
    <w:p w14:paraId="56EDA7BE" w14:textId="77777777" w:rsidR="00C37DB0" w:rsidRDefault="00C37DB0" w:rsidP="001E4105">
      <w:pPr>
        <w:pStyle w:val="CGCNumberedPara"/>
        <w:tabs>
          <w:tab w:val="num" w:pos="567"/>
        </w:tabs>
      </w:pPr>
      <w:r>
        <w:t>State governments spent $40 billion on government and non-government schools in 2017</w:t>
      </w:r>
      <w:r>
        <w:noBreakHyphen/>
        <w:t xml:space="preserve">18, which was about 19% of total State government spending. Both the Commonwealth and State governments fund government schools. States provide around 80% of government recurrent funding for government schools, and the Commonwealth provides 20%, mainly through the Quality school funding program. </w:t>
      </w:r>
    </w:p>
    <w:p w14:paraId="764914DD" w14:textId="77777777" w:rsidR="00C37DB0" w:rsidRDefault="00C37DB0" w:rsidP="001E4105">
      <w:pPr>
        <w:pStyle w:val="CGCNumberedPara"/>
        <w:tabs>
          <w:tab w:val="num" w:pos="567"/>
        </w:tabs>
      </w:pPr>
      <w:r>
        <w:lastRenderedPageBreak/>
        <w:t>States usually provide one year of pre-school for four or five year olds in the year before full-time schooling. Preschool programs are intended to be available for a minimum of 600 hours per calendar year (or 15 hours per week for 40 weeks).</w:t>
      </w:r>
      <w:r>
        <w:rPr>
          <w:rStyle w:val="FootnoteReference"/>
        </w:rPr>
        <w:footnoteReference w:id="26"/>
      </w:r>
    </w:p>
    <w:p w14:paraId="6CB25140" w14:textId="77777777" w:rsidR="00C37DB0" w:rsidRDefault="00C37DB0" w:rsidP="00C37DB0">
      <w:pPr>
        <w:pStyle w:val="Heading4"/>
      </w:pPr>
      <w:bookmarkStart w:id="568" w:name="_Toc17380524"/>
      <w:bookmarkStart w:id="569" w:name="_Toc19262980"/>
      <w:bookmarkStart w:id="570" w:name="_Toc23847525"/>
      <w:r>
        <w:t>Norfolk Island service and funding arrangements</w:t>
      </w:r>
      <w:bookmarkEnd w:id="568"/>
      <w:bookmarkEnd w:id="569"/>
      <w:bookmarkEnd w:id="570"/>
      <w:r>
        <w:t xml:space="preserve"> </w:t>
      </w:r>
    </w:p>
    <w:p w14:paraId="0FE404E8" w14:textId="77777777" w:rsidR="000D7543" w:rsidRPr="000D7543" w:rsidRDefault="00C37DB0" w:rsidP="001E4105">
      <w:pPr>
        <w:pStyle w:val="CGCNumberedPara"/>
        <w:tabs>
          <w:tab w:val="num" w:pos="567"/>
        </w:tabs>
        <w:rPr>
          <w:bCs/>
        </w:rPr>
      </w:pPr>
      <w:r>
        <w:t>Norfolk Island Central School provides kindergarten to Year 12 classes. It is the only school on Norfolk Island. There were 287 enrolments in 2018 and approximately 25 full</w:t>
      </w:r>
      <w:r>
        <w:noBreakHyphen/>
        <w:t>time equivalent teaching staff plus nine ancillary and support staff. The total cost of services in 2017</w:t>
      </w:r>
      <w:r>
        <w:noBreakHyphen/>
        <w:t>18 was $6.4 million plus internet costs of $856</w:t>
      </w:r>
      <w:r w:rsidR="00F562D9">
        <w:t> </w:t>
      </w:r>
      <w:r>
        <w:t xml:space="preserve">000. </w:t>
      </w:r>
      <w:r w:rsidR="000D7543">
        <w:t xml:space="preserve">See table E-2 for an overview of the school. </w:t>
      </w:r>
    </w:p>
    <w:p w14:paraId="399CE71D" w14:textId="77777777" w:rsidR="00C37DB0" w:rsidRDefault="00C37DB0" w:rsidP="001E4105">
      <w:pPr>
        <w:pStyle w:val="CGCNumberedPara"/>
        <w:tabs>
          <w:tab w:val="num" w:pos="567"/>
        </w:tabs>
        <w:rPr>
          <w:bCs/>
        </w:rPr>
      </w:pPr>
      <w:r>
        <w:t>The internet costs were significantly higher than those for comparable mainland schools. We were una</w:t>
      </w:r>
      <w:r w:rsidR="006D3730">
        <w:t>ble to identify why that was so</w:t>
      </w:r>
      <w:r>
        <w:t>.</w:t>
      </w:r>
    </w:p>
    <w:p w14:paraId="535B0B2A" w14:textId="77777777" w:rsidR="00C37DB0" w:rsidRDefault="00C37DB0" w:rsidP="00C37DB0">
      <w:pPr>
        <w:pStyle w:val="Caption"/>
      </w:pPr>
      <w:r>
        <w:t>Table</w:t>
      </w:r>
      <w:r w:rsidR="00B64A4F">
        <w:t xml:space="preserve"> E-</w:t>
      </w:r>
      <w:r w:rsidR="00281C71">
        <w:t>2</w:t>
      </w:r>
      <w:r w:rsidR="00B64A4F">
        <w:tab/>
      </w:r>
      <w:r>
        <w:t>Norfolk Island Central School, 2018</w:t>
      </w:r>
    </w:p>
    <w:tbl>
      <w:tblPr>
        <w:tblStyle w:val="TableGrid"/>
        <w:tblW w:w="0" w:type="auto"/>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77"/>
        <w:gridCol w:w="3174"/>
      </w:tblGrid>
      <w:tr w:rsidR="00C37DB0" w14:paraId="3A97AD34" w14:textId="77777777" w:rsidTr="00C37DB0">
        <w:tc>
          <w:tcPr>
            <w:tcW w:w="5777" w:type="dxa"/>
            <w:tcBorders>
              <w:top w:val="single" w:sz="4" w:space="0" w:color="auto"/>
              <w:left w:val="nil"/>
              <w:bottom w:val="nil"/>
              <w:right w:val="nil"/>
            </w:tcBorders>
            <w:vAlign w:val="center"/>
            <w:hideMark/>
          </w:tcPr>
          <w:p w14:paraId="66C83CF9" w14:textId="77777777" w:rsidR="00C37DB0" w:rsidRDefault="00C37DB0">
            <w:pPr>
              <w:keepNext/>
              <w:keepLines/>
              <w:spacing w:line="240" w:lineRule="auto"/>
              <w:ind w:left="193" w:hanging="142"/>
              <w:rPr>
                <w:sz w:val="20"/>
                <w:szCs w:val="20"/>
              </w:rPr>
            </w:pPr>
            <w:r>
              <w:rPr>
                <w:sz w:val="20"/>
                <w:szCs w:val="20"/>
              </w:rPr>
              <w:t>Enrolments (K-12)</w:t>
            </w:r>
          </w:p>
        </w:tc>
        <w:tc>
          <w:tcPr>
            <w:tcW w:w="3174" w:type="dxa"/>
            <w:tcBorders>
              <w:top w:val="single" w:sz="4" w:space="0" w:color="auto"/>
              <w:left w:val="nil"/>
              <w:bottom w:val="nil"/>
              <w:right w:val="nil"/>
            </w:tcBorders>
            <w:vAlign w:val="center"/>
            <w:hideMark/>
          </w:tcPr>
          <w:p w14:paraId="2AD7F9D2" w14:textId="77777777" w:rsidR="00C37DB0" w:rsidRDefault="00C37DB0">
            <w:pPr>
              <w:keepNext/>
              <w:keepLines/>
              <w:spacing w:line="240" w:lineRule="auto"/>
              <w:jc w:val="right"/>
              <w:rPr>
                <w:sz w:val="20"/>
                <w:szCs w:val="20"/>
              </w:rPr>
            </w:pPr>
            <w:r>
              <w:rPr>
                <w:sz w:val="20"/>
                <w:szCs w:val="20"/>
              </w:rPr>
              <w:t>287</w:t>
            </w:r>
          </w:p>
        </w:tc>
      </w:tr>
      <w:tr w:rsidR="00C37DB0" w14:paraId="1E9911F8" w14:textId="77777777" w:rsidTr="00C37DB0">
        <w:tc>
          <w:tcPr>
            <w:tcW w:w="5777" w:type="dxa"/>
            <w:tcBorders>
              <w:top w:val="nil"/>
              <w:left w:val="nil"/>
              <w:bottom w:val="nil"/>
              <w:right w:val="nil"/>
            </w:tcBorders>
            <w:vAlign w:val="bottom"/>
            <w:hideMark/>
          </w:tcPr>
          <w:p w14:paraId="67DC7B68" w14:textId="77777777" w:rsidR="00C37DB0" w:rsidRDefault="00C37DB0">
            <w:pPr>
              <w:keepNext/>
              <w:keepLines/>
              <w:spacing w:after="0" w:line="240" w:lineRule="auto"/>
              <w:ind w:left="193" w:hanging="142"/>
              <w:rPr>
                <w:sz w:val="20"/>
                <w:szCs w:val="20"/>
              </w:rPr>
            </w:pPr>
            <w:r>
              <w:rPr>
                <w:sz w:val="20"/>
                <w:szCs w:val="20"/>
              </w:rPr>
              <w:t>Index of Community Socio-Educational Advantage (ICSEA)</w:t>
            </w:r>
          </w:p>
          <w:p w14:paraId="1077249E" w14:textId="77777777" w:rsidR="00C37DB0" w:rsidRDefault="00C37DB0">
            <w:pPr>
              <w:keepNext/>
              <w:keepLines/>
              <w:spacing w:after="0" w:line="240" w:lineRule="auto"/>
              <w:ind w:left="193" w:hanging="142"/>
              <w:rPr>
                <w:sz w:val="20"/>
                <w:szCs w:val="20"/>
              </w:rPr>
            </w:pPr>
            <w:r>
              <w:rPr>
                <w:sz w:val="20"/>
                <w:szCs w:val="20"/>
              </w:rPr>
              <w:t>(the Australian average ICSEA value is 1 000)</w:t>
            </w:r>
          </w:p>
        </w:tc>
        <w:tc>
          <w:tcPr>
            <w:tcW w:w="3174" w:type="dxa"/>
            <w:tcBorders>
              <w:top w:val="nil"/>
              <w:left w:val="nil"/>
              <w:bottom w:val="nil"/>
              <w:right w:val="nil"/>
            </w:tcBorders>
            <w:vAlign w:val="bottom"/>
            <w:hideMark/>
          </w:tcPr>
          <w:p w14:paraId="45C48116" w14:textId="77777777" w:rsidR="00C37DB0" w:rsidRDefault="00C37DB0">
            <w:pPr>
              <w:keepNext/>
              <w:keepLines/>
              <w:spacing w:line="240" w:lineRule="auto"/>
              <w:jc w:val="right"/>
              <w:rPr>
                <w:sz w:val="20"/>
                <w:szCs w:val="20"/>
              </w:rPr>
            </w:pPr>
            <w:r>
              <w:rPr>
                <w:sz w:val="20"/>
                <w:szCs w:val="20"/>
              </w:rPr>
              <w:t>1,005</w:t>
            </w:r>
          </w:p>
        </w:tc>
      </w:tr>
      <w:tr w:rsidR="00C37DB0" w14:paraId="6526FACB" w14:textId="77777777" w:rsidTr="00C37DB0">
        <w:tc>
          <w:tcPr>
            <w:tcW w:w="5777" w:type="dxa"/>
            <w:tcBorders>
              <w:top w:val="nil"/>
              <w:left w:val="nil"/>
              <w:bottom w:val="nil"/>
              <w:right w:val="nil"/>
            </w:tcBorders>
            <w:vAlign w:val="bottom"/>
            <w:hideMark/>
          </w:tcPr>
          <w:p w14:paraId="71531CED" w14:textId="77777777" w:rsidR="00C37DB0" w:rsidRDefault="00C37DB0">
            <w:pPr>
              <w:keepNext/>
              <w:keepLines/>
              <w:spacing w:after="0" w:line="240" w:lineRule="auto"/>
              <w:ind w:left="193" w:hanging="142"/>
              <w:rPr>
                <w:sz w:val="20"/>
                <w:szCs w:val="20"/>
              </w:rPr>
            </w:pPr>
            <w:r>
              <w:rPr>
                <w:sz w:val="20"/>
                <w:szCs w:val="20"/>
              </w:rPr>
              <w:t>Proportion of students in the bottom ICSEA quintile</w:t>
            </w:r>
          </w:p>
        </w:tc>
        <w:tc>
          <w:tcPr>
            <w:tcW w:w="3174" w:type="dxa"/>
            <w:tcBorders>
              <w:top w:val="nil"/>
              <w:left w:val="nil"/>
              <w:bottom w:val="nil"/>
              <w:right w:val="nil"/>
            </w:tcBorders>
            <w:vAlign w:val="bottom"/>
            <w:hideMark/>
          </w:tcPr>
          <w:p w14:paraId="1C899507" w14:textId="77777777" w:rsidR="00C37DB0" w:rsidRDefault="00C37DB0">
            <w:pPr>
              <w:keepNext/>
              <w:keepLines/>
              <w:spacing w:line="240" w:lineRule="auto"/>
              <w:jc w:val="right"/>
              <w:rPr>
                <w:sz w:val="20"/>
                <w:szCs w:val="20"/>
              </w:rPr>
            </w:pPr>
            <w:r>
              <w:rPr>
                <w:sz w:val="20"/>
                <w:szCs w:val="20"/>
              </w:rPr>
              <w:t>17%</w:t>
            </w:r>
          </w:p>
        </w:tc>
      </w:tr>
      <w:tr w:rsidR="00C37DB0" w14:paraId="51664E73" w14:textId="77777777" w:rsidTr="00C37DB0">
        <w:tc>
          <w:tcPr>
            <w:tcW w:w="5777" w:type="dxa"/>
            <w:tcBorders>
              <w:top w:val="nil"/>
              <w:left w:val="nil"/>
              <w:bottom w:val="nil"/>
              <w:right w:val="nil"/>
            </w:tcBorders>
            <w:vAlign w:val="bottom"/>
            <w:hideMark/>
          </w:tcPr>
          <w:p w14:paraId="23702201" w14:textId="77777777" w:rsidR="00C37DB0" w:rsidRDefault="00C37DB0">
            <w:pPr>
              <w:keepNext/>
              <w:keepLines/>
              <w:spacing w:line="240" w:lineRule="auto"/>
              <w:ind w:left="193" w:hanging="142"/>
              <w:rPr>
                <w:sz w:val="20"/>
                <w:szCs w:val="20"/>
              </w:rPr>
            </w:pPr>
            <w:r>
              <w:rPr>
                <w:sz w:val="20"/>
                <w:szCs w:val="20"/>
              </w:rPr>
              <w:t>Teaching staff (full-time equivalent)</w:t>
            </w:r>
          </w:p>
        </w:tc>
        <w:tc>
          <w:tcPr>
            <w:tcW w:w="3174" w:type="dxa"/>
            <w:tcBorders>
              <w:top w:val="nil"/>
              <w:left w:val="nil"/>
              <w:bottom w:val="nil"/>
              <w:right w:val="nil"/>
            </w:tcBorders>
            <w:vAlign w:val="bottom"/>
            <w:hideMark/>
          </w:tcPr>
          <w:p w14:paraId="1FD53531" w14:textId="77777777" w:rsidR="00C37DB0" w:rsidRDefault="00C37DB0">
            <w:pPr>
              <w:keepNext/>
              <w:keepLines/>
              <w:spacing w:line="240" w:lineRule="auto"/>
              <w:jc w:val="right"/>
              <w:rPr>
                <w:sz w:val="20"/>
                <w:szCs w:val="20"/>
              </w:rPr>
            </w:pPr>
            <w:r>
              <w:rPr>
                <w:sz w:val="20"/>
                <w:szCs w:val="20"/>
              </w:rPr>
              <w:t>25.3</w:t>
            </w:r>
          </w:p>
        </w:tc>
      </w:tr>
      <w:tr w:rsidR="00C37DB0" w14:paraId="6AEE46DD" w14:textId="77777777" w:rsidTr="00C37DB0">
        <w:tc>
          <w:tcPr>
            <w:tcW w:w="5777" w:type="dxa"/>
            <w:tcBorders>
              <w:top w:val="nil"/>
              <w:left w:val="nil"/>
              <w:bottom w:val="nil"/>
              <w:right w:val="nil"/>
            </w:tcBorders>
            <w:vAlign w:val="bottom"/>
            <w:hideMark/>
          </w:tcPr>
          <w:p w14:paraId="5CDC6DB7" w14:textId="77777777" w:rsidR="00C37DB0" w:rsidRDefault="00C37DB0">
            <w:pPr>
              <w:keepNext/>
              <w:keepLines/>
              <w:spacing w:line="240" w:lineRule="auto"/>
              <w:ind w:left="193" w:hanging="142"/>
              <w:rPr>
                <w:sz w:val="20"/>
                <w:szCs w:val="20"/>
              </w:rPr>
            </w:pPr>
            <w:r>
              <w:rPr>
                <w:sz w:val="20"/>
                <w:szCs w:val="20"/>
              </w:rPr>
              <w:t>Ancillary and support staff (full-time equivalent)</w:t>
            </w:r>
          </w:p>
        </w:tc>
        <w:tc>
          <w:tcPr>
            <w:tcW w:w="3174" w:type="dxa"/>
            <w:tcBorders>
              <w:top w:val="nil"/>
              <w:left w:val="nil"/>
              <w:bottom w:val="nil"/>
              <w:right w:val="nil"/>
            </w:tcBorders>
            <w:vAlign w:val="bottom"/>
            <w:hideMark/>
          </w:tcPr>
          <w:p w14:paraId="0F69DA74" w14:textId="77777777" w:rsidR="00C37DB0" w:rsidRDefault="00C37DB0">
            <w:pPr>
              <w:keepNext/>
              <w:keepLines/>
              <w:spacing w:line="240" w:lineRule="auto"/>
              <w:jc w:val="right"/>
              <w:rPr>
                <w:sz w:val="20"/>
                <w:szCs w:val="20"/>
              </w:rPr>
            </w:pPr>
            <w:r>
              <w:rPr>
                <w:sz w:val="20"/>
                <w:szCs w:val="20"/>
              </w:rPr>
              <w:t>9.5</w:t>
            </w:r>
          </w:p>
        </w:tc>
      </w:tr>
      <w:tr w:rsidR="00C37DB0" w14:paraId="6306EFA8" w14:textId="77777777" w:rsidTr="00C37DB0">
        <w:tc>
          <w:tcPr>
            <w:tcW w:w="5777" w:type="dxa"/>
            <w:tcBorders>
              <w:top w:val="nil"/>
              <w:left w:val="nil"/>
              <w:bottom w:val="nil"/>
              <w:right w:val="nil"/>
            </w:tcBorders>
            <w:vAlign w:val="bottom"/>
            <w:hideMark/>
          </w:tcPr>
          <w:p w14:paraId="52218B5D" w14:textId="77777777" w:rsidR="00C37DB0" w:rsidRDefault="00C37DB0">
            <w:pPr>
              <w:keepNext/>
              <w:keepLines/>
              <w:spacing w:line="240" w:lineRule="auto"/>
              <w:ind w:left="193" w:hanging="142"/>
              <w:rPr>
                <w:sz w:val="20"/>
                <w:szCs w:val="20"/>
              </w:rPr>
            </w:pPr>
            <w:r>
              <w:rPr>
                <w:sz w:val="20"/>
                <w:szCs w:val="20"/>
              </w:rPr>
              <w:t>ABS remoteness area</w:t>
            </w:r>
          </w:p>
        </w:tc>
        <w:tc>
          <w:tcPr>
            <w:tcW w:w="3174" w:type="dxa"/>
            <w:tcBorders>
              <w:top w:val="nil"/>
              <w:left w:val="nil"/>
              <w:bottom w:val="nil"/>
              <w:right w:val="nil"/>
            </w:tcBorders>
            <w:vAlign w:val="bottom"/>
            <w:hideMark/>
          </w:tcPr>
          <w:p w14:paraId="6BEC4B05" w14:textId="77777777" w:rsidR="00C37DB0" w:rsidRDefault="00C37DB0">
            <w:pPr>
              <w:keepNext/>
              <w:keepLines/>
              <w:spacing w:line="240" w:lineRule="auto"/>
              <w:jc w:val="right"/>
              <w:rPr>
                <w:sz w:val="20"/>
                <w:szCs w:val="20"/>
              </w:rPr>
            </w:pPr>
            <w:r>
              <w:rPr>
                <w:sz w:val="20"/>
                <w:szCs w:val="20"/>
              </w:rPr>
              <w:t>Very remote</w:t>
            </w:r>
          </w:p>
        </w:tc>
      </w:tr>
      <w:tr w:rsidR="00C37DB0" w14:paraId="621BB8E9" w14:textId="77777777" w:rsidTr="00C37DB0">
        <w:tc>
          <w:tcPr>
            <w:tcW w:w="5777" w:type="dxa"/>
            <w:tcBorders>
              <w:top w:val="nil"/>
              <w:left w:val="nil"/>
              <w:bottom w:val="nil"/>
              <w:right w:val="nil"/>
            </w:tcBorders>
            <w:vAlign w:val="bottom"/>
            <w:hideMark/>
          </w:tcPr>
          <w:p w14:paraId="1C24EF27" w14:textId="77777777" w:rsidR="00C37DB0" w:rsidRDefault="00A71083">
            <w:pPr>
              <w:keepNext/>
              <w:keepLines/>
              <w:spacing w:line="240" w:lineRule="auto"/>
              <w:ind w:left="193" w:hanging="142"/>
              <w:rPr>
                <w:sz w:val="20"/>
                <w:szCs w:val="20"/>
              </w:rPr>
            </w:pPr>
            <w:r>
              <w:rPr>
                <w:sz w:val="20"/>
                <w:szCs w:val="20"/>
              </w:rPr>
              <w:t>Aboriginal or Torres Strait Islander</w:t>
            </w:r>
            <w:r w:rsidR="00C37DB0">
              <w:rPr>
                <w:sz w:val="20"/>
                <w:szCs w:val="20"/>
              </w:rPr>
              <w:t xml:space="preserve"> students</w:t>
            </w:r>
            <w:r w:rsidR="00C37DB0">
              <w:rPr>
                <w:sz w:val="20"/>
                <w:szCs w:val="20"/>
                <w:vertAlign w:val="superscript"/>
              </w:rPr>
              <w:t>(a)</w:t>
            </w:r>
          </w:p>
        </w:tc>
        <w:tc>
          <w:tcPr>
            <w:tcW w:w="3174" w:type="dxa"/>
            <w:tcBorders>
              <w:top w:val="nil"/>
              <w:left w:val="nil"/>
              <w:bottom w:val="nil"/>
              <w:right w:val="nil"/>
            </w:tcBorders>
            <w:vAlign w:val="bottom"/>
            <w:hideMark/>
          </w:tcPr>
          <w:p w14:paraId="4FF76CF4" w14:textId="77777777" w:rsidR="00C37DB0" w:rsidRDefault="00C37DB0">
            <w:pPr>
              <w:keepNext/>
              <w:keepLines/>
              <w:spacing w:line="240" w:lineRule="auto"/>
              <w:jc w:val="right"/>
              <w:rPr>
                <w:sz w:val="20"/>
                <w:szCs w:val="20"/>
              </w:rPr>
            </w:pPr>
            <w:r>
              <w:rPr>
                <w:sz w:val="20"/>
                <w:szCs w:val="20"/>
              </w:rPr>
              <w:t>1%</w:t>
            </w:r>
          </w:p>
        </w:tc>
      </w:tr>
      <w:tr w:rsidR="00C37DB0" w14:paraId="017DA5E3" w14:textId="77777777" w:rsidTr="00C37DB0">
        <w:tc>
          <w:tcPr>
            <w:tcW w:w="5777" w:type="dxa"/>
            <w:tcBorders>
              <w:top w:val="nil"/>
              <w:left w:val="nil"/>
              <w:bottom w:val="nil"/>
              <w:right w:val="nil"/>
            </w:tcBorders>
            <w:vAlign w:val="bottom"/>
            <w:hideMark/>
          </w:tcPr>
          <w:p w14:paraId="5C91AE8A" w14:textId="77777777" w:rsidR="00C37DB0" w:rsidRDefault="00C37DB0">
            <w:pPr>
              <w:keepNext/>
              <w:keepLines/>
              <w:spacing w:line="240" w:lineRule="auto"/>
              <w:ind w:left="193" w:hanging="142"/>
              <w:rPr>
                <w:sz w:val="20"/>
                <w:szCs w:val="20"/>
              </w:rPr>
            </w:pPr>
            <w:r>
              <w:rPr>
                <w:sz w:val="20"/>
                <w:szCs w:val="20"/>
              </w:rPr>
              <w:t xml:space="preserve">Language background other than English </w:t>
            </w:r>
          </w:p>
        </w:tc>
        <w:tc>
          <w:tcPr>
            <w:tcW w:w="3174" w:type="dxa"/>
            <w:tcBorders>
              <w:top w:val="nil"/>
              <w:left w:val="nil"/>
              <w:bottom w:val="nil"/>
              <w:right w:val="nil"/>
            </w:tcBorders>
            <w:vAlign w:val="bottom"/>
            <w:hideMark/>
          </w:tcPr>
          <w:p w14:paraId="5BE1D38D" w14:textId="77777777" w:rsidR="00C37DB0" w:rsidRDefault="00C37DB0">
            <w:pPr>
              <w:keepNext/>
              <w:keepLines/>
              <w:spacing w:line="240" w:lineRule="auto"/>
              <w:jc w:val="right"/>
              <w:rPr>
                <w:sz w:val="20"/>
                <w:szCs w:val="20"/>
              </w:rPr>
            </w:pPr>
            <w:r>
              <w:rPr>
                <w:sz w:val="20"/>
                <w:szCs w:val="20"/>
              </w:rPr>
              <w:t>56%</w:t>
            </w:r>
          </w:p>
        </w:tc>
      </w:tr>
      <w:tr w:rsidR="00C37DB0" w14:paraId="7FA1EBB7" w14:textId="77777777" w:rsidTr="00C37DB0">
        <w:tc>
          <w:tcPr>
            <w:tcW w:w="5777" w:type="dxa"/>
            <w:tcBorders>
              <w:top w:val="nil"/>
              <w:left w:val="nil"/>
              <w:bottom w:val="nil"/>
              <w:right w:val="nil"/>
            </w:tcBorders>
            <w:vAlign w:val="bottom"/>
            <w:hideMark/>
          </w:tcPr>
          <w:p w14:paraId="4C51AAE3" w14:textId="77777777" w:rsidR="00C37DB0" w:rsidRDefault="00C37DB0">
            <w:pPr>
              <w:keepNext/>
              <w:keepLines/>
              <w:spacing w:line="240" w:lineRule="auto"/>
              <w:ind w:left="193" w:hanging="142"/>
              <w:rPr>
                <w:sz w:val="20"/>
                <w:szCs w:val="20"/>
              </w:rPr>
            </w:pPr>
            <w:r>
              <w:rPr>
                <w:sz w:val="20"/>
                <w:szCs w:val="20"/>
              </w:rPr>
              <w:t>Cost</w:t>
            </w:r>
            <w:r>
              <w:rPr>
                <w:sz w:val="20"/>
                <w:szCs w:val="20"/>
                <w:vertAlign w:val="superscript"/>
              </w:rPr>
              <w:t>(b)</w:t>
            </w:r>
          </w:p>
        </w:tc>
        <w:tc>
          <w:tcPr>
            <w:tcW w:w="3174" w:type="dxa"/>
            <w:tcBorders>
              <w:top w:val="nil"/>
              <w:left w:val="nil"/>
              <w:bottom w:val="nil"/>
              <w:right w:val="nil"/>
            </w:tcBorders>
            <w:vAlign w:val="bottom"/>
            <w:hideMark/>
          </w:tcPr>
          <w:p w14:paraId="7415B3DC" w14:textId="77777777" w:rsidR="00C37DB0" w:rsidRDefault="00C37DB0">
            <w:pPr>
              <w:keepNext/>
              <w:keepLines/>
              <w:spacing w:line="240" w:lineRule="auto"/>
              <w:jc w:val="right"/>
              <w:rPr>
                <w:sz w:val="20"/>
                <w:szCs w:val="20"/>
              </w:rPr>
            </w:pPr>
            <w:r>
              <w:rPr>
                <w:sz w:val="20"/>
                <w:szCs w:val="20"/>
              </w:rPr>
              <w:t>$7.3 million</w:t>
            </w:r>
          </w:p>
        </w:tc>
      </w:tr>
      <w:tr w:rsidR="00C37DB0" w14:paraId="54D5F295" w14:textId="77777777" w:rsidTr="00C37DB0">
        <w:tc>
          <w:tcPr>
            <w:tcW w:w="5777" w:type="dxa"/>
            <w:tcBorders>
              <w:top w:val="nil"/>
              <w:left w:val="nil"/>
              <w:bottom w:val="single" w:sz="4" w:space="0" w:color="auto"/>
              <w:right w:val="nil"/>
            </w:tcBorders>
            <w:vAlign w:val="bottom"/>
            <w:hideMark/>
          </w:tcPr>
          <w:p w14:paraId="01DCC1CC" w14:textId="77777777" w:rsidR="00C37DB0" w:rsidRDefault="00C37DB0">
            <w:pPr>
              <w:keepNext/>
              <w:keepLines/>
              <w:spacing w:line="240" w:lineRule="auto"/>
              <w:ind w:left="193" w:hanging="142"/>
              <w:rPr>
                <w:sz w:val="20"/>
                <w:szCs w:val="20"/>
              </w:rPr>
            </w:pPr>
            <w:r>
              <w:rPr>
                <w:sz w:val="20"/>
                <w:szCs w:val="20"/>
              </w:rPr>
              <w:t>Student attendance rate</w:t>
            </w:r>
          </w:p>
        </w:tc>
        <w:tc>
          <w:tcPr>
            <w:tcW w:w="3174" w:type="dxa"/>
            <w:tcBorders>
              <w:top w:val="nil"/>
              <w:left w:val="nil"/>
              <w:bottom w:val="single" w:sz="4" w:space="0" w:color="auto"/>
              <w:right w:val="nil"/>
            </w:tcBorders>
            <w:vAlign w:val="bottom"/>
            <w:hideMark/>
          </w:tcPr>
          <w:p w14:paraId="0D035B65" w14:textId="77777777" w:rsidR="00C37DB0" w:rsidRDefault="00C37DB0">
            <w:pPr>
              <w:keepNext/>
              <w:keepLines/>
              <w:spacing w:line="240" w:lineRule="auto"/>
              <w:jc w:val="right"/>
              <w:rPr>
                <w:sz w:val="20"/>
                <w:szCs w:val="20"/>
              </w:rPr>
            </w:pPr>
            <w:r>
              <w:rPr>
                <w:sz w:val="20"/>
                <w:szCs w:val="20"/>
              </w:rPr>
              <w:t>93%</w:t>
            </w:r>
          </w:p>
        </w:tc>
      </w:tr>
    </w:tbl>
    <w:p w14:paraId="2EC81423" w14:textId="77777777" w:rsidR="00C37DB0" w:rsidRDefault="00C37DB0" w:rsidP="00C37DB0">
      <w:pPr>
        <w:pStyle w:val="CGCTableFootnote"/>
      </w:pPr>
      <w:r>
        <w:t>(a)</w:t>
      </w:r>
      <w:r>
        <w:tab/>
        <w:t>Students of Aboriginal or Torres Strait Islander descent who identify themselves as an Aboriginal or Torres Strait Islander and are accepted as such by the community in which they live.</w:t>
      </w:r>
    </w:p>
    <w:p w14:paraId="4CB96159" w14:textId="77777777" w:rsidR="00C37DB0" w:rsidRDefault="00C37DB0" w:rsidP="00C37DB0">
      <w:pPr>
        <w:pStyle w:val="CGCTableFootnote"/>
      </w:pPr>
      <w:r>
        <w:t>(b)</w:t>
      </w:r>
      <w:r>
        <w:tab/>
        <w:t>Includes Internet costs of $856 000.</w:t>
      </w:r>
    </w:p>
    <w:p w14:paraId="7ED87CFA" w14:textId="77777777" w:rsidR="00C37DB0" w:rsidRDefault="00C37DB0" w:rsidP="00C37DB0">
      <w:pPr>
        <w:pStyle w:val="CGCTableFootnote"/>
      </w:pPr>
      <w:r>
        <w:t>Sources:</w:t>
      </w:r>
      <w:r>
        <w:tab/>
        <w:t xml:space="preserve">My School website; </w:t>
      </w:r>
      <w:hyperlink r:id="rId19" w:history="1">
        <w:r>
          <w:rPr>
            <w:rStyle w:val="Hyperlink"/>
          </w:rPr>
          <w:t>https://myschool.edu.au/school/42158</w:t>
        </w:r>
      </w:hyperlink>
      <w:r>
        <w:t xml:space="preserve">; accessed on 27/6/19, Norfolk Island Central School Annual Report 2017 and financial data supplied by </w:t>
      </w:r>
      <w:r w:rsidR="008F4885">
        <w:t>the Department</w:t>
      </w:r>
      <w:r>
        <w:t>.</w:t>
      </w:r>
    </w:p>
    <w:p w14:paraId="523F875E" w14:textId="77777777" w:rsidR="00C37DB0" w:rsidRDefault="00C37DB0" w:rsidP="001E4105">
      <w:pPr>
        <w:pStyle w:val="CGCNumberedPara"/>
        <w:tabs>
          <w:tab w:val="num" w:pos="567"/>
        </w:tabs>
        <w:rPr>
          <w:bCs/>
        </w:rPr>
      </w:pPr>
      <w:r>
        <w:t>The NSW Department of Education currently provides teaching services at the school on Norfolk Island.</w:t>
      </w:r>
      <w:r>
        <w:rPr>
          <w:rStyle w:val="FootnoteReference"/>
        </w:rPr>
        <w:footnoteReference w:id="27"/>
      </w:r>
      <w:r>
        <w:t xml:space="preserve"> Teaching staff at the school must meet the professional requirements for teaching in New South Wales public schools. </w:t>
      </w:r>
      <w:r w:rsidR="007A5C98">
        <w:t>In 2017-18, a</w:t>
      </w:r>
      <w:r>
        <w:t xml:space="preserve">ncillary and support staff </w:t>
      </w:r>
      <w:r w:rsidR="007A5C98">
        <w:t>were</w:t>
      </w:r>
      <w:r>
        <w:t xml:space="preserve"> engaged through a Service Delivery Agreement between </w:t>
      </w:r>
      <w:r w:rsidR="00275B6C">
        <w:t xml:space="preserve">NIRC and </w:t>
      </w:r>
      <w:r w:rsidR="008F4885">
        <w:t>the Department</w:t>
      </w:r>
      <w:r>
        <w:t xml:space="preserve">. The Commonwealth funds all services. </w:t>
      </w:r>
    </w:p>
    <w:p w14:paraId="6A39076C" w14:textId="77777777" w:rsidR="00C37DB0" w:rsidRDefault="00C37DB0" w:rsidP="001E4105">
      <w:pPr>
        <w:pStyle w:val="CGCNumberedPara"/>
        <w:tabs>
          <w:tab w:val="num" w:pos="567"/>
        </w:tabs>
        <w:rPr>
          <w:bCs/>
        </w:rPr>
      </w:pPr>
      <w:r>
        <w:lastRenderedPageBreak/>
        <w:t xml:space="preserve">The Banyan Park Early Learning Centre, a community based not-for-profit organisation, provides preschool and some childcare services. Apart from small occasional grants, the centre does not receive funding from the </w:t>
      </w:r>
      <w:r w:rsidR="002A37E5">
        <w:t>NIRC</w:t>
      </w:r>
      <w:r>
        <w:t xml:space="preserve">. </w:t>
      </w:r>
    </w:p>
    <w:p w14:paraId="28DEB81E" w14:textId="77777777" w:rsidR="00C37DB0" w:rsidRDefault="00C37DB0" w:rsidP="00C37DB0">
      <w:pPr>
        <w:pStyle w:val="Heading4"/>
      </w:pPr>
      <w:bookmarkStart w:id="571" w:name="_Toc17380525"/>
      <w:bookmarkStart w:id="572" w:name="_Toc19262981"/>
      <w:bookmarkStart w:id="573" w:name="_Toc23847526"/>
      <w:r>
        <w:t>Assessed expenses for Norfolk Island services</w:t>
      </w:r>
      <w:bookmarkEnd w:id="571"/>
      <w:bookmarkEnd w:id="572"/>
      <w:bookmarkEnd w:id="573"/>
      <w:r>
        <w:t xml:space="preserve"> </w:t>
      </w:r>
    </w:p>
    <w:p w14:paraId="034A105F" w14:textId="77777777" w:rsidR="00C37DB0" w:rsidRDefault="00C37DB0" w:rsidP="001E4105">
      <w:pPr>
        <w:pStyle w:val="CGCNumberedPara"/>
        <w:tabs>
          <w:tab w:val="num" w:pos="567"/>
        </w:tabs>
      </w:pPr>
      <w:r>
        <w:t>The Commission’s assessment of State school expenses uses a regression model to estimate service delivery costs. Using school profile and financial data from the Australian Curriculum, Assessment and Reporting Authority, the model measures the effects of the following school and student characteristics on service delivery costs:</w:t>
      </w:r>
    </w:p>
    <w:p w14:paraId="4B62CC33" w14:textId="77777777" w:rsidR="00C37DB0" w:rsidRDefault="00C37DB0" w:rsidP="00C37DB0">
      <w:pPr>
        <w:pStyle w:val="CGCBulletlist"/>
        <w:numPr>
          <w:ilvl w:val="0"/>
          <w:numId w:val="15"/>
        </w:numPr>
        <w:tabs>
          <w:tab w:val="clear" w:pos="927"/>
        </w:tabs>
        <w:ind w:left="1134" w:hanging="567"/>
      </w:pPr>
      <w:r>
        <w:t>schools size (enrolments)</w:t>
      </w:r>
    </w:p>
    <w:p w14:paraId="2840A982" w14:textId="77777777" w:rsidR="00C37DB0" w:rsidRDefault="00C37DB0" w:rsidP="00C37DB0">
      <w:pPr>
        <w:pStyle w:val="CGCBulletlist"/>
        <w:numPr>
          <w:ilvl w:val="0"/>
          <w:numId w:val="15"/>
        </w:numPr>
        <w:tabs>
          <w:tab w:val="clear" w:pos="927"/>
        </w:tabs>
        <w:ind w:left="1134" w:hanging="567"/>
      </w:pPr>
      <w:r>
        <w:t>student remoteness area</w:t>
      </w:r>
    </w:p>
    <w:p w14:paraId="53B396B3" w14:textId="77777777" w:rsidR="00C37DB0" w:rsidRDefault="00C37DB0" w:rsidP="00C37DB0">
      <w:pPr>
        <w:pStyle w:val="CGCBulletlist"/>
        <w:numPr>
          <w:ilvl w:val="0"/>
          <w:numId w:val="15"/>
        </w:numPr>
        <w:tabs>
          <w:tab w:val="clear" w:pos="927"/>
        </w:tabs>
        <w:ind w:left="1134" w:hanging="567"/>
      </w:pPr>
      <w:r>
        <w:t>socio-economic status, applied to students in the bottom Index of Community Socio-Educational Advantage quintile</w:t>
      </w:r>
    </w:p>
    <w:p w14:paraId="2BA92CE4" w14:textId="77777777" w:rsidR="00C37DB0" w:rsidRDefault="000C4A4E" w:rsidP="00C37DB0">
      <w:pPr>
        <w:pStyle w:val="CGCBulletlist"/>
        <w:numPr>
          <w:ilvl w:val="0"/>
          <w:numId w:val="15"/>
        </w:numPr>
        <w:tabs>
          <w:tab w:val="clear" w:pos="927"/>
        </w:tabs>
        <w:ind w:left="1134" w:hanging="567"/>
      </w:pPr>
      <w:r>
        <w:t>Aboriginal or Torres Strait Islander</w:t>
      </w:r>
      <w:r w:rsidR="00C37DB0">
        <w:t xml:space="preserve"> status.</w:t>
      </w:r>
    </w:p>
    <w:p w14:paraId="142BF4D5" w14:textId="77777777" w:rsidR="00C37DB0" w:rsidRDefault="00EB56BA" w:rsidP="001E4105">
      <w:pPr>
        <w:pStyle w:val="CGCNumberedPara"/>
        <w:tabs>
          <w:tab w:val="num" w:pos="567"/>
        </w:tabs>
      </w:pPr>
      <w:r>
        <w:t>Table E-3</w:t>
      </w:r>
      <w:r w:rsidR="00C37DB0">
        <w:t xml:space="preserve"> shows the preliminary estimated cost of school services on Norfolk Island is $5.5 million or $19 129 per student. The estimate is derived by applying the following loadings to the base Australian average cost per mainland student ($10 862):</w:t>
      </w:r>
    </w:p>
    <w:p w14:paraId="755C4639" w14:textId="77777777" w:rsidR="00C37DB0" w:rsidRDefault="00C37DB0" w:rsidP="00C37DB0">
      <w:pPr>
        <w:pStyle w:val="CGCBulletlist"/>
        <w:numPr>
          <w:ilvl w:val="0"/>
          <w:numId w:val="15"/>
        </w:numPr>
        <w:tabs>
          <w:tab w:val="clear" w:pos="927"/>
        </w:tabs>
        <w:ind w:left="1134" w:hanging="567"/>
      </w:pPr>
      <w:r>
        <w:t>school size – 9%, that is applied to all students</w:t>
      </w:r>
    </w:p>
    <w:p w14:paraId="6FFEF768" w14:textId="77777777" w:rsidR="00C37DB0" w:rsidRDefault="00C37DB0" w:rsidP="00C37DB0">
      <w:pPr>
        <w:pStyle w:val="CGCBulletlist"/>
        <w:numPr>
          <w:ilvl w:val="0"/>
          <w:numId w:val="15"/>
        </w:numPr>
        <w:tabs>
          <w:tab w:val="clear" w:pos="927"/>
        </w:tabs>
        <w:ind w:left="1134" w:hanging="567"/>
      </w:pPr>
      <w:r>
        <w:t>school location — 55%, that is applied to all students</w:t>
      </w:r>
    </w:p>
    <w:p w14:paraId="236656FB" w14:textId="77777777" w:rsidR="00C37DB0" w:rsidRDefault="00C37DB0" w:rsidP="00C37DB0">
      <w:pPr>
        <w:pStyle w:val="CGCBulletlist"/>
        <w:numPr>
          <w:ilvl w:val="0"/>
          <w:numId w:val="15"/>
        </w:numPr>
        <w:tabs>
          <w:tab w:val="clear" w:pos="927"/>
        </w:tabs>
        <w:ind w:left="1134" w:hanging="567"/>
      </w:pPr>
      <w:r>
        <w:t>low SES students — 66%, that is applied to students in the bottom socio-educational advantage quintile</w:t>
      </w:r>
    </w:p>
    <w:p w14:paraId="28239AF3" w14:textId="77777777" w:rsidR="00C37DB0" w:rsidRDefault="000C4A4E" w:rsidP="00C37DB0">
      <w:pPr>
        <w:pStyle w:val="CGCBulletlist"/>
        <w:numPr>
          <w:ilvl w:val="0"/>
          <w:numId w:val="15"/>
        </w:numPr>
        <w:tabs>
          <w:tab w:val="clear" w:pos="927"/>
        </w:tabs>
        <w:ind w:left="1134" w:hanging="567"/>
      </w:pPr>
      <w:r>
        <w:t>Aboriginal or Torres Strait Islander</w:t>
      </w:r>
      <w:r w:rsidR="00C37DB0">
        <w:t xml:space="preserve"> students — 54%, that is applied to </w:t>
      </w:r>
      <w:r>
        <w:t xml:space="preserve">Aboriginal or Torres Strait Islander </w:t>
      </w:r>
      <w:r w:rsidR="00C37DB0">
        <w:t>students.</w:t>
      </w:r>
    </w:p>
    <w:p w14:paraId="78FC25DB" w14:textId="77777777" w:rsidR="00C37DB0" w:rsidRDefault="00C37DB0" w:rsidP="00C37DB0">
      <w:pPr>
        <w:pStyle w:val="Caption"/>
      </w:pPr>
      <w:bookmarkStart w:id="574" w:name="_Ref12546963"/>
      <w:r>
        <w:t>Table</w:t>
      </w:r>
      <w:bookmarkEnd w:id="574"/>
      <w:r w:rsidR="000B3353">
        <w:t xml:space="preserve"> E-3</w:t>
      </w:r>
      <w:r>
        <w:tab/>
        <w:t>Preliminary school costs, 2017-18</w:t>
      </w:r>
    </w:p>
    <w:tbl>
      <w:tblPr>
        <w:tblW w:w="0" w:type="dxa"/>
        <w:tblLayout w:type="fixed"/>
        <w:tblCellMar>
          <w:left w:w="0" w:type="dxa"/>
          <w:right w:w="0" w:type="dxa"/>
        </w:tblCellMar>
        <w:tblLook w:val="04A0" w:firstRow="1" w:lastRow="0" w:firstColumn="1" w:lastColumn="0" w:noHBand="0" w:noVBand="1"/>
      </w:tblPr>
      <w:tblGrid>
        <w:gridCol w:w="2256"/>
        <w:gridCol w:w="2227"/>
        <w:gridCol w:w="2248"/>
        <w:gridCol w:w="2229"/>
      </w:tblGrid>
      <w:tr w:rsidR="00C37DB0" w14:paraId="0FE01A2D" w14:textId="77777777" w:rsidTr="00C37DB0">
        <w:trPr>
          <w:trHeight w:val="555"/>
        </w:trPr>
        <w:tc>
          <w:tcPr>
            <w:tcW w:w="2256" w:type="dxa"/>
            <w:tcBorders>
              <w:top w:val="single" w:sz="4" w:space="0" w:color="auto"/>
              <w:left w:val="nil"/>
              <w:bottom w:val="single" w:sz="4" w:space="0" w:color="auto"/>
              <w:right w:val="nil"/>
            </w:tcBorders>
            <w:noWrap/>
            <w:vAlign w:val="center"/>
            <w:hideMark/>
          </w:tcPr>
          <w:p w14:paraId="7C452AA1" w14:textId="77777777" w:rsidR="00C37DB0" w:rsidRDefault="00D025A7" w:rsidP="00D025A7">
            <w:pPr>
              <w:keepNext/>
              <w:keepLines/>
              <w:tabs>
                <w:tab w:val="clear" w:pos="567"/>
                <w:tab w:val="left" w:pos="720"/>
              </w:tabs>
              <w:spacing w:after="0" w:line="240" w:lineRule="auto"/>
              <w:ind w:left="193" w:hanging="142"/>
              <w:jc w:val="center"/>
              <w:rPr>
                <w:rFonts w:ascii="Calibri" w:eastAsia="Times New Roman" w:hAnsi="Calibri" w:cs="Calibri"/>
                <w:sz w:val="20"/>
                <w:szCs w:val="20"/>
                <w:lang w:eastAsia="en-AU"/>
              </w:rPr>
            </w:pPr>
            <w:r>
              <w:rPr>
                <w:rFonts w:ascii="Calibri" w:eastAsia="Times New Roman" w:hAnsi="Calibri" w:cs="Calibri"/>
                <w:sz w:val="20"/>
                <w:szCs w:val="20"/>
                <w:lang w:eastAsia="en-AU"/>
              </w:rPr>
              <w:t>No</w:t>
            </w:r>
            <w:r w:rsidR="00C37DB0">
              <w:rPr>
                <w:rFonts w:ascii="Calibri" w:eastAsia="Times New Roman" w:hAnsi="Calibri" w:cs="Calibri"/>
                <w:sz w:val="20"/>
                <w:szCs w:val="20"/>
                <w:lang w:eastAsia="en-AU"/>
              </w:rPr>
              <w:t xml:space="preserve"> of </w:t>
            </w:r>
            <w:r>
              <w:rPr>
                <w:rFonts w:ascii="Calibri" w:eastAsia="Times New Roman" w:hAnsi="Calibri" w:cs="Calibri"/>
                <w:sz w:val="20"/>
                <w:szCs w:val="20"/>
                <w:lang w:eastAsia="en-AU"/>
              </w:rPr>
              <w:t>s</w:t>
            </w:r>
            <w:r w:rsidR="00C37DB0">
              <w:rPr>
                <w:rFonts w:ascii="Calibri" w:eastAsia="Times New Roman" w:hAnsi="Calibri" w:cs="Calibri"/>
                <w:sz w:val="20"/>
                <w:szCs w:val="20"/>
                <w:lang w:eastAsia="en-AU"/>
              </w:rPr>
              <w:t>tudents</w:t>
            </w:r>
          </w:p>
        </w:tc>
        <w:tc>
          <w:tcPr>
            <w:tcW w:w="2227" w:type="dxa"/>
            <w:tcBorders>
              <w:top w:val="single" w:sz="4" w:space="0" w:color="auto"/>
              <w:left w:val="nil"/>
              <w:bottom w:val="single" w:sz="4" w:space="0" w:color="auto"/>
              <w:right w:val="nil"/>
            </w:tcBorders>
            <w:vAlign w:val="center"/>
            <w:hideMark/>
          </w:tcPr>
          <w:p w14:paraId="04816E3C" w14:textId="77777777" w:rsidR="00C37DB0" w:rsidRDefault="00C37DB0">
            <w:pPr>
              <w:keepNext/>
              <w:keepLines/>
              <w:tabs>
                <w:tab w:val="clear" w:pos="567"/>
                <w:tab w:val="left" w:pos="720"/>
              </w:tabs>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Average cost per student on Norfolk Island</w:t>
            </w:r>
          </w:p>
        </w:tc>
        <w:tc>
          <w:tcPr>
            <w:tcW w:w="2248" w:type="dxa"/>
            <w:tcBorders>
              <w:top w:val="single" w:sz="4" w:space="0" w:color="auto"/>
              <w:left w:val="nil"/>
              <w:bottom w:val="single" w:sz="4" w:space="0" w:color="auto"/>
              <w:right w:val="nil"/>
            </w:tcBorders>
            <w:noWrap/>
            <w:vAlign w:val="center"/>
            <w:hideMark/>
          </w:tcPr>
          <w:p w14:paraId="746E9E21" w14:textId="77777777" w:rsidR="00C37DB0" w:rsidRDefault="00C37DB0">
            <w:pPr>
              <w:keepNext/>
              <w:keepLines/>
              <w:tabs>
                <w:tab w:val="clear" w:pos="567"/>
                <w:tab w:val="left" w:pos="720"/>
              </w:tabs>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Total cost </w:t>
            </w:r>
          </w:p>
        </w:tc>
        <w:tc>
          <w:tcPr>
            <w:tcW w:w="2229" w:type="dxa"/>
            <w:tcBorders>
              <w:top w:val="single" w:sz="4" w:space="0" w:color="auto"/>
              <w:left w:val="nil"/>
              <w:bottom w:val="single" w:sz="4" w:space="0" w:color="auto"/>
              <w:right w:val="nil"/>
            </w:tcBorders>
            <w:vAlign w:val="center"/>
            <w:hideMark/>
          </w:tcPr>
          <w:p w14:paraId="52B549E1" w14:textId="77777777" w:rsidR="00C37DB0" w:rsidRDefault="00C37DB0">
            <w:pPr>
              <w:keepNext/>
              <w:keepLines/>
              <w:tabs>
                <w:tab w:val="clear" w:pos="567"/>
                <w:tab w:val="left" w:pos="720"/>
              </w:tabs>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Average cost per Australian student</w:t>
            </w:r>
          </w:p>
        </w:tc>
      </w:tr>
      <w:tr w:rsidR="00C37DB0" w14:paraId="202A1788" w14:textId="77777777" w:rsidTr="00C37DB0">
        <w:trPr>
          <w:trHeight w:val="213"/>
        </w:trPr>
        <w:tc>
          <w:tcPr>
            <w:tcW w:w="2256" w:type="dxa"/>
            <w:tcBorders>
              <w:top w:val="single" w:sz="4" w:space="0" w:color="auto"/>
              <w:left w:val="nil"/>
              <w:bottom w:val="nil"/>
              <w:right w:val="nil"/>
            </w:tcBorders>
            <w:noWrap/>
            <w:vAlign w:val="bottom"/>
          </w:tcPr>
          <w:p w14:paraId="2358F73B" w14:textId="77777777" w:rsidR="00C37DB0" w:rsidRDefault="00C37DB0">
            <w:pPr>
              <w:keepNext/>
              <w:keepLines/>
              <w:tabs>
                <w:tab w:val="clear" w:pos="567"/>
                <w:tab w:val="left" w:pos="720"/>
              </w:tabs>
              <w:spacing w:after="60" w:line="240" w:lineRule="auto"/>
              <w:ind w:left="193" w:hanging="142"/>
              <w:jc w:val="center"/>
              <w:rPr>
                <w:rFonts w:ascii="Calibri" w:eastAsia="Times New Roman" w:hAnsi="Calibri" w:cs="Calibri"/>
                <w:sz w:val="20"/>
                <w:szCs w:val="20"/>
                <w:lang w:eastAsia="en-AU"/>
              </w:rPr>
            </w:pPr>
          </w:p>
        </w:tc>
        <w:tc>
          <w:tcPr>
            <w:tcW w:w="2227" w:type="dxa"/>
            <w:tcBorders>
              <w:top w:val="single" w:sz="4" w:space="0" w:color="auto"/>
              <w:left w:val="nil"/>
              <w:bottom w:val="nil"/>
              <w:right w:val="nil"/>
            </w:tcBorders>
            <w:noWrap/>
            <w:vAlign w:val="bottom"/>
            <w:hideMark/>
          </w:tcPr>
          <w:p w14:paraId="271165D5" w14:textId="77777777" w:rsidR="00C37DB0" w:rsidRDefault="00C37DB0">
            <w:pPr>
              <w:keepNext/>
              <w:keepLines/>
              <w:tabs>
                <w:tab w:val="clear" w:pos="567"/>
                <w:tab w:val="left" w:pos="720"/>
              </w:tabs>
              <w:spacing w:after="6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w:t>
            </w:r>
          </w:p>
        </w:tc>
        <w:tc>
          <w:tcPr>
            <w:tcW w:w="2248" w:type="dxa"/>
            <w:tcBorders>
              <w:top w:val="single" w:sz="4" w:space="0" w:color="auto"/>
              <w:left w:val="nil"/>
              <w:bottom w:val="nil"/>
              <w:right w:val="nil"/>
            </w:tcBorders>
            <w:noWrap/>
            <w:vAlign w:val="bottom"/>
            <w:hideMark/>
          </w:tcPr>
          <w:p w14:paraId="617C5639" w14:textId="77777777" w:rsidR="00C37DB0" w:rsidRDefault="00C37DB0">
            <w:pPr>
              <w:keepNext/>
              <w:keepLines/>
              <w:tabs>
                <w:tab w:val="clear" w:pos="567"/>
                <w:tab w:val="left" w:pos="720"/>
              </w:tabs>
              <w:spacing w:after="6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w:t>
            </w:r>
          </w:p>
        </w:tc>
        <w:tc>
          <w:tcPr>
            <w:tcW w:w="2229" w:type="dxa"/>
            <w:tcBorders>
              <w:top w:val="single" w:sz="4" w:space="0" w:color="auto"/>
              <w:left w:val="nil"/>
              <w:bottom w:val="nil"/>
              <w:right w:val="nil"/>
            </w:tcBorders>
            <w:noWrap/>
            <w:vAlign w:val="bottom"/>
            <w:hideMark/>
          </w:tcPr>
          <w:p w14:paraId="7A04AB3C" w14:textId="77777777" w:rsidR="00C37DB0" w:rsidRDefault="00C37DB0">
            <w:pPr>
              <w:keepNext/>
              <w:keepLines/>
              <w:tabs>
                <w:tab w:val="clear" w:pos="567"/>
                <w:tab w:val="left" w:pos="720"/>
              </w:tabs>
              <w:spacing w:after="6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w:t>
            </w:r>
          </w:p>
        </w:tc>
      </w:tr>
      <w:tr w:rsidR="00C37DB0" w14:paraId="2FBD6893" w14:textId="77777777" w:rsidTr="00C37DB0">
        <w:trPr>
          <w:trHeight w:val="315"/>
        </w:trPr>
        <w:tc>
          <w:tcPr>
            <w:tcW w:w="2256" w:type="dxa"/>
            <w:tcBorders>
              <w:top w:val="nil"/>
              <w:left w:val="nil"/>
              <w:bottom w:val="single" w:sz="4" w:space="0" w:color="auto"/>
              <w:right w:val="nil"/>
            </w:tcBorders>
            <w:noWrap/>
            <w:vAlign w:val="bottom"/>
            <w:hideMark/>
          </w:tcPr>
          <w:p w14:paraId="09D58444" w14:textId="77777777" w:rsidR="00C37DB0" w:rsidRDefault="00C37DB0" w:rsidP="00D025A7">
            <w:pPr>
              <w:keepNext/>
              <w:keepLines/>
              <w:tabs>
                <w:tab w:val="clear" w:pos="567"/>
                <w:tab w:val="left" w:pos="720"/>
              </w:tabs>
              <w:spacing w:after="0" w:line="240" w:lineRule="auto"/>
              <w:ind w:left="193" w:hanging="142"/>
              <w:jc w:val="center"/>
              <w:rPr>
                <w:rFonts w:ascii="Calibri" w:eastAsia="Times New Roman" w:hAnsi="Calibri" w:cs="Calibri"/>
                <w:sz w:val="20"/>
                <w:szCs w:val="20"/>
                <w:lang w:eastAsia="en-AU"/>
              </w:rPr>
            </w:pPr>
            <w:r>
              <w:rPr>
                <w:rFonts w:ascii="Calibri" w:eastAsia="Times New Roman" w:hAnsi="Calibri" w:cs="Calibri"/>
                <w:sz w:val="20"/>
                <w:szCs w:val="20"/>
                <w:lang w:eastAsia="en-AU"/>
              </w:rPr>
              <w:t>287</w:t>
            </w:r>
          </w:p>
        </w:tc>
        <w:tc>
          <w:tcPr>
            <w:tcW w:w="2227" w:type="dxa"/>
            <w:tcBorders>
              <w:top w:val="nil"/>
              <w:left w:val="nil"/>
              <w:bottom w:val="single" w:sz="4" w:space="0" w:color="auto"/>
              <w:right w:val="nil"/>
            </w:tcBorders>
            <w:noWrap/>
            <w:vAlign w:val="bottom"/>
            <w:hideMark/>
          </w:tcPr>
          <w:p w14:paraId="5F3FDF98" w14:textId="77777777" w:rsidR="00C37DB0" w:rsidRDefault="00C37DB0" w:rsidP="00D025A7">
            <w:pPr>
              <w:keepNext/>
              <w:keepLines/>
              <w:tabs>
                <w:tab w:val="clear" w:pos="567"/>
                <w:tab w:val="left" w:pos="720"/>
              </w:tabs>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19 129</w:t>
            </w:r>
          </w:p>
        </w:tc>
        <w:tc>
          <w:tcPr>
            <w:tcW w:w="2248" w:type="dxa"/>
            <w:tcBorders>
              <w:top w:val="nil"/>
              <w:left w:val="nil"/>
              <w:bottom w:val="single" w:sz="4" w:space="0" w:color="auto"/>
              <w:right w:val="nil"/>
            </w:tcBorders>
            <w:noWrap/>
            <w:vAlign w:val="bottom"/>
            <w:hideMark/>
          </w:tcPr>
          <w:p w14:paraId="3071C195" w14:textId="77777777" w:rsidR="00C37DB0" w:rsidRDefault="00C37DB0" w:rsidP="00D025A7">
            <w:pPr>
              <w:keepNext/>
              <w:keepLines/>
              <w:tabs>
                <w:tab w:val="clear" w:pos="567"/>
                <w:tab w:val="left" w:pos="720"/>
              </w:tabs>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5 489 924</w:t>
            </w:r>
          </w:p>
        </w:tc>
        <w:tc>
          <w:tcPr>
            <w:tcW w:w="2229" w:type="dxa"/>
            <w:tcBorders>
              <w:top w:val="nil"/>
              <w:left w:val="nil"/>
              <w:bottom w:val="single" w:sz="4" w:space="0" w:color="auto"/>
              <w:right w:val="nil"/>
            </w:tcBorders>
            <w:noWrap/>
            <w:vAlign w:val="bottom"/>
            <w:hideMark/>
          </w:tcPr>
          <w:p w14:paraId="171C322B" w14:textId="77777777" w:rsidR="00C37DB0" w:rsidRDefault="00C37DB0" w:rsidP="00D025A7">
            <w:pPr>
              <w:keepNext/>
              <w:keepLines/>
              <w:tabs>
                <w:tab w:val="clear" w:pos="567"/>
                <w:tab w:val="left" w:pos="720"/>
              </w:tabs>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10 862</w:t>
            </w:r>
          </w:p>
        </w:tc>
      </w:tr>
    </w:tbl>
    <w:p w14:paraId="106197C9" w14:textId="77777777" w:rsidR="00C37DB0" w:rsidRDefault="00C37DB0" w:rsidP="00C37DB0">
      <w:pPr>
        <w:pStyle w:val="CGCTableFootnote"/>
      </w:pPr>
      <w:r>
        <w:t>Source:</w:t>
      </w:r>
      <w:r>
        <w:tab/>
        <w:t xml:space="preserve">Commission calculation using ACARA and </w:t>
      </w:r>
      <w:r>
        <w:rPr>
          <w:i/>
        </w:rPr>
        <w:t>My School</w:t>
      </w:r>
      <w:r>
        <w:t xml:space="preserve"> website data.</w:t>
      </w:r>
    </w:p>
    <w:p w14:paraId="0B08BF55" w14:textId="77777777" w:rsidR="00C37DB0" w:rsidRDefault="00C37DB0" w:rsidP="001E4105">
      <w:pPr>
        <w:pStyle w:val="CGCNumberedPara"/>
        <w:tabs>
          <w:tab w:val="num" w:pos="567"/>
        </w:tabs>
      </w:pPr>
      <w:r>
        <w:t>This estimate does not include amounts to recognise the following costs.</w:t>
      </w:r>
    </w:p>
    <w:p w14:paraId="69A0D407" w14:textId="77777777" w:rsidR="00C37DB0" w:rsidRDefault="00C37DB0" w:rsidP="00C37DB0">
      <w:pPr>
        <w:pStyle w:val="CGCBulletlist"/>
        <w:numPr>
          <w:ilvl w:val="0"/>
          <w:numId w:val="15"/>
        </w:numPr>
        <w:tabs>
          <w:tab w:val="clear" w:pos="927"/>
        </w:tabs>
        <w:ind w:left="1134" w:hanging="567"/>
      </w:pPr>
      <w:r>
        <w:t xml:space="preserve">The school’s internet costs, which are significantly higher than those for comparable mainland schools. However, we have treated the school’s high internet costs as unavoidable costs associated with providing school services on the Island. </w:t>
      </w:r>
    </w:p>
    <w:p w14:paraId="59F2FA91" w14:textId="77777777" w:rsidR="00C37DB0" w:rsidRDefault="00C37DB0" w:rsidP="00C37DB0">
      <w:pPr>
        <w:pStyle w:val="CGCBulletlist"/>
        <w:numPr>
          <w:ilvl w:val="0"/>
          <w:numId w:val="15"/>
        </w:numPr>
        <w:tabs>
          <w:tab w:val="clear" w:pos="927"/>
        </w:tabs>
        <w:ind w:left="1134" w:hanging="567"/>
      </w:pPr>
      <w:r>
        <w:t xml:space="preserve">The additional administrative costs associated with using a contractor to provide services, or Norfolk Island isolation costs. We assessed administrative costs would add 10% to total costs and isolation would add 5%. </w:t>
      </w:r>
    </w:p>
    <w:p w14:paraId="59836756" w14:textId="77777777" w:rsidR="00C37DB0" w:rsidRDefault="00C37DB0" w:rsidP="001E4105">
      <w:pPr>
        <w:pStyle w:val="CGCNumberedPara"/>
        <w:tabs>
          <w:tab w:val="num" w:pos="567"/>
        </w:tabs>
      </w:pPr>
      <w:r>
        <w:lastRenderedPageBreak/>
        <w:t>After making these adjustments, the final assessed cost of providing comparable school services was $7.2 million in 2017-18, or $4 083 per capita.</w:t>
      </w:r>
      <w:r>
        <w:rPr>
          <w:rStyle w:val="FootnoteReference"/>
        </w:rPr>
        <w:footnoteReference w:id="28"/>
      </w:r>
    </w:p>
    <w:p w14:paraId="21204634" w14:textId="77777777" w:rsidR="00C37DB0" w:rsidRDefault="00C37DB0" w:rsidP="00C37DB0">
      <w:pPr>
        <w:pStyle w:val="Caption"/>
      </w:pPr>
      <w:r>
        <w:t>Table</w:t>
      </w:r>
      <w:r w:rsidR="00E31C56">
        <w:t xml:space="preserve"> E-4</w:t>
      </w:r>
      <w:r w:rsidR="00E31C56">
        <w:tab/>
        <w:t>Schools assessment</w:t>
      </w:r>
    </w:p>
    <w:tbl>
      <w:tblPr>
        <w:tblW w:w="0" w:type="dxa"/>
        <w:tblLayout w:type="fixed"/>
        <w:tblCellMar>
          <w:left w:w="0" w:type="dxa"/>
          <w:right w:w="0" w:type="dxa"/>
        </w:tblCellMar>
        <w:tblLook w:val="04A0" w:firstRow="1" w:lastRow="0" w:firstColumn="1" w:lastColumn="0" w:noHBand="0" w:noVBand="1"/>
      </w:tblPr>
      <w:tblGrid>
        <w:gridCol w:w="4420"/>
        <w:gridCol w:w="4520"/>
      </w:tblGrid>
      <w:tr w:rsidR="00C37DB0" w14:paraId="4E435D99" w14:textId="77777777" w:rsidTr="00C37DB0">
        <w:trPr>
          <w:trHeight w:val="375"/>
        </w:trPr>
        <w:tc>
          <w:tcPr>
            <w:tcW w:w="4420" w:type="dxa"/>
            <w:tcBorders>
              <w:top w:val="single" w:sz="4" w:space="0" w:color="auto"/>
              <w:left w:val="nil"/>
              <w:bottom w:val="single" w:sz="4" w:space="0" w:color="auto"/>
              <w:right w:val="nil"/>
            </w:tcBorders>
            <w:noWrap/>
            <w:vAlign w:val="center"/>
            <w:hideMark/>
          </w:tcPr>
          <w:p w14:paraId="6E320B4F" w14:textId="77777777" w:rsidR="00C37DB0" w:rsidRDefault="00C37DB0">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 </w:t>
            </w:r>
          </w:p>
        </w:tc>
        <w:tc>
          <w:tcPr>
            <w:tcW w:w="4520" w:type="dxa"/>
            <w:tcBorders>
              <w:top w:val="single" w:sz="4" w:space="0" w:color="auto"/>
              <w:left w:val="nil"/>
              <w:bottom w:val="single" w:sz="4" w:space="0" w:color="auto"/>
              <w:right w:val="nil"/>
            </w:tcBorders>
            <w:noWrap/>
            <w:vAlign w:val="center"/>
            <w:hideMark/>
          </w:tcPr>
          <w:p w14:paraId="10E8CE69"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2017-18</w:t>
            </w:r>
          </w:p>
        </w:tc>
      </w:tr>
      <w:tr w:rsidR="00C37DB0" w14:paraId="61531097" w14:textId="77777777" w:rsidTr="00C37DB0">
        <w:trPr>
          <w:trHeight w:val="315"/>
        </w:trPr>
        <w:tc>
          <w:tcPr>
            <w:tcW w:w="4420" w:type="dxa"/>
            <w:noWrap/>
            <w:vAlign w:val="bottom"/>
            <w:hideMark/>
          </w:tcPr>
          <w:p w14:paraId="096A8D0E" w14:textId="77777777" w:rsidR="00C37DB0" w:rsidRDefault="00C37DB0">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Preliminary cost ($)</w:t>
            </w:r>
          </w:p>
        </w:tc>
        <w:tc>
          <w:tcPr>
            <w:tcW w:w="4520" w:type="dxa"/>
            <w:noWrap/>
            <w:vAlign w:val="bottom"/>
            <w:hideMark/>
          </w:tcPr>
          <w:p w14:paraId="57B1F6BA"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5 489 924</w:t>
            </w:r>
          </w:p>
        </w:tc>
      </w:tr>
      <w:tr w:rsidR="00C37DB0" w14:paraId="32813633" w14:textId="77777777" w:rsidTr="00C37DB0">
        <w:trPr>
          <w:trHeight w:val="315"/>
        </w:trPr>
        <w:tc>
          <w:tcPr>
            <w:tcW w:w="4420" w:type="dxa"/>
            <w:noWrap/>
            <w:vAlign w:val="bottom"/>
            <w:hideMark/>
          </w:tcPr>
          <w:p w14:paraId="4AB05496" w14:textId="77777777" w:rsidR="00C37DB0" w:rsidRDefault="00C37DB0" w:rsidP="00E31C56">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Administrative loading</w:t>
            </w:r>
          </w:p>
        </w:tc>
        <w:tc>
          <w:tcPr>
            <w:tcW w:w="4520" w:type="dxa"/>
            <w:noWrap/>
            <w:vAlign w:val="bottom"/>
            <w:hideMark/>
          </w:tcPr>
          <w:p w14:paraId="69A9CF43"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10%</w:t>
            </w:r>
          </w:p>
        </w:tc>
      </w:tr>
      <w:tr w:rsidR="00C37DB0" w14:paraId="45225372" w14:textId="77777777" w:rsidTr="00C37DB0">
        <w:trPr>
          <w:trHeight w:val="315"/>
        </w:trPr>
        <w:tc>
          <w:tcPr>
            <w:tcW w:w="4420" w:type="dxa"/>
            <w:noWrap/>
            <w:vAlign w:val="bottom"/>
            <w:hideMark/>
          </w:tcPr>
          <w:p w14:paraId="22091BD8" w14:textId="77777777" w:rsidR="00C37DB0" w:rsidRDefault="00E31C56">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Isolation loading</w:t>
            </w:r>
          </w:p>
        </w:tc>
        <w:tc>
          <w:tcPr>
            <w:tcW w:w="4520" w:type="dxa"/>
            <w:noWrap/>
            <w:vAlign w:val="bottom"/>
            <w:hideMark/>
          </w:tcPr>
          <w:p w14:paraId="527DF4BA"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5%</w:t>
            </w:r>
          </w:p>
        </w:tc>
      </w:tr>
      <w:tr w:rsidR="00C37DB0" w14:paraId="3BB86BAF" w14:textId="77777777" w:rsidTr="00C37DB0">
        <w:trPr>
          <w:trHeight w:val="315"/>
        </w:trPr>
        <w:tc>
          <w:tcPr>
            <w:tcW w:w="4420" w:type="dxa"/>
            <w:noWrap/>
            <w:vAlign w:val="bottom"/>
            <w:hideMark/>
          </w:tcPr>
          <w:p w14:paraId="50E80804" w14:textId="77777777" w:rsidR="00C37DB0" w:rsidRDefault="00C37DB0">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Cost excluding internet costs ($)</w:t>
            </w:r>
          </w:p>
        </w:tc>
        <w:tc>
          <w:tcPr>
            <w:tcW w:w="4520" w:type="dxa"/>
            <w:noWrap/>
            <w:vAlign w:val="bottom"/>
            <w:hideMark/>
          </w:tcPr>
          <w:p w14:paraId="708865DB"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856 000</w:t>
            </w:r>
          </w:p>
        </w:tc>
      </w:tr>
      <w:tr w:rsidR="00C37DB0" w14:paraId="081F0CDA" w14:textId="77777777" w:rsidTr="00C37DB0">
        <w:trPr>
          <w:trHeight w:val="315"/>
        </w:trPr>
        <w:tc>
          <w:tcPr>
            <w:tcW w:w="4420" w:type="dxa"/>
            <w:tcBorders>
              <w:top w:val="nil"/>
              <w:left w:val="nil"/>
              <w:bottom w:val="single" w:sz="4" w:space="0" w:color="auto"/>
              <w:right w:val="nil"/>
            </w:tcBorders>
            <w:noWrap/>
            <w:vAlign w:val="bottom"/>
            <w:hideMark/>
          </w:tcPr>
          <w:p w14:paraId="2D07EC6C" w14:textId="77777777" w:rsidR="00C37DB0" w:rsidRDefault="00C37DB0">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Total cost  ($)</w:t>
            </w:r>
          </w:p>
        </w:tc>
        <w:tc>
          <w:tcPr>
            <w:tcW w:w="4520" w:type="dxa"/>
            <w:tcBorders>
              <w:top w:val="nil"/>
              <w:left w:val="nil"/>
              <w:bottom w:val="single" w:sz="4" w:space="0" w:color="auto"/>
              <w:right w:val="nil"/>
            </w:tcBorders>
            <w:noWrap/>
            <w:vAlign w:val="bottom"/>
            <w:hideMark/>
          </w:tcPr>
          <w:p w14:paraId="2405A887"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7 169 413</w:t>
            </w:r>
          </w:p>
        </w:tc>
      </w:tr>
      <w:tr w:rsidR="00C37DB0" w14:paraId="71D4509F" w14:textId="77777777" w:rsidTr="00C37DB0">
        <w:trPr>
          <w:trHeight w:val="315"/>
        </w:trPr>
        <w:tc>
          <w:tcPr>
            <w:tcW w:w="4420" w:type="dxa"/>
            <w:tcBorders>
              <w:top w:val="nil"/>
              <w:left w:val="nil"/>
              <w:bottom w:val="single" w:sz="4" w:space="0" w:color="auto"/>
              <w:right w:val="nil"/>
            </w:tcBorders>
            <w:noWrap/>
            <w:vAlign w:val="bottom"/>
            <w:hideMark/>
          </w:tcPr>
          <w:p w14:paraId="2A3CB773" w14:textId="77777777" w:rsidR="00C37DB0" w:rsidRDefault="00C37DB0" w:rsidP="0030641D">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Total cost ($ per student)</w:t>
            </w:r>
          </w:p>
        </w:tc>
        <w:tc>
          <w:tcPr>
            <w:tcW w:w="4520" w:type="dxa"/>
            <w:tcBorders>
              <w:top w:val="nil"/>
              <w:left w:val="nil"/>
              <w:bottom w:val="single" w:sz="4" w:space="0" w:color="auto"/>
              <w:right w:val="nil"/>
            </w:tcBorders>
            <w:noWrap/>
            <w:vAlign w:val="bottom"/>
            <w:hideMark/>
          </w:tcPr>
          <w:p w14:paraId="76568FB7"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24 981</w:t>
            </w:r>
          </w:p>
        </w:tc>
      </w:tr>
    </w:tbl>
    <w:p w14:paraId="7925C863" w14:textId="77777777" w:rsidR="00C37DB0" w:rsidRDefault="00C37DB0" w:rsidP="00C37DB0">
      <w:pPr>
        <w:pStyle w:val="CGCTableFootnote"/>
      </w:pPr>
      <w:r>
        <w:t>Source:</w:t>
      </w:r>
      <w:r>
        <w:tab/>
        <w:t>Commission</w:t>
      </w:r>
      <w:r w:rsidR="00241E40">
        <w:t xml:space="preserve"> staff</w:t>
      </w:r>
      <w:r>
        <w:t xml:space="preserve"> calculation.</w:t>
      </w:r>
    </w:p>
    <w:p w14:paraId="39857C12" w14:textId="77777777" w:rsidR="00C37DB0" w:rsidRDefault="00C37DB0" w:rsidP="001E4105">
      <w:pPr>
        <w:pStyle w:val="CGCNumberedPara"/>
        <w:tabs>
          <w:tab w:val="num" w:pos="567"/>
        </w:tabs>
      </w:pPr>
      <w:r>
        <w:t>This estimate reflects government student funding from all sources (Commonwealth and States) and implicitly includes an amount for the provision of the Australian average level of pre-school services.</w:t>
      </w:r>
      <w:r>
        <w:rPr>
          <w:rStyle w:val="FootnoteReference"/>
        </w:rPr>
        <w:footnoteReference w:id="29"/>
      </w:r>
      <w:r>
        <w:t xml:space="preserve"> It also includes locality allowances and corporate overheads including curriculum and assessment costs.</w:t>
      </w:r>
    </w:p>
    <w:p w14:paraId="50F58CFD" w14:textId="77777777" w:rsidR="00C37DB0" w:rsidRDefault="00072BE9" w:rsidP="00C37DB0">
      <w:pPr>
        <w:pStyle w:val="Heading3"/>
      </w:pPr>
      <w:bookmarkStart w:id="575" w:name="_Toc19262982"/>
      <w:bookmarkStart w:id="576" w:name="_Toc23847527"/>
      <w:r>
        <w:t>P</w:t>
      </w:r>
      <w:r w:rsidR="00F72AEE">
        <w:t>ost secondary education</w:t>
      </w:r>
      <w:bookmarkEnd w:id="575"/>
      <w:bookmarkEnd w:id="576"/>
    </w:p>
    <w:p w14:paraId="772EA691" w14:textId="77777777" w:rsidR="00C37DB0" w:rsidRDefault="00C37DB0" w:rsidP="00C37DB0">
      <w:pPr>
        <w:pStyle w:val="Heading4"/>
      </w:pPr>
      <w:bookmarkStart w:id="577" w:name="_Toc17380527"/>
      <w:bookmarkStart w:id="578" w:name="_Toc19262983"/>
      <w:bookmarkStart w:id="579" w:name="_Toc23847528"/>
      <w:r>
        <w:t>State service and funding arrangements</w:t>
      </w:r>
      <w:bookmarkEnd w:id="577"/>
      <w:bookmarkEnd w:id="578"/>
      <w:bookmarkEnd w:id="579"/>
    </w:p>
    <w:p w14:paraId="53B8EEA7" w14:textId="77777777" w:rsidR="00C37DB0" w:rsidRDefault="00C37DB0" w:rsidP="001E4105">
      <w:pPr>
        <w:pStyle w:val="CGCNumberedPara"/>
        <w:tabs>
          <w:tab w:val="left" w:pos="720"/>
        </w:tabs>
      </w:pPr>
      <w:r>
        <w:t xml:space="preserve">Total Australian </w:t>
      </w:r>
      <w:r>
        <w:tab/>
        <w:t xml:space="preserve">State government net expenses on </w:t>
      </w:r>
      <w:r w:rsidR="00940230">
        <w:t xml:space="preserve">post-secondary </w:t>
      </w:r>
      <w:r>
        <w:t>and other higher education</w:t>
      </w:r>
      <w:r>
        <w:rPr>
          <w:rStyle w:val="FootnoteReference"/>
        </w:rPr>
        <w:footnoteReference w:id="30"/>
      </w:r>
      <w:r>
        <w:t xml:space="preserve"> was $6 billion in 2017</w:t>
      </w:r>
      <w:r>
        <w:noBreakHyphen/>
        <w:t xml:space="preserve">18, representing 2.6% of total State expenses. State </w:t>
      </w:r>
      <w:r w:rsidR="00940230">
        <w:t xml:space="preserve">post-secondary </w:t>
      </w:r>
      <w:r>
        <w:t xml:space="preserve">education expenses include spending on subsidised courses provided in State government institutions and subsidies provided to private training providers. </w:t>
      </w:r>
    </w:p>
    <w:p w14:paraId="78A85EBF" w14:textId="77777777" w:rsidR="00C37DB0" w:rsidRDefault="00C37DB0" w:rsidP="001E4105">
      <w:pPr>
        <w:pStyle w:val="CGCNumberedPara"/>
        <w:tabs>
          <w:tab w:val="left" w:pos="720"/>
        </w:tabs>
      </w:pPr>
      <w:r>
        <w:t xml:space="preserve">States provide </w:t>
      </w:r>
      <w:r w:rsidR="00940230">
        <w:t>post-secondary education</w:t>
      </w:r>
      <w:r>
        <w:t xml:space="preserve"> through networks of public Technical and Further Education institutes and private Registered Training Organisations. These providers offer courses spanning foundation skills, certificate programs including apprenticeships, diplomas, advanced diplomas and bachelor degrees. The campuses used for service delivery are widely dispersed in all States, and States with dispersed, small communities provide services in many of those communities. </w:t>
      </w:r>
    </w:p>
    <w:p w14:paraId="6E47BCAC" w14:textId="77777777" w:rsidR="00C37DB0" w:rsidRDefault="00C37DB0" w:rsidP="001E4105">
      <w:pPr>
        <w:pStyle w:val="CGCNumberedPara"/>
        <w:tabs>
          <w:tab w:val="left" w:pos="720"/>
        </w:tabs>
      </w:pPr>
      <w:r>
        <w:t xml:space="preserve">Each State sets the subsidy levels for courses. States consider a range of factors in setting subsidies including staffing levels, what equipment and facilities they involve, the level of qualification and relevance of the training to State skill requirements (or </w:t>
      </w:r>
      <w:r>
        <w:lastRenderedPageBreak/>
        <w:t xml:space="preserve">public value). States subsidise a higher proportion of the cost of lower level courses (for example, foundation skills, and certificate I and II) and apprenticeships. </w:t>
      </w:r>
    </w:p>
    <w:p w14:paraId="511DF2EB" w14:textId="77777777" w:rsidR="00C37DB0" w:rsidRDefault="00C37DB0" w:rsidP="001E4105">
      <w:pPr>
        <w:pStyle w:val="CGCNumberedPara"/>
        <w:tabs>
          <w:tab w:val="left" w:pos="720"/>
        </w:tabs>
      </w:pPr>
      <w:r>
        <w:t xml:space="preserve">Part of the cost of subsidised training is met through student fees. Eligibility criteria for fee exemptions and concessions are a matter of individual State policy. All States offer concessions or exemptions to government benefit recipients, and most offer them to </w:t>
      </w:r>
      <w:r w:rsidR="00D50D53">
        <w:t xml:space="preserve">Aboriginal or Torres Strait Islander </w:t>
      </w:r>
      <w:r>
        <w:t>students.</w:t>
      </w:r>
    </w:p>
    <w:p w14:paraId="04FCF286" w14:textId="77777777" w:rsidR="00C37DB0" w:rsidRDefault="00C37DB0" w:rsidP="001E4105">
      <w:pPr>
        <w:pStyle w:val="CGCNumberedPara"/>
        <w:tabs>
          <w:tab w:val="left" w:pos="720"/>
        </w:tabs>
      </w:pPr>
      <w:r>
        <w:t xml:space="preserve">Although </w:t>
      </w:r>
      <w:r w:rsidR="00940230">
        <w:t xml:space="preserve">post-secondary education </w:t>
      </w:r>
      <w:r>
        <w:t>is a State responsibility, the Commonwealth provides financial assistance to States to deliver these services. In 2017-18, the Commonwealth provided $1.7 billion to the States for this function.</w:t>
      </w:r>
    </w:p>
    <w:p w14:paraId="76F0A74A" w14:textId="77777777" w:rsidR="00C37DB0" w:rsidRDefault="00C37DB0" w:rsidP="00C37DB0">
      <w:pPr>
        <w:pStyle w:val="Heading4"/>
      </w:pPr>
      <w:bookmarkStart w:id="580" w:name="_Toc17380528"/>
      <w:bookmarkStart w:id="581" w:name="_Toc19262984"/>
      <w:bookmarkStart w:id="582" w:name="_Toc23847529"/>
      <w:r>
        <w:t>Norfolk Island service delivery and funding arrangements</w:t>
      </w:r>
      <w:bookmarkEnd w:id="580"/>
      <w:bookmarkEnd w:id="581"/>
      <w:bookmarkEnd w:id="582"/>
    </w:p>
    <w:p w14:paraId="094EACF6" w14:textId="77777777" w:rsidR="00C37DB0" w:rsidRDefault="00C37DB0" w:rsidP="001E4105">
      <w:pPr>
        <w:pStyle w:val="CGCNumberedPara"/>
        <w:tabs>
          <w:tab w:val="left" w:pos="720"/>
        </w:tabs>
      </w:pPr>
      <w:r>
        <w:t xml:space="preserve">Until January 2019, Norfolk Island residents could not access the subsidies for </w:t>
      </w:r>
      <w:r w:rsidR="00940230">
        <w:t>post</w:t>
      </w:r>
      <w:r w:rsidR="00940230">
        <w:noBreakHyphen/>
        <w:t xml:space="preserve">secondary </w:t>
      </w:r>
      <w:r>
        <w:t xml:space="preserve">education courses. Recognising a service delivery gap, the Commonwealth-funded </w:t>
      </w:r>
      <w:r w:rsidR="00893CA1">
        <w:t>Vocational Education and Training</w:t>
      </w:r>
      <w:r>
        <w:t xml:space="preserve"> Financial Assistance Initiative opened for applications in January 2019. As at April 2019, three Norfolk residents had applied for that financial assistance. In addition, up to five residents were preparing to sign up for apprenticeships.</w:t>
      </w:r>
    </w:p>
    <w:p w14:paraId="2A4DFC36" w14:textId="77777777" w:rsidR="00C37DB0" w:rsidRDefault="00C37DB0" w:rsidP="001E4105">
      <w:pPr>
        <w:pStyle w:val="CGCNumberedPara"/>
        <w:tabs>
          <w:tab w:val="left" w:pos="720"/>
        </w:tabs>
      </w:pPr>
      <w:r>
        <w:t xml:space="preserve">The Initiative will reimburse Norfolk Island </w:t>
      </w:r>
      <w:r w:rsidR="00893CA1">
        <w:t>Post-secondary education</w:t>
      </w:r>
      <w:r>
        <w:t xml:space="preserve"> students the difference between the course fee they pay and the fee they would pay, for the same course, in a mainland State. A contractor is delivering the program on behalf of the Commonwealth. The contractor will receive and assess all applications from students seeking assistance and provide reimbursements on receipt of satisfactory claims for payment.</w:t>
      </w:r>
    </w:p>
    <w:p w14:paraId="0CD168DB" w14:textId="77777777" w:rsidR="00C37DB0" w:rsidRDefault="00C37DB0" w:rsidP="001E4105">
      <w:pPr>
        <w:pStyle w:val="CGCNumberedPara"/>
        <w:tabs>
          <w:tab w:val="left" w:pos="720"/>
        </w:tabs>
      </w:pPr>
      <w:r>
        <w:t>To be eligible to receive assistance, clients must be:</w:t>
      </w:r>
    </w:p>
    <w:p w14:paraId="58B046BD" w14:textId="77777777" w:rsidR="00C37DB0" w:rsidRDefault="00C37DB0" w:rsidP="00C37DB0">
      <w:pPr>
        <w:pStyle w:val="CGCBulletlist"/>
        <w:numPr>
          <w:ilvl w:val="0"/>
          <w:numId w:val="15"/>
        </w:numPr>
        <w:tabs>
          <w:tab w:val="clear" w:pos="927"/>
        </w:tabs>
        <w:ind w:left="1134" w:hanging="567"/>
      </w:pPr>
      <w:r>
        <w:t>15 years or older</w:t>
      </w:r>
    </w:p>
    <w:p w14:paraId="7D96AECD" w14:textId="77777777" w:rsidR="00C37DB0" w:rsidRDefault="00C37DB0" w:rsidP="00C37DB0">
      <w:pPr>
        <w:pStyle w:val="CGCBulletlist"/>
        <w:numPr>
          <w:ilvl w:val="0"/>
          <w:numId w:val="15"/>
        </w:numPr>
        <w:tabs>
          <w:tab w:val="clear" w:pos="927"/>
        </w:tabs>
        <w:ind w:left="1134" w:hanging="567"/>
      </w:pPr>
      <w:r>
        <w:t>an Australian</w:t>
      </w:r>
      <w:r w:rsidR="00BC7E9F">
        <w:t xml:space="preserve"> c</w:t>
      </w:r>
      <w:r>
        <w:t>itizen</w:t>
      </w:r>
    </w:p>
    <w:p w14:paraId="18BCEF21" w14:textId="77777777" w:rsidR="00C37DB0" w:rsidRDefault="00C37DB0" w:rsidP="00C37DB0">
      <w:pPr>
        <w:pStyle w:val="CGCBulletlist"/>
        <w:numPr>
          <w:ilvl w:val="0"/>
          <w:numId w:val="15"/>
        </w:numPr>
        <w:tabs>
          <w:tab w:val="clear" w:pos="927"/>
        </w:tabs>
        <w:ind w:left="1134" w:hanging="567"/>
      </w:pPr>
      <w:r>
        <w:t>a resident of Norfolk Island</w:t>
      </w:r>
    </w:p>
    <w:p w14:paraId="232E73D2" w14:textId="77777777" w:rsidR="00C37DB0" w:rsidRDefault="00C37DB0" w:rsidP="00C37DB0">
      <w:pPr>
        <w:pStyle w:val="CGCBulletlist"/>
        <w:numPr>
          <w:ilvl w:val="0"/>
          <w:numId w:val="15"/>
        </w:numPr>
        <w:tabs>
          <w:tab w:val="clear" w:pos="927"/>
        </w:tabs>
        <w:ind w:left="1134" w:hanging="567"/>
      </w:pPr>
      <w:r>
        <w:t>not receiving any other Commonwealth or State financial support towards the course (student loans are not considered financial support under this Initiative).</w:t>
      </w:r>
    </w:p>
    <w:p w14:paraId="481E06EC" w14:textId="77777777" w:rsidR="00C37DB0" w:rsidRDefault="00C37DB0" w:rsidP="00C37DB0">
      <w:pPr>
        <w:pStyle w:val="Heading4"/>
      </w:pPr>
      <w:bookmarkStart w:id="583" w:name="_Toc17380529"/>
      <w:bookmarkStart w:id="584" w:name="_Toc19262985"/>
      <w:bookmarkStart w:id="585" w:name="_Toc23847530"/>
      <w:r>
        <w:t>Assessed expenses for Norfolk Island services</w:t>
      </w:r>
      <w:bookmarkEnd w:id="583"/>
      <w:bookmarkEnd w:id="584"/>
      <w:bookmarkEnd w:id="585"/>
      <w:r>
        <w:t xml:space="preserve"> </w:t>
      </w:r>
    </w:p>
    <w:p w14:paraId="42FC5816" w14:textId="77777777" w:rsidR="00C37DB0" w:rsidRDefault="00C37DB0" w:rsidP="001E4105">
      <w:pPr>
        <w:pStyle w:val="CGCNumberedPara"/>
        <w:tabs>
          <w:tab w:val="left" w:pos="720"/>
        </w:tabs>
      </w:pPr>
      <w:r>
        <w:t xml:space="preserve">Our assessment of </w:t>
      </w:r>
      <w:r w:rsidR="00940230">
        <w:t xml:space="preserve">post-secondary education </w:t>
      </w:r>
      <w:r>
        <w:t xml:space="preserve">costs is based on average spending by States on different population groups. Relevant population characteristics considered in the assessment are </w:t>
      </w:r>
      <w:r w:rsidR="00D50D53">
        <w:t xml:space="preserve">Aboriginal or Torres Strait Islander </w:t>
      </w:r>
      <w:r>
        <w:t xml:space="preserve">status, socio-economic status and remoteness. The target population for these services is the working population, which is 15 to 64 year olds. Applying the Commission’s method to the Norfolk Island population, we estimated the cost of providing comparable </w:t>
      </w:r>
      <w:r w:rsidR="00940230">
        <w:t xml:space="preserve">post-secondary </w:t>
      </w:r>
      <w:r>
        <w:t xml:space="preserve">education services on </w:t>
      </w:r>
      <w:r w:rsidR="000250E7">
        <w:t>Norfolk Island would be $495 000</w:t>
      </w:r>
      <w:r>
        <w:t xml:space="preserve"> in 2017-18. After </w:t>
      </w:r>
      <w:r>
        <w:lastRenderedPageBreak/>
        <w:t>applying a 10% administration and 5% isolation loading, the f</w:t>
      </w:r>
      <w:r w:rsidR="00647034">
        <w:t>inal estimated cost is $569 000</w:t>
      </w:r>
      <w:r>
        <w:t xml:space="preserve"> per capita.</w:t>
      </w:r>
    </w:p>
    <w:p w14:paraId="65CC215A" w14:textId="77777777" w:rsidR="00C37DB0" w:rsidRDefault="00C37DB0" w:rsidP="00C37DB0">
      <w:pPr>
        <w:pStyle w:val="Heading3"/>
      </w:pPr>
      <w:bookmarkStart w:id="586" w:name="_Toc17380530"/>
      <w:bookmarkStart w:id="587" w:name="_Toc19262986"/>
      <w:bookmarkStart w:id="588" w:name="_Toc23847531"/>
      <w:r>
        <w:t>Health</w:t>
      </w:r>
      <w:bookmarkEnd w:id="586"/>
      <w:bookmarkEnd w:id="587"/>
      <w:bookmarkEnd w:id="588"/>
    </w:p>
    <w:p w14:paraId="63285FF8" w14:textId="77777777" w:rsidR="00C37DB0" w:rsidRDefault="00C37DB0" w:rsidP="00C37DB0">
      <w:pPr>
        <w:pStyle w:val="Heading4"/>
      </w:pPr>
      <w:bookmarkStart w:id="589" w:name="_Toc17380531"/>
      <w:bookmarkStart w:id="590" w:name="_Toc19262987"/>
      <w:bookmarkStart w:id="591" w:name="_Toc23847532"/>
      <w:r>
        <w:t>State service delivery and funding arrangements</w:t>
      </w:r>
      <w:bookmarkEnd w:id="589"/>
      <w:bookmarkEnd w:id="590"/>
      <w:bookmarkEnd w:id="591"/>
    </w:p>
    <w:p w14:paraId="1EF6AAFA" w14:textId="77777777" w:rsidR="00C37DB0" w:rsidRDefault="00C37DB0" w:rsidP="001E4105">
      <w:pPr>
        <w:pStyle w:val="CGCNumberedPara"/>
        <w:tabs>
          <w:tab w:val="num" w:pos="567"/>
        </w:tabs>
      </w:pPr>
      <w:r>
        <w:t>Total State government spending on Health was $64 billion in 2017</w:t>
      </w:r>
      <w:r>
        <w:noBreakHyphen/>
        <w:t>18, which was 30% of total State expenses. That spending covered expenses for admitted and non-admitted patient services in public hospitals, community health and patient transport services. Aged care became a solely Commonwealth responsibility in 2015-16.</w:t>
      </w:r>
    </w:p>
    <w:p w14:paraId="7809F24A" w14:textId="77777777" w:rsidR="00C37DB0" w:rsidRDefault="00C37DB0" w:rsidP="001E4105">
      <w:pPr>
        <w:pStyle w:val="CGCNumberedPara"/>
        <w:tabs>
          <w:tab w:val="num" w:pos="567"/>
        </w:tabs>
      </w:pPr>
      <w:r>
        <w:t>In 2016-17, States provided 51% of funding for all public hospital services (including non</w:t>
      </w:r>
      <w:r>
        <w:noBreakHyphen/>
        <w:t>admitted hospital services) and the Commonwealth provided 41%. The remaining 8% was from non</w:t>
      </w:r>
      <w:r>
        <w:noBreakHyphen/>
        <w:t>government sources, including private health insurance, injury compensation insurers, self</w:t>
      </w:r>
      <w:r>
        <w:noBreakHyphen/>
        <w:t>funded patients and other sources of private revenue.</w:t>
      </w:r>
    </w:p>
    <w:p w14:paraId="30A0E6F0" w14:textId="77777777" w:rsidR="00C37DB0" w:rsidRDefault="00C37DB0" w:rsidP="001E4105">
      <w:pPr>
        <w:pStyle w:val="CGCNumberedPara"/>
        <w:tabs>
          <w:tab w:val="left" w:pos="720"/>
        </w:tabs>
      </w:pPr>
      <w:r>
        <w:t xml:space="preserve">In addition to hospital services, States provide community and public health services including dental services, primary health care, family and child health services, alcohol and drug services, community mental health services, cancer screening, health promotion and environmental health services. </w:t>
      </w:r>
    </w:p>
    <w:p w14:paraId="27C847F3" w14:textId="77777777" w:rsidR="00C37DB0" w:rsidRDefault="00C37DB0" w:rsidP="001E4105">
      <w:pPr>
        <w:pStyle w:val="CGCNumberedPara"/>
        <w:tabs>
          <w:tab w:val="num" w:pos="567"/>
        </w:tabs>
      </w:pPr>
      <w:r>
        <w:t xml:space="preserve">All States provide aero-medical ambulance services using fixed wing aircraft and helicopter. These services provide people in regional areas with rapid access to transport to major hospitals for both emergencies and routine care. In addition, all States offer patient assisted travel subsidy schemes that provide financial assistance towards the cost for patients who must travel long distances to access specialist medical services. </w:t>
      </w:r>
    </w:p>
    <w:p w14:paraId="497D090C" w14:textId="77777777" w:rsidR="00C37DB0" w:rsidRDefault="00C37DB0" w:rsidP="001E4105">
      <w:pPr>
        <w:pStyle w:val="CGCNumberedPara"/>
        <w:tabs>
          <w:tab w:val="num" w:pos="567"/>
        </w:tabs>
      </w:pPr>
      <w:r>
        <w:t xml:space="preserve">The Commonwealth funds Medicare and the Pharmaceutical Benefits Scheme in their entirety. It is the primary funder of primary health services in Australia. </w:t>
      </w:r>
    </w:p>
    <w:p w14:paraId="5CD0EE0B" w14:textId="77777777" w:rsidR="00C37DB0" w:rsidRDefault="00C37DB0" w:rsidP="00C37DB0">
      <w:pPr>
        <w:pStyle w:val="Heading4"/>
      </w:pPr>
      <w:bookmarkStart w:id="592" w:name="_Toc17380532"/>
      <w:bookmarkStart w:id="593" w:name="_Toc19262988"/>
      <w:bookmarkStart w:id="594" w:name="_Toc23847533"/>
      <w:r>
        <w:t>Norfolk Island service delivery and funding arrangements</w:t>
      </w:r>
      <w:bookmarkEnd w:id="592"/>
      <w:bookmarkEnd w:id="593"/>
      <w:bookmarkEnd w:id="594"/>
    </w:p>
    <w:p w14:paraId="56491049" w14:textId="77777777" w:rsidR="00C37DB0" w:rsidRDefault="00C37DB0" w:rsidP="001E4105">
      <w:pPr>
        <w:pStyle w:val="CGCNumberedPara"/>
        <w:tabs>
          <w:tab w:val="left" w:pos="720"/>
        </w:tabs>
      </w:pPr>
      <w:r>
        <w:t xml:space="preserve">From July 2016, Norfolk Island has been integrated with mainland taxation and social security benefits. Like other Australians, Norfolk Islanders now have access to the Medicare and the Pharmaceutical Benefit Schemes. </w:t>
      </w:r>
    </w:p>
    <w:p w14:paraId="4C0296C3" w14:textId="77777777" w:rsidR="00326DB0" w:rsidRPr="00326DB0" w:rsidRDefault="00C37DB0" w:rsidP="00326DB0">
      <w:pPr>
        <w:pStyle w:val="Heading5"/>
        <w:rPr>
          <w:rStyle w:val="Heading6Char"/>
          <w:b/>
          <w:i/>
          <w:iCs w:val="0"/>
        </w:rPr>
      </w:pPr>
      <w:r w:rsidRPr="00326DB0">
        <w:rPr>
          <w:rStyle w:val="Heading6Char"/>
          <w:b/>
          <w:i/>
          <w:iCs w:val="0"/>
        </w:rPr>
        <w:t>Hospit</w:t>
      </w:r>
      <w:r w:rsidR="00326DB0" w:rsidRPr="00326DB0">
        <w:rPr>
          <w:rStyle w:val="Heading6Char"/>
          <w:b/>
          <w:i/>
          <w:iCs w:val="0"/>
        </w:rPr>
        <w:t>al services (on and off-island)</w:t>
      </w:r>
    </w:p>
    <w:p w14:paraId="1A5E934E" w14:textId="77777777" w:rsidR="00C37DB0" w:rsidRDefault="00C37DB0" w:rsidP="001E4105">
      <w:pPr>
        <w:pStyle w:val="CGCNumberedPara"/>
        <w:tabs>
          <w:tab w:val="left" w:pos="720"/>
        </w:tabs>
      </w:pPr>
      <w:r>
        <w:rPr>
          <w:rFonts w:cstheme="minorHAnsi"/>
        </w:rPr>
        <w:t>The Norfolk Island Health and Residential Aged Care Service (NIHRACS) is a multi</w:t>
      </w:r>
      <w:r>
        <w:rPr>
          <w:rFonts w:cstheme="minorHAnsi"/>
        </w:rPr>
        <w:noBreakHyphen/>
        <w:t>purpose service providing</w:t>
      </w:r>
      <w:r>
        <w:rPr>
          <w:rFonts w:cstheme="minorHAnsi"/>
          <w:color w:val="292929"/>
          <w:shd w:val="clear" w:color="auto" w:fill="FFFFFF"/>
        </w:rPr>
        <w:t xml:space="preserve"> acute care including emergency services, residential aged care, and primary and community health care services. </w:t>
      </w:r>
      <w:r>
        <w:t>The Norfolk</w:t>
      </w:r>
      <w:r w:rsidR="000657C1">
        <w:t xml:space="preserve"> Island</w:t>
      </w:r>
      <w:r>
        <w:t xml:space="preserve"> </w:t>
      </w:r>
      <w:r w:rsidR="00996C2F">
        <w:t xml:space="preserve">health </w:t>
      </w:r>
      <w:r w:rsidR="00996C2F">
        <w:lastRenderedPageBreak/>
        <w:t xml:space="preserve">facility </w:t>
      </w:r>
      <w:r>
        <w:t xml:space="preserve">has six inpatient adult beds and two emergency bays. </w:t>
      </w:r>
      <w:r w:rsidR="00996C2F">
        <w:t xml:space="preserve">NIHRACS’ </w:t>
      </w:r>
      <w:r>
        <w:t xml:space="preserve">facilities and services are similar to other block funded </w:t>
      </w:r>
      <w:r w:rsidR="0031249D">
        <w:t>multi-purpose services</w:t>
      </w:r>
      <w:r>
        <w:t xml:space="preserve"> in remote and very remote Australia.</w:t>
      </w:r>
      <w:r>
        <w:rPr>
          <w:rStyle w:val="FootnoteReference"/>
        </w:rPr>
        <w:footnoteReference w:id="31"/>
      </w:r>
    </w:p>
    <w:p w14:paraId="3945D05B" w14:textId="7F4B0C11" w:rsidR="00C37DB0" w:rsidRDefault="00C37DB0" w:rsidP="001E4105">
      <w:pPr>
        <w:pStyle w:val="CGCNumberedPara"/>
        <w:tabs>
          <w:tab w:val="left" w:pos="720"/>
        </w:tabs>
      </w:pPr>
      <w:r>
        <w:rPr>
          <w:rFonts w:cstheme="minorHAnsi"/>
          <w:color w:val="292929"/>
          <w:shd w:val="clear" w:color="auto" w:fill="FFFFFF"/>
        </w:rPr>
        <w:t>The Australian Government</w:t>
      </w:r>
      <w:r w:rsidR="0077664F">
        <w:rPr>
          <w:rFonts w:cstheme="minorHAnsi"/>
          <w:color w:val="292929"/>
          <w:shd w:val="clear" w:color="auto" w:fill="FFFFFF"/>
        </w:rPr>
        <w:t>,</w:t>
      </w:r>
      <w:r>
        <w:rPr>
          <w:rFonts w:cstheme="minorHAnsi"/>
          <w:color w:val="292929"/>
          <w:shd w:val="clear" w:color="auto" w:fill="FFFFFF"/>
        </w:rPr>
        <w:t xml:space="preserve"> through agreements administered by </w:t>
      </w:r>
      <w:r w:rsidR="0077664F">
        <w:rPr>
          <w:rFonts w:cstheme="minorHAnsi"/>
          <w:color w:val="292929"/>
          <w:shd w:val="clear" w:color="auto" w:fill="FFFFFF"/>
        </w:rPr>
        <w:t xml:space="preserve">the </w:t>
      </w:r>
      <w:r w:rsidR="008F4885">
        <w:rPr>
          <w:rFonts w:cstheme="minorHAnsi"/>
          <w:color w:val="292929"/>
          <w:shd w:val="clear" w:color="auto" w:fill="FFFFFF"/>
        </w:rPr>
        <w:t>Department</w:t>
      </w:r>
      <w:r w:rsidR="0077664F">
        <w:rPr>
          <w:rFonts w:cstheme="minorHAnsi"/>
          <w:color w:val="292929"/>
          <w:shd w:val="clear" w:color="auto" w:fill="FFFFFF"/>
        </w:rPr>
        <w:t>,</w:t>
      </w:r>
      <w:r>
        <w:rPr>
          <w:rFonts w:cstheme="minorHAnsi"/>
          <w:color w:val="292929"/>
          <w:shd w:val="clear" w:color="auto" w:fill="FFFFFF"/>
        </w:rPr>
        <w:t xml:space="preserve"> funds the</w:t>
      </w:r>
      <w:r w:rsidR="00590308">
        <w:rPr>
          <w:rFonts w:cstheme="minorHAnsi"/>
          <w:color w:val="292929"/>
          <w:shd w:val="clear" w:color="auto" w:fill="FFFFFF"/>
        </w:rPr>
        <w:t xml:space="preserve"> following services and schemes:</w:t>
      </w:r>
    </w:p>
    <w:p w14:paraId="465715AA" w14:textId="5946E821" w:rsidR="00C37DB0" w:rsidRPr="00590308" w:rsidRDefault="00C37DB0" w:rsidP="00590308">
      <w:pPr>
        <w:pStyle w:val="CGCBulletlist"/>
        <w:numPr>
          <w:ilvl w:val="0"/>
          <w:numId w:val="15"/>
        </w:numPr>
      </w:pPr>
      <w:r w:rsidRPr="00590308">
        <w:rPr>
          <w:rFonts w:cstheme="minorHAnsi"/>
          <w:color w:val="292929"/>
          <w:shd w:val="clear" w:color="auto" w:fill="FFFFFF"/>
        </w:rPr>
        <w:t>The hospital, primary and community health services provided on Norfolk Island</w:t>
      </w:r>
    </w:p>
    <w:p w14:paraId="15E6F619" w14:textId="5329A5D7" w:rsidR="00C37DB0" w:rsidRPr="00590308" w:rsidRDefault="00570CDE" w:rsidP="00590308">
      <w:pPr>
        <w:pStyle w:val="CGCBulletlist"/>
      </w:pPr>
      <w:r>
        <w:t>Organisation governance</w:t>
      </w:r>
      <w:r w:rsidRPr="00590308">
        <w:t xml:space="preserve"> </w:t>
      </w:r>
      <w:r w:rsidR="00C37DB0" w:rsidRPr="00590308">
        <w:t xml:space="preserve">and clinical </w:t>
      </w:r>
      <w:r>
        <w:t>advice to NIHRACS provided</w:t>
      </w:r>
      <w:r w:rsidR="00C37DB0" w:rsidRPr="00590308">
        <w:t xml:space="preserve"> by the South Ea</w:t>
      </w:r>
      <w:r w:rsidR="00905829">
        <w:t>st</w:t>
      </w:r>
      <w:r w:rsidR="0031249D">
        <w:t>ern</w:t>
      </w:r>
      <w:r w:rsidR="00905829">
        <w:t xml:space="preserve"> Sydney Local Health District and delivery of some provisions of the NSW </w:t>
      </w:r>
      <w:r w:rsidR="00905829">
        <w:rPr>
          <w:i/>
        </w:rPr>
        <w:t>Public Health Act</w:t>
      </w:r>
    </w:p>
    <w:p w14:paraId="587BE0AB" w14:textId="77777777" w:rsidR="00C37DB0" w:rsidRPr="00590308" w:rsidRDefault="00C37DB0" w:rsidP="00590308">
      <w:pPr>
        <w:pStyle w:val="CGCBulletlist"/>
      </w:pPr>
      <w:r w:rsidRPr="00590308">
        <w:t>Medical evacuations, usually to Sydney, by regular air services or if necessary specialised medical evacuation and subsequent treatment of patients who require procedures that are too complex to be provided on the Island.</w:t>
      </w:r>
      <w:r w:rsidRPr="00BC7E9F">
        <w:rPr>
          <w:rStyle w:val="FootnoteReference"/>
        </w:rPr>
        <w:footnoteReference w:id="32"/>
      </w:r>
      <w:r w:rsidRPr="00BC7E9F">
        <w:rPr>
          <w:rStyle w:val="FootnoteReference"/>
        </w:rPr>
        <w:t xml:space="preserve"> </w:t>
      </w:r>
      <w:r w:rsidRPr="00590308">
        <w:t xml:space="preserve">   </w:t>
      </w:r>
    </w:p>
    <w:p w14:paraId="2366D3D1" w14:textId="7BF4E7BA" w:rsidR="00C37DB0" w:rsidRDefault="00C37DB0" w:rsidP="00590308">
      <w:pPr>
        <w:pStyle w:val="CGCBulletlist"/>
      </w:pPr>
      <w:r w:rsidRPr="00590308">
        <w:t xml:space="preserve">The Norfolk Island Patients’ Travel Accommodation and Assistance Scheme </w:t>
      </w:r>
      <w:r w:rsidR="00966A0A">
        <w:t xml:space="preserve">(elements of </w:t>
      </w:r>
      <w:r w:rsidRPr="00590308">
        <w:t xml:space="preserve">which </w:t>
      </w:r>
      <w:r w:rsidR="00966A0A">
        <w:t>mirror</w:t>
      </w:r>
      <w:r w:rsidR="00966A0A" w:rsidRPr="00590308">
        <w:t xml:space="preserve"> </w:t>
      </w:r>
      <w:r w:rsidRPr="00590308">
        <w:t>the</w:t>
      </w:r>
      <w:r>
        <w:t xml:space="preserve"> New South Wales Isolated Patients Travel and Accommodation Assistance Scheme</w:t>
      </w:r>
      <w:r w:rsidR="00966A0A">
        <w:t>)</w:t>
      </w:r>
      <w:r>
        <w:t>.</w:t>
      </w:r>
      <w:r>
        <w:rPr>
          <w:rStyle w:val="FootnoteReference"/>
        </w:rPr>
        <w:footnoteReference w:id="33"/>
      </w:r>
      <w:r w:rsidR="00590308">
        <w:t xml:space="preserve"> </w:t>
      </w:r>
      <w:r>
        <w:t>It covers the cost of flights to the mainland to see a specialist and provides subsidies for accommodation and travel while patients are</w:t>
      </w:r>
      <w:r w:rsidR="00590308">
        <w:t xml:space="preserve"> seeking medical treatment.  </w:t>
      </w:r>
    </w:p>
    <w:p w14:paraId="3AD8CEA5" w14:textId="77777777" w:rsidR="00C37DB0" w:rsidRDefault="00C37DB0" w:rsidP="001E4105">
      <w:pPr>
        <w:pStyle w:val="CGCNumberedPara"/>
        <w:tabs>
          <w:tab w:val="num" w:pos="567"/>
        </w:tabs>
      </w:pPr>
      <w:r>
        <w:t>Data on client numbers indicate there has been a sustained and significant increase in Norfolk Island residents using health services and essential medicines on the Island, using services on the mainland and accessing travel assistance since health service arrangements changed in July 2016.</w:t>
      </w:r>
      <w:r>
        <w:rPr>
          <w:rStyle w:val="FootnoteReference"/>
        </w:rPr>
        <w:footnoteReference w:id="34"/>
      </w:r>
      <w:r>
        <w:t xml:space="preserve"> </w:t>
      </w:r>
    </w:p>
    <w:p w14:paraId="2A7C61FD" w14:textId="77777777" w:rsidR="00C37DB0" w:rsidRDefault="00C37DB0" w:rsidP="001E4105">
      <w:pPr>
        <w:pStyle w:val="CGCNumberedPara"/>
        <w:tabs>
          <w:tab w:val="left" w:pos="720"/>
        </w:tabs>
      </w:pPr>
      <w:r>
        <w:t xml:space="preserve">Total expenses </w:t>
      </w:r>
      <w:r w:rsidR="00F10907">
        <w:t xml:space="preserve">of NIHRACS was </w:t>
      </w:r>
      <w:r>
        <w:t>$11.3 million in 2017-18</w:t>
      </w:r>
      <w:r w:rsidR="00F10907">
        <w:t>, partially</w:t>
      </w:r>
      <w:r>
        <w:t xml:space="preserve"> offset by user charges of $1.3 million. The Commonwealt</w:t>
      </w:r>
      <w:r w:rsidR="00AE4CC1">
        <w:t xml:space="preserve">h provided $10.6 million to NIHRACS </w:t>
      </w:r>
      <w:r>
        <w:t xml:space="preserve">in 2017-18 to defray costs through the service delivery agreement. About $4.2 million was incurred on coordination and oversight provided by New South Wales health agencies. </w:t>
      </w:r>
    </w:p>
    <w:p w14:paraId="00C7FCC8" w14:textId="4A1D8A13" w:rsidR="00C37DB0" w:rsidRDefault="00C37DB0" w:rsidP="001E4105">
      <w:pPr>
        <w:pStyle w:val="CGCNumberedPara"/>
        <w:tabs>
          <w:tab w:val="left" w:pos="720"/>
        </w:tabs>
      </w:pPr>
      <w:r>
        <w:t>Part of the Norfolk</w:t>
      </w:r>
      <w:r w:rsidR="006D61DB">
        <w:t xml:space="preserve"> Island</w:t>
      </w:r>
      <w:r>
        <w:t xml:space="preserve"> costs relate to aged care. Since aged care is solely a Commonwealth responsibility, the assessment should exclude those expenses. However, we found that the in</w:t>
      </w:r>
      <w:r w:rsidR="00133B32">
        <w:t xml:space="preserve">formation to do this is limited, so </w:t>
      </w:r>
      <w:r>
        <w:t>we used the</w:t>
      </w:r>
      <w:r w:rsidR="00133B32">
        <w:t xml:space="preserve"> </w:t>
      </w:r>
      <w:r w:rsidR="00133B32">
        <w:lastRenderedPageBreak/>
        <w:t>NIHRACS</w:t>
      </w:r>
      <w:r>
        <w:t xml:space="preserve"> information</w:t>
      </w:r>
      <w:r>
        <w:rPr>
          <w:rStyle w:val="FootnoteReference"/>
        </w:rPr>
        <w:footnoteReference w:id="35"/>
      </w:r>
      <w:r>
        <w:t xml:space="preserve"> to estimate that about 11% of activity at </w:t>
      </w:r>
      <w:r w:rsidR="006D61DB">
        <w:t>NIHRACS</w:t>
      </w:r>
      <w:r w:rsidR="00996C2F">
        <w:t xml:space="preserve"> </w:t>
      </w:r>
      <w:r>
        <w:t xml:space="preserve">is devoted to aged care services. The Commonwealth </w:t>
      </w:r>
      <w:r w:rsidR="00795D7C">
        <w:t xml:space="preserve">Department of Health </w:t>
      </w:r>
      <w:r>
        <w:t>through the residential aged care subsidy and Multi-purpose Services program, as well as resident contributions, provides funding for aged care services. We have assumed that the revenue from these sources is sufficient to meet all the aged care costs.</w:t>
      </w:r>
    </w:p>
    <w:p w14:paraId="13393E47" w14:textId="77777777" w:rsidR="00C37DB0" w:rsidRDefault="00C37DB0" w:rsidP="001E4105">
      <w:pPr>
        <w:pStyle w:val="CGCNumberedPara"/>
        <w:tabs>
          <w:tab w:val="left" w:pos="720"/>
        </w:tabs>
      </w:pPr>
      <w:r>
        <w:t xml:space="preserve">State provided non-residential aged care services are classified to Welfare, which is discussed later in this attachment. </w:t>
      </w:r>
    </w:p>
    <w:p w14:paraId="1616F76C" w14:textId="77777777" w:rsidR="00326DB0" w:rsidRPr="00326DB0" w:rsidRDefault="00326DB0" w:rsidP="00326DB0">
      <w:pPr>
        <w:pStyle w:val="Heading5"/>
        <w:rPr>
          <w:rStyle w:val="Heading6Char"/>
          <w:b/>
          <w:i/>
          <w:iCs w:val="0"/>
        </w:rPr>
      </w:pPr>
      <w:r w:rsidRPr="00326DB0">
        <w:rPr>
          <w:rStyle w:val="Heading6Char"/>
          <w:b/>
          <w:i/>
          <w:iCs w:val="0"/>
        </w:rPr>
        <w:t>Patient transport</w:t>
      </w:r>
    </w:p>
    <w:p w14:paraId="0A1EB01C" w14:textId="77777777" w:rsidR="00C37DB0" w:rsidRDefault="00C37DB0" w:rsidP="001E4105">
      <w:pPr>
        <w:pStyle w:val="CGCNumberedPara"/>
        <w:tabs>
          <w:tab w:val="left" w:pos="720"/>
        </w:tabs>
        <w:rPr>
          <w:rFonts w:cstheme="minorHAnsi"/>
        </w:rPr>
      </w:pPr>
      <w:r>
        <w:rPr>
          <w:rFonts w:cstheme="minorHAnsi"/>
          <w:color w:val="292929"/>
          <w:shd w:val="clear" w:color="auto" w:fill="FFFFFF"/>
        </w:rPr>
        <w:t xml:space="preserve">Patient transport includes medical evacuations and </w:t>
      </w:r>
      <w:r>
        <w:t>patient travel as</w:t>
      </w:r>
      <w:r w:rsidR="00B759A8">
        <w:t xml:space="preserve">sistance which is funded by </w:t>
      </w:r>
      <w:r w:rsidR="008F4885">
        <w:t>the Department</w:t>
      </w:r>
      <w:r w:rsidR="00B759A8">
        <w:t xml:space="preserve"> </w:t>
      </w:r>
      <w:r>
        <w:t xml:space="preserve">under a service delivery agreement. </w:t>
      </w:r>
      <w:r>
        <w:rPr>
          <w:rFonts w:cstheme="minorHAnsi"/>
          <w:color w:val="292929"/>
          <w:shd w:val="clear" w:color="auto" w:fill="FFFFFF"/>
        </w:rPr>
        <w:t xml:space="preserve">In 2017-18, there </w:t>
      </w:r>
      <w:r>
        <w:rPr>
          <w:rFonts w:cstheme="minorHAnsi"/>
          <w:color w:val="292929"/>
        </w:rPr>
        <w:t>were 67 medical evacuations with 72</w:t>
      </w:r>
      <w:r>
        <w:rPr>
          <w:rFonts w:cstheme="minorHAnsi"/>
          <w:color w:val="292929"/>
          <w:shd w:val="clear" w:color="auto" w:fill="FFFFFF"/>
        </w:rPr>
        <w:t xml:space="preserve"> emergency patients taken to the mainland for emergency medical services. </w:t>
      </w:r>
    </w:p>
    <w:p w14:paraId="5656D10A" w14:textId="77777777" w:rsidR="00C37DB0" w:rsidRDefault="00C37DB0" w:rsidP="001E4105">
      <w:pPr>
        <w:pStyle w:val="CGCNumberedPara"/>
        <w:tabs>
          <w:tab w:val="left" w:pos="720"/>
        </w:tabs>
      </w:pPr>
      <w:r>
        <w:t xml:space="preserve">Patients requiring non-urgent medical attention will travel to a mainland hospital on an available commercial flight. In relation to costs, eligible out of hospital accommodation on the mainland and return airfare costs to Norfolk Island are booked and paid for by the patient, and applicable expenses are reimbursed through the patient travel assistance scheme. Between 2016-17 and 2017-18, the number of people claiming travel assistance more than doubled from 381 to 849, but the total expense only increased by about 33%. </w:t>
      </w:r>
    </w:p>
    <w:p w14:paraId="5B9E4AEE" w14:textId="77777777" w:rsidR="00326DB0" w:rsidRPr="00326DB0" w:rsidRDefault="00C37DB0" w:rsidP="00326DB0">
      <w:pPr>
        <w:pStyle w:val="Heading5"/>
        <w:rPr>
          <w:rStyle w:val="Heading6Char"/>
          <w:b/>
          <w:i/>
          <w:iCs w:val="0"/>
        </w:rPr>
      </w:pPr>
      <w:r w:rsidRPr="00326DB0">
        <w:rPr>
          <w:rStyle w:val="Heading6Char"/>
          <w:b/>
          <w:i/>
          <w:iCs w:val="0"/>
        </w:rPr>
        <w:t>Community health</w:t>
      </w:r>
    </w:p>
    <w:p w14:paraId="62AD69F8" w14:textId="77777777" w:rsidR="00C37DB0" w:rsidRDefault="00B86C11" w:rsidP="001E4105">
      <w:pPr>
        <w:pStyle w:val="CGCNumberedPara"/>
        <w:tabs>
          <w:tab w:val="left" w:pos="720"/>
        </w:tabs>
      </w:pPr>
      <w:r>
        <w:t>NIHRACS</w:t>
      </w:r>
      <w:r w:rsidR="00996C2F">
        <w:t xml:space="preserve"> </w:t>
      </w:r>
      <w:r w:rsidR="00C37DB0">
        <w:t xml:space="preserve">provides various community health services that are comparable with State community health services. These include a monthly antenatal clinic and weekly child health clinic, a nutrition/dietetics clinic, a smoking cessation clinic, physiotherapy, hydrotherapy, counselling services, social working, medical imaging, pathology, a dental clinic and community nursing service. The general practice clinic is fully bulk billed for Medicare cardholders. General practitioners, in part, can work privately servicing patients, like their colleagues on the mainland. </w:t>
      </w:r>
    </w:p>
    <w:p w14:paraId="31C7434F" w14:textId="77777777" w:rsidR="00C37DB0" w:rsidRDefault="00C37DB0" w:rsidP="00C37DB0">
      <w:pPr>
        <w:pStyle w:val="Heading4"/>
      </w:pPr>
      <w:bookmarkStart w:id="595" w:name="_Toc17380533"/>
      <w:bookmarkStart w:id="596" w:name="_Toc19262989"/>
      <w:bookmarkStart w:id="597" w:name="_Toc23847534"/>
      <w:r>
        <w:t>Assessed expenses for Norfolk Island services</w:t>
      </w:r>
      <w:bookmarkEnd w:id="595"/>
      <w:bookmarkEnd w:id="596"/>
      <w:bookmarkEnd w:id="597"/>
      <w:r>
        <w:t xml:space="preserve"> </w:t>
      </w:r>
    </w:p>
    <w:p w14:paraId="446DFCF9" w14:textId="77777777" w:rsidR="00C37DB0" w:rsidRDefault="00C37DB0" w:rsidP="001E4105">
      <w:pPr>
        <w:pStyle w:val="CGCNumberedPara"/>
        <w:tabs>
          <w:tab w:val="left" w:pos="720"/>
        </w:tabs>
      </w:pPr>
      <w:r>
        <w:t>The Commission’s health assessment for States typically estimates the cost to Australian States of providing health services using national average spending patterns in comparable institutions as the benchmark.</w:t>
      </w:r>
    </w:p>
    <w:p w14:paraId="4A8EBD0A" w14:textId="77777777" w:rsidR="00C37DB0" w:rsidRDefault="00C37DB0" w:rsidP="001E4105">
      <w:pPr>
        <w:pStyle w:val="CGCNumberedPara"/>
        <w:tabs>
          <w:tab w:val="left" w:pos="720"/>
        </w:tabs>
      </w:pPr>
      <w:r>
        <w:t>The assessment of Norfolk Island health expenses includes components for:</w:t>
      </w:r>
    </w:p>
    <w:p w14:paraId="60F707A4" w14:textId="77777777" w:rsidR="00C37DB0" w:rsidRPr="00326DB0" w:rsidRDefault="00B86C11" w:rsidP="00326DB0">
      <w:pPr>
        <w:pStyle w:val="CGCBulletlist"/>
        <w:numPr>
          <w:ilvl w:val="0"/>
          <w:numId w:val="15"/>
        </w:numPr>
      </w:pPr>
      <w:r>
        <w:t>Multi-purpose</w:t>
      </w:r>
      <w:r w:rsidR="00C37DB0">
        <w:t xml:space="preserve"> s</w:t>
      </w:r>
      <w:r w:rsidR="00C37DB0" w:rsidRPr="00326DB0">
        <w:t>ervices excluding aged care</w:t>
      </w:r>
      <w:r w:rsidR="00C37DB0" w:rsidRPr="00326DB0">
        <w:rPr>
          <w:rStyle w:val="FootnoteReference"/>
          <w:vertAlign w:val="baseline"/>
        </w:rPr>
        <w:t xml:space="preserve"> </w:t>
      </w:r>
    </w:p>
    <w:p w14:paraId="7FED04B4" w14:textId="77777777" w:rsidR="00C37DB0" w:rsidRPr="00326DB0" w:rsidRDefault="00C37DB0" w:rsidP="00326DB0">
      <w:pPr>
        <w:pStyle w:val="CGCBulletlist"/>
      </w:pPr>
      <w:r w:rsidRPr="00326DB0">
        <w:lastRenderedPageBreak/>
        <w:t>patient transport (excluding land ambulance services)</w:t>
      </w:r>
    </w:p>
    <w:p w14:paraId="42DA5D55" w14:textId="77777777" w:rsidR="00C37DB0" w:rsidRDefault="00C37DB0" w:rsidP="00326DB0">
      <w:pPr>
        <w:pStyle w:val="CGCBulletlist"/>
      </w:pPr>
      <w:r w:rsidRPr="00326DB0">
        <w:t>community</w:t>
      </w:r>
      <w:r>
        <w:t xml:space="preserve"> health.</w:t>
      </w:r>
    </w:p>
    <w:p w14:paraId="4E3B6E1B" w14:textId="77777777" w:rsidR="00326DB0" w:rsidRPr="00647A39" w:rsidRDefault="00C37DB0" w:rsidP="00647A39">
      <w:pPr>
        <w:pStyle w:val="Heading5"/>
        <w:rPr>
          <w:rStyle w:val="Heading6Char"/>
          <w:b/>
          <w:i/>
          <w:iCs w:val="0"/>
        </w:rPr>
      </w:pPr>
      <w:r w:rsidRPr="00647A39">
        <w:rPr>
          <w:rStyle w:val="Heading6Char"/>
          <w:b/>
          <w:i/>
          <w:iCs w:val="0"/>
        </w:rPr>
        <w:t>Hospital services – on-island</w:t>
      </w:r>
    </w:p>
    <w:p w14:paraId="58FBCEAF" w14:textId="77777777" w:rsidR="00C37DB0" w:rsidRDefault="00C37DB0" w:rsidP="001E4105">
      <w:pPr>
        <w:pStyle w:val="CGCNumberedPara"/>
        <w:tabs>
          <w:tab w:val="left" w:pos="720"/>
        </w:tabs>
      </w:pPr>
      <w:r>
        <w:t xml:space="preserve">The hospital assessment includes services for admitted patients, emergency department and outpatient services through </w:t>
      </w:r>
    </w:p>
    <w:p w14:paraId="4F34F759" w14:textId="77777777" w:rsidR="00C37DB0" w:rsidRDefault="00C37DB0" w:rsidP="00326DB0">
      <w:pPr>
        <w:pStyle w:val="CGCBulletlist"/>
      </w:pPr>
      <w:r>
        <w:t xml:space="preserve">on-island treatment at </w:t>
      </w:r>
      <w:r w:rsidR="009E7DA1">
        <w:t>NIHRACS</w:t>
      </w:r>
    </w:p>
    <w:p w14:paraId="3E020120" w14:textId="77777777" w:rsidR="00C37DB0" w:rsidRDefault="00C37DB0" w:rsidP="00326DB0">
      <w:pPr>
        <w:pStyle w:val="CGCBulletlist"/>
      </w:pPr>
      <w:r>
        <w:t>treatment of Norfolk Island residents in mainland hospitals</w:t>
      </w:r>
    </w:p>
    <w:p w14:paraId="6DF202C3" w14:textId="44E88A50" w:rsidR="00C37DB0" w:rsidRDefault="005F3826" w:rsidP="00326DB0">
      <w:pPr>
        <w:pStyle w:val="CGCBulletlist"/>
      </w:pPr>
      <w:r>
        <w:t xml:space="preserve">organisational governance </w:t>
      </w:r>
      <w:r w:rsidR="00C37DB0">
        <w:t xml:space="preserve">and clinical </w:t>
      </w:r>
      <w:r>
        <w:t xml:space="preserve">advice </w:t>
      </w:r>
      <w:r w:rsidR="00280FB6">
        <w:t>to</w:t>
      </w:r>
      <w:r w:rsidR="00D009EF">
        <w:t xml:space="preserve"> </w:t>
      </w:r>
      <w:r w:rsidR="00C37DB0">
        <w:t>NIHRACS provided by New South Wales.</w:t>
      </w:r>
    </w:p>
    <w:p w14:paraId="7860E062" w14:textId="77777777" w:rsidR="00C37DB0" w:rsidRDefault="009E7DA1" w:rsidP="001E4105">
      <w:pPr>
        <w:pStyle w:val="CGCNumberedPara"/>
        <w:tabs>
          <w:tab w:val="left" w:pos="720"/>
        </w:tabs>
      </w:pPr>
      <w:r>
        <w:t>NIHRACS</w:t>
      </w:r>
      <w:r w:rsidR="00996C2F">
        <w:t xml:space="preserve"> </w:t>
      </w:r>
      <w:r w:rsidR="00C37DB0">
        <w:t>is a small facility in a very remote location. If it was on the mainland it would be considered as a block-funded hospital.</w:t>
      </w:r>
      <w:r w:rsidR="00C37DB0">
        <w:rPr>
          <w:rStyle w:val="FootnoteReference"/>
        </w:rPr>
        <w:footnoteReference w:id="36"/>
      </w:r>
      <w:r w:rsidR="00C37DB0">
        <w:t xml:space="preserve"> Based on the current level of on-island activity and using King Island’s similar sized very remote facility as a benchmark, we have classified the on-island facility as a middle</w:t>
      </w:r>
      <w:r w:rsidR="00C37DB0">
        <w:noBreakHyphen/>
        <w:t>range block</w:t>
      </w:r>
      <w:r w:rsidR="00C37DB0">
        <w:noBreakHyphen/>
        <w:t>funded hospital in the Independent Hospital Pricing Authority’s service volume group C.</w:t>
      </w:r>
      <w:r w:rsidR="00C37DB0">
        <w:rPr>
          <w:rStyle w:val="FootnoteReference"/>
        </w:rPr>
        <w:t xml:space="preserve"> </w:t>
      </w:r>
    </w:p>
    <w:p w14:paraId="378CFF05" w14:textId="77777777" w:rsidR="00C37DB0" w:rsidRDefault="00C37DB0" w:rsidP="001E4105">
      <w:pPr>
        <w:pStyle w:val="CGCNumberedPara"/>
        <w:tabs>
          <w:tab w:val="left" w:pos="720"/>
        </w:tabs>
      </w:pPr>
      <w:r>
        <w:t>The Independent Hospital Pricing Authority uses actual expenses from mainland hospital procedures to estimate the costs of procedures in very remote contexts, taking into account: the health and demographic status of patients in very remote contexts, the costs of servicing patients in very remote hospitals and the complexity of treatment provided to acute and sub-acute patients. The pricing authority’s costing for block-funded hospitals in group C provides a benchmark estimate of on-Isla</w:t>
      </w:r>
      <w:r w:rsidR="00F77BCF">
        <w:t>nd hospital costs, of $5.5 million</w:t>
      </w:r>
      <w:r>
        <w:t xml:space="preserve"> in 2017-18. </w:t>
      </w:r>
    </w:p>
    <w:p w14:paraId="3720408D" w14:textId="77777777" w:rsidR="00326DB0" w:rsidRPr="00326DB0" w:rsidRDefault="00C37DB0" w:rsidP="00326DB0">
      <w:pPr>
        <w:pStyle w:val="Heading5"/>
        <w:rPr>
          <w:rStyle w:val="Heading6Char"/>
          <w:b/>
          <w:i/>
          <w:iCs w:val="0"/>
        </w:rPr>
      </w:pPr>
      <w:r w:rsidRPr="00326DB0">
        <w:rPr>
          <w:rStyle w:val="Heading6Char"/>
          <w:b/>
          <w:i/>
          <w:iCs w:val="0"/>
        </w:rPr>
        <w:t>Hospital services – off-island</w:t>
      </w:r>
    </w:p>
    <w:p w14:paraId="6B5943FA" w14:textId="77777777" w:rsidR="00C37DB0" w:rsidRDefault="00C37DB0" w:rsidP="001E4105">
      <w:pPr>
        <w:pStyle w:val="CGCNumberedPara"/>
        <w:tabs>
          <w:tab w:val="num" w:pos="567"/>
        </w:tabs>
      </w:pPr>
      <w:r>
        <w:t>We based the assessed cost of off-island hospital services on national weighted activity unit data on the use of mainland hospital services by Norfolk Island residents. The data was sourced from the National Health Funding Body.</w:t>
      </w:r>
    </w:p>
    <w:p w14:paraId="5A91B718" w14:textId="77777777" w:rsidR="00C37DB0" w:rsidRDefault="00C37DB0" w:rsidP="001E4105">
      <w:pPr>
        <w:pStyle w:val="CGCNumberedPara"/>
        <w:tabs>
          <w:tab w:val="left" w:pos="720"/>
        </w:tabs>
      </w:pPr>
      <w:r>
        <w:t xml:space="preserve">For 2017-18, </w:t>
      </w:r>
      <w:r w:rsidR="00F77BCF">
        <w:t>the assessed cost was $2.7 million</w:t>
      </w:r>
      <w:r>
        <w:t xml:space="preserve">, based on the 2016-17 activity unit data indexed by the growth in total Australian activity units. </w:t>
      </w:r>
    </w:p>
    <w:p w14:paraId="2329F581" w14:textId="77777777" w:rsidR="00D502C6" w:rsidRPr="00D502C6" w:rsidRDefault="00C37DB0" w:rsidP="00D502C6">
      <w:pPr>
        <w:pStyle w:val="Heading5"/>
        <w:rPr>
          <w:rStyle w:val="Heading6Char"/>
          <w:b/>
          <w:i/>
          <w:iCs w:val="0"/>
        </w:rPr>
      </w:pPr>
      <w:r w:rsidRPr="00D502C6">
        <w:rPr>
          <w:rStyle w:val="Heading6Char"/>
          <w:b/>
          <w:i/>
          <w:iCs w:val="0"/>
        </w:rPr>
        <w:t>Patient transport</w:t>
      </w:r>
    </w:p>
    <w:p w14:paraId="1BBC0AEA" w14:textId="77777777" w:rsidR="00C37DB0" w:rsidRDefault="00C37DB0" w:rsidP="001E4105">
      <w:pPr>
        <w:pStyle w:val="CGCNumberedPara"/>
        <w:tabs>
          <w:tab w:val="left" w:pos="720"/>
        </w:tabs>
      </w:pPr>
      <w:r>
        <w:t xml:space="preserve">Patient transport includes aero-medical ambulance services and the reimbursement of costs through patient assisted travel schemes. </w:t>
      </w:r>
    </w:p>
    <w:p w14:paraId="17FB7D90" w14:textId="77777777" w:rsidR="00C37DB0" w:rsidRDefault="00C37DB0" w:rsidP="001E4105">
      <w:pPr>
        <w:pStyle w:val="CGCNumberedPara"/>
        <w:tabs>
          <w:tab w:val="left" w:pos="720"/>
        </w:tabs>
      </w:pPr>
      <w:r>
        <w:t>The average cost per person of patient t</w:t>
      </w:r>
      <w:r w:rsidR="00B9083B">
        <w:t>ransport for Norfolk Island ($1 </w:t>
      </w:r>
      <w:r>
        <w:t xml:space="preserve">798) is comparable to the cost for other very remote small </w:t>
      </w:r>
      <w:r w:rsidR="002C5F16">
        <w:t>I</w:t>
      </w:r>
      <w:r>
        <w:t xml:space="preserve">sland communities, such as </w:t>
      </w:r>
      <w:r>
        <w:lastRenderedPageBreak/>
        <w:t>Christmas and Cocos</w:t>
      </w:r>
      <w:r w:rsidR="00665A10">
        <w:t xml:space="preserve"> (Keeling)</w:t>
      </w:r>
      <w:r>
        <w:t xml:space="preserve"> Islands ($1</w:t>
      </w:r>
      <w:r w:rsidR="00B9083B">
        <w:t> </w:t>
      </w:r>
      <w:r>
        <w:t xml:space="preserve">742). It is nearly four times the per capita cost for the average Australian State ($521) and almost twice the per capita average cost for Tasmania and the Northern Territory. We concluded actual expenditure is an appropriate reflection of underlying costs, being a reflection of the transport costs, the availability of different mainland facilities, the composition and urgency of treatments required and accommodation costs in different regions. The assessment is therefore based </w:t>
      </w:r>
      <w:r w:rsidR="00F74BAA">
        <w:t>on actual expenditure of $3.1 million</w:t>
      </w:r>
      <w:r>
        <w:t xml:space="preserve"> in 2017-18. </w:t>
      </w:r>
    </w:p>
    <w:p w14:paraId="260CCCE3" w14:textId="77777777" w:rsidR="00B37ED8" w:rsidRPr="00B37ED8" w:rsidRDefault="00C37DB0" w:rsidP="00B37ED8">
      <w:pPr>
        <w:pStyle w:val="Heading5"/>
        <w:rPr>
          <w:rStyle w:val="Heading6Char"/>
          <w:b/>
          <w:i/>
          <w:iCs w:val="0"/>
        </w:rPr>
      </w:pPr>
      <w:r w:rsidRPr="00B37ED8">
        <w:rPr>
          <w:rStyle w:val="Heading6Char"/>
          <w:b/>
          <w:i/>
          <w:iCs w:val="0"/>
        </w:rPr>
        <w:t>Community health</w:t>
      </w:r>
    </w:p>
    <w:p w14:paraId="541CF68E" w14:textId="77777777" w:rsidR="00C37DB0" w:rsidRPr="00B37ED8" w:rsidRDefault="00C37DB0" w:rsidP="00B37ED8">
      <w:pPr>
        <w:pStyle w:val="CGCNumberedPara"/>
        <w:rPr>
          <w:rStyle w:val="Heading6Char"/>
          <w:rFonts w:eastAsiaTheme="minorHAnsi" w:cstheme="minorBidi"/>
          <w:b w:val="0"/>
          <w:i w:val="0"/>
          <w:iCs w:val="0"/>
          <w:color w:val="auto"/>
          <w:sz w:val="24"/>
        </w:rPr>
      </w:pPr>
      <w:r w:rsidRPr="00B37ED8">
        <w:t>The Community health assessment used Australian average community health expenses as the base. Adjustments were made to reflect Norfolk Island socio</w:t>
      </w:r>
      <w:r w:rsidRPr="00B37ED8">
        <w:noBreakHyphen/>
        <w:t>demographic characteristics as a mainly non-</w:t>
      </w:r>
      <w:r w:rsidR="00D50D53" w:rsidRPr="00D50D53">
        <w:t xml:space="preserve"> </w:t>
      </w:r>
      <w:r w:rsidR="00D50D53">
        <w:t>Aboriginal or Torres Strait Islander</w:t>
      </w:r>
      <w:r w:rsidRPr="00B37ED8">
        <w:t>, very remote population</w:t>
      </w:r>
      <w:r w:rsidR="00D50D53">
        <w:t>,</w:t>
      </w:r>
      <w:r w:rsidRPr="00B37ED8">
        <w:t xml:space="preserve"> with a middle socio-economic status and an older age profile.</w:t>
      </w:r>
    </w:p>
    <w:p w14:paraId="762B9A79" w14:textId="77777777" w:rsidR="00C37DB0" w:rsidRPr="003A56A1" w:rsidRDefault="00C37DB0" w:rsidP="003A56A1">
      <w:pPr>
        <w:pStyle w:val="CGCNumberedPara"/>
      </w:pPr>
      <w:r w:rsidRPr="003A56A1">
        <w:t xml:space="preserve">An adjustment has also been made to reflect the availability of general practitioners on Norfolk Island. In very remote regions on the mainland, the availability of private general practitioners who bulk-bill is limited. The availability of general practitioners affects the level of State spending on community and public health services as they are substitutable – that is, where there are more private general practitioners there is a reduced need for State funded community health services. </w:t>
      </w:r>
    </w:p>
    <w:p w14:paraId="01D1FB96" w14:textId="77777777" w:rsidR="00C37DB0" w:rsidRPr="003A56A1" w:rsidRDefault="00C37DB0" w:rsidP="003A56A1">
      <w:pPr>
        <w:pStyle w:val="CGCNumberedPara"/>
      </w:pPr>
      <w:r w:rsidRPr="003A56A1">
        <w:t xml:space="preserve">On Norfolk Island, there is a relatively high level of bulk-billing general practitioner services available through </w:t>
      </w:r>
      <w:r w:rsidR="009E7DA1">
        <w:t>NIHRACS</w:t>
      </w:r>
      <w:r w:rsidRPr="003A56A1">
        <w:t>. This is an unusual situation compared to very remote communities on the mainland, which typically have few bulk-billing general practitioners.</w:t>
      </w:r>
      <w:r w:rsidRPr="009E7DA1">
        <w:rPr>
          <w:rStyle w:val="FootnoteReference"/>
        </w:rPr>
        <w:footnoteReference w:id="37"/>
      </w:r>
      <w:r w:rsidRPr="009E7DA1">
        <w:rPr>
          <w:rStyle w:val="FootnoteReference"/>
        </w:rPr>
        <w:t xml:space="preserve"> </w:t>
      </w:r>
      <w:r w:rsidRPr="003A56A1">
        <w:t>To account for its unusually high provision of general practitioners, who are funded in part by the Commonwealth through Medicare, the assessment has discounted the Community health services need for Norfolk Island by 25%. This gives an assessed Community</w:t>
      </w:r>
      <w:r w:rsidR="00564E71">
        <w:t xml:space="preserve"> health expense of $3.0 million</w:t>
      </w:r>
      <w:r w:rsidRPr="003A56A1">
        <w:t xml:space="preserve"> in 2017</w:t>
      </w:r>
      <w:r w:rsidRPr="003A56A1">
        <w:noBreakHyphen/>
        <w:t xml:space="preserve">18. </w:t>
      </w:r>
    </w:p>
    <w:p w14:paraId="6FAD650F" w14:textId="77777777" w:rsidR="00C37DB0" w:rsidRPr="003A56A1" w:rsidRDefault="005B12C7" w:rsidP="003A56A1">
      <w:pPr>
        <w:pStyle w:val="CGCNumberedPara"/>
      </w:pPr>
      <w:r>
        <w:t xml:space="preserve">Table E-5 </w:t>
      </w:r>
      <w:r w:rsidR="00C37DB0" w:rsidRPr="003A56A1">
        <w:t>summarises the assessment for Norfolk Island</w:t>
      </w:r>
      <w:r w:rsidR="00564E71">
        <w:t xml:space="preserve"> health expenses, totalling $14.4 million</w:t>
      </w:r>
      <w:r w:rsidR="00C37DB0" w:rsidRPr="003A56A1">
        <w:t xml:space="preserve"> in 2017-18. This amount includes the assessed expenses for general welfare services provided by NIHRACS.</w:t>
      </w:r>
    </w:p>
    <w:p w14:paraId="6A0AD9CC" w14:textId="77777777" w:rsidR="00C37DB0" w:rsidRDefault="00C37DB0" w:rsidP="00C37DB0">
      <w:pPr>
        <w:pStyle w:val="Caption"/>
        <w:rPr>
          <w:rStyle w:val="Heading6Char"/>
          <w:b/>
          <w:bCs w:val="0"/>
          <w:i w:val="0"/>
          <w:iCs w:val="0"/>
        </w:rPr>
      </w:pPr>
      <w:bookmarkStart w:id="598" w:name="_Ref16863322"/>
      <w:r>
        <w:lastRenderedPageBreak/>
        <w:t>Table</w:t>
      </w:r>
      <w:bookmarkEnd w:id="598"/>
      <w:r w:rsidR="008D7F0E">
        <w:t xml:space="preserve"> E-5</w:t>
      </w:r>
      <w:r>
        <w:tab/>
        <w:t>Norfolk Island health services, assessed expenses, 2017-18</w:t>
      </w:r>
    </w:p>
    <w:tbl>
      <w:tblPr>
        <w:tblW w:w="8960" w:type="dxa"/>
        <w:tblLayout w:type="fixed"/>
        <w:tblCellMar>
          <w:left w:w="0" w:type="dxa"/>
          <w:right w:w="0" w:type="dxa"/>
        </w:tblCellMar>
        <w:tblLook w:val="04A0" w:firstRow="1" w:lastRow="0" w:firstColumn="1" w:lastColumn="0" w:noHBand="0" w:noVBand="1"/>
      </w:tblPr>
      <w:tblGrid>
        <w:gridCol w:w="7240"/>
        <w:gridCol w:w="1720"/>
      </w:tblGrid>
      <w:tr w:rsidR="00C37DB0" w14:paraId="60D73F57" w14:textId="77777777" w:rsidTr="00647A39">
        <w:trPr>
          <w:trHeight w:val="375"/>
        </w:trPr>
        <w:tc>
          <w:tcPr>
            <w:tcW w:w="7240" w:type="dxa"/>
            <w:tcBorders>
              <w:top w:val="single" w:sz="4" w:space="0" w:color="auto"/>
              <w:left w:val="nil"/>
              <w:bottom w:val="single" w:sz="4" w:space="0" w:color="auto"/>
              <w:right w:val="nil"/>
            </w:tcBorders>
            <w:shd w:val="clear" w:color="auto" w:fill="FFFFFF"/>
            <w:noWrap/>
            <w:vAlign w:val="center"/>
            <w:hideMark/>
          </w:tcPr>
          <w:p w14:paraId="3D5266DD" w14:textId="77777777" w:rsidR="00C37DB0" w:rsidRDefault="00C37DB0">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bookmarkStart w:id="599" w:name="RANGE!A11:B20"/>
            <w:r>
              <w:rPr>
                <w:rFonts w:ascii="Calibri" w:eastAsia="Times New Roman" w:hAnsi="Calibri" w:cs="Calibri"/>
                <w:sz w:val="20"/>
                <w:szCs w:val="20"/>
                <w:lang w:eastAsia="en-AU"/>
              </w:rPr>
              <w:t>Component</w:t>
            </w:r>
            <w:bookmarkEnd w:id="599"/>
          </w:p>
        </w:tc>
        <w:tc>
          <w:tcPr>
            <w:tcW w:w="1720" w:type="dxa"/>
            <w:tcBorders>
              <w:top w:val="single" w:sz="4" w:space="0" w:color="auto"/>
              <w:left w:val="nil"/>
              <w:bottom w:val="single" w:sz="4" w:space="0" w:color="auto"/>
              <w:right w:val="nil"/>
            </w:tcBorders>
            <w:shd w:val="clear" w:color="auto" w:fill="FFFFFF"/>
            <w:noWrap/>
            <w:vAlign w:val="center"/>
            <w:hideMark/>
          </w:tcPr>
          <w:p w14:paraId="1D40FA83"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2017-18</w:t>
            </w:r>
          </w:p>
        </w:tc>
      </w:tr>
      <w:tr w:rsidR="00C37DB0" w14:paraId="7C7EC8A0" w14:textId="77777777" w:rsidTr="00647A39">
        <w:trPr>
          <w:trHeight w:val="259"/>
        </w:trPr>
        <w:tc>
          <w:tcPr>
            <w:tcW w:w="7240" w:type="dxa"/>
            <w:shd w:val="clear" w:color="auto" w:fill="FFFFFF"/>
            <w:noWrap/>
            <w:vAlign w:val="bottom"/>
            <w:hideMark/>
          </w:tcPr>
          <w:p w14:paraId="3CA5DEF2" w14:textId="77777777" w:rsidR="00C37DB0" w:rsidRDefault="00C37DB0">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 </w:t>
            </w:r>
          </w:p>
        </w:tc>
        <w:tc>
          <w:tcPr>
            <w:tcW w:w="1720" w:type="dxa"/>
            <w:shd w:val="clear" w:color="auto" w:fill="FFFFFF"/>
            <w:noWrap/>
            <w:vAlign w:val="bottom"/>
            <w:hideMark/>
          </w:tcPr>
          <w:p w14:paraId="4266CACC"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w:t>
            </w:r>
          </w:p>
        </w:tc>
      </w:tr>
      <w:tr w:rsidR="00C37DB0" w14:paraId="0EAEBAD3" w14:textId="77777777" w:rsidTr="00647A39">
        <w:trPr>
          <w:trHeight w:val="315"/>
        </w:trPr>
        <w:tc>
          <w:tcPr>
            <w:tcW w:w="7240" w:type="dxa"/>
            <w:shd w:val="clear" w:color="auto" w:fill="FFFFFF"/>
            <w:noWrap/>
            <w:vAlign w:val="bottom"/>
            <w:hideMark/>
          </w:tcPr>
          <w:p w14:paraId="26E39E22" w14:textId="77777777" w:rsidR="00C37DB0" w:rsidRDefault="00C37DB0">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Hospital on-island</w:t>
            </w:r>
          </w:p>
        </w:tc>
        <w:tc>
          <w:tcPr>
            <w:tcW w:w="1720" w:type="dxa"/>
            <w:shd w:val="clear" w:color="auto" w:fill="FFFFFF"/>
            <w:noWrap/>
            <w:vAlign w:val="bottom"/>
            <w:hideMark/>
          </w:tcPr>
          <w:p w14:paraId="05364982"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5 458 438</w:t>
            </w:r>
          </w:p>
        </w:tc>
      </w:tr>
      <w:tr w:rsidR="00C37DB0" w14:paraId="62A92160" w14:textId="77777777" w:rsidTr="00647A39">
        <w:trPr>
          <w:trHeight w:val="315"/>
        </w:trPr>
        <w:tc>
          <w:tcPr>
            <w:tcW w:w="7240" w:type="dxa"/>
            <w:shd w:val="clear" w:color="auto" w:fill="FFFFFF"/>
            <w:noWrap/>
            <w:vAlign w:val="bottom"/>
            <w:hideMark/>
          </w:tcPr>
          <w:p w14:paraId="6041E5C6" w14:textId="77777777" w:rsidR="00C37DB0" w:rsidRDefault="00C37DB0">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Hospital off-island </w:t>
            </w:r>
          </w:p>
        </w:tc>
        <w:tc>
          <w:tcPr>
            <w:tcW w:w="1720" w:type="dxa"/>
            <w:shd w:val="clear" w:color="auto" w:fill="FFFFFF"/>
            <w:noWrap/>
            <w:vAlign w:val="bottom"/>
            <w:hideMark/>
          </w:tcPr>
          <w:p w14:paraId="5B18D4D0"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2 659 776</w:t>
            </w:r>
          </w:p>
        </w:tc>
      </w:tr>
      <w:tr w:rsidR="00C37DB0" w14:paraId="061C2380" w14:textId="77777777" w:rsidTr="00647A39">
        <w:trPr>
          <w:trHeight w:val="315"/>
        </w:trPr>
        <w:tc>
          <w:tcPr>
            <w:tcW w:w="7240" w:type="dxa"/>
            <w:shd w:val="clear" w:color="auto" w:fill="FFFFFF"/>
            <w:noWrap/>
            <w:vAlign w:val="bottom"/>
            <w:hideMark/>
          </w:tcPr>
          <w:p w14:paraId="0D725CB5" w14:textId="77777777" w:rsidR="00C37DB0" w:rsidRDefault="00C37DB0">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Patient transport</w:t>
            </w:r>
          </w:p>
        </w:tc>
        <w:tc>
          <w:tcPr>
            <w:tcW w:w="1720" w:type="dxa"/>
            <w:shd w:val="clear" w:color="auto" w:fill="FFFFFF"/>
            <w:noWrap/>
            <w:vAlign w:val="bottom"/>
            <w:hideMark/>
          </w:tcPr>
          <w:p w14:paraId="775B56C1" w14:textId="77777777" w:rsidR="00C37DB0" w:rsidRDefault="00647A39">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3 083 000</w:t>
            </w:r>
            <w:r w:rsidR="00C37DB0">
              <w:rPr>
                <w:rFonts w:ascii="Calibri" w:eastAsia="Times New Roman" w:hAnsi="Calibri" w:cs="Calibri"/>
                <w:sz w:val="20"/>
                <w:szCs w:val="20"/>
                <w:lang w:eastAsia="en-AU"/>
              </w:rPr>
              <w:t> </w:t>
            </w:r>
          </w:p>
        </w:tc>
      </w:tr>
      <w:tr w:rsidR="00C37DB0" w14:paraId="766BD4BB" w14:textId="77777777" w:rsidTr="00647A39">
        <w:trPr>
          <w:trHeight w:val="315"/>
        </w:trPr>
        <w:tc>
          <w:tcPr>
            <w:tcW w:w="7240" w:type="dxa"/>
            <w:shd w:val="clear" w:color="auto" w:fill="FFFFFF"/>
            <w:noWrap/>
            <w:vAlign w:val="bottom"/>
            <w:hideMark/>
          </w:tcPr>
          <w:p w14:paraId="008AA2DF" w14:textId="77777777" w:rsidR="00C37DB0" w:rsidRDefault="00C37DB0">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Community health</w:t>
            </w:r>
          </w:p>
        </w:tc>
        <w:tc>
          <w:tcPr>
            <w:tcW w:w="1720" w:type="dxa"/>
            <w:shd w:val="clear" w:color="auto" w:fill="FFFFFF"/>
            <w:noWrap/>
            <w:vAlign w:val="bottom"/>
            <w:hideMark/>
          </w:tcPr>
          <w:p w14:paraId="6196EF6B"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2 981 458</w:t>
            </w:r>
          </w:p>
        </w:tc>
      </w:tr>
      <w:tr w:rsidR="00C37DB0" w14:paraId="56C1D53E" w14:textId="77777777" w:rsidTr="00647A39">
        <w:trPr>
          <w:trHeight w:val="315"/>
        </w:trPr>
        <w:tc>
          <w:tcPr>
            <w:tcW w:w="7240" w:type="dxa"/>
            <w:shd w:val="clear" w:color="auto" w:fill="FFFFFF"/>
            <w:noWrap/>
            <w:vAlign w:val="bottom"/>
            <w:hideMark/>
          </w:tcPr>
          <w:p w14:paraId="21CCEEB7" w14:textId="77777777" w:rsidR="00C37DB0" w:rsidRDefault="00C37DB0">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General welfare services</w:t>
            </w:r>
          </w:p>
        </w:tc>
        <w:tc>
          <w:tcPr>
            <w:tcW w:w="1720" w:type="dxa"/>
            <w:noWrap/>
            <w:vAlign w:val="bottom"/>
            <w:hideMark/>
          </w:tcPr>
          <w:p w14:paraId="4DEEA1CB"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223 875</w:t>
            </w:r>
          </w:p>
        </w:tc>
      </w:tr>
      <w:tr w:rsidR="00C37DB0" w14:paraId="06D73B06" w14:textId="77777777" w:rsidTr="00647A39">
        <w:trPr>
          <w:trHeight w:val="315"/>
        </w:trPr>
        <w:tc>
          <w:tcPr>
            <w:tcW w:w="7240" w:type="dxa"/>
            <w:tcBorders>
              <w:top w:val="nil"/>
              <w:left w:val="nil"/>
              <w:bottom w:val="single" w:sz="4" w:space="0" w:color="auto"/>
              <w:right w:val="nil"/>
            </w:tcBorders>
            <w:shd w:val="clear" w:color="auto" w:fill="FFFFFF"/>
            <w:noWrap/>
            <w:vAlign w:val="bottom"/>
            <w:hideMark/>
          </w:tcPr>
          <w:p w14:paraId="651E85F6" w14:textId="77777777" w:rsidR="00C37DB0" w:rsidRDefault="00C37DB0">
            <w:pPr>
              <w:keepNext/>
              <w:keepLines/>
              <w:tabs>
                <w:tab w:val="clear" w:pos="567"/>
                <w:tab w:val="left" w:pos="720"/>
              </w:tabs>
              <w:spacing w:after="0" w:line="240" w:lineRule="auto"/>
              <w:ind w:left="193" w:hanging="142"/>
              <w:rPr>
                <w:rFonts w:ascii="Calibri" w:eastAsia="Times New Roman" w:hAnsi="Calibri" w:cs="Calibri"/>
                <w:sz w:val="20"/>
                <w:szCs w:val="20"/>
                <w:lang w:eastAsia="en-AU"/>
              </w:rPr>
            </w:pPr>
            <w:r>
              <w:rPr>
                <w:rFonts w:ascii="Calibri" w:eastAsia="Times New Roman" w:hAnsi="Calibri" w:cs="Calibri"/>
                <w:sz w:val="20"/>
                <w:szCs w:val="20"/>
                <w:lang w:eastAsia="en-AU"/>
              </w:rPr>
              <w:t>Total</w:t>
            </w:r>
          </w:p>
        </w:tc>
        <w:tc>
          <w:tcPr>
            <w:tcW w:w="1720" w:type="dxa"/>
            <w:tcBorders>
              <w:top w:val="single" w:sz="4" w:space="0" w:color="auto"/>
              <w:left w:val="nil"/>
              <w:bottom w:val="single" w:sz="4" w:space="0" w:color="auto"/>
              <w:right w:val="nil"/>
            </w:tcBorders>
            <w:shd w:val="clear" w:color="auto" w:fill="FFFFFF"/>
            <w:noWrap/>
            <w:vAlign w:val="bottom"/>
            <w:hideMark/>
          </w:tcPr>
          <w:p w14:paraId="5F06116C" w14:textId="77777777" w:rsidR="00C37DB0" w:rsidRDefault="00C37DB0">
            <w:pPr>
              <w:keepNext/>
              <w:keepLines/>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14 406 547</w:t>
            </w:r>
          </w:p>
        </w:tc>
      </w:tr>
    </w:tbl>
    <w:p w14:paraId="0A00000B" w14:textId="77777777" w:rsidR="00C37DB0" w:rsidRPr="00B37ED8" w:rsidRDefault="00C37DB0" w:rsidP="00B37ED8">
      <w:pPr>
        <w:pStyle w:val="CGCTableFootnote"/>
        <w:rPr>
          <w:rStyle w:val="Heading6Char"/>
          <w:rFonts w:eastAsiaTheme="minorHAnsi" w:cstheme="minorBidi"/>
          <w:b w:val="0"/>
          <w:i w:val="0"/>
          <w:iCs w:val="0"/>
          <w:color w:val="auto"/>
          <w:sz w:val="20"/>
        </w:rPr>
      </w:pPr>
      <w:r w:rsidRPr="00B37ED8">
        <w:rPr>
          <w:rStyle w:val="Heading6Char"/>
          <w:rFonts w:eastAsiaTheme="minorHAnsi" w:cstheme="minorBidi"/>
          <w:b w:val="0"/>
          <w:i w:val="0"/>
          <w:iCs w:val="0"/>
          <w:color w:val="auto"/>
          <w:sz w:val="20"/>
        </w:rPr>
        <w:t>Source:</w:t>
      </w:r>
      <w:r w:rsidRPr="00B37ED8">
        <w:rPr>
          <w:rStyle w:val="Heading6Char"/>
          <w:rFonts w:eastAsiaTheme="minorHAnsi" w:cstheme="minorBidi"/>
          <w:b w:val="0"/>
          <w:i w:val="0"/>
          <w:iCs w:val="0"/>
          <w:color w:val="auto"/>
          <w:sz w:val="20"/>
        </w:rPr>
        <w:tab/>
        <w:t>Commission staff analysis.</w:t>
      </w:r>
    </w:p>
    <w:p w14:paraId="3D0E5593" w14:textId="77777777" w:rsidR="00C37DB0" w:rsidRDefault="00C37DB0" w:rsidP="00C37DB0">
      <w:pPr>
        <w:pStyle w:val="Heading3"/>
        <w:rPr>
          <w:rFonts w:eastAsia="Times New Roman"/>
        </w:rPr>
      </w:pPr>
      <w:bookmarkStart w:id="600" w:name="_Toc17380534"/>
      <w:bookmarkStart w:id="601" w:name="_Toc19262990"/>
      <w:bookmarkStart w:id="602" w:name="_Toc23847535"/>
      <w:r>
        <w:rPr>
          <w:rFonts w:eastAsia="Times New Roman"/>
        </w:rPr>
        <w:t>Justice</w:t>
      </w:r>
      <w:bookmarkEnd w:id="600"/>
      <w:bookmarkEnd w:id="601"/>
      <w:bookmarkEnd w:id="602"/>
      <w:r>
        <w:rPr>
          <w:rFonts w:eastAsia="Times New Roman"/>
        </w:rPr>
        <w:t xml:space="preserve"> </w:t>
      </w:r>
    </w:p>
    <w:p w14:paraId="69F5CF5A" w14:textId="77777777" w:rsidR="00C37DB0" w:rsidRDefault="00C37DB0" w:rsidP="00C37DB0">
      <w:pPr>
        <w:pStyle w:val="Heading4"/>
        <w:rPr>
          <w:rFonts w:eastAsia="Times New Roman"/>
        </w:rPr>
      </w:pPr>
      <w:bookmarkStart w:id="603" w:name="_Toc17380535"/>
      <w:bookmarkStart w:id="604" w:name="_Toc19262991"/>
      <w:bookmarkStart w:id="605" w:name="_Toc23847536"/>
      <w:r>
        <w:rPr>
          <w:rFonts w:eastAsia="Times New Roman"/>
        </w:rPr>
        <w:t>State service delivery and funding arrangements</w:t>
      </w:r>
      <w:bookmarkEnd w:id="603"/>
      <w:bookmarkEnd w:id="604"/>
      <w:bookmarkEnd w:id="605"/>
    </w:p>
    <w:p w14:paraId="16209F91" w14:textId="77777777" w:rsidR="00C37DB0" w:rsidRDefault="00C37DB0" w:rsidP="001E4105">
      <w:pPr>
        <w:pStyle w:val="CGCNumberedPara"/>
        <w:tabs>
          <w:tab w:val="left" w:pos="720"/>
        </w:tabs>
      </w:pPr>
      <w:r>
        <w:t>Total Australian State government Justice expenses were $20 billion in 2017</w:t>
      </w:r>
      <w:r>
        <w:noBreakHyphen/>
        <w:t xml:space="preserve">18, representing 9% of total State expenses. State spending on this function covers expenses for policing services, criminal courts, other legal services and prisons. </w:t>
      </w:r>
    </w:p>
    <w:p w14:paraId="7C96386B" w14:textId="7F0796AE" w:rsidR="00C37DB0" w:rsidRPr="00B37ED8" w:rsidRDefault="00C37DB0" w:rsidP="00B37ED8">
      <w:pPr>
        <w:pStyle w:val="CGCBulletlist"/>
        <w:numPr>
          <w:ilvl w:val="0"/>
          <w:numId w:val="15"/>
        </w:numPr>
      </w:pPr>
      <w:r>
        <w:t xml:space="preserve">Policing includes the prevention, detection and investigation of crime, road safety, maintaining </w:t>
      </w:r>
      <w:r w:rsidR="00015D31">
        <w:t xml:space="preserve">social order, community safety </w:t>
      </w:r>
      <w:r>
        <w:t xml:space="preserve">and </w:t>
      </w:r>
      <w:r w:rsidRPr="00B37ED8">
        <w:t xml:space="preserve">bringing offenders to justice. States are responsible for most policing services. The Australian Federal Police enforces Commonwealth law, and deals with issues affecting crime and security at a national level. </w:t>
      </w:r>
    </w:p>
    <w:p w14:paraId="29FF4A4C" w14:textId="77777777" w:rsidR="00C37DB0" w:rsidRPr="00B37ED8" w:rsidRDefault="00C37DB0" w:rsidP="00B37ED8">
      <w:pPr>
        <w:pStyle w:val="CGCBulletlist"/>
      </w:pPr>
      <w:r w:rsidRPr="00B37ED8">
        <w:t>Criminal courts services include</w:t>
      </w:r>
      <w:r w:rsidR="000D2876">
        <w:t>s</w:t>
      </w:r>
      <w:r w:rsidRPr="00B37ED8">
        <w:t xml:space="preserve"> </w:t>
      </w:r>
      <w:r w:rsidR="000D2876">
        <w:t xml:space="preserve">the conduct of </w:t>
      </w:r>
      <w:r w:rsidRPr="00B37ED8">
        <w:t xml:space="preserve">cases at various court levels, public prosecution and legal aid. State criminal courts have almost exclusive jurisdiction to hear matters relating to indictable offences, whether they occurred under Commonwealth or State law. </w:t>
      </w:r>
    </w:p>
    <w:p w14:paraId="41D20EF7" w14:textId="77777777" w:rsidR="00C37DB0" w:rsidRPr="00B37ED8" w:rsidRDefault="00C37DB0" w:rsidP="00B37ED8">
      <w:pPr>
        <w:pStyle w:val="CGCBulletlist"/>
      </w:pPr>
      <w:r w:rsidRPr="00B37ED8">
        <w:t xml:space="preserve">Other legal services include court and legal expenses, civil courts, Attorneys General departments, crown solicitors and law reform commissions. </w:t>
      </w:r>
    </w:p>
    <w:p w14:paraId="3294ECE7" w14:textId="77777777" w:rsidR="00C37DB0" w:rsidRDefault="00C37DB0" w:rsidP="00B37ED8">
      <w:pPr>
        <w:pStyle w:val="CGCBulletlist"/>
      </w:pPr>
      <w:r w:rsidRPr="00B37ED8">
        <w:t>Prisons includes the running of prisons and other places of secure detention for convicted persons</w:t>
      </w:r>
      <w:r>
        <w:t xml:space="preserve"> and alleged offenders of varying levels of security. It also includes juvenile detention, community-based corrections, parole, community service and home detention.</w:t>
      </w:r>
    </w:p>
    <w:p w14:paraId="16512539" w14:textId="77777777" w:rsidR="00C37DB0" w:rsidRDefault="00C37DB0" w:rsidP="001E4105">
      <w:pPr>
        <w:pStyle w:val="CGCNumberedPara"/>
        <w:tabs>
          <w:tab w:val="left" w:pos="720"/>
        </w:tabs>
      </w:pPr>
      <w:r>
        <w:t xml:space="preserve">States typically impose user charges for justice services, largely related to legal services and police provided services, such as at special events. </w:t>
      </w:r>
    </w:p>
    <w:p w14:paraId="420DC43D" w14:textId="77777777" w:rsidR="00C37DB0" w:rsidRDefault="00C37DB0" w:rsidP="00C37DB0">
      <w:pPr>
        <w:pStyle w:val="Heading4"/>
        <w:rPr>
          <w:rFonts w:eastAsia="Times New Roman"/>
        </w:rPr>
      </w:pPr>
      <w:bookmarkStart w:id="606" w:name="_Toc17380536"/>
      <w:bookmarkStart w:id="607" w:name="_Toc19262992"/>
      <w:bookmarkStart w:id="608" w:name="_Toc23847537"/>
      <w:r>
        <w:rPr>
          <w:rFonts w:eastAsia="Times New Roman"/>
        </w:rPr>
        <w:t>Norfolk Island service delivery and funding arrangements</w:t>
      </w:r>
      <w:bookmarkEnd w:id="606"/>
      <w:bookmarkEnd w:id="607"/>
      <w:bookmarkEnd w:id="608"/>
    </w:p>
    <w:p w14:paraId="252E2B68" w14:textId="77777777" w:rsidR="00C37DB0" w:rsidRDefault="00C37DB0" w:rsidP="001E4105">
      <w:pPr>
        <w:pStyle w:val="CGCNumberedPara"/>
        <w:tabs>
          <w:tab w:val="left" w:pos="720"/>
        </w:tabs>
      </w:pPr>
      <w:r>
        <w:t>Justice services for Norfolk Island involve a similar range o</w:t>
      </w:r>
      <w:r w:rsidR="0027588F">
        <w:t xml:space="preserve">f services, including policing, </w:t>
      </w:r>
      <w:r>
        <w:t>courts (including criminal and civil courts and other legal services)</w:t>
      </w:r>
      <w:r w:rsidR="0027588F">
        <w:t xml:space="preserve"> and prisons.</w:t>
      </w:r>
      <w:r>
        <w:t xml:space="preserve"> Our assessment covers these three components. </w:t>
      </w:r>
    </w:p>
    <w:p w14:paraId="7744070D" w14:textId="77777777" w:rsidR="00C37DB0" w:rsidRDefault="00C37DB0" w:rsidP="001E4105">
      <w:pPr>
        <w:pStyle w:val="CGCNumberedPara"/>
        <w:tabs>
          <w:tab w:val="left" w:pos="720"/>
        </w:tabs>
      </w:pPr>
      <w:r>
        <w:lastRenderedPageBreak/>
        <w:t xml:space="preserve">The limited information on crime levels suggests that Norfolk Island has very low levels of crime, compared with similar communities in Australia. While different methods for recording crime makes a precise comparison difficult, </w:t>
      </w:r>
      <w:r w:rsidR="000816B8">
        <w:t>the balance of evidence is</w:t>
      </w:r>
      <w:r>
        <w:t xml:space="preserve"> that crime rates are less than those for Tasmania, which are among the lowest</w:t>
      </w:r>
      <w:r w:rsidR="000816B8">
        <w:t xml:space="preserve"> of the States</w:t>
      </w:r>
      <w:r>
        <w:t>.</w:t>
      </w:r>
    </w:p>
    <w:p w14:paraId="07CF6880" w14:textId="77777777" w:rsidR="00B37ED8" w:rsidRPr="00B37ED8" w:rsidRDefault="00C37DB0" w:rsidP="00B37ED8">
      <w:pPr>
        <w:pStyle w:val="Heading5"/>
        <w:rPr>
          <w:rStyle w:val="Heading6Char"/>
          <w:b/>
          <w:i/>
          <w:iCs w:val="0"/>
        </w:rPr>
      </w:pPr>
      <w:r w:rsidRPr="00B37ED8">
        <w:rPr>
          <w:rStyle w:val="Heading6Char"/>
          <w:b/>
          <w:i/>
          <w:iCs w:val="0"/>
        </w:rPr>
        <w:t>Police</w:t>
      </w:r>
    </w:p>
    <w:p w14:paraId="3AE8A3D5" w14:textId="77777777" w:rsidR="00C37DB0" w:rsidRDefault="00C37DB0" w:rsidP="001E4105">
      <w:pPr>
        <w:pStyle w:val="CGCNumberedPara"/>
        <w:tabs>
          <w:tab w:val="left" w:pos="720"/>
        </w:tabs>
      </w:pPr>
      <w:r>
        <w:t>The Australian Federal Police (AFP) provides policing and related services on Norfolk Island under a service delivery agreement with the Commonwealth. In 2009</w:t>
      </w:r>
      <w:r w:rsidR="00F36C50">
        <w:noBreakHyphen/>
      </w:r>
      <w:r>
        <w:t xml:space="preserve">10, there were three AFP officers and three special constables funded by the then Norfolk Island Administration. At that time, there were periods when the Island was reduced to two sworn officers, which the AFP generally considers to be below the minimum number necessary in an isolated locality. </w:t>
      </w:r>
    </w:p>
    <w:p w14:paraId="09E1F81A" w14:textId="77777777" w:rsidR="00C37DB0" w:rsidRDefault="00C37DB0" w:rsidP="001E4105">
      <w:pPr>
        <w:pStyle w:val="CGCNumberedPara"/>
        <w:tabs>
          <w:tab w:val="num" w:pos="567"/>
        </w:tabs>
      </w:pPr>
      <w:r>
        <w:t xml:space="preserve">There were three AFP sworn officers in 2016-17. Following a reconsideration of the policing needs, the AFP engaged another two sworn officers in 2017-18, bringing the total policing numbers to five. The key consideration for the expansion was to provide coverage across more shifts and to provide some capacity to more quickly deal with surge needs. </w:t>
      </w:r>
      <w:r w:rsidR="002A37E5">
        <w:t xml:space="preserve">NIRC </w:t>
      </w:r>
      <w:r>
        <w:t xml:space="preserve">also funded some associated services, including two community policing constables, until February 2017 when the Commonwealth absorbed one of the positions into the AFP and made another obsolete. NIRC now plays no role in delivering policing services. </w:t>
      </w:r>
      <w:r w:rsidR="007E7B8E">
        <w:t xml:space="preserve">One of the </w:t>
      </w:r>
      <w:r>
        <w:t xml:space="preserve">AFP </w:t>
      </w:r>
      <w:r w:rsidR="007E7B8E">
        <w:t xml:space="preserve">officers performs the sheriff’s functions </w:t>
      </w:r>
      <w:r>
        <w:t>under the service delivery agreement with the Commonwealth.</w:t>
      </w:r>
    </w:p>
    <w:p w14:paraId="3CF7A921" w14:textId="77777777" w:rsidR="00B37ED8" w:rsidRPr="00B37ED8" w:rsidRDefault="00486184" w:rsidP="00B37ED8">
      <w:pPr>
        <w:pStyle w:val="Heading5"/>
        <w:rPr>
          <w:rStyle w:val="Heading6Char"/>
          <w:b/>
          <w:i/>
          <w:iCs w:val="0"/>
        </w:rPr>
      </w:pPr>
      <w:r>
        <w:rPr>
          <w:rStyle w:val="Heading6Char"/>
          <w:b/>
          <w:i/>
          <w:iCs w:val="0"/>
        </w:rPr>
        <w:t>Courts and other legal services</w:t>
      </w:r>
    </w:p>
    <w:p w14:paraId="04202CDC" w14:textId="77777777" w:rsidR="00C37DB0" w:rsidRDefault="00C37DB0" w:rsidP="001E4105">
      <w:pPr>
        <w:pStyle w:val="CGCNumberedPara"/>
        <w:tabs>
          <w:tab w:val="num" w:pos="567"/>
        </w:tabs>
      </w:pPr>
      <w:r>
        <w:t xml:space="preserve">Norfolk Island has a Supreme Court, Court of Petty Sessions, Coroner’s Court and </w:t>
      </w:r>
      <w:r w:rsidR="00486184">
        <w:t xml:space="preserve">residents have access to the Australian </w:t>
      </w:r>
      <w:r>
        <w:t>Family Court . There are also several tribunals, including an Administrative</w:t>
      </w:r>
      <w:r w:rsidR="00DB0F17">
        <w:t xml:space="preserve"> Review</w:t>
      </w:r>
      <w:r>
        <w:t xml:space="preserve"> </w:t>
      </w:r>
      <w:r w:rsidR="00DB0F17">
        <w:t>T</w:t>
      </w:r>
      <w:r>
        <w:t>ribunal</w:t>
      </w:r>
      <w:r w:rsidR="006A796E">
        <w:t xml:space="preserve">, Employment tribunal and </w:t>
      </w:r>
      <w:r>
        <w:t>Mental health tribunal</w:t>
      </w:r>
      <w:r w:rsidR="006A796E">
        <w:t xml:space="preserve">. </w:t>
      </w:r>
      <w:r>
        <w:t xml:space="preserve">Some aspects of court proceedings are delivered through audio visual conferencing systems.  </w:t>
      </w:r>
    </w:p>
    <w:p w14:paraId="6165AD8A" w14:textId="77777777" w:rsidR="00C37DB0" w:rsidRDefault="00C37DB0" w:rsidP="001E4105">
      <w:pPr>
        <w:pStyle w:val="CGCNumberedPara"/>
        <w:tabs>
          <w:tab w:val="num" w:pos="567"/>
        </w:tabs>
      </w:pPr>
      <w:r>
        <w:t>Since July 2016, the Commonwealth has:</w:t>
      </w:r>
    </w:p>
    <w:p w14:paraId="14BF7B20" w14:textId="77777777" w:rsidR="00C37DB0" w:rsidRPr="00C341B6" w:rsidRDefault="00C37DB0" w:rsidP="00C341B6">
      <w:pPr>
        <w:pStyle w:val="CGCBulletlist"/>
        <w:numPr>
          <w:ilvl w:val="0"/>
          <w:numId w:val="15"/>
        </w:numPr>
      </w:pPr>
      <w:r>
        <w:t>modernised the legal framework relating to the criminal code, child welfare and domestic and personal violence laws</w:t>
      </w:r>
    </w:p>
    <w:p w14:paraId="10E334FF" w14:textId="77777777" w:rsidR="00C37DB0" w:rsidRPr="00C341B6" w:rsidRDefault="00C37DB0" w:rsidP="00C341B6">
      <w:pPr>
        <w:pStyle w:val="CGCBulletlist"/>
      </w:pPr>
      <w:r w:rsidRPr="00C341B6">
        <w:t>has funded the appointment of Federal Court judges to the Supreme Court, an experienced magistrate to be the Chief Magistrate of the Court of Petty Sessions and several lay magistrates to fulfil the judicial tasks</w:t>
      </w:r>
    </w:p>
    <w:p w14:paraId="7774E137" w14:textId="77777777" w:rsidR="00C37DB0" w:rsidRDefault="00C37DB0" w:rsidP="00C341B6">
      <w:pPr>
        <w:pStyle w:val="CGCBulletlist"/>
      </w:pPr>
      <w:r w:rsidRPr="00C341B6">
        <w:t>engaged the Commonwealth</w:t>
      </w:r>
      <w:r>
        <w:t xml:space="preserve"> Director of Public Prosecutions</w:t>
      </w:r>
      <w:r w:rsidR="00A31773">
        <w:t xml:space="preserve"> to provide prosecution services and services to assist the Coroner of Norfolk Island</w:t>
      </w:r>
      <w:r>
        <w:t xml:space="preserve">. </w:t>
      </w:r>
    </w:p>
    <w:p w14:paraId="59F0FF3A" w14:textId="77777777" w:rsidR="00C37DB0" w:rsidRDefault="00C37DB0" w:rsidP="001E4105">
      <w:pPr>
        <w:pStyle w:val="CGCNumberedPara"/>
        <w:tabs>
          <w:tab w:val="num" w:pos="567"/>
        </w:tabs>
      </w:pPr>
      <w:r>
        <w:lastRenderedPageBreak/>
        <w:t>The clerks and registrars of the courts and the various tribunals are provided by</w:t>
      </w:r>
      <w:r w:rsidR="0021108D">
        <w:t xml:space="preserve"> NIRC</w:t>
      </w:r>
      <w:r>
        <w:t xml:space="preserve">, but funded by the Commonwealth, under the service delivery agreement between </w:t>
      </w:r>
      <w:r w:rsidR="008F4885">
        <w:t>the Department</w:t>
      </w:r>
      <w:r w:rsidR="0021108D">
        <w:t xml:space="preserve"> and NIRC</w:t>
      </w:r>
      <w:r>
        <w:t xml:space="preserve">.  </w:t>
      </w:r>
    </w:p>
    <w:p w14:paraId="0D7C44D7" w14:textId="77777777" w:rsidR="00C37DB0" w:rsidRDefault="00C37DB0" w:rsidP="001E4105">
      <w:pPr>
        <w:pStyle w:val="CGCNumberedPara"/>
        <w:tabs>
          <w:tab w:val="num" w:pos="567"/>
        </w:tabs>
      </w:pPr>
      <w:r>
        <w:t>Legal aid is provided through the Administrator, assisted by the Department and funded by the Commonwealth.</w:t>
      </w:r>
    </w:p>
    <w:p w14:paraId="7369ADBD" w14:textId="77777777" w:rsidR="00C341B6" w:rsidRPr="00C341B6" w:rsidRDefault="00C37DB0" w:rsidP="00C341B6">
      <w:pPr>
        <w:pStyle w:val="Heading5"/>
        <w:rPr>
          <w:rStyle w:val="Heading6Char"/>
          <w:b/>
          <w:i/>
          <w:iCs w:val="0"/>
        </w:rPr>
      </w:pPr>
      <w:r w:rsidRPr="00C341B6">
        <w:rPr>
          <w:rStyle w:val="Heading6Char"/>
          <w:b/>
          <w:i/>
          <w:iCs w:val="0"/>
        </w:rPr>
        <w:t>Corrective services</w:t>
      </w:r>
    </w:p>
    <w:p w14:paraId="383B305C" w14:textId="77777777" w:rsidR="00C37DB0" w:rsidRDefault="00C37DB0" w:rsidP="001E4105">
      <w:pPr>
        <w:pStyle w:val="CGCNumberedPara"/>
        <w:tabs>
          <w:tab w:val="num" w:pos="567"/>
        </w:tabs>
      </w:pPr>
      <w:r>
        <w:t>The Norfolk Island police station has lock-up facilities, consistent with the typical arrangements in remote or very remote communities in the States. During 2016-17, detainees were supervised by</w:t>
      </w:r>
      <w:r w:rsidR="0067128C">
        <w:t xml:space="preserve"> AFP officers. There were also</w:t>
      </w:r>
      <w:r>
        <w:t xml:space="preserve"> jailers engaged by </w:t>
      </w:r>
      <w:r w:rsidR="007717D6">
        <w:t xml:space="preserve">NIRC </w:t>
      </w:r>
      <w:r w:rsidR="0067128C">
        <w:t xml:space="preserve">used </w:t>
      </w:r>
      <w:r>
        <w:t xml:space="preserve">on an as needed basis under a service delivery agreement with the Department. However, the Department has since engaged a labour hire firm to </w:t>
      </w:r>
      <w:r w:rsidR="0067128C">
        <w:t xml:space="preserve">engage </w:t>
      </w:r>
      <w:r>
        <w:t>staff to assist the police with corrections matters such as supervising detainees and enforcing community service orders. If an offender is sentenced to a prison term, the New</w:t>
      </w:r>
      <w:r w:rsidR="00537939">
        <w:t> </w:t>
      </w:r>
      <w:r>
        <w:t>South</w:t>
      </w:r>
      <w:r w:rsidR="00537939">
        <w:t> </w:t>
      </w:r>
      <w:r>
        <w:t>Wales system is used</w:t>
      </w:r>
      <w:r w:rsidR="006A4574">
        <w:t xml:space="preserve"> – NIRC does not have the facilities to house long-term prisoners</w:t>
      </w:r>
      <w:r>
        <w:t xml:space="preserve">. There </w:t>
      </w:r>
      <w:r w:rsidR="00E32472">
        <w:t xml:space="preserve">is </w:t>
      </w:r>
      <w:r>
        <w:t xml:space="preserve">presently </w:t>
      </w:r>
      <w:r w:rsidR="00E32472">
        <w:t xml:space="preserve">one </w:t>
      </w:r>
      <w:r>
        <w:t xml:space="preserve">offender detained in New South Wales jails. </w:t>
      </w:r>
      <w:r w:rsidR="00E32472">
        <w:t>The cost of this service in 2017-18 was</w:t>
      </w:r>
      <w:r w:rsidR="006A4574">
        <w:t xml:space="preserve"> approximately</w:t>
      </w:r>
      <w:r w:rsidR="00E32472">
        <w:t xml:space="preserve"> $150 000.</w:t>
      </w:r>
      <w:r>
        <w:t xml:space="preserve"> </w:t>
      </w:r>
      <w:r w:rsidR="006A4574">
        <w:rPr>
          <w:rStyle w:val="FootnoteReference"/>
        </w:rPr>
        <w:footnoteReference w:id="38"/>
      </w:r>
    </w:p>
    <w:p w14:paraId="51BB0746" w14:textId="77777777" w:rsidR="00C37DB0" w:rsidRDefault="00C37DB0" w:rsidP="00C37DB0">
      <w:pPr>
        <w:pStyle w:val="Heading4"/>
      </w:pPr>
      <w:bookmarkStart w:id="609" w:name="_Toc17380537"/>
      <w:bookmarkStart w:id="610" w:name="_Toc19262993"/>
      <w:bookmarkStart w:id="611" w:name="_Toc23847538"/>
      <w:r>
        <w:t>Assessed expenses for Norfolk Island services</w:t>
      </w:r>
      <w:bookmarkEnd w:id="609"/>
      <w:bookmarkEnd w:id="610"/>
      <w:bookmarkEnd w:id="611"/>
      <w:r>
        <w:t xml:space="preserve"> </w:t>
      </w:r>
    </w:p>
    <w:p w14:paraId="0F12D7B5" w14:textId="77777777" w:rsidR="00C341B6" w:rsidRPr="00C341B6" w:rsidRDefault="00C37DB0" w:rsidP="00C341B6">
      <w:pPr>
        <w:pStyle w:val="Heading5"/>
        <w:rPr>
          <w:rStyle w:val="Heading6Char"/>
          <w:b/>
          <w:i/>
          <w:iCs w:val="0"/>
        </w:rPr>
      </w:pPr>
      <w:r w:rsidRPr="00C341B6">
        <w:rPr>
          <w:rStyle w:val="Heading6Char"/>
          <w:b/>
          <w:i/>
          <w:iCs w:val="0"/>
        </w:rPr>
        <w:t>Police</w:t>
      </w:r>
    </w:p>
    <w:p w14:paraId="60E9F4F9" w14:textId="77777777" w:rsidR="00C37DB0" w:rsidRDefault="00C37DB0" w:rsidP="001E4105">
      <w:pPr>
        <w:pStyle w:val="CGCNumberedPara"/>
        <w:tabs>
          <w:tab w:val="left" w:pos="720"/>
        </w:tabs>
      </w:pPr>
      <w:r>
        <w:t xml:space="preserve">We estimated costs by comparing the Norfolk Island arrangements with the typical policing levels for small very remote and isolated communities in the States. A range of comparable communities of about 1 000 to 3 000 residents were examined. We also allowed for the relevant </w:t>
      </w:r>
      <w:r w:rsidR="008056F0">
        <w:t>unique circumstances</w:t>
      </w:r>
      <w:r>
        <w:t xml:space="preserve"> of Norfolk Island. </w:t>
      </w:r>
    </w:p>
    <w:p w14:paraId="0A67D378" w14:textId="77777777" w:rsidR="00C37DB0" w:rsidRDefault="00C37DB0" w:rsidP="001E4105">
      <w:pPr>
        <w:pStyle w:val="CGCNumberedPara"/>
        <w:tabs>
          <w:tab w:val="left" w:pos="720"/>
        </w:tabs>
      </w:pPr>
      <w:r>
        <w:t xml:space="preserve">Norfolk Island’s population is older than the Australian average and below average levels of Aboriginals and Torres Strait Islanders. These characteristics tend to be associated with lower levels of crime. On the other hand, it has a substantial tourist population, which may increase the need for policing services. It also has a relatively small land area to patrol and a much higher population density than comparable very remote communities which reduces policing costs. </w:t>
      </w:r>
    </w:p>
    <w:p w14:paraId="4C28625B" w14:textId="77777777" w:rsidR="00C37DB0" w:rsidRDefault="00C37DB0" w:rsidP="001E4105">
      <w:pPr>
        <w:pStyle w:val="CGCNumberedPara"/>
        <w:tabs>
          <w:tab w:val="left" w:pos="720"/>
        </w:tabs>
      </w:pPr>
      <w:r>
        <w:t>Unlike most very remote communities in the rest of Australia, Norfolk Island is not readily accessible 24 hours per day, so the typical model of drawing in officers from surrounding regions to deal with surges in needs is not feasible. Thus, the assessment needs to allow for a greater level of Norfolk Island</w:t>
      </w:r>
      <w:r>
        <w:noBreakHyphen/>
        <w:t xml:space="preserve">based officers than that in a </w:t>
      </w:r>
      <w:r>
        <w:lastRenderedPageBreak/>
        <w:t>comparable very remote community in Australia, where stations of one or two officers are common.</w:t>
      </w:r>
    </w:p>
    <w:p w14:paraId="44522D00" w14:textId="77777777" w:rsidR="00C37DB0" w:rsidRDefault="00C37DB0" w:rsidP="001E4105">
      <w:pPr>
        <w:pStyle w:val="CGCNumberedPara"/>
        <w:tabs>
          <w:tab w:val="num" w:pos="567"/>
        </w:tabs>
      </w:pPr>
      <w:bookmarkStart w:id="612" w:name="_Ref6997141"/>
      <w:r>
        <w:t xml:space="preserve">Considering these factors, we consider police assessed expenses should cover the costs of five police officers in a very remote setting. In 2017-18, the estimated cost including remoteness, isolation and administrative adjustments is $1 495 000. This estimate covers the base costs of running a police station, higher wages paid to AFP officers but does not include central office costs related to corporate services or the use of services such as detective and forensic services. </w:t>
      </w:r>
    </w:p>
    <w:p w14:paraId="1F954114" w14:textId="77777777" w:rsidR="00C37DB0" w:rsidRDefault="00C37DB0" w:rsidP="001E4105">
      <w:pPr>
        <w:pStyle w:val="CGCNumberedPara"/>
        <w:tabs>
          <w:tab w:val="left" w:pos="720"/>
        </w:tabs>
      </w:pPr>
      <w:r>
        <w:t xml:space="preserve">This allowance provides for a higher level of policing services than the Australian average due </w:t>
      </w:r>
      <w:r w:rsidR="007728F4">
        <w:t xml:space="preserve">to </w:t>
      </w:r>
      <w:r>
        <w:t xml:space="preserve">Norfolk Island’s isolation from the rest of Australia. </w:t>
      </w:r>
    </w:p>
    <w:bookmarkEnd w:id="612"/>
    <w:p w14:paraId="3BEE5B35" w14:textId="77777777" w:rsidR="00481D0B" w:rsidRPr="00481D0B" w:rsidRDefault="00F65F80" w:rsidP="00481D0B">
      <w:pPr>
        <w:pStyle w:val="Heading5"/>
        <w:rPr>
          <w:rStyle w:val="Heading6Char"/>
          <w:b/>
          <w:i/>
          <w:iCs w:val="0"/>
        </w:rPr>
      </w:pPr>
      <w:r>
        <w:rPr>
          <w:rStyle w:val="Heading6Char"/>
          <w:b/>
          <w:i/>
          <w:iCs w:val="0"/>
        </w:rPr>
        <w:t>Courts and other legal services</w:t>
      </w:r>
    </w:p>
    <w:p w14:paraId="422DC9E9" w14:textId="77777777" w:rsidR="00C37DB0" w:rsidRDefault="00C37DB0" w:rsidP="001E4105">
      <w:pPr>
        <w:pStyle w:val="CGCNumberedPara"/>
        <w:tabs>
          <w:tab w:val="left" w:pos="720"/>
        </w:tabs>
      </w:pPr>
      <w:r>
        <w:t>We have used expenses typical of other very remote communities in Australia as a benchmark. Norfolk Island’s remoteness and population characteristics (</w:t>
      </w:r>
      <w:r w:rsidR="00D50D53">
        <w:t>Aboriginal or Torres Strait Islander</w:t>
      </w:r>
      <w:r>
        <w:t xml:space="preserve"> status, socio-economic status and age distribution) were taken into account when costing these services.  </w:t>
      </w:r>
    </w:p>
    <w:p w14:paraId="71A7B853" w14:textId="77777777" w:rsidR="00C37DB0" w:rsidRDefault="00C37DB0" w:rsidP="001E4105">
      <w:pPr>
        <w:pStyle w:val="CGCNumberedPara"/>
        <w:tabs>
          <w:tab w:val="left" w:pos="720"/>
        </w:tabs>
      </w:pPr>
      <w:r>
        <w:t>For criminal courts, the national average expenses per defendant in very remote settings ($3 718 in 2017-18) has been applied to Norfolk Island’s estimated number of defendants, which was 34 in 2017-18. This gave an estimated cost of services of $125 000 in 2017-18. Norfolk Island’s assessed expenses were below average due to its lower level of people who tend to appear in courts – those in the 15 to 44 year age group and Aborig</w:t>
      </w:r>
      <w:r w:rsidR="00C15554">
        <w:t>inal or Torres Strait Islanders.</w:t>
      </w:r>
    </w:p>
    <w:p w14:paraId="4A572956" w14:textId="77777777" w:rsidR="00C37DB0" w:rsidRDefault="00C37DB0" w:rsidP="001E4105">
      <w:pPr>
        <w:pStyle w:val="CGCNumberedPara"/>
        <w:tabs>
          <w:tab w:val="left" w:pos="720"/>
        </w:tabs>
      </w:pPr>
      <w:r>
        <w:t xml:space="preserve">For other legal services, the national average expenses per capita in very remote areas ($95 in 2017-18) has been applied to the population, giving a cost estimate of $183 147 for 2017-18. </w:t>
      </w:r>
    </w:p>
    <w:p w14:paraId="0CD9925A" w14:textId="77777777" w:rsidR="00C37DB0" w:rsidRDefault="00C37DB0" w:rsidP="001E4105">
      <w:pPr>
        <w:pStyle w:val="CGCNumberedPara"/>
        <w:tabs>
          <w:tab w:val="left" w:pos="720"/>
        </w:tabs>
      </w:pPr>
      <w:r>
        <w:t>These base assessed expenses were adjusted to recognise the higher administration costs (a 10% allowance), very remote location (a 34% allowance) and isolation costs (a 5% allowance) on Norfolk Island. The final assessed expenses for administratio</w:t>
      </w:r>
      <w:r w:rsidR="00C15554">
        <w:t>n of justice services were $354 000</w:t>
      </w:r>
      <w:r>
        <w:t xml:space="preserve"> in 2017-18 or $202 per capita.</w:t>
      </w:r>
    </w:p>
    <w:p w14:paraId="11D02C76" w14:textId="77777777" w:rsidR="003A42D0" w:rsidRPr="003A42D0" w:rsidRDefault="00C37DB0" w:rsidP="003A42D0">
      <w:pPr>
        <w:pStyle w:val="Heading5"/>
        <w:rPr>
          <w:rStyle w:val="Heading6Char"/>
          <w:b/>
          <w:i/>
          <w:iCs w:val="0"/>
        </w:rPr>
      </w:pPr>
      <w:r w:rsidRPr="003A42D0">
        <w:rPr>
          <w:rStyle w:val="Heading6Char"/>
          <w:b/>
          <w:i/>
          <w:iCs w:val="0"/>
        </w:rPr>
        <w:t>Corrective services</w:t>
      </w:r>
    </w:p>
    <w:p w14:paraId="7A467352" w14:textId="77777777" w:rsidR="00C37DB0" w:rsidRDefault="00C37DB0" w:rsidP="001E4105">
      <w:pPr>
        <w:pStyle w:val="CGCNumberedPara"/>
        <w:tabs>
          <w:tab w:val="left" w:pos="720"/>
        </w:tabs>
      </w:pPr>
      <w:r>
        <w:t xml:space="preserve">To estimate the cost of corrective services, the Australian incarceration rate for very remote communities with Norfolk Island’s population characteristics (Aboriginal or Torres Strait Islander background, socio-economic status and age) were used to estimate prisoner numbers. The estimated number of prisoners was two in 2017-18. This has been applied to the national average expense per prisoner in </w:t>
      </w:r>
      <w:r w:rsidR="006563A9">
        <w:t>major cities, which was $116 000</w:t>
      </w:r>
      <w:r>
        <w:t>, giving a b</w:t>
      </w:r>
      <w:r w:rsidR="006563A9">
        <w:t>ase assessed expense of $234 000</w:t>
      </w:r>
      <w:r>
        <w:t xml:space="preserve"> in 2017-18. A further adjustment was made to recognise the higher administration costs associated </w:t>
      </w:r>
      <w:r>
        <w:lastRenderedPageBreak/>
        <w:t xml:space="preserve">with using New South Wales corrective services. The final assessed expense for corrective </w:t>
      </w:r>
      <w:r w:rsidR="006563A9">
        <w:t xml:space="preserve">services in 2017-18 was $257 000 or </w:t>
      </w:r>
      <w:r>
        <w:t>$147 per capita.</w:t>
      </w:r>
    </w:p>
    <w:p w14:paraId="7BC3036D" w14:textId="77777777" w:rsidR="00C37DB0" w:rsidRDefault="00072BE9" w:rsidP="00C37DB0">
      <w:pPr>
        <w:pStyle w:val="Heading3"/>
        <w:rPr>
          <w:rFonts w:eastAsia="Times New Roman"/>
        </w:rPr>
      </w:pPr>
      <w:bookmarkStart w:id="613" w:name="_Toc17380538"/>
      <w:bookmarkStart w:id="614" w:name="_Toc19262994"/>
      <w:bookmarkStart w:id="615" w:name="_Toc23847539"/>
      <w:r>
        <w:rPr>
          <w:rFonts w:eastAsia="Times New Roman"/>
        </w:rPr>
        <w:t>W</w:t>
      </w:r>
      <w:r w:rsidR="00C37DB0">
        <w:rPr>
          <w:rFonts w:eastAsia="Times New Roman"/>
        </w:rPr>
        <w:t>elfare</w:t>
      </w:r>
      <w:bookmarkEnd w:id="613"/>
      <w:bookmarkEnd w:id="614"/>
      <w:bookmarkEnd w:id="615"/>
    </w:p>
    <w:p w14:paraId="03676982" w14:textId="77777777" w:rsidR="00C37DB0" w:rsidRDefault="00C37DB0" w:rsidP="00C37DB0">
      <w:pPr>
        <w:pStyle w:val="Heading4"/>
        <w:rPr>
          <w:rFonts w:eastAsia="Times New Roman"/>
        </w:rPr>
      </w:pPr>
      <w:bookmarkStart w:id="616" w:name="_Toc17380539"/>
      <w:bookmarkStart w:id="617" w:name="_Toc19262995"/>
      <w:bookmarkStart w:id="618" w:name="_Toc23847540"/>
      <w:r>
        <w:rPr>
          <w:rFonts w:eastAsia="Times New Roman"/>
        </w:rPr>
        <w:t>State service delivery and funding arrangements</w:t>
      </w:r>
      <w:bookmarkEnd w:id="616"/>
      <w:bookmarkEnd w:id="617"/>
      <w:bookmarkEnd w:id="618"/>
    </w:p>
    <w:p w14:paraId="31474BE9" w14:textId="77777777" w:rsidR="00C37DB0" w:rsidRDefault="00C37DB0" w:rsidP="001E4105">
      <w:pPr>
        <w:pStyle w:val="CGCNumberedPara"/>
        <w:tabs>
          <w:tab w:val="left" w:pos="720"/>
        </w:tabs>
      </w:pPr>
      <w:r>
        <w:t>State expenses on Welfare were $20 billion in 2017</w:t>
      </w:r>
      <w:r>
        <w:noBreakHyphen/>
        <w:t>18, representing 9% of total State expenses. State spending on this function comprises:</w:t>
      </w:r>
    </w:p>
    <w:p w14:paraId="1737FF84" w14:textId="77777777" w:rsidR="00C37DB0" w:rsidRPr="00080705" w:rsidRDefault="00C37DB0" w:rsidP="00080705">
      <w:pPr>
        <w:pStyle w:val="CGCBulletlist"/>
        <w:numPr>
          <w:ilvl w:val="0"/>
          <w:numId w:val="15"/>
        </w:numPr>
      </w:pPr>
      <w:r>
        <w:t>family and child services</w:t>
      </w:r>
      <w:r w:rsidRPr="00080705">
        <w:t>, principally child protection and out-of-home care</w:t>
      </w:r>
    </w:p>
    <w:p w14:paraId="5A522492" w14:textId="77777777" w:rsidR="00C37DB0" w:rsidRPr="00080705" w:rsidRDefault="00C37DB0" w:rsidP="00080705">
      <w:pPr>
        <w:pStyle w:val="CGCBulletlist"/>
      </w:pPr>
      <w:r w:rsidRPr="00080705">
        <w:t>aged care services</w:t>
      </w:r>
    </w:p>
    <w:p w14:paraId="1C51E908" w14:textId="77777777" w:rsidR="00C37DB0" w:rsidRPr="00080705" w:rsidRDefault="00C37DB0" w:rsidP="00080705">
      <w:pPr>
        <w:pStyle w:val="CGCBulletlist"/>
      </w:pPr>
      <w:r w:rsidRPr="00080705">
        <w:t xml:space="preserve">services for people with a disability, including State funding contributions to the National Disability Insurance Scheme </w:t>
      </w:r>
    </w:p>
    <w:p w14:paraId="0D659247" w14:textId="77777777" w:rsidR="00C37DB0" w:rsidRPr="00080705" w:rsidRDefault="00C37DB0" w:rsidP="00080705">
      <w:pPr>
        <w:pStyle w:val="CGCBulletlist"/>
      </w:pPr>
      <w:r w:rsidRPr="00080705">
        <w:t>concessions on water, electricity and municipal rates</w:t>
      </w:r>
    </w:p>
    <w:p w14:paraId="0CA97461" w14:textId="77777777" w:rsidR="00C37DB0" w:rsidRDefault="00C37DB0" w:rsidP="00080705">
      <w:pPr>
        <w:pStyle w:val="CGCBulletlist"/>
      </w:pPr>
      <w:r w:rsidRPr="00080705">
        <w:t>other welfare services (including assistance to the homeless, women’s shelters and information, advice and referral</w:t>
      </w:r>
      <w:r>
        <w:t xml:space="preserve"> services).</w:t>
      </w:r>
    </w:p>
    <w:p w14:paraId="5BE264C2" w14:textId="77777777" w:rsidR="00C37DB0" w:rsidRDefault="00C37DB0" w:rsidP="001E4105">
      <w:pPr>
        <w:pStyle w:val="CGCNumberedPara"/>
        <w:tabs>
          <w:tab w:val="num" w:pos="567"/>
        </w:tabs>
      </w:pPr>
      <w:r>
        <w:t>States have policy and service delivery responsibility for most welfare services other than aged care services and, with the full implementation of the National Disability Insurance Scheme, most disability services. The Commonwealth has responsibility for these services on Norfolk.</w:t>
      </w:r>
    </w:p>
    <w:p w14:paraId="1740572C" w14:textId="77777777" w:rsidR="00C37DB0" w:rsidRDefault="00C37DB0" w:rsidP="001E4105">
      <w:pPr>
        <w:pStyle w:val="CGCNumberedPara"/>
        <w:tabs>
          <w:tab w:val="num" w:pos="567"/>
        </w:tabs>
      </w:pPr>
      <w:r>
        <w:t>State governments spend significant amounts on child protection and out-of-home care, early intervention and family support (including intensive family support) services. Family and child services also cover State expenses on childcare and after</w:t>
      </w:r>
      <w:r>
        <w:noBreakHyphen/>
        <w:t xml:space="preserve">school care but these represent only a very small proportion of expenses. </w:t>
      </w:r>
    </w:p>
    <w:p w14:paraId="1A5CEDA8" w14:textId="77777777" w:rsidR="00C37DB0" w:rsidRDefault="00C37DB0" w:rsidP="001E4105">
      <w:pPr>
        <w:pStyle w:val="CGCNumberedPara"/>
        <w:tabs>
          <w:tab w:val="num" w:pos="567"/>
        </w:tabs>
      </w:pPr>
      <w:r>
        <w:t xml:space="preserve">All States provide funding to water and electricity providers to fund concessions and rebates for users on low incomes. Rates concessions, or in some instances a cost of living concession or rebate, are also provided to those on low incomes. </w:t>
      </w:r>
    </w:p>
    <w:p w14:paraId="7A16021F" w14:textId="77777777" w:rsidR="00C37DB0" w:rsidRDefault="00C37DB0" w:rsidP="001E4105">
      <w:pPr>
        <w:pStyle w:val="CGCNumberedPara"/>
        <w:tabs>
          <w:tab w:val="num" w:pos="567"/>
        </w:tabs>
      </w:pPr>
      <w:r>
        <w:t>Other welfare services cover a wide range of services, including homeless persons’ assistance, women’s shelters, care of refugees, prisoners’ aid and information, advice and referral services</w:t>
      </w:r>
      <w:r>
        <w:rPr>
          <w:rFonts w:ascii="Verdana" w:hAnsi="Verdana" w:cs="Verdana"/>
          <w:sz w:val="20"/>
          <w:szCs w:val="20"/>
        </w:rPr>
        <w:t>.</w:t>
      </w:r>
      <w:r>
        <w:t xml:space="preserve"> Homelessness services account for the bulk of other welfare expenses. </w:t>
      </w:r>
    </w:p>
    <w:p w14:paraId="395C5307" w14:textId="77777777" w:rsidR="00C37DB0" w:rsidRDefault="00C37DB0" w:rsidP="001E4105">
      <w:pPr>
        <w:pStyle w:val="CGCNumberedPara"/>
        <w:tabs>
          <w:tab w:val="num" w:pos="567"/>
        </w:tabs>
        <w:rPr>
          <w:rFonts w:eastAsia="Times New Roman"/>
        </w:rPr>
      </w:pPr>
      <w:r>
        <w:t>The Commonwealth provides some funding to the States for welfare services including homelessness services</w:t>
      </w:r>
    </w:p>
    <w:p w14:paraId="25E9FF72" w14:textId="77777777" w:rsidR="00C37DB0" w:rsidRDefault="00C37DB0" w:rsidP="00C37DB0">
      <w:pPr>
        <w:pStyle w:val="Heading4"/>
        <w:rPr>
          <w:rFonts w:eastAsia="Times New Roman"/>
        </w:rPr>
      </w:pPr>
      <w:bookmarkStart w:id="619" w:name="_Toc17380540"/>
      <w:bookmarkStart w:id="620" w:name="_Toc19262996"/>
      <w:bookmarkStart w:id="621" w:name="_Toc23847541"/>
      <w:r>
        <w:rPr>
          <w:rFonts w:eastAsia="Times New Roman"/>
        </w:rPr>
        <w:t>Norfolk Island service and funding arrangements</w:t>
      </w:r>
      <w:bookmarkEnd w:id="619"/>
      <w:bookmarkEnd w:id="620"/>
      <w:bookmarkEnd w:id="621"/>
    </w:p>
    <w:p w14:paraId="1CF99255" w14:textId="77777777" w:rsidR="00C37DB0" w:rsidRDefault="00C37DB0" w:rsidP="001E4105">
      <w:pPr>
        <w:pStyle w:val="CGCNumberedPara"/>
        <w:tabs>
          <w:tab w:val="left" w:pos="720"/>
        </w:tabs>
      </w:pPr>
      <w:r>
        <w:t xml:space="preserve">Since July 2016, residents of Norfolk Island have been entitled to the full range of Australian social security services. </w:t>
      </w:r>
    </w:p>
    <w:p w14:paraId="2D6F7928" w14:textId="77777777" w:rsidR="00C37DB0" w:rsidRDefault="00C37DB0" w:rsidP="001E4105">
      <w:pPr>
        <w:pStyle w:val="CGCNumberedPara"/>
        <w:tabs>
          <w:tab w:val="left" w:pos="720"/>
        </w:tabs>
      </w:pPr>
      <w:r>
        <w:lastRenderedPageBreak/>
        <w:t xml:space="preserve">In 2016-17, family and child welfare services were provided by a child welfare officer engaged </w:t>
      </w:r>
      <w:r w:rsidR="00B63FF9">
        <w:t xml:space="preserve">by </w:t>
      </w:r>
      <w:r w:rsidR="007717D6">
        <w:t>NIRC</w:t>
      </w:r>
      <w:r>
        <w:t xml:space="preserve"> and funded by the Commonwealth under a service delivery agreement. The responsibility for this service was transferred to the Norfolk Island Health and Residential Aged Care Service from January 2017, which has a Child and Family Wellbeing unit with three staff. </w:t>
      </w:r>
    </w:p>
    <w:p w14:paraId="2887C8CD" w14:textId="6AB296AC" w:rsidR="00C37DB0" w:rsidRDefault="008F4885" w:rsidP="001E4105">
      <w:pPr>
        <w:pStyle w:val="CGCNumberedPara"/>
        <w:tabs>
          <w:tab w:val="left" w:pos="720"/>
        </w:tabs>
      </w:pPr>
      <w:r>
        <w:t>The Department</w:t>
      </w:r>
      <w:r w:rsidR="00C37DB0">
        <w:t xml:space="preserve"> engaged a </w:t>
      </w:r>
      <w:r w:rsidR="009821BA">
        <w:t>service provide</w:t>
      </w:r>
      <w:r w:rsidR="0082373B">
        <w:t>r</w:t>
      </w:r>
      <w:r w:rsidR="00C37DB0">
        <w:t xml:space="preserve"> to </w:t>
      </w:r>
      <w:r w:rsidR="009821BA">
        <w:t>be responsible for</w:t>
      </w:r>
      <w:r w:rsidR="00C37DB0">
        <w:t xml:space="preserve"> supervision and </w:t>
      </w:r>
      <w:r w:rsidR="009821BA">
        <w:t>support</w:t>
      </w:r>
      <w:r w:rsidR="00C37DB0">
        <w:t xml:space="preserve"> to this unit</w:t>
      </w:r>
      <w:r w:rsidR="00DD54BE">
        <w:t xml:space="preserve"> from July 2018. It also has a c</w:t>
      </w:r>
      <w:r w:rsidR="00C37DB0">
        <w:t xml:space="preserve">hild and family </w:t>
      </w:r>
      <w:r w:rsidR="009821BA">
        <w:t xml:space="preserve">wellbeing </w:t>
      </w:r>
      <w:r w:rsidR="00C37DB0">
        <w:t>team, with e</w:t>
      </w:r>
      <w:r w:rsidR="009821BA">
        <w:t>stimated employee costs of $533 </w:t>
      </w:r>
      <w:r w:rsidR="00C37DB0">
        <w:t xml:space="preserve">000 in 2018-19, to plan and oversee the services </w:t>
      </w:r>
      <w:r w:rsidR="00DB25A7">
        <w:t xml:space="preserve">on </w:t>
      </w:r>
      <w:r w:rsidR="00C37DB0">
        <w:t xml:space="preserve">Norfolk Island. </w:t>
      </w:r>
    </w:p>
    <w:p w14:paraId="7C2F2F12" w14:textId="77777777" w:rsidR="00C37DB0" w:rsidRDefault="00C37DB0" w:rsidP="001E4105">
      <w:pPr>
        <w:pStyle w:val="CGCNumberedPara"/>
        <w:tabs>
          <w:tab w:val="num" w:pos="567"/>
        </w:tabs>
      </w:pPr>
      <w:r>
        <w:t xml:space="preserve">There are 14 residential aged care beds operated by the Norfolk health service, which charges </w:t>
      </w:r>
      <w:r w:rsidR="00C7598D">
        <w:t xml:space="preserve">each </w:t>
      </w:r>
      <w:r>
        <w:t>resident $5</w:t>
      </w:r>
      <w:r w:rsidR="00BF6D3F">
        <w:t>1.21</w:t>
      </w:r>
      <w:r>
        <w:t xml:space="preserve"> per </w:t>
      </w:r>
      <w:r w:rsidR="00BF6D3F">
        <w:t>day (1 July 2019 rate)</w:t>
      </w:r>
      <w:r>
        <w:t xml:space="preserve">) and receives an aged care subsidy from the Commonwealth. </w:t>
      </w:r>
    </w:p>
    <w:p w14:paraId="392DB422" w14:textId="77777777" w:rsidR="00C37DB0" w:rsidRDefault="007717D6" w:rsidP="001E4105">
      <w:pPr>
        <w:pStyle w:val="CGCNumberedPara"/>
        <w:tabs>
          <w:tab w:val="num" w:pos="567"/>
        </w:tabs>
      </w:pPr>
      <w:r>
        <w:t xml:space="preserve">NIRC </w:t>
      </w:r>
      <w:r w:rsidR="00C37DB0">
        <w:t xml:space="preserve">rebates of 50% of general rates for eligible pensioners. Consistent with the policy in New South Wales, 50% of those rebates are reimbursed by the Department. </w:t>
      </w:r>
    </w:p>
    <w:p w14:paraId="29645A17" w14:textId="77777777" w:rsidR="00C37DB0" w:rsidRDefault="00C37DB0" w:rsidP="001E4105">
      <w:pPr>
        <w:pStyle w:val="CGCNumberedPara"/>
        <w:tabs>
          <w:tab w:val="num" w:pos="567"/>
        </w:tabs>
      </w:pPr>
      <w:r>
        <w:t>The National Disability Insurance Scheme was extended to Norfolk Island from 1 July 2018. Prior to then, a voluntary association provided disability information.  However, there was no disability equipment assistance, no alternative care for children and young people with disabilities and no pre-school or school disability programs.</w:t>
      </w:r>
    </w:p>
    <w:p w14:paraId="09E0E0C0" w14:textId="77777777" w:rsidR="00C37DB0" w:rsidRDefault="00C37DB0" w:rsidP="00C37DB0">
      <w:pPr>
        <w:pStyle w:val="Heading4"/>
      </w:pPr>
      <w:bookmarkStart w:id="622" w:name="_Toc17380541"/>
      <w:bookmarkStart w:id="623" w:name="_Toc19262997"/>
      <w:bookmarkStart w:id="624" w:name="_Toc23847542"/>
      <w:r>
        <w:t>Assessed expenses for Norfolk Island services</w:t>
      </w:r>
      <w:bookmarkEnd w:id="622"/>
      <w:bookmarkEnd w:id="623"/>
      <w:bookmarkEnd w:id="624"/>
    </w:p>
    <w:p w14:paraId="131AE8AA" w14:textId="77777777" w:rsidR="00080705" w:rsidRPr="00080705" w:rsidRDefault="00C37DB0" w:rsidP="00080705">
      <w:pPr>
        <w:pStyle w:val="Heading5"/>
        <w:rPr>
          <w:rStyle w:val="Heading6Char"/>
          <w:b/>
          <w:i/>
          <w:iCs w:val="0"/>
        </w:rPr>
      </w:pPr>
      <w:r w:rsidRPr="00080705">
        <w:rPr>
          <w:rStyle w:val="Heading6Char"/>
          <w:b/>
          <w:i/>
          <w:iCs w:val="0"/>
        </w:rPr>
        <w:t>Fami</w:t>
      </w:r>
      <w:r w:rsidR="00080705" w:rsidRPr="00080705">
        <w:rPr>
          <w:rStyle w:val="Heading6Char"/>
          <w:b/>
          <w:i/>
          <w:iCs w:val="0"/>
        </w:rPr>
        <w:t>ly and child protection services</w:t>
      </w:r>
    </w:p>
    <w:p w14:paraId="0A5C7D1B" w14:textId="77777777" w:rsidR="00C37DB0" w:rsidRDefault="00C37DB0" w:rsidP="001E4105">
      <w:pPr>
        <w:pStyle w:val="CGCNumberedPara"/>
        <w:tabs>
          <w:tab w:val="num" w:pos="567"/>
        </w:tabs>
      </w:pPr>
      <w:r>
        <w:t>Assessed expenses were estimated by reference to average State spending and service use rates for children aged 0-17 who were the subject of substantiations</w:t>
      </w:r>
      <w:r>
        <w:rPr>
          <w:rStyle w:val="FootnoteReference"/>
        </w:rPr>
        <w:footnoteReference w:id="39"/>
      </w:r>
      <w:r>
        <w:t>. The assessed use of this service takes into account Norfolk Island’s circumstances in relation to its age structure (use of the service is limited to children), Aboriginal and Torres Strait Islander population, level of socio-economic disadvantage</w:t>
      </w:r>
      <w:r w:rsidR="001E00B0">
        <w:t xml:space="preserve"> </w:t>
      </w:r>
      <w:r>
        <w:rPr>
          <w:rStyle w:val="FootnoteReference"/>
        </w:rPr>
        <w:footnoteReference w:id="40"/>
      </w:r>
      <w:r>
        <w:t xml:space="preserve"> and remoteness. </w:t>
      </w:r>
    </w:p>
    <w:p w14:paraId="193822E4" w14:textId="77777777" w:rsidR="00C37DB0" w:rsidRDefault="00C37DB0" w:rsidP="001E4105">
      <w:pPr>
        <w:pStyle w:val="CGCNumberedPara"/>
        <w:tabs>
          <w:tab w:val="left" w:pos="720"/>
        </w:tabs>
      </w:pPr>
      <w:r>
        <w:t>For Norfolk Island, applying national use rates to its population produced a family and child protection prelimin</w:t>
      </w:r>
      <w:r w:rsidR="001E00B0">
        <w:t>ary assessed expense of $230 000</w:t>
      </w:r>
      <w:r>
        <w:t>.</w:t>
      </w:r>
      <w:r w:rsidR="001E00B0">
        <w:t xml:space="preserve"> </w:t>
      </w:r>
      <w:r>
        <w:t>That preliminary estimate was adjusted to allow for the additional administrative costs associated with using contractors to provide services (a 10% allowance) and Norfolk Island’s isolation costs (a 5% allowance). The final assessed cost of providing comparable famil</w:t>
      </w:r>
      <w:r w:rsidR="00BF59D2">
        <w:t>y and child services is $265 000</w:t>
      </w:r>
      <w:r>
        <w:t xml:space="preserve"> in 2017-18, or $151 per capita.</w:t>
      </w:r>
    </w:p>
    <w:p w14:paraId="199F5381" w14:textId="77777777" w:rsidR="00080705" w:rsidRPr="00080705" w:rsidRDefault="00C37DB0" w:rsidP="00080705">
      <w:pPr>
        <w:pStyle w:val="Heading5"/>
        <w:rPr>
          <w:rStyle w:val="Heading6Char"/>
          <w:b/>
          <w:i/>
          <w:iCs w:val="0"/>
        </w:rPr>
      </w:pPr>
      <w:r w:rsidRPr="00080705">
        <w:rPr>
          <w:rStyle w:val="Heading6Char"/>
          <w:b/>
          <w:i/>
          <w:iCs w:val="0"/>
        </w:rPr>
        <w:lastRenderedPageBreak/>
        <w:t>Natio</w:t>
      </w:r>
      <w:r w:rsidR="00080705" w:rsidRPr="00080705">
        <w:rPr>
          <w:rStyle w:val="Heading6Char"/>
          <w:b/>
          <w:i/>
          <w:iCs w:val="0"/>
        </w:rPr>
        <w:t>nal Disability Insurance Scheme</w:t>
      </w:r>
    </w:p>
    <w:p w14:paraId="10534B11" w14:textId="77777777" w:rsidR="00C37DB0" w:rsidRDefault="00C37DB0" w:rsidP="001E4105">
      <w:pPr>
        <w:pStyle w:val="CGCNumberedPara"/>
        <w:tabs>
          <w:tab w:val="num" w:pos="567"/>
        </w:tabs>
      </w:pPr>
      <w:r>
        <w:t>These services are assessed on an equal per capita basis in the Commission’s inquiries into State finances</w:t>
      </w:r>
      <w:r>
        <w:rPr>
          <w:rStyle w:val="FootnoteReference"/>
        </w:rPr>
        <w:footnoteReference w:id="41"/>
      </w:r>
      <w:r>
        <w:t xml:space="preserve"> and this is the approach we have taken for Norfolk Island. This reflects how States are contributing to the cost of scheme. This approach gives rise to assessed expenses of $</w:t>
      </w:r>
      <w:r w:rsidR="0050564A">
        <w:t>656 000</w:t>
      </w:r>
      <w:r>
        <w:t xml:space="preserve"> in 2017-18 for Norfolk Island. This is the amount a State would contribute to the National Disability Insurance Agency.</w:t>
      </w:r>
    </w:p>
    <w:p w14:paraId="66737E6D" w14:textId="77777777" w:rsidR="00080705" w:rsidRPr="00080705" w:rsidRDefault="00C37DB0" w:rsidP="00080705">
      <w:pPr>
        <w:pStyle w:val="Heading5"/>
        <w:rPr>
          <w:rFonts w:eastAsiaTheme="minorHAnsi" w:cstheme="minorBidi"/>
          <w:color w:val="auto"/>
          <w:sz w:val="24"/>
        </w:rPr>
      </w:pPr>
      <w:r w:rsidRPr="00080705">
        <w:t>General welfare</w:t>
      </w:r>
    </w:p>
    <w:p w14:paraId="77C5FEBA" w14:textId="77777777" w:rsidR="00C37DB0" w:rsidRDefault="00C37DB0" w:rsidP="001E4105">
      <w:pPr>
        <w:pStyle w:val="CGCNumberedPara"/>
        <w:tabs>
          <w:tab w:val="num" w:pos="567"/>
        </w:tabs>
      </w:pPr>
      <w:r>
        <w:t>State spending on general welfare includes residual aged care, disability and other welfare services. Residual aged care and disability services were assessed on an equal per capita basis. Other general welfare services, which mainly target the working aged population, were assessed by applying the Norfolk Island working age population to the national average spend per working age person. The preliminary estimate made using those approaches were adjusted to allow for the additional administrative costs associated with using contractors to provide services (a 10% allowance), Norfolk Island’s remoteness (a 35% allowance) and its additional isolation costs not captured in the remoteness allowance (a 5% allowance). After making these adjustments, we estimated the final assessed cost of providing comparabl</w:t>
      </w:r>
      <w:r w:rsidR="00F25D94">
        <w:t>e general welfare to be $224 000</w:t>
      </w:r>
      <w:r>
        <w:t xml:space="preserve"> in 2017-18, or $127 per capita.</w:t>
      </w:r>
    </w:p>
    <w:p w14:paraId="01CA0B54" w14:textId="77777777" w:rsidR="00080705" w:rsidRPr="00080705" w:rsidRDefault="00C37DB0" w:rsidP="00080705">
      <w:pPr>
        <w:pStyle w:val="Heading5"/>
        <w:rPr>
          <w:rStyle w:val="Heading6Char"/>
          <w:b/>
          <w:i/>
          <w:iCs w:val="0"/>
        </w:rPr>
      </w:pPr>
      <w:r w:rsidRPr="00080705">
        <w:rPr>
          <w:rStyle w:val="Heading6Char"/>
          <w:b/>
          <w:i/>
          <w:iCs w:val="0"/>
        </w:rPr>
        <w:t>Concessions</w:t>
      </w:r>
    </w:p>
    <w:p w14:paraId="3F213C67" w14:textId="77777777" w:rsidR="00C37DB0" w:rsidRDefault="00C37DB0" w:rsidP="001E4105">
      <w:pPr>
        <w:pStyle w:val="CGCNumberedPara"/>
        <w:tabs>
          <w:tab w:val="num" w:pos="567"/>
        </w:tabs>
      </w:pPr>
      <w:r>
        <w:t>We were advised there were 144 concession card holders on Norfolk Island in 2018</w:t>
      </w:r>
      <w:r>
        <w:noBreakHyphen/>
        <w:t>19.</w:t>
      </w:r>
      <w:r>
        <w:rPr>
          <w:rStyle w:val="FootnoteReference"/>
        </w:rPr>
        <w:t xml:space="preserve"> </w:t>
      </w:r>
      <w:r>
        <w:rPr>
          <w:rStyle w:val="FootnoteReference"/>
        </w:rPr>
        <w:footnoteReference w:id="42"/>
      </w:r>
      <w:r>
        <w:t xml:space="preserve"> Since client numbers do not change much from year to year, that figure was used to derive the assessed expenses for 2017-18. As the average concession per card holder was $389 in 2017-18, the assessed concessions expens</w:t>
      </w:r>
      <w:r w:rsidR="00002970">
        <w:t>e for Norfolk Island was $56 000</w:t>
      </w:r>
      <w:r>
        <w:t xml:space="preserve">. </w:t>
      </w:r>
    </w:p>
    <w:p w14:paraId="79171FAC" w14:textId="77777777" w:rsidR="00C37DB0" w:rsidRDefault="00072BE9" w:rsidP="00C37DB0">
      <w:pPr>
        <w:pStyle w:val="Heading3"/>
        <w:rPr>
          <w:rFonts w:eastAsia="Times New Roman"/>
        </w:rPr>
      </w:pPr>
      <w:bookmarkStart w:id="625" w:name="_Toc17380542"/>
      <w:bookmarkStart w:id="626" w:name="_Toc19262998"/>
      <w:bookmarkStart w:id="627" w:name="_Toc23847543"/>
      <w:r>
        <w:rPr>
          <w:rFonts w:eastAsia="Times New Roman"/>
        </w:rPr>
        <w:t>H</w:t>
      </w:r>
      <w:r w:rsidR="00C37DB0">
        <w:rPr>
          <w:rFonts w:eastAsia="Times New Roman"/>
        </w:rPr>
        <w:t>ousing</w:t>
      </w:r>
      <w:bookmarkEnd w:id="625"/>
      <w:bookmarkEnd w:id="626"/>
      <w:bookmarkEnd w:id="627"/>
      <w:r w:rsidR="00C37DB0">
        <w:rPr>
          <w:rFonts w:eastAsia="Times New Roman"/>
        </w:rPr>
        <w:t xml:space="preserve"> </w:t>
      </w:r>
    </w:p>
    <w:p w14:paraId="0726FBAE" w14:textId="77777777" w:rsidR="00C37DB0" w:rsidRDefault="00C37DB0" w:rsidP="00C37DB0">
      <w:pPr>
        <w:pStyle w:val="Heading4"/>
        <w:rPr>
          <w:rFonts w:eastAsia="Times New Roman"/>
        </w:rPr>
      </w:pPr>
      <w:bookmarkStart w:id="628" w:name="_Toc17380543"/>
      <w:bookmarkStart w:id="629" w:name="_Toc19262999"/>
      <w:bookmarkStart w:id="630" w:name="_Toc23847544"/>
      <w:r>
        <w:rPr>
          <w:rFonts w:eastAsia="Times New Roman"/>
        </w:rPr>
        <w:t>State service delivery and funding arrangements</w:t>
      </w:r>
      <w:bookmarkEnd w:id="628"/>
      <w:bookmarkEnd w:id="629"/>
      <w:bookmarkEnd w:id="630"/>
    </w:p>
    <w:p w14:paraId="7D91EECA" w14:textId="77777777" w:rsidR="00C37DB0" w:rsidRDefault="00C37DB0" w:rsidP="001E4105">
      <w:pPr>
        <w:pStyle w:val="CGCNumberedPara"/>
        <w:tabs>
          <w:tab w:val="num" w:pos="567"/>
        </w:tabs>
      </w:pPr>
      <w:r>
        <w:t xml:space="preserve">There are three types of social housing: public housing (rented or owned by State governments), </w:t>
      </w:r>
      <w:r w:rsidR="00393C3C">
        <w:t xml:space="preserve">Aboriginal or Torres Strait Islander </w:t>
      </w:r>
      <w:r>
        <w:t xml:space="preserve">housing in some States and </w:t>
      </w:r>
      <w:r>
        <w:lastRenderedPageBreak/>
        <w:t xml:space="preserve">community housing managed by not-for-profit organisations. Around three-quarters of social housing dwellings are provided through public housing authorities. </w:t>
      </w:r>
    </w:p>
    <w:p w14:paraId="6282BE81" w14:textId="77777777" w:rsidR="00C37DB0" w:rsidRDefault="00C37DB0" w:rsidP="001E4105">
      <w:pPr>
        <w:pStyle w:val="CGCNumberedPara"/>
        <w:tabs>
          <w:tab w:val="num" w:pos="567"/>
        </w:tabs>
      </w:pPr>
      <w:r>
        <w:t>State gross expenses for Housing were $6 billion in 2017</w:t>
      </w:r>
      <w:r>
        <w:noBreakHyphen/>
        <w:t>18 of which about $3 billion was recovered through rent. The net spending of $3 billion represented 1% of total State expenses. State spending on this function includes expenses for:</w:t>
      </w:r>
    </w:p>
    <w:p w14:paraId="4CD35645" w14:textId="77777777" w:rsidR="00C37DB0" w:rsidRPr="00080705" w:rsidRDefault="00C37DB0" w:rsidP="00080705">
      <w:pPr>
        <w:pStyle w:val="CGCBulletlist"/>
        <w:numPr>
          <w:ilvl w:val="0"/>
          <w:numId w:val="15"/>
        </w:numPr>
      </w:pPr>
      <w:r>
        <w:t xml:space="preserve">all social </w:t>
      </w:r>
      <w:r w:rsidRPr="00080705">
        <w:t>housing services provided by the States and their housing authorities and subsidies to community housing providers</w:t>
      </w:r>
    </w:p>
    <w:p w14:paraId="62A1751F" w14:textId="77777777" w:rsidR="00C37DB0" w:rsidRPr="00080705" w:rsidRDefault="00C37DB0" w:rsidP="00080705">
      <w:pPr>
        <w:pStyle w:val="CGCBulletlist"/>
      </w:pPr>
      <w:r w:rsidRPr="00080705">
        <w:t>First Home Owner Grants</w:t>
      </w:r>
    </w:p>
    <w:p w14:paraId="67172138" w14:textId="77777777" w:rsidR="00C37DB0" w:rsidRDefault="00C37DB0" w:rsidP="00080705">
      <w:pPr>
        <w:pStyle w:val="CGCBulletlist"/>
      </w:pPr>
      <w:r w:rsidRPr="00080705">
        <w:t>private rental assistance</w:t>
      </w:r>
      <w:r>
        <w:t xml:space="preserve"> and other forms of home purchase assistance.</w:t>
      </w:r>
    </w:p>
    <w:p w14:paraId="7D623DF4" w14:textId="77777777" w:rsidR="00C37DB0" w:rsidRDefault="00C37DB0" w:rsidP="001E4105">
      <w:pPr>
        <w:pStyle w:val="CGCNumberedPara"/>
        <w:tabs>
          <w:tab w:val="left" w:pos="720"/>
        </w:tabs>
      </w:pPr>
      <w:r>
        <w:t xml:space="preserve">State housing expenses do not include spending on accommodation for State employees, residential institutions providing living quarters for people with special needs and homeless persons’ assistance. </w:t>
      </w:r>
    </w:p>
    <w:p w14:paraId="3CEFA6F6" w14:textId="77777777" w:rsidR="00C37DB0" w:rsidRDefault="00C37DB0" w:rsidP="001E4105">
      <w:pPr>
        <w:pStyle w:val="CGCNumberedPara"/>
        <w:tabs>
          <w:tab w:val="left" w:pos="720"/>
        </w:tabs>
      </w:pPr>
      <w:r>
        <w:t>The Commonwealth provided a range of funding to the States for social housing, totalling about $1 billion in 2017-18. The Commonwealth also funds rent assistance for people on low to moderate incomes. This is a non-taxable income supplement to assist those renting in the private market or communi</w:t>
      </w:r>
      <w:r w:rsidR="0080430F">
        <w:t>ty housing. It is available to p</w:t>
      </w:r>
      <w:r>
        <w:t xml:space="preserve">ensioners and others receiving more than the base rate of Family Tax Benefit Part A. </w:t>
      </w:r>
    </w:p>
    <w:p w14:paraId="50E505CE" w14:textId="77777777" w:rsidR="00C37DB0" w:rsidRDefault="00C37DB0" w:rsidP="00C37DB0">
      <w:pPr>
        <w:pStyle w:val="Heading4"/>
        <w:rPr>
          <w:rFonts w:eastAsia="Times New Roman"/>
        </w:rPr>
      </w:pPr>
      <w:bookmarkStart w:id="631" w:name="_Toc17380544"/>
      <w:bookmarkStart w:id="632" w:name="_Toc19263000"/>
      <w:bookmarkStart w:id="633" w:name="_Toc23847545"/>
      <w:r>
        <w:rPr>
          <w:rFonts w:eastAsia="Times New Roman"/>
        </w:rPr>
        <w:t>Norfolk Island service and funding arrangements</w:t>
      </w:r>
      <w:bookmarkEnd w:id="631"/>
      <w:bookmarkEnd w:id="632"/>
      <w:bookmarkEnd w:id="633"/>
    </w:p>
    <w:p w14:paraId="7D1C92E3" w14:textId="0B42FB64" w:rsidR="00C37DB0" w:rsidRDefault="00804B85" w:rsidP="001E4105">
      <w:pPr>
        <w:pStyle w:val="CGCNumberedPara"/>
        <w:tabs>
          <w:tab w:val="num" w:pos="567"/>
        </w:tabs>
      </w:pPr>
      <w:r>
        <w:t xml:space="preserve">The NIRC has six </w:t>
      </w:r>
      <w:r w:rsidR="002A4234">
        <w:t xml:space="preserve">residential </w:t>
      </w:r>
      <w:r>
        <w:t>properties that</w:t>
      </w:r>
      <w:r w:rsidR="002A4234">
        <w:t xml:space="preserve"> it uses for social-type housing that are known as the DCA (Department of Civil Aviation) Circle houses, which are rented to low income tenants. </w:t>
      </w:r>
      <w:r w:rsidR="00E32472">
        <w:t xml:space="preserve">NIRC advised that the </w:t>
      </w:r>
      <w:r w:rsidR="007F6F0B">
        <w:t>houses</w:t>
      </w:r>
      <w:r w:rsidR="00E32472">
        <w:t xml:space="preserve"> are not well maintained </w:t>
      </w:r>
      <w:r w:rsidR="007F6F0B">
        <w:t xml:space="preserve">and as such are rented at relatively low rent ($150 per week). </w:t>
      </w:r>
      <w:r w:rsidR="009B08F4">
        <w:t>NIRC</w:t>
      </w:r>
      <w:r w:rsidR="002A4234">
        <w:t xml:space="preserve"> received $39 000 in rent from tenants in </w:t>
      </w:r>
      <w:r w:rsidR="002A4234" w:rsidRPr="00716B4E">
        <w:t>2016-17</w:t>
      </w:r>
      <w:r w:rsidR="00ED773F">
        <w:t>.</w:t>
      </w:r>
      <w:r w:rsidR="009F5C99">
        <w:rPr>
          <w:rStyle w:val="FootnoteReference"/>
        </w:rPr>
        <w:footnoteReference w:id="43"/>
      </w:r>
      <w:r w:rsidR="002A4234">
        <w:t xml:space="preserve"> </w:t>
      </w:r>
      <w:r w:rsidR="00C37DB0">
        <w:t xml:space="preserve">There were </w:t>
      </w:r>
      <w:r>
        <w:t xml:space="preserve">also </w:t>
      </w:r>
      <w:r w:rsidR="00C37DB0">
        <w:t>some small units in the hospital grounds built from a philanthropic grant and initially intended for pre</w:t>
      </w:r>
      <w:r w:rsidR="00C37DB0">
        <w:noBreakHyphen/>
        <w:t>nursing home care. They were previously used by social welfare recipients with low level health care needs. However, we were advised that these dwellings are no longer occupied</w:t>
      </w:r>
      <w:r w:rsidR="00312133">
        <w:t xml:space="preserve"> for that purpose</w:t>
      </w:r>
      <w:r w:rsidR="00C37DB0">
        <w:t xml:space="preserve">. </w:t>
      </w:r>
      <w:r w:rsidR="009B08F4">
        <w:t>The nature of this housing is such that it is not equivalent to State-type social housing.</w:t>
      </w:r>
    </w:p>
    <w:p w14:paraId="4C3C139D" w14:textId="77777777" w:rsidR="00C37DB0" w:rsidRDefault="00C37DB0" w:rsidP="001E4105">
      <w:pPr>
        <w:pStyle w:val="CGCNumberedPara"/>
        <w:tabs>
          <w:tab w:val="left" w:pos="720"/>
        </w:tabs>
      </w:pPr>
      <w:r>
        <w:t>We were not able to ascertain whether Norfolk Island residents have ac</w:t>
      </w:r>
      <w:r w:rsidR="00804B85">
        <w:t xml:space="preserve">cess to First Home Owner grants, as Norfolk Island residents. </w:t>
      </w:r>
      <w:r>
        <w:t xml:space="preserve"> </w:t>
      </w:r>
    </w:p>
    <w:p w14:paraId="37C93F55" w14:textId="77777777" w:rsidR="00C37DB0" w:rsidRDefault="00C37DB0" w:rsidP="00C37DB0">
      <w:pPr>
        <w:pStyle w:val="Heading4"/>
      </w:pPr>
      <w:bookmarkStart w:id="634" w:name="_Toc17380545"/>
      <w:bookmarkStart w:id="635" w:name="_Toc19263001"/>
      <w:bookmarkStart w:id="636" w:name="_Toc23847546"/>
      <w:r>
        <w:lastRenderedPageBreak/>
        <w:t>Assessed expenses for Norfolk Island services</w:t>
      </w:r>
      <w:bookmarkEnd w:id="634"/>
      <w:bookmarkEnd w:id="635"/>
      <w:bookmarkEnd w:id="636"/>
      <w:r>
        <w:t xml:space="preserve"> </w:t>
      </w:r>
    </w:p>
    <w:p w14:paraId="3E8F7CCA" w14:textId="77777777" w:rsidR="00C37DB0" w:rsidRDefault="00C37DB0" w:rsidP="001E4105">
      <w:pPr>
        <w:pStyle w:val="CGCNumberedPara"/>
        <w:tabs>
          <w:tab w:val="left" w:pos="720"/>
        </w:tabs>
      </w:pPr>
      <w:r>
        <w:t>The assessment of housing expenses followed the method used in Commission inquiries into State finances, which are done in three components – social housing</w:t>
      </w:r>
      <w:r w:rsidR="002A4234">
        <w:t xml:space="preserve"> expenses</w:t>
      </w:r>
      <w:r>
        <w:t xml:space="preserve">, social housing rents and first home owner expenses. Access to these services and programs by comparable communities in Australia was used as a benchmark for costing Norfolk Island services. </w:t>
      </w:r>
    </w:p>
    <w:p w14:paraId="21B33437" w14:textId="77777777" w:rsidR="00C37DB0" w:rsidRDefault="008C06DF" w:rsidP="001E4105">
      <w:pPr>
        <w:pStyle w:val="CGCNumberedPara"/>
        <w:tabs>
          <w:tab w:val="left" w:pos="720"/>
        </w:tabs>
      </w:pPr>
      <w:r>
        <w:t xml:space="preserve">The Commission has </w:t>
      </w:r>
      <w:r w:rsidR="00C37DB0">
        <w:t xml:space="preserve">calculated the annual costs that would be associated with operating a social housing program on the Island. </w:t>
      </w:r>
    </w:p>
    <w:p w14:paraId="72E6EBDB" w14:textId="77777777" w:rsidR="00C37DB0" w:rsidRDefault="00C37DB0" w:rsidP="001E4105">
      <w:pPr>
        <w:pStyle w:val="CGCNumberedPara"/>
        <w:tabs>
          <w:tab w:val="left" w:pos="720"/>
        </w:tabs>
      </w:pPr>
      <w:r>
        <w:t>In making the calculation, we assumed the use of social housing on Norfolk Island would be similar to that in an outer regional area rather than a very remote region. Use of social housing by non-</w:t>
      </w:r>
      <w:r w:rsidR="00393C3C" w:rsidRPr="00393C3C">
        <w:t xml:space="preserve"> </w:t>
      </w:r>
      <w:r w:rsidR="00393C3C">
        <w:t xml:space="preserve">Aboriginal or Torres Strait Islander </w:t>
      </w:r>
      <w:r>
        <w:t xml:space="preserve">populations in very remote mainland communities is affected by shortages of affordable private rental stock, which did not appear to be an issue for Norfolk Island. We assumed 1% of </w:t>
      </w:r>
      <w:r w:rsidR="003B5F47">
        <w:t>Norfolk </w:t>
      </w:r>
      <w:r>
        <w:t xml:space="preserve">Island households would be living in social housing. </w:t>
      </w:r>
    </w:p>
    <w:p w14:paraId="1FF33482" w14:textId="77777777" w:rsidR="00C37DB0" w:rsidRDefault="00C37DB0" w:rsidP="00C37DB0">
      <w:pPr>
        <w:pStyle w:val="Heading5"/>
      </w:pPr>
      <w:r>
        <w:t>Social housing and revenues from rents</w:t>
      </w:r>
    </w:p>
    <w:p w14:paraId="5032341F" w14:textId="77777777" w:rsidR="00C37DB0" w:rsidRDefault="00C37DB0" w:rsidP="001E4105">
      <w:pPr>
        <w:pStyle w:val="CGCNumberedPara"/>
        <w:tabs>
          <w:tab w:val="num" w:pos="567"/>
        </w:tabs>
      </w:pPr>
      <w:r>
        <w:t>Applying national social housing use rates for outer regional areas (1%) to the number of households on Norfolk Island households indicated the Island would require about seven social housing dwellings</w:t>
      </w:r>
      <w:r w:rsidR="009B08F4">
        <w:t>.</w:t>
      </w:r>
      <w:r>
        <w:t xml:space="preserve"> This implied the net annual cost of administering a social housing program (including house maintenance) would</w:t>
      </w:r>
      <w:r w:rsidR="00335790">
        <w:t xml:space="preserve"> be $222 000 in 2017</w:t>
      </w:r>
      <w:r w:rsidR="00335790">
        <w:noBreakHyphen/>
        <w:t>18, or $127</w:t>
      </w:r>
      <w:r>
        <w:t xml:space="preserve"> per capita. The depreciation assessment includes an amount for the depreciation of this notional housing stock. We have not included an allowance for the initial cost of acquiring the required housing stock. </w:t>
      </w:r>
    </w:p>
    <w:p w14:paraId="31065B62" w14:textId="77777777" w:rsidR="00C37DB0" w:rsidRDefault="00C37DB0" w:rsidP="00C37DB0">
      <w:pPr>
        <w:pStyle w:val="Heading5"/>
      </w:pPr>
      <w:r>
        <w:t>First Home Owner Expenses</w:t>
      </w:r>
    </w:p>
    <w:p w14:paraId="5BEC9B70" w14:textId="77777777" w:rsidR="00C37DB0" w:rsidRDefault="00C37DB0" w:rsidP="001E4105">
      <w:pPr>
        <w:pStyle w:val="CGCNumberedPara"/>
        <w:tabs>
          <w:tab w:val="left" w:pos="720"/>
        </w:tabs>
      </w:pPr>
      <w:r>
        <w:t xml:space="preserve">Data from the 2016 Census indicate there were 206 occupied private dwellings on Norfolk that are rented, with the remaining 542 occupied private dwellings being owned or under other tenure types. </w:t>
      </w:r>
    </w:p>
    <w:p w14:paraId="1F13F38D" w14:textId="77777777" w:rsidR="00C37DB0" w:rsidRDefault="00C37DB0" w:rsidP="001E4105">
      <w:pPr>
        <w:pStyle w:val="CGCNumberedPara"/>
        <w:tabs>
          <w:tab w:val="left" w:pos="720"/>
        </w:tabs>
      </w:pPr>
      <w:r>
        <w:t xml:space="preserve">In the absence of any data related to first home owner grants on Norfolk Island, we used Census dwelling data and national data on housing turnover and the first home owner share of financed homes to estimate that up to eight dwellings could be purchased by new home owners in a year. However, as there are few new dwellings being constructed on Norfolk Island (population growth is flat) and Norfolk Island has an older than Australian average age profile, we halved this estimate, giving an allowance of four dwellings with first home owner grant access. This gave </w:t>
      </w:r>
      <w:r w:rsidR="004603F4">
        <w:t>a total estimated grant of $41 0</w:t>
      </w:r>
      <w:r w:rsidR="003A429E">
        <w:t xml:space="preserve">00 for 2017-18. </w:t>
      </w:r>
    </w:p>
    <w:p w14:paraId="5B733639" w14:textId="77777777" w:rsidR="00C37DB0" w:rsidRDefault="00C37DB0" w:rsidP="00C37DB0">
      <w:pPr>
        <w:pStyle w:val="Heading3"/>
      </w:pPr>
      <w:bookmarkStart w:id="637" w:name="_Toc17380546"/>
      <w:bookmarkStart w:id="638" w:name="_Toc19263002"/>
      <w:bookmarkStart w:id="639" w:name="_Toc23847547"/>
      <w:r>
        <w:lastRenderedPageBreak/>
        <w:t xml:space="preserve">Services to </w:t>
      </w:r>
      <w:bookmarkEnd w:id="637"/>
      <w:bookmarkEnd w:id="638"/>
      <w:r w:rsidR="00072BE9">
        <w:t>Communities</w:t>
      </w:r>
      <w:bookmarkEnd w:id="639"/>
    </w:p>
    <w:p w14:paraId="6DF405EA" w14:textId="77777777" w:rsidR="00C37DB0" w:rsidRDefault="00C37DB0" w:rsidP="00C37DB0">
      <w:pPr>
        <w:pStyle w:val="Heading4"/>
        <w:rPr>
          <w:rFonts w:eastAsia="Times New Roman"/>
        </w:rPr>
      </w:pPr>
      <w:bookmarkStart w:id="640" w:name="_Toc17380547"/>
      <w:bookmarkStart w:id="641" w:name="_Toc19263003"/>
      <w:bookmarkStart w:id="642" w:name="_Toc23847548"/>
      <w:r>
        <w:rPr>
          <w:rFonts w:eastAsia="Times New Roman"/>
        </w:rPr>
        <w:t>State service delivery and funding arrangements</w:t>
      </w:r>
      <w:bookmarkEnd w:id="640"/>
      <w:bookmarkEnd w:id="641"/>
      <w:bookmarkEnd w:id="642"/>
    </w:p>
    <w:p w14:paraId="4593E0B6" w14:textId="77777777" w:rsidR="00C37DB0" w:rsidRDefault="00C37DB0" w:rsidP="001E4105">
      <w:pPr>
        <w:pStyle w:val="CGCNumberedPara"/>
        <w:tabs>
          <w:tab w:val="num" w:pos="567"/>
        </w:tabs>
      </w:pPr>
      <w:r>
        <w:t>State expenses on services to communities were $7 billion in 2017</w:t>
      </w:r>
      <w:r>
        <w:noBreakHyphen/>
        <w:t>18, representing about 3% of total State expenses. That spending includes expenses for:</w:t>
      </w:r>
    </w:p>
    <w:p w14:paraId="552085F3" w14:textId="77777777" w:rsidR="00C37DB0" w:rsidRPr="00080705" w:rsidRDefault="00C37DB0" w:rsidP="00080705">
      <w:pPr>
        <w:pStyle w:val="CGCBulletlist"/>
        <w:numPr>
          <w:ilvl w:val="0"/>
          <w:numId w:val="15"/>
        </w:numPr>
      </w:pPr>
      <w:r w:rsidRPr="00AF14EA">
        <w:t xml:space="preserve">subsidies </w:t>
      </w:r>
      <w:r w:rsidRPr="00080705">
        <w:t>for electricity services in remote communities</w:t>
      </w:r>
    </w:p>
    <w:p w14:paraId="5BBFA154" w14:textId="77777777" w:rsidR="00C37DB0" w:rsidRPr="00080705" w:rsidRDefault="00C37DB0" w:rsidP="00080705">
      <w:pPr>
        <w:pStyle w:val="CGCBulletlist"/>
      </w:pPr>
      <w:r w:rsidRPr="00080705">
        <w:t>subsidies for water and wastewater services in small isolated communities</w:t>
      </w:r>
    </w:p>
    <w:p w14:paraId="619CFC7D" w14:textId="77777777" w:rsidR="00C37DB0" w:rsidRPr="00080705" w:rsidRDefault="00C37DB0" w:rsidP="00080705">
      <w:pPr>
        <w:pStyle w:val="CGCBulletlist"/>
      </w:pPr>
      <w:r w:rsidRPr="00080705">
        <w:t>Aboriginal and Torres Strait Islander community development</w:t>
      </w:r>
    </w:p>
    <w:p w14:paraId="5E8F339B" w14:textId="77777777" w:rsidR="00C37DB0" w:rsidRPr="00080705" w:rsidRDefault="00C37DB0" w:rsidP="00080705">
      <w:pPr>
        <w:pStyle w:val="CGCBulletlist"/>
      </w:pPr>
      <w:r w:rsidRPr="00080705">
        <w:t>other community development</w:t>
      </w:r>
    </w:p>
    <w:p w14:paraId="36BBA63D" w14:textId="77777777" w:rsidR="00C37DB0" w:rsidRDefault="00C37DB0" w:rsidP="00080705">
      <w:pPr>
        <w:pStyle w:val="CGCBulletlist"/>
        <w:rPr>
          <w:color w:val="000000" w:themeColor="text1"/>
        </w:rPr>
      </w:pPr>
      <w:r w:rsidRPr="00080705">
        <w:t>expenses related</w:t>
      </w:r>
      <w:r w:rsidRPr="00AF14EA">
        <w:t xml:space="preserve"> to environmental protection services, including national parks</w:t>
      </w:r>
      <w:r>
        <w:t xml:space="preserve"> and wildlife.</w:t>
      </w:r>
    </w:p>
    <w:p w14:paraId="57E53F56" w14:textId="77777777" w:rsidR="00C37DB0" w:rsidRDefault="00C37DB0" w:rsidP="001E4105">
      <w:pPr>
        <w:pStyle w:val="CGCNumberedPara"/>
        <w:tabs>
          <w:tab w:val="left" w:pos="720"/>
        </w:tabs>
      </w:pPr>
      <w:r>
        <w:t>In isolated, remote communities in Australia, diesel is the main fuel used for electricity generation. However, diesel is costly to use and transport. Some remote communities supplement diesel with renewable energy sources, although this requires significant capital investment, and the uptake of renewable energy in remote areas has been slow.</w:t>
      </w:r>
    </w:p>
    <w:p w14:paraId="10BBA388" w14:textId="77777777" w:rsidR="00C37DB0" w:rsidRDefault="00C37DB0" w:rsidP="001E4105">
      <w:pPr>
        <w:pStyle w:val="CGCNumberedPara"/>
        <w:tabs>
          <w:tab w:val="left" w:pos="720"/>
        </w:tabs>
      </w:pPr>
      <w:r>
        <w:t>Costs for wastewater services in very remote areas are driven by diseconomies of small scale. Service providers have few customers per wastewater treatment plant, and few customers per kilometre of pipe network. In some remote and very remote communities, as with Norfolk Island, some households may have their own septic systems, reducing the cost to service providers.</w:t>
      </w:r>
    </w:p>
    <w:p w14:paraId="097D515B" w14:textId="77777777" w:rsidR="00C37DB0" w:rsidRDefault="00C37DB0" w:rsidP="001E4105">
      <w:pPr>
        <w:pStyle w:val="CGCNumberedPara"/>
        <w:tabs>
          <w:tab w:val="left" w:pos="720"/>
        </w:tabs>
      </w:pPr>
      <w:r>
        <w:t>The Commonwealth provides funding to the States for Services to communities, including the Sustainable Rural Water Use and Infrastructure Programme and other national partnership payments.</w:t>
      </w:r>
    </w:p>
    <w:p w14:paraId="27A6C556" w14:textId="77777777" w:rsidR="00C37DB0" w:rsidRDefault="00C37DB0" w:rsidP="00C37DB0">
      <w:pPr>
        <w:pStyle w:val="Heading4"/>
        <w:rPr>
          <w:rFonts w:eastAsia="Times New Roman"/>
        </w:rPr>
      </w:pPr>
      <w:bookmarkStart w:id="643" w:name="_Toc17380548"/>
      <w:bookmarkStart w:id="644" w:name="_Toc19263004"/>
      <w:bookmarkStart w:id="645" w:name="_Toc23847549"/>
      <w:r>
        <w:rPr>
          <w:rFonts w:eastAsia="Times New Roman"/>
        </w:rPr>
        <w:t>Norfolk Island service and funding arrangements</w:t>
      </w:r>
      <w:bookmarkEnd w:id="643"/>
      <w:bookmarkEnd w:id="644"/>
      <w:bookmarkEnd w:id="645"/>
    </w:p>
    <w:p w14:paraId="43ED2D56" w14:textId="77777777" w:rsidR="00C37DB0" w:rsidRDefault="00C37DB0" w:rsidP="001E4105">
      <w:pPr>
        <w:pStyle w:val="CGCNumberedPara"/>
        <w:tabs>
          <w:tab w:val="num" w:pos="567"/>
        </w:tabs>
      </w:pPr>
      <w:r>
        <w:t xml:space="preserve">We have treated the electricity supply service operated by </w:t>
      </w:r>
      <w:r w:rsidR="007D4A45">
        <w:t>NIRC</w:t>
      </w:r>
      <w:r>
        <w:t xml:space="preserve"> as a State-type function. </w:t>
      </w:r>
      <w:r w:rsidR="007D4A45">
        <w:t>NIRC</w:t>
      </w:r>
      <w:r>
        <w:t xml:space="preserve"> largely operates this service on a cost recovery basis. It charged 62 cents per kilowatt hour (kWh) for electricity in 2016-17 and 2017-18, which rose to 71 cents per kWh in 2018-19 and has fallen slightly to 70 cents in 2019-20. </w:t>
      </w:r>
      <w:r w:rsidR="007D4A45">
        <w:t xml:space="preserve">NIRC </w:t>
      </w:r>
      <w:r>
        <w:t>does not currently receive any subsidies from the Commonwealth to offset the costs</w:t>
      </w:r>
      <w:r w:rsidR="00C406B2">
        <w:t xml:space="preserve"> of the electricity generation, n</w:t>
      </w:r>
      <w:r>
        <w:t>or are there subsidies for water, sewerage or waste disposal.</w:t>
      </w:r>
    </w:p>
    <w:p w14:paraId="7CF125D0" w14:textId="77777777" w:rsidR="00C37DB0" w:rsidRDefault="00C37DB0" w:rsidP="001E4105">
      <w:pPr>
        <w:pStyle w:val="CGCNumberedPara"/>
        <w:tabs>
          <w:tab w:val="num" w:pos="567"/>
        </w:tabs>
      </w:pPr>
      <w:r>
        <w:t>The average gross cost of providing electricity services to very remote communities in Australia is $3 978 per capita.</w:t>
      </w:r>
      <w:r>
        <w:rPr>
          <w:rStyle w:val="FootnoteReference"/>
        </w:rPr>
        <w:footnoteReference w:id="44"/>
      </w:r>
      <w:r>
        <w:t xml:space="preserve">  This is almost double the cost on Norfolk Island of </w:t>
      </w:r>
      <w:r>
        <w:lastRenderedPageBreak/>
        <w:t>$2 071 per capita in 2017-18</w:t>
      </w:r>
      <w:r>
        <w:rPr>
          <w:rStyle w:val="FootnoteReference"/>
        </w:rPr>
        <w:footnoteReference w:id="45"/>
      </w:r>
      <w:r>
        <w:t>. The lower costs on Norfolk may be due to its reduced distribution network. We also derived a net operating result for the Norfolk Island</w:t>
      </w:r>
      <w:r w:rsidR="00AD42AE">
        <w:t xml:space="preserve"> electricity service of $833 000</w:t>
      </w:r>
      <w:r>
        <w:t xml:space="preserve"> ($474 per capita).</w:t>
      </w:r>
      <w:r>
        <w:rPr>
          <w:rStyle w:val="FootnoteReference"/>
        </w:rPr>
        <w:footnoteReference w:id="46"/>
      </w:r>
      <w:r>
        <w:t xml:space="preserve"> </w:t>
      </w:r>
    </w:p>
    <w:p w14:paraId="4A449A24" w14:textId="77777777" w:rsidR="00C37DB0" w:rsidRDefault="00C37DB0" w:rsidP="001E4105">
      <w:pPr>
        <w:pStyle w:val="CGCNumberedPara"/>
        <w:tabs>
          <w:tab w:val="num" w:pos="567"/>
        </w:tabs>
      </w:pPr>
      <w:r>
        <w:t>There is no reticulated water supply on Norfolk. Households rely on rainwater tanks and</w:t>
      </w:r>
      <w:r w:rsidR="00312133">
        <w:t xml:space="preserve"> groundwater</w:t>
      </w:r>
      <w:r w:rsidR="00DD5DBE">
        <w:t>. Ac</w:t>
      </w:r>
      <w:r>
        <w:t>commodation facilities use a combination of rainwater tanks and underground water supplies.</w:t>
      </w:r>
      <w:r w:rsidR="007D4A45">
        <w:t xml:space="preserve"> NIRC</w:t>
      </w:r>
      <w:r>
        <w:t>, however, does have a water quality assurance process. Sewerage services are provided, but only to a subset of households</w:t>
      </w:r>
      <w:r w:rsidR="00312133">
        <w:t xml:space="preserve"> and accommodation facilities</w:t>
      </w:r>
      <w:r>
        <w:t>.</w:t>
      </w:r>
    </w:p>
    <w:p w14:paraId="44DA4167" w14:textId="77777777" w:rsidR="00C37DB0" w:rsidRDefault="00C37DB0" w:rsidP="001E4105">
      <w:pPr>
        <w:pStyle w:val="CGCNumberedPara"/>
        <w:tabs>
          <w:tab w:val="left" w:pos="720"/>
        </w:tabs>
      </w:pPr>
      <w:r>
        <w:t>The average cost of providing wastewater services to very remote communities in Australia is $373 per capita.</w:t>
      </w:r>
      <w:r>
        <w:rPr>
          <w:rStyle w:val="FootnoteReference"/>
        </w:rPr>
        <w:footnoteReference w:id="47"/>
      </w:r>
      <w:r>
        <w:t xml:space="preserve">  This is higher than the co</w:t>
      </w:r>
      <w:r w:rsidR="00592DC5">
        <w:t>st on Norfolk Island of $306 per </w:t>
      </w:r>
      <w:r>
        <w:t>capita in 2017-18. The lower expenses on Norfolk Island may be due to its relatively small wastewater pipe network that mainly services households and businesses in the main township. However, while that network is small, many very remote communities on the mainland are even smaller which increases their per capita costs.</w:t>
      </w:r>
    </w:p>
    <w:p w14:paraId="040BDC98" w14:textId="77777777" w:rsidR="00C37DB0" w:rsidRDefault="007D4A45" w:rsidP="001E4105">
      <w:pPr>
        <w:pStyle w:val="CGCNumberedPara"/>
        <w:tabs>
          <w:tab w:val="left" w:pos="720"/>
        </w:tabs>
      </w:pPr>
      <w:r>
        <w:t xml:space="preserve">NIRC </w:t>
      </w:r>
      <w:r w:rsidR="00C37DB0">
        <w:t xml:space="preserve">provides environmental protection services including the control of noxious plants and animals. However, most of the costs are funded </w:t>
      </w:r>
      <w:r w:rsidR="00192703">
        <w:t xml:space="preserve">by </w:t>
      </w:r>
      <w:r w:rsidR="008F4885">
        <w:t>the Department</w:t>
      </w:r>
      <w:r w:rsidR="00192703">
        <w:t xml:space="preserve"> </w:t>
      </w:r>
      <w:r w:rsidR="00C37DB0">
        <w:t xml:space="preserve">through a service delivery agreement for pest control. </w:t>
      </w:r>
      <w:r w:rsidR="008F4885">
        <w:t>The Department</w:t>
      </w:r>
      <w:r w:rsidR="00192703">
        <w:t xml:space="preserve"> </w:t>
      </w:r>
      <w:r w:rsidR="00C37DB0">
        <w:t>provided $286 000 in 2017-18 for these services.</w:t>
      </w:r>
    </w:p>
    <w:p w14:paraId="561A7455" w14:textId="77777777" w:rsidR="00C37DB0" w:rsidRDefault="00C37DB0" w:rsidP="00C37DB0">
      <w:pPr>
        <w:pStyle w:val="Heading4"/>
      </w:pPr>
      <w:bookmarkStart w:id="646" w:name="_Toc17380549"/>
      <w:bookmarkStart w:id="647" w:name="_Toc19263005"/>
      <w:bookmarkStart w:id="648" w:name="_Toc23847550"/>
      <w:r>
        <w:t>Assessed expenses for Norfolk Island services</w:t>
      </w:r>
      <w:bookmarkEnd w:id="646"/>
      <w:bookmarkEnd w:id="647"/>
      <w:bookmarkEnd w:id="648"/>
      <w:r>
        <w:t xml:space="preserve"> </w:t>
      </w:r>
    </w:p>
    <w:p w14:paraId="4FEDB4CC" w14:textId="77777777" w:rsidR="00AF14EA" w:rsidRPr="00257069" w:rsidRDefault="00C37DB0" w:rsidP="00257069">
      <w:pPr>
        <w:pStyle w:val="Heading5"/>
        <w:rPr>
          <w:rStyle w:val="Heading6Char"/>
          <w:b/>
          <w:i/>
          <w:iCs w:val="0"/>
        </w:rPr>
      </w:pPr>
      <w:r w:rsidRPr="00257069">
        <w:rPr>
          <w:rStyle w:val="Heading6Char"/>
          <w:b/>
          <w:i/>
          <w:iCs w:val="0"/>
        </w:rPr>
        <w:t>Electricity</w:t>
      </w:r>
    </w:p>
    <w:p w14:paraId="6D3DE0BB" w14:textId="77777777" w:rsidR="00C37DB0" w:rsidRDefault="00C37DB0" w:rsidP="001E4105">
      <w:pPr>
        <w:pStyle w:val="CGCNumberedPara"/>
        <w:tabs>
          <w:tab w:val="num" w:pos="567"/>
        </w:tabs>
      </w:pPr>
      <w:r>
        <w:t>Electricity retail prices have two components: usage charges priced by kWh, and a daily fixed charge. King Island, which is similar to Norfolk in many ways, had fixed charges of 89.3 cents per day in 2017-18. Norfolk Island’s fixed charges were similar, averaging 84.0 cents per day.</w:t>
      </w:r>
      <w:r>
        <w:rPr>
          <w:rStyle w:val="FootnoteReference"/>
        </w:rPr>
        <w:footnoteReference w:id="48"/>
      </w:r>
      <w:r>
        <w:t>.</w:t>
      </w:r>
    </w:p>
    <w:p w14:paraId="79E351FA" w14:textId="77777777" w:rsidR="00C37DB0" w:rsidRDefault="00C37DB0" w:rsidP="001E4105">
      <w:pPr>
        <w:pStyle w:val="CGCNumberedPara"/>
        <w:tabs>
          <w:tab w:val="num" w:pos="567"/>
        </w:tabs>
      </w:pPr>
      <w:r>
        <w:t>Retail electricity prices on Norfolk Island in 2017-18 (62 cents per kWh) were high compared to the national average of 30.2 cents.</w:t>
      </w:r>
      <w:r>
        <w:rPr>
          <w:rStyle w:val="FootnoteReference"/>
        </w:rPr>
        <w:footnoteReference w:id="49"/>
      </w:r>
      <w:r>
        <w:t xml:space="preserve"> The price on King Island was 27.8 cents per kWh, compared to a price of 25.9 cents per kWh in the rest of </w:t>
      </w:r>
      <w:r>
        <w:lastRenderedPageBreak/>
        <w:t>Tasmania.</w:t>
      </w:r>
      <w:r>
        <w:rPr>
          <w:rStyle w:val="FootnoteReference"/>
        </w:rPr>
        <w:footnoteReference w:id="50"/>
      </w:r>
      <w:r>
        <w:t xml:space="preserve"> King Island receives a subsidy that enables it to sell electricity at below cost prices.</w:t>
      </w:r>
      <w:r>
        <w:rPr>
          <w:rStyle w:val="FootnoteReference"/>
        </w:rPr>
        <w:footnoteReference w:id="51"/>
      </w:r>
    </w:p>
    <w:p w14:paraId="20CCE154" w14:textId="77777777" w:rsidR="00C37DB0" w:rsidRDefault="00C37DB0" w:rsidP="001E4105">
      <w:pPr>
        <w:pStyle w:val="CGCNumberedPara"/>
        <w:tabs>
          <w:tab w:val="num" w:pos="567"/>
        </w:tabs>
      </w:pPr>
      <w:r>
        <w:t>We derived an assessed subsidy for Norfolk as the amount per kWh required to reduce its price to that on King Island (34 cents per kWh) applied to Norfolk Island’s actual electricity consumption (5.5 mega Watt hours). This gave an assessed subsidy of $1.9 million in 2017-18.</w:t>
      </w:r>
    </w:p>
    <w:p w14:paraId="6EED1094" w14:textId="77777777" w:rsidR="00C37DB0" w:rsidRDefault="00C37DB0" w:rsidP="001E4105">
      <w:pPr>
        <w:pStyle w:val="CGCNumberedPara"/>
        <w:tabs>
          <w:tab w:val="num" w:pos="567"/>
        </w:tabs>
      </w:pPr>
      <w:r>
        <w:t>As the assessment uses actual electricity consumption to derive the subsidy allowance, a tourism factor is not applied. Nor were isolation and remoteness factors applied because King Island faces many similar factors.</w:t>
      </w:r>
    </w:p>
    <w:p w14:paraId="17A1FF65" w14:textId="77777777" w:rsidR="00AF14EA" w:rsidRPr="00257069" w:rsidRDefault="00C37DB0" w:rsidP="00257069">
      <w:pPr>
        <w:pStyle w:val="Heading5"/>
        <w:rPr>
          <w:rStyle w:val="Heading6Char"/>
          <w:b/>
          <w:i/>
          <w:iCs w:val="0"/>
        </w:rPr>
      </w:pPr>
      <w:r w:rsidRPr="00257069">
        <w:rPr>
          <w:rStyle w:val="Heading6Char"/>
          <w:b/>
          <w:i/>
          <w:iCs w:val="0"/>
        </w:rPr>
        <w:t>Water</w:t>
      </w:r>
    </w:p>
    <w:p w14:paraId="3CCF8275" w14:textId="77777777" w:rsidR="00C37DB0" w:rsidRDefault="00C37DB0" w:rsidP="001E4105">
      <w:pPr>
        <w:pStyle w:val="CGCNumberedPara"/>
        <w:tabs>
          <w:tab w:val="left" w:pos="720"/>
        </w:tabs>
      </w:pPr>
      <w:r>
        <w:t xml:space="preserve">We have treated Norfolk Island as a small, very remote community, as there are only a small number of sewerage connections (156 residential connections to private dwellings and 76 business </w:t>
      </w:r>
      <w:r w:rsidR="007D4A45">
        <w:t xml:space="preserve">NIRC </w:t>
      </w:r>
      <w:r>
        <w:t>connections). Furthermore, since the typical approach in the rest of Australia is to charge non</w:t>
      </w:r>
      <w:r>
        <w:noBreakHyphen/>
        <w:t>res</w:t>
      </w:r>
      <w:r w:rsidR="00B17B4A">
        <w:t>idential customers a cost</w:t>
      </w:r>
      <w:r w:rsidR="00B17B4A">
        <w:noBreakHyphen/>
      </w:r>
      <w:r>
        <w:t>reflective price, the assessment only considers residential connections.</w:t>
      </w:r>
    </w:p>
    <w:p w14:paraId="7FCCA841" w14:textId="77777777" w:rsidR="00C37DB0" w:rsidRDefault="00C37DB0" w:rsidP="001E4105">
      <w:pPr>
        <w:pStyle w:val="CGCNumberedPara"/>
        <w:tabs>
          <w:tab w:val="left" w:pos="720"/>
        </w:tabs>
      </w:pPr>
      <w:r>
        <w:t>The national average per capita cost of sewerage services in small, very remote communities obtained from the Commission’s State inquiries was multiplied by an estimate of the number of people on Norfolk Island living in residential dwellings with sewerage services.</w:t>
      </w:r>
      <w:r>
        <w:rPr>
          <w:rStyle w:val="FootnoteReference"/>
        </w:rPr>
        <w:footnoteReference w:id="52"/>
      </w:r>
      <w:r>
        <w:t xml:space="preserve"> </w:t>
      </w:r>
      <w:r w:rsidR="002650C0">
        <w:t>The assessed subsidy was $55 000</w:t>
      </w:r>
      <w:r>
        <w:t xml:space="preserve"> in 2017-18.</w:t>
      </w:r>
    </w:p>
    <w:p w14:paraId="695FB913" w14:textId="77777777" w:rsidR="00AF14EA" w:rsidRPr="00257069" w:rsidRDefault="00C37DB0" w:rsidP="00257069">
      <w:pPr>
        <w:pStyle w:val="Heading5"/>
        <w:rPr>
          <w:rStyle w:val="Heading6Char"/>
          <w:b/>
          <w:i/>
          <w:iCs w:val="0"/>
        </w:rPr>
      </w:pPr>
      <w:r w:rsidRPr="00257069">
        <w:rPr>
          <w:rStyle w:val="Heading6Char"/>
          <w:b/>
          <w:i/>
          <w:iCs w:val="0"/>
        </w:rPr>
        <w:t>Other community development</w:t>
      </w:r>
    </w:p>
    <w:p w14:paraId="184C0AA9" w14:textId="77777777" w:rsidR="00C37DB0" w:rsidRDefault="00C37DB0" w:rsidP="001E4105">
      <w:pPr>
        <w:pStyle w:val="CGCNumberedPara"/>
        <w:tabs>
          <w:tab w:val="left" w:pos="720"/>
        </w:tabs>
      </w:pPr>
      <w:r>
        <w:t>Assessed State-type community development expenses for Norfolk Island were estimated as the State average per capita net expenses for other community development, adjusted for remoteness and isolation, multiplied by the Island’s population. This gave assessed expenses of $</w:t>
      </w:r>
      <w:r w:rsidR="009C720C">
        <w:t>106 000</w:t>
      </w:r>
      <w:r>
        <w:t xml:space="preserve"> in 2017-18. </w:t>
      </w:r>
    </w:p>
    <w:p w14:paraId="3841B96E" w14:textId="77777777" w:rsidR="00C37DB0" w:rsidRDefault="00C37DB0" w:rsidP="001E4105">
      <w:pPr>
        <w:pStyle w:val="CGCNumberedPara"/>
        <w:tabs>
          <w:tab w:val="left" w:pos="720"/>
        </w:tabs>
      </w:pPr>
      <w:r>
        <w:t xml:space="preserve">Local governments also incur community development expenses. The assessment of those expenses is discussed in Attachment F on Local Government services. </w:t>
      </w:r>
    </w:p>
    <w:p w14:paraId="4C73881A" w14:textId="77777777" w:rsidR="00C37DB0" w:rsidRPr="00257069" w:rsidRDefault="00C37DB0" w:rsidP="00257069">
      <w:pPr>
        <w:pStyle w:val="Heading5"/>
      </w:pPr>
      <w:r w:rsidRPr="00257069">
        <w:lastRenderedPageBreak/>
        <w:t>Environmental protection</w:t>
      </w:r>
    </w:p>
    <w:p w14:paraId="073930CE" w14:textId="77777777" w:rsidR="00C37DB0" w:rsidRDefault="00C37DB0" w:rsidP="001E4105">
      <w:pPr>
        <w:pStyle w:val="CGCNumberedPara"/>
        <w:tabs>
          <w:tab w:val="left" w:pos="720"/>
        </w:tabs>
      </w:pPr>
      <w:r>
        <w:t>For States, this component includes national parks</w:t>
      </w:r>
      <w:r w:rsidR="00312133">
        <w:t xml:space="preserve"> and environmental protection authority, for example the NSW Environment Protection Authority</w:t>
      </w:r>
      <w:r>
        <w:t>. However, the Commonwealth is responsible for the only national park on Norfolk Island. State expenses on national parks were, therefore, excluded from the assessment. That assessment applied the State average per capita net expense for environmental protec</w:t>
      </w:r>
      <w:r w:rsidR="00CA1A2D">
        <w:t xml:space="preserve">tion (excluding national parks), </w:t>
      </w:r>
      <w:r>
        <w:t>adjusted for remoteness and isolation to the Island’s population. This produced assessed expenses of $</w:t>
      </w:r>
      <w:r w:rsidR="006C6A48">
        <w:t>92 000</w:t>
      </w:r>
      <w:r>
        <w:t xml:space="preserve"> in 2017-18.</w:t>
      </w:r>
    </w:p>
    <w:p w14:paraId="3811FCC5" w14:textId="77777777" w:rsidR="00C37DB0" w:rsidRDefault="00C37DB0" w:rsidP="001E4105">
      <w:pPr>
        <w:pStyle w:val="CGCNumberedPara"/>
        <w:tabs>
          <w:tab w:val="left" w:pos="720"/>
        </w:tabs>
      </w:pPr>
      <w:r>
        <w:t xml:space="preserve">Local governments also provide environmental </w:t>
      </w:r>
      <w:r w:rsidR="0032725B">
        <w:t xml:space="preserve">management </w:t>
      </w:r>
      <w:r>
        <w:t>services such as waste disposal. The assessment of those expenses is discussed in Attachment F on Local Government services.</w:t>
      </w:r>
    </w:p>
    <w:p w14:paraId="251AD24E" w14:textId="77777777" w:rsidR="00C37DB0" w:rsidRDefault="00C37DB0" w:rsidP="00C37DB0">
      <w:pPr>
        <w:pStyle w:val="Heading3"/>
      </w:pPr>
      <w:bookmarkStart w:id="649" w:name="_Toc17380550"/>
      <w:bookmarkStart w:id="650" w:name="_Toc19263006"/>
      <w:bookmarkStart w:id="651" w:name="_Toc23847551"/>
      <w:r>
        <w:t>Transport</w:t>
      </w:r>
      <w:bookmarkEnd w:id="649"/>
      <w:bookmarkEnd w:id="650"/>
      <w:bookmarkEnd w:id="651"/>
    </w:p>
    <w:p w14:paraId="1102D1C8" w14:textId="77777777" w:rsidR="00C37DB0" w:rsidRDefault="007D4A45" w:rsidP="001E4105">
      <w:pPr>
        <w:pStyle w:val="CGCNumberedPara"/>
        <w:tabs>
          <w:tab w:val="num" w:pos="567"/>
        </w:tabs>
      </w:pPr>
      <w:r>
        <w:t xml:space="preserve">NIRC </w:t>
      </w:r>
      <w:r w:rsidR="00C37DB0">
        <w:t xml:space="preserve">operates the Island’s </w:t>
      </w:r>
      <w:r w:rsidR="0032725B">
        <w:t xml:space="preserve">three </w:t>
      </w:r>
      <w:r w:rsidR="00C37DB0">
        <w:t>ports and the lighterage services</w:t>
      </w:r>
      <w:r w:rsidR="0032725B">
        <w:t xml:space="preserve"> at two of the ports</w:t>
      </w:r>
      <w:r w:rsidR="00C37DB0">
        <w:t xml:space="preserve"> for the loading and unloading of sea freight under a service delivery agree</w:t>
      </w:r>
      <w:r w:rsidR="003105F3">
        <w:t xml:space="preserve">ment with </w:t>
      </w:r>
      <w:r w:rsidR="008F4885">
        <w:t>the Department</w:t>
      </w:r>
      <w:r w:rsidR="00C37DB0">
        <w:t xml:space="preserve">.  </w:t>
      </w:r>
    </w:p>
    <w:p w14:paraId="34369829" w14:textId="77777777" w:rsidR="00C37DB0" w:rsidRDefault="00C37DB0" w:rsidP="001E4105">
      <w:pPr>
        <w:pStyle w:val="CGCNumberedPara"/>
        <w:tabs>
          <w:tab w:val="num" w:pos="567"/>
        </w:tabs>
      </w:pPr>
      <w:r>
        <w:t>States have either sold or corporatised their ports. So, there is generally no impact on State budgets as the ports they retained are operated on a full cost recovery basis.</w:t>
      </w:r>
    </w:p>
    <w:p w14:paraId="2D7820B5" w14:textId="77777777" w:rsidR="00C37DB0" w:rsidRDefault="00C37DB0" w:rsidP="001E4105">
      <w:pPr>
        <w:pStyle w:val="CGCNumberedPara"/>
        <w:tabs>
          <w:tab w:val="num" w:pos="567"/>
        </w:tabs>
      </w:pPr>
      <w:r>
        <w:t xml:space="preserve">States or their authorities also provide a range of urban transport services, non-urban transport services and State-type roads. However, there is no requirement for similar activities on Norfolk given its small township and isolated characteristics. </w:t>
      </w:r>
    </w:p>
    <w:p w14:paraId="748B81FD" w14:textId="77777777" w:rsidR="00C37DB0" w:rsidRDefault="00C37DB0" w:rsidP="001E4105">
      <w:pPr>
        <w:pStyle w:val="CGCNumberedPara"/>
        <w:tabs>
          <w:tab w:val="num" w:pos="567"/>
        </w:tabs>
      </w:pPr>
      <w:r>
        <w:t>All roads on Norfolk are classified as local roads. The assessment of the related expenses is discussed in Attachment F on Local Government services.</w:t>
      </w:r>
    </w:p>
    <w:p w14:paraId="2706B6A1" w14:textId="77777777" w:rsidR="00C37DB0" w:rsidRDefault="00C37DB0" w:rsidP="00C37DB0">
      <w:pPr>
        <w:pStyle w:val="Heading4"/>
      </w:pPr>
      <w:bookmarkStart w:id="652" w:name="_Toc12874252"/>
      <w:bookmarkStart w:id="653" w:name="_Toc17380551"/>
      <w:bookmarkStart w:id="654" w:name="_Toc19263007"/>
      <w:bookmarkStart w:id="655" w:name="_Toc23847552"/>
      <w:r>
        <w:t>Commonwealth activities relating to transport</w:t>
      </w:r>
      <w:bookmarkEnd w:id="652"/>
      <w:bookmarkEnd w:id="653"/>
      <w:bookmarkEnd w:id="654"/>
      <w:bookmarkEnd w:id="655"/>
    </w:p>
    <w:p w14:paraId="479911BC" w14:textId="77777777" w:rsidR="00C37DB0" w:rsidRDefault="00C37DB0" w:rsidP="001E4105">
      <w:pPr>
        <w:pStyle w:val="CGCNumberedPara"/>
        <w:tabs>
          <w:tab w:val="left" w:pos="720"/>
        </w:tabs>
      </w:pPr>
      <w:r>
        <w:t>The Commonwealth’s actions relating to transport for Norfolk Island include:</w:t>
      </w:r>
    </w:p>
    <w:p w14:paraId="564A2B91" w14:textId="77777777" w:rsidR="00C37DB0" w:rsidRPr="003D27C2" w:rsidRDefault="00C37DB0" w:rsidP="003D27C2">
      <w:pPr>
        <w:pStyle w:val="CGCBulletlist"/>
        <w:numPr>
          <w:ilvl w:val="0"/>
          <w:numId w:val="15"/>
        </w:numPr>
      </w:pPr>
      <w:r>
        <w:t xml:space="preserve">the </w:t>
      </w:r>
      <w:r w:rsidRPr="003D27C2">
        <w:t xml:space="preserve">Department </w:t>
      </w:r>
      <w:r w:rsidR="0032725B">
        <w:t>underwrite</w:t>
      </w:r>
      <w:r w:rsidR="0032725B" w:rsidRPr="003D27C2">
        <w:t xml:space="preserve">s </w:t>
      </w:r>
      <w:r w:rsidRPr="003D27C2">
        <w:t xml:space="preserve">regular passenger air flights to and from Sydney and Brisbane, analogous with subsides on about 100 air routes in other parts of Australia </w:t>
      </w:r>
    </w:p>
    <w:p w14:paraId="76764472" w14:textId="77777777" w:rsidR="00C37DB0" w:rsidRPr="003D27C2" w:rsidRDefault="00C37DB0" w:rsidP="003D27C2">
      <w:pPr>
        <w:pStyle w:val="CGCBulletlist"/>
      </w:pPr>
      <w:r w:rsidRPr="003D27C2">
        <w:t>the Department funded some freight flights to Norfolk in 2017 and 2018</w:t>
      </w:r>
    </w:p>
    <w:p w14:paraId="322CC366" w14:textId="77777777" w:rsidR="00C37DB0" w:rsidRPr="003D27C2" w:rsidRDefault="00C37DB0" w:rsidP="003D27C2">
      <w:pPr>
        <w:pStyle w:val="CGCBulletlist"/>
      </w:pPr>
      <w:r w:rsidRPr="003D27C2">
        <w:t xml:space="preserve">the Commonwealth has written-off a loan for the last </w:t>
      </w:r>
      <w:r w:rsidR="003D27C2">
        <w:t>repaving</w:t>
      </w:r>
      <w:r w:rsidRPr="003D27C2">
        <w:t xml:space="preserve"> of the airport runway and has agreed to provide a substantial grant for the next runway </w:t>
      </w:r>
      <w:r w:rsidR="003D27C2">
        <w:t>repaving</w:t>
      </w:r>
    </w:p>
    <w:p w14:paraId="7A50EECD" w14:textId="77777777" w:rsidR="00C37DB0" w:rsidRDefault="00C37DB0" w:rsidP="003D27C2">
      <w:pPr>
        <w:pStyle w:val="CGCBulletlist"/>
      </w:pPr>
      <w:r w:rsidRPr="003D27C2">
        <w:t xml:space="preserve">the Commonwealth funded upgrading of the Cascade Pier and the acquisition of passenger transfer vessels to assist freight operations and assist cruise ship passengers </w:t>
      </w:r>
      <w:r w:rsidR="00CA1A2D">
        <w:t xml:space="preserve">to </w:t>
      </w:r>
      <w:r w:rsidRPr="003D27C2">
        <w:t>visit the Island</w:t>
      </w:r>
      <w:r>
        <w:t xml:space="preserve">. </w:t>
      </w:r>
    </w:p>
    <w:p w14:paraId="0DE62B02" w14:textId="77777777" w:rsidR="00C37DB0" w:rsidRDefault="00C37DB0" w:rsidP="00C37DB0">
      <w:pPr>
        <w:pStyle w:val="Heading4"/>
      </w:pPr>
      <w:bookmarkStart w:id="656" w:name="_Toc17380552"/>
      <w:bookmarkStart w:id="657" w:name="_Toc19263008"/>
      <w:bookmarkStart w:id="658" w:name="_Toc23847553"/>
      <w:r>
        <w:lastRenderedPageBreak/>
        <w:t>Assessed expenses for Norfolk Island services</w:t>
      </w:r>
      <w:bookmarkEnd w:id="656"/>
      <w:bookmarkEnd w:id="657"/>
      <w:bookmarkEnd w:id="658"/>
      <w:r>
        <w:t xml:space="preserve"> </w:t>
      </w:r>
    </w:p>
    <w:p w14:paraId="520C9B01" w14:textId="77777777" w:rsidR="00C37DB0" w:rsidRDefault="00C37DB0" w:rsidP="001E4105">
      <w:pPr>
        <w:pStyle w:val="CGCNumberedPara"/>
        <w:tabs>
          <w:tab w:val="left" w:pos="720"/>
        </w:tabs>
      </w:pPr>
      <w:r>
        <w:t>Given the lack of comparability of Norfolk Island transport operations with those in the States, we made a nil assessment</w:t>
      </w:r>
      <w:r w:rsidR="00F93759">
        <w:t xml:space="preserve"> for</w:t>
      </w:r>
      <w:r>
        <w:t xml:space="preserve"> land transport. Sea ports have been assessed at the actual per capita cost, of $495 000 in 2017-18. </w:t>
      </w:r>
    </w:p>
    <w:p w14:paraId="48A366CE" w14:textId="77777777" w:rsidR="00C37DB0" w:rsidRDefault="00C37DB0" w:rsidP="00C37DB0">
      <w:pPr>
        <w:pStyle w:val="Heading3"/>
      </w:pPr>
      <w:bookmarkStart w:id="659" w:name="_Toc17380553"/>
      <w:bookmarkStart w:id="660" w:name="_Toc19263009"/>
      <w:bookmarkStart w:id="661" w:name="_Toc23847554"/>
      <w:r>
        <w:t>Services to industry</w:t>
      </w:r>
      <w:bookmarkEnd w:id="659"/>
      <w:bookmarkEnd w:id="660"/>
      <w:bookmarkEnd w:id="661"/>
    </w:p>
    <w:p w14:paraId="3FABC6D3" w14:textId="77777777" w:rsidR="00C37DB0" w:rsidRDefault="00C37DB0" w:rsidP="00C37DB0">
      <w:pPr>
        <w:pStyle w:val="Heading4"/>
        <w:rPr>
          <w:rFonts w:eastAsia="Times New Roman"/>
        </w:rPr>
      </w:pPr>
      <w:bookmarkStart w:id="662" w:name="_Toc17380554"/>
      <w:bookmarkStart w:id="663" w:name="_Toc19263010"/>
      <w:bookmarkStart w:id="664" w:name="_Toc23847555"/>
      <w:r>
        <w:rPr>
          <w:rFonts w:eastAsia="Times New Roman"/>
        </w:rPr>
        <w:t>State service delivery and funding arrangements</w:t>
      </w:r>
      <w:bookmarkEnd w:id="662"/>
      <w:bookmarkEnd w:id="663"/>
      <w:bookmarkEnd w:id="664"/>
    </w:p>
    <w:p w14:paraId="3BF76C43" w14:textId="77777777" w:rsidR="00C37DB0" w:rsidRDefault="00C37DB0" w:rsidP="001E4105">
      <w:pPr>
        <w:pStyle w:val="CGCNumberedPara"/>
        <w:tabs>
          <w:tab w:val="num" w:pos="567"/>
        </w:tabs>
      </w:pPr>
      <w:r>
        <w:t>The States spent $6 billion on services to industry in 2017</w:t>
      </w:r>
      <w:r>
        <w:noBreakHyphen/>
        <w:t>18, representing 3% of their total expenses. This category includes State expenses on the regulation and development of businesses and industries, and other economic affairs. Some spending relates to specific industries including agriculture, forestry, mining, manufacturing, tourism and construction. Other spending relates to all businesses, or to consumers.</w:t>
      </w:r>
    </w:p>
    <w:p w14:paraId="1E01177D" w14:textId="77777777" w:rsidR="00C37DB0" w:rsidRPr="00596317" w:rsidRDefault="00C37DB0" w:rsidP="00596317">
      <w:pPr>
        <w:pStyle w:val="CGCBulletlist"/>
        <w:numPr>
          <w:ilvl w:val="0"/>
          <w:numId w:val="15"/>
        </w:numPr>
      </w:pPr>
      <w:r>
        <w:t xml:space="preserve">Regulatory </w:t>
      </w:r>
      <w:r w:rsidRPr="00596317">
        <w:t>functions include business registration, licensing of tradespeople, livestock identification schemes, chemical and pesticide regulation, building codes and construction industry regulation, energy market regulation, product safety, workplace health and safety, consumer protection, mine safety, industrial relations and employment conditions, and shop trading hours.</w:t>
      </w:r>
    </w:p>
    <w:p w14:paraId="2AEEE563" w14:textId="77777777" w:rsidR="00C37DB0" w:rsidRDefault="00C37DB0" w:rsidP="00596317">
      <w:pPr>
        <w:pStyle w:val="CGCBulletlist"/>
      </w:pPr>
      <w:r w:rsidRPr="00596317">
        <w:t>Business development activities include mineral exploration, geological mapping, agricultural irrigation systems, tourism and trade promotion, marketing, and industry</w:t>
      </w:r>
      <w:r>
        <w:t xml:space="preserve"> research and development.</w:t>
      </w:r>
    </w:p>
    <w:p w14:paraId="29E2CBAD" w14:textId="77777777" w:rsidR="00C37DB0" w:rsidRDefault="00C37DB0" w:rsidP="001E4105">
      <w:pPr>
        <w:pStyle w:val="CGCNumberedPara"/>
        <w:tabs>
          <w:tab w:val="num" w:pos="567"/>
        </w:tabs>
      </w:pPr>
      <w:r>
        <w:t>All States:</w:t>
      </w:r>
    </w:p>
    <w:p w14:paraId="7CAC74F9" w14:textId="77777777" w:rsidR="00C37DB0" w:rsidRPr="00C11A0C" w:rsidRDefault="00C37DB0" w:rsidP="00C11A0C">
      <w:pPr>
        <w:pStyle w:val="CGCBulletlist"/>
        <w:numPr>
          <w:ilvl w:val="0"/>
          <w:numId w:val="15"/>
        </w:numPr>
      </w:pPr>
      <w:r>
        <w:t xml:space="preserve">provide a similar range of services for their agriculture, forestry, fishing and hunting </w:t>
      </w:r>
      <w:r w:rsidRPr="00596317">
        <w:t xml:space="preserve">industries, mining and other regulatory functions, including biosecurity, animal </w:t>
      </w:r>
      <w:r w:rsidRPr="00C11A0C">
        <w:t>welfare, regulation of agriculture and veterinary chemicals, water resource management and mining regulation</w:t>
      </w:r>
    </w:p>
    <w:p w14:paraId="7F107F72" w14:textId="77777777" w:rsidR="00C37DB0" w:rsidRPr="00C11A0C" w:rsidRDefault="00C37DB0" w:rsidP="00C11A0C">
      <w:pPr>
        <w:pStyle w:val="CGCBulletlist"/>
      </w:pPr>
      <w:r w:rsidRPr="00C11A0C">
        <w:t xml:space="preserve">engage in activities to promote employment and economic growth. Some programs target businesses, while others support particular industries or regions. Activities include investment and trade promotion, regional development programs, major project facilitation, skills development, job creation projects, funding for research and development and support for small businesses </w:t>
      </w:r>
    </w:p>
    <w:p w14:paraId="36F63685" w14:textId="77777777" w:rsidR="00C37DB0" w:rsidRDefault="00C37DB0" w:rsidP="00C11A0C">
      <w:pPr>
        <w:pStyle w:val="CGCBulletlist"/>
      </w:pPr>
      <w:r w:rsidRPr="00C11A0C">
        <w:t>have a geological</w:t>
      </w:r>
      <w:r w:rsidRPr="00596317">
        <w:t xml:space="preserve"> survey office  to support and promote exploration and land use planning. Most States</w:t>
      </w:r>
      <w:r>
        <w:t xml:space="preserve"> also offer mineral exploration grants to support the discovery of new resources and develop their mining industries.</w:t>
      </w:r>
    </w:p>
    <w:p w14:paraId="1E965AC5" w14:textId="77777777" w:rsidR="00C37DB0" w:rsidRDefault="00C37DB0" w:rsidP="001E4105">
      <w:pPr>
        <w:pStyle w:val="CGCNumberedPara"/>
        <w:tabs>
          <w:tab w:val="num" w:pos="567"/>
        </w:tabs>
      </w:pPr>
      <w:r>
        <w:t xml:space="preserve">States recover the cost of some regulation activities through fees and charges, which were $1 billion in 2017-18, equivalent to 14% of gross Services to industry expenses. Those user charges include revenue from regulatory functions such as: licensing and </w:t>
      </w:r>
      <w:r>
        <w:lastRenderedPageBreak/>
        <w:t>permit fees; soil, plant or animal testing; mine safety and site rehabilitation; chemical and pesticide regulation; and construction building regulations.</w:t>
      </w:r>
    </w:p>
    <w:p w14:paraId="0924F1DD" w14:textId="77777777" w:rsidR="00C37DB0" w:rsidRDefault="00C37DB0" w:rsidP="001E4105">
      <w:pPr>
        <w:pStyle w:val="CGCNumberedPara"/>
        <w:tabs>
          <w:tab w:val="num" w:pos="567"/>
        </w:tabs>
      </w:pPr>
      <w:r>
        <w:t>The Commonwealth provides funding to States for services to industry programs through National Partnership Payments and provides direct assistance to businesses, industry and local government through a variety of programs.</w:t>
      </w:r>
    </w:p>
    <w:p w14:paraId="695F6AE6" w14:textId="77777777" w:rsidR="00C37DB0" w:rsidRDefault="00C37DB0" w:rsidP="00C37DB0">
      <w:pPr>
        <w:pStyle w:val="Heading4"/>
        <w:rPr>
          <w:rFonts w:eastAsia="Times New Roman"/>
        </w:rPr>
      </w:pPr>
      <w:bookmarkStart w:id="665" w:name="_Toc17380555"/>
      <w:bookmarkStart w:id="666" w:name="_Toc19263011"/>
      <w:bookmarkStart w:id="667" w:name="_Toc23847556"/>
      <w:r>
        <w:rPr>
          <w:rFonts w:eastAsia="Times New Roman"/>
        </w:rPr>
        <w:t>Norfolk Island service and funding arrangements</w:t>
      </w:r>
      <w:bookmarkEnd w:id="665"/>
      <w:bookmarkEnd w:id="666"/>
      <w:bookmarkEnd w:id="667"/>
    </w:p>
    <w:p w14:paraId="0C94DB90" w14:textId="77777777" w:rsidR="00C37DB0" w:rsidRDefault="00C37DB0" w:rsidP="001E4105">
      <w:pPr>
        <w:pStyle w:val="CGCNumberedPara"/>
        <w:tabs>
          <w:tab w:val="num" w:pos="567"/>
        </w:tabs>
      </w:pPr>
      <w:r>
        <w:t xml:space="preserve">Most services to industry on Norfolk Island are directed towards the tourism industry, which is the major industry on the Island. To support the tourism industry, </w:t>
      </w:r>
      <w:r w:rsidR="00564CA5">
        <w:t>NIRC</w:t>
      </w:r>
      <w:r>
        <w:t xml:space="preserve"> operates a Visitor Information Centre and has engaged Unique Tourism Collection as its marketing agent, has a presence on the Tourism Australia website and conducts a variety of other promotional activities. </w:t>
      </w:r>
      <w:r w:rsidR="00564CA5">
        <w:t xml:space="preserve">NIRC </w:t>
      </w:r>
      <w:r>
        <w:t>has also engaged a consultant to provide other economic development services.</w:t>
      </w:r>
    </w:p>
    <w:p w14:paraId="45B7ED44" w14:textId="77777777" w:rsidR="00C37DB0" w:rsidRDefault="00C37DB0" w:rsidP="001E4105">
      <w:pPr>
        <w:pStyle w:val="CGCNumberedPara"/>
        <w:tabs>
          <w:tab w:val="num" w:pos="567"/>
        </w:tabs>
      </w:pPr>
      <w:r>
        <w:t>The Commonwealth has agreed to provide $776 000 over 2018-19 and 2019-20 to help with tourism marketing. Norfolk Island has also been included in the Regional Development Australia program</w:t>
      </w:r>
      <w:r>
        <w:rPr>
          <w:rStyle w:val="FootnoteReference"/>
        </w:rPr>
        <w:footnoteReference w:id="53"/>
      </w:r>
      <w:r>
        <w:t xml:space="preserve"> and </w:t>
      </w:r>
      <w:r w:rsidR="00752A82">
        <w:t>the Department</w:t>
      </w:r>
      <w:r w:rsidR="00564CA5">
        <w:t xml:space="preserve"> </w:t>
      </w:r>
      <w:r>
        <w:t xml:space="preserve">has engaged a regional investment officer to work with Norfolk Island businesses and </w:t>
      </w:r>
      <w:r w:rsidR="00564CA5">
        <w:t xml:space="preserve">NIRC </w:t>
      </w:r>
      <w:r>
        <w:t>to attract investment and grow the Island’s economy.</w:t>
      </w:r>
    </w:p>
    <w:p w14:paraId="3C162E42" w14:textId="77777777" w:rsidR="00C37DB0" w:rsidRDefault="00C37DB0" w:rsidP="001E4105">
      <w:pPr>
        <w:pStyle w:val="CGCNumberedPara"/>
        <w:tabs>
          <w:tab w:val="num" w:pos="567"/>
        </w:tabs>
      </w:pPr>
      <w:r>
        <w:t>Many of the Services to industry category functions undertaken by States, including agriculture and mining regulation, are not necessary on Norfolk Island, or occur on a very small scale.</w:t>
      </w:r>
    </w:p>
    <w:p w14:paraId="39F96AAD" w14:textId="77777777" w:rsidR="00C37DB0" w:rsidRDefault="00C37DB0" w:rsidP="00C37DB0">
      <w:pPr>
        <w:pStyle w:val="Heading4"/>
      </w:pPr>
      <w:bookmarkStart w:id="668" w:name="_Toc17380556"/>
      <w:bookmarkStart w:id="669" w:name="_Toc19263012"/>
      <w:bookmarkStart w:id="670" w:name="_Toc23847557"/>
      <w:bookmarkStart w:id="671" w:name="_Ref14868531"/>
      <w:bookmarkStart w:id="672" w:name="_Ref14870276"/>
      <w:r>
        <w:t>Assessed expenses for Norfolk Island services</w:t>
      </w:r>
      <w:bookmarkEnd w:id="668"/>
      <w:bookmarkEnd w:id="669"/>
      <w:bookmarkEnd w:id="670"/>
      <w:r>
        <w:t xml:space="preserve"> </w:t>
      </w:r>
    </w:p>
    <w:p w14:paraId="307E3A60" w14:textId="77777777" w:rsidR="00C37DB0" w:rsidRDefault="00C37DB0" w:rsidP="001E4105">
      <w:pPr>
        <w:pStyle w:val="CGCNumberedPara"/>
        <w:tabs>
          <w:tab w:val="num" w:pos="567"/>
        </w:tabs>
      </w:pPr>
      <w:r>
        <w:t>The assessed expenses for Services to industry were derived in three components for: tourism; non-tourist industry development; and non-tourist industry regulation.</w:t>
      </w:r>
    </w:p>
    <w:p w14:paraId="7592524F" w14:textId="77777777" w:rsidR="00793798" w:rsidRPr="00793798" w:rsidRDefault="00C37DB0" w:rsidP="00793798">
      <w:pPr>
        <w:pStyle w:val="Heading5"/>
        <w:rPr>
          <w:rStyle w:val="Heading6Char"/>
          <w:b/>
          <w:i/>
          <w:iCs w:val="0"/>
        </w:rPr>
      </w:pPr>
      <w:r w:rsidRPr="00793798">
        <w:rPr>
          <w:rStyle w:val="Heading6Char"/>
          <w:b/>
          <w:i/>
          <w:iCs w:val="0"/>
        </w:rPr>
        <w:t>Tourism</w:t>
      </w:r>
    </w:p>
    <w:p w14:paraId="096C8DF3" w14:textId="77777777" w:rsidR="00C37DB0" w:rsidRDefault="00C37DB0" w:rsidP="001E4105">
      <w:pPr>
        <w:pStyle w:val="CGCNumberedPara"/>
        <w:tabs>
          <w:tab w:val="num" w:pos="567"/>
        </w:tabs>
      </w:pPr>
      <w:r>
        <w:t>The tourism industry is a much more important industry on Norfolk Island than in the rest of Australia. In 2017-18, about 18% of State Services to industry expenses were devoted to tourism and 82% on other industries.</w:t>
      </w:r>
      <w:bookmarkStart w:id="673" w:name="_Ref14870047"/>
      <w:r>
        <w:t xml:space="preserve"> </w:t>
      </w:r>
    </w:p>
    <w:p w14:paraId="248E5076" w14:textId="77777777" w:rsidR="00C37DB0" w:rsidRPr="00793798" w:rsidRDefault="00C37DB0" w:rsidP="001E4105">
      <w:pPr>
        <w:pStyle w:val="CGCNumberedPara"/>
        <w:tabs>
          <w:tab w:val="num" w:pos="567"/>
        </w:tabs>
        <w:rPr>
          <w:rStyle w:val="Hyperlink"/>
          <w:color w:val="auto"/>
        </w:rPr>
      </w:pPr>
      <w:r w:rsidRPr="00793798">
        <w:t>On Norfolk Island, tourism and related industries employed 22.6% of employed people aged 15 years and over.</w:t>
      </w:r>
      <w:r w:rsidRPr="00793798">
        <w:rPr>
          <w:rStyle w:val="FootnoteReference"/>
        </w:rPr>
        <w:footnoteReference w:id="54"/>
      </w:r>
      <w:r w:rsidRPr="00793798">
        <w:t xml:space="preserve"> The corresponding share for Australian States was only 3.8%. This implies that tourism is about six times more important than the State average. </w:t>
      </w:r>
      <w:bookmarkEnd w:id="673"/>
    </w:p>
    <w:p w14:paraId="02B186A7" w14:textId="77777777" w:rsidR="00C37DB0" w:rsidRDefault="00C37DB0" w:rsidP="001E4105">
      <w:pPr>
        <w:pStyle w:val="CGCNumberedPara"/>
        <w:tabs>
          <w:tab w:val="num" w:pos="567"/>
        </w:tabs>
      </w:pPr>
      <w:r>
        <w:lastRenderedPageBreak/>
        <w:t>Assessed expenses for tourism were based on the estimated cost of running a State tourism office with associated tourism promotion programs and a local government visitor information centre. The activities of State and local government tourism staff include tourism strategy development; tourism promotion through print, television and social media; local business support to develop tourism offerings and enhance service standards; event management; website development and maintenance; and visitor centre staffing. Our estimate of the cost of such activities for No</w:t>
      </w:r>
      <w:r w:rsidR="00684209">
        <w:t>rfolk Island included staffing costs (nine</w:t>
      </w:r>
      <w:r>
        <w:t xml:space="preserve"> full-time equivalent staff) and on</w:t>
      </w:r>
      <w:r>
        <w:noBreakHyphen/>
        <w:t>costs including contracted tourism promotion services.</w:t>
      </w:r>
      <w:r w:rsidR="009C3E37">
        <w:t xml:space="preserve"> This level of staffing is similar to that provided by like jurisdictions.</w:t>
      </w:r>
      <w:r w:rsidR="00A206A3">
        <w:t xml:space="preserve"> </w:t>
      </w:r>
      <w:r w:rsidR="00A206A3">
        <w:rPr>
          <w:rStyle w:val="FootnoteReference"/>
        </w:rPr>
        <w:footnoteReference w:id="55"/>
      </w:r>
      <w:r w:rsidR="009C3E37">
        <w:t xml:space="preserve"> </w:t>
      </w:r>
    </w:p>
    <w:p w14:paraId="6F876897" w14:textId="77777777" w:rsidR="00C37DB0" w:rsidRDefault="00C37DB0" w:rsidP="001E4105">
      <w:pPr>
        <w:pStyle w:val="CGCNumberedPara"/>
        <w:tabs>
          <w:tab w:val="num" w:pos="567"/>
        </w:tabs>
      </w:pPr>
      <w:r>
        <w:t xml:space="preserve">This </w:t>
      </w:r>
      <w:r w:rsidR="003F078E">
        <w:t>gave an assessed expense of $2.2</w:t>
      </w:r>
      <w:r>
        <w:t> million in 2017-18, which we split between State and local government-type services using a ratio of 68:32. That split was based on the amount of total tourism spending by State and local government obtained from the Australian Bureau of Statistics.</w:t>
      </w:r>
      <w:r w:rsidR="00E26D52">
        <w:t xml:space="preserve"> The tourism State-type assessment was therefore $1.5 million in 2017-18.</w:t>
      </w:r>
    </w:p>
    <w:p w14:paraId="38C46457" w14:textId="77777777" w:rsidR="00793798" w:rsidRPr="00793798" w:rsidRDefault="00C37DB0" w:rsidP="00793798">
      <w:pPr>
        <w:pStyle w:val="Heading5"/>
        <w:rPr>
          <w:rStyle w:val="Heading6Char"/>
          <w:b/>
          <w:i/>
          <w:iCs w:val="0"/>
        </w:rPr>
      </w:pPr>
      <w:r w:rsidRPr="00793798">
        <w:rPr>
          <w:rStyle w:val="Heading6Char"/>
          <w:b/>
          <w:i/>
          <w:iCs w:val="0"/>
        </w:rPr>
        <w:t>Non-tourist industry development costs</w:t>
      </w:r>
    </w:p>
    <w:p w14:paraId="614A3558" w14:textId="77777777" w:rsidR="00C37DB0" w:rsidRDefault="00C37DB0" w:rsidP="001E4105">
      <w:pPr>
        <w:pStyle w:val="CGCNumberedPara"/>
        <w:tabs>
          <w:tab w:val="num" w:pos="567"/>
        </w:tabs>
      </w:pPr>
      <w:r>
        <w:t>Australian average per capita expenses were used as the base for the assessment. Adjustments were made to allow for the effects of Norfolk Island’s remoteness and the extra costs arising from its isolated island nature. The resulta</w:t>
      </w:r>
      <w:r w:rsidR="00553227">
        <w:t>nt assessed expense was $229 000</w:t>
      </w:r>
      <w:r>
        <w:t xml:space="preserve"> in 2017-18.</w:t>
      </w:r>
    </w:p>
    <w:p w14:paraId="76ED65B4" w14:textId="77777777" w:rsidR="00793798" w:rsidRPr="00793798" w:rsidRDefault="00C37DB0" w:rsidP="00793798">
      <w:pPr>
        <w:pStyle w:val="Heading5"/>
        <w:rPr>
          <w:rStyle w:val="Heading6Char"/>
          <w:b/>
          <w:i/>
          <w:iCs w:val="0"/>
        </w:rPr>
      </w:pPr>
      <w:r w:rsidRPr="00793798">
        <w:rPr>
          <w:rStyle w:val="Heading6Char"/>
          <w:b/>
          <w:i/>
          <w:iCs w:val="0"/>
        </w:rPr>
        <w:t>Non-tourist industry regulation costs</w:t>
      </w:r>
    </w:p>
    <w:p w14:paraId="0C63AA72" w14:textId="77777777" w:rsidR="00C37DB0" w:rsidRDefault="00C37DB0" w:rsidP="001E4105">
      <w:pPr>
        <w:pStyle w:val="CGCNumberedPara"/>
        <w:tabs>
          <w:tab w:val="num" w:pos="567"/>
        </w:tabs>
      </w:pPr>
      <w:r>
        <w:t>The ACT’s regulation expenses per capita for all industry regulation were used as the base for this component, as the ACT is the jurisdiction with the most comparable non</w:t>
      </w:r>
      <w:r>
        <w:noBreakHyphen/>
        <w:t>tourism industrial composition. Like Norfolk Island, it has no mining or heavy industry and limited agriculture. Remoteness and isolation adjustments were also applied. This gave a cost estimate of</w:t>
      </w:r>
      <w:r w:rsidR="00553227">
        <w:t xml:space="preserve"> $111 000</w:t>
      </w:r>
      <w:r>
        <w:t xml:space="preserve"> in 2017-18.</w:t>
      </w:r>
    </w:p>
    <w:p w14:paraId="668E9B39" w14:textId="77777777" w:rsidR="00793798" w:rsidRPr="00793798" w:rsidRDefault="00C37DB0" w:rsidP="00793798">
      <w:pPr>
        <w:pStyle w:val="Heading5"/>
        <w:rPr>
          <w:rStyle w:val="Heading6Char"/>
          <w:b/>
          <w:i/>
          <w:iCs w:val="0"/>
        </w:rPr>
      </w:pPr>
      <w:r w:rsidRPr="00793798">
        <w:rPr>
          <w:rStyle w:val="Heading6Char"/>
          <w:b/>
          <w:i/>
          <w:iCs w:val="0"/>
        </w:rPr>
        <w:t>Total</w:t>
      </w:r>
    </w:p>
    <w:p w14:paraId="07E5C250" w14:textId="77777777" w:rsidR="00C37DB0" w:rsidRDefault="00C37DB0" w:rsidP="001E4105">
      <w:pPr>
        <w:pStyle w:val="CGCNumberedPara"/>
        <w:tabs>
          <w:tab w:val="num" w:pos="567"/>
        </w:tabs>
      </w:pPr>
      <w:r>
        <w:t>The total assessed expense for the whole Services to industry category was $1.</w:t>
      </w:r>
      <w:r w:rsidR="0073395F">
        <w:t>8</w:t>
      </w:r>
      <w:r>
        <w:t xml:space="preserve"> million in 2017-18. </w:t>
      </w:r>
    </w:p>
    <w:p w14:paraId="145C1A0F" w14:textId="77777777" w:rsidR="00C37DB0" w:rsidRDefault="00072BE9" w:rsidP="00C37DB0">
      <w:pPr>
        <w:pStyle w:val="Heading3"/>
        <w:rPr>
          <w:rFonts w:eastAsia="Times New Roman"/>
        </w:rPr>
      </w:pPr>
      <w:bookmarkStart w:id="674" w:name="_Toc17380557"/>
      <w:bookmarkStart w:id="675" w:name="_Toc19263013"/>
      <w:bookmarkStart w:id="676" w:name="_Toc23847558"/>
      <w:bookmarkEnd w:id="671"/>
      <w:bookmarkEnd w:id="672"/>
      <w:r>
        <w:rPr>
          <w:rFonts w:eastAsia="Times New Roman"/>
        </w:rPr>
        <w:lastRenderedPageBreak/>
        <w:t>O</w:t>
      </w:r>
      <w:r w:rsidR="00C37DB0">
        <w:rPr>
          <w:rFonts w:eastAsia="Times New Roman"/>
        </w:rPr>
        <w:t>ther expenses</w:t>
      </w:r>
      <w:bookmarkEnd w:id="674"/>
      <w:bookmarkEnd w:id="675"/>
      <w:bookmarkEnd w:id="676"/>
    </w:p>
    <w:p w14:paraId="2C605E42" w14:textId="77777777" w:rsidR="00C37DB0" w:rsidRDefault="00C37DB0" w:rsidP="00C37DB0">
      <w:pPr>
        <w:pStyle w:val="Heading4"/>
        <w:rPr>
          <w:rFonts w:eastAsia="Times New Roman"/>
        </w:rPr>
      </w:pPr>
      <w:bookmarkStart w:id="677" w:name="_Toc17380558"/>
      <w:bookmarkStart w:id="678" w:name="_Toc19263014"/>
      <w:bookmarkStart w:id="679" w:name="_Toc23847559"/>
      <w:r>
        <w:rPr>
          <w:rFonts w:eastAsia="Times New Roman"/>
        </w:rPr>
        <w:t>State service delivery and funding arrangements</w:t>
      </w:r>
      <w:bookmarkEnd w:id="677"/>
      <w:bookmarkEnd w:id="678"/>
      <w:bookmarkEnd w:id="679"/>
    </w:p>
    <w:p w14:paraId="080CD549" w14:textId="77777777" w:rsidR="00C37DB0" w:rsidRDefault="00C37DB0" w:rsidP="001E4105">
      <w:pPr>
        <w:pStyle w:val="CGCNumberedPara"/>
        <w:tabs>
          <w:tab w:val="num" w:pos="567"/>
        </w:tabs>
      </w:pPr>
      <w:r>
        <w:t>States incurred expenses of about $28 billion in 2017</w:t>
      </w:r>
      <w:r>
        <w:noBreakHyphen/>
        <w:t>18, representing 13% of total State expenses on a range of other services including:</w:t>
      </w:r>
    </w:p>
    <w:p w14:paraId="6F5EF3AF" w14:textId="77777777" w:rsidR="00C37DB0" w:rsidRPr="00590308" w:rsidRDefault="00C37DB0" w:rsidP="00590308">
      <w:pPr>
        <w:pStyle w:val="CGCBulletlist"/>
        <w:numPr>
          <w:ilvl w:val="0"/>
          <w:numId w:val="15"/>
        </w:numPr>
      </w:pPr>
      <w:r>
        <w:t>general public services, including the activities of central administrative agencies that support State service delivery agencies, debt charges and transfers of a gene</w:t>
      </w:r>
      <w:r w:rsidRPr="00590308">
        <w:t xml:space="preserve">ral nature between different levels of government </w:t>
      </w:r>
    </w:p>
    <w:p w14:paraId="28B77A2F" w14:textId="77777777" w:rsidR="00C37DB0" w:rsidRPr="00590308" w:rsidRDefault="00C37DB0" w:rsidP="00590308">
      <w:pPr>
        <w:pStyle w:val="CGCBulletlist"/>
      </w:pPr>
      <w:r w:rsidRPr="00590308">
        <w:t>public order and safety services other than those provided by police, such as emergency services and fire protection</w:t>
      </w:r>
    </w:p>
    <w:p w14:paraId="21D72F6C" w14:textId="77777777" w:rsidR="00C37DB0" w:rsidRPr="00590308" w:rsidRDefault="00C37DB0" w:rsidP="00590308">
      <w:pPr>
        <w:pStyle w:val="CGCBulletlist"/>
      </w:pPr>
      <w:r w:rsidRPr="00590308">
        <w:t>recreation and cultural services, including libraries, public halls, art and sport facilities</w:t>
      </w:r>
    </w:p>
    <w:p w14:paraId="57430D9C" w14:textId="77777777" w:rsidR="00C37DB0" w:rsidRDefault="00C37DB0" w:rsidP="00590308">
      <w:pPr>
        <w:pStyle w:val="CGCBulletlist"/>
      </w:pPr>
      <w:r w:rsidRPr="00590308">
        <w:t>natural disaster relief</w:t>
      </w:r>
      <w:r>
        <w:t xml:space="preserve">. </w:t>
      </w:r>
    </w:p>
    <w:p w14:paraId="426E0F89" w14:textId="77777777" w:rsidR="00C37DB0" w:rsidRDefault="00C37DB0" w:rsidP="001E4105">
      <w:pPr>
        <w:pStyle w:val="CGCNumberedPara"/>
        <w:tabs>
          <w:tab w:val="left" w:pos="720"/>
        </w:tabs>
      </w:pPr>
      <w:r>
        <w:t>Some of the costs of those services were recovered through user charges of $6 billion in 2017-18. Those charges were mainly fire and emergency services levies and cultural and recreational fees, such as museum entry fees. The Commonwealth provides funding to States, particularly for natural disaster relief.</w:t>
      </w:r>
    </w:p>
    <w:p w14:paraId="1356C9E6" w14:textId="77777777" w:rsidR="00C37DB0" w:rsidRDefault="00C37DB0" w:rsidP="00C37DB0">
      <w:pPr>
        <w:pStyle w:val="Heading4"/>
        <w:rPr>
          <w:rFonts w:eastAsia="Times New Roman"/>
        </w:rPr>
      </w:pPr>
      <w:bookmarkStart w:id="680" w:name="_Toc17380559"/>
      <w:bookmarkStart w:id="681" w:name="_Toc19263015"/>
      <w:bookmarkStart w:id="682" w:name="_Toc23847560"/>
      <w:r>
        <w:rPr>
          <w:rFonts w:eastAsia="Times New Roman"/>
        </w:rPr>
        <w:t>Norfolk Island service and funding arrangements</w:t>
      </w:r>
      <w:bookmarkEnd w:id="680"/>
      <w:bookmarkEnd w:id="681"/>
      <w:bookmarkEnd w:id="682"/>
    </w:p>
    <w:p w14:paraId="038C28D7" w14:textId="77777777" w:rsidR="00C37DB0" w:rsidRDefault="00752A82" w:rsidP="001E4105">
      <w:pPr>
        <w:pStyle w:val="CGCNumberedPara"/>
        <w:tabs>
          <w:tab w:val="left" w:pos="720"/>
        </w:tabs>
      </w:pPr>
      <w:r>
        <w:t>The Department</w:t>
      </w:r>
      <w:r w:rsidR="00C37DB0">
        <w:t xml:space="preserve"> has several units working on Norfolk Island matters, including units for legislative reform</w:t>
      </w:r>
      <w:r w:rsidR="005050DF">
        <w:t xml:space="preserve"> and justice policy</w:t>
      </w:r>
      <w:r w:rsidR="00C37DB0">
        <w:t>,</w:t>
      </w:r>
      <w:r w:rsidR="005050DF">
        <w:t xml:space="preserve"> strategic and operational policy,</w:t>
      </w:r>
      <w:r w:rsidR="00C37DB0">
        <w:t xml:space="preserve"> local governance and facilities</w:t>
      </w:r>
      <w:r w:rsidR="005050DF">
        <w:t>, heritage and economic development (part of which relates to KAVHA),</w:t>
      </w:r>
      <w:r w:rsidR="00C37DB0">
        <w:t xml:space="preserve"> and State service delivery. There is an Administrator </w:t>
      </w:r>
      <w:r w:rsidR="00B43F38">
        <w:t xml:space="preserve">on Norfolk to liaise between </w:t>
      </w:r>
      <w:r>
        <w:t>the Department</w:t>
      </w:r>
      <w:r w:rsidR="00B43F38">
        <w:t xml:space="preserve"> </w:t>
      </w:r>
      <w:r w:rsidR="00A21154">
        <w:t xml:space="preserve">and the community. </w:t>
      </w:r>
    </w:p>
    <w:p w14:paraId="330780FF" w14:textId="77777777" w:rsidR="00C37DB0" w:rsidRDefault="0032725B" w:rsidP="001E4105">
      <w:pPr>
        <w:pStyle w:val="CGCNumberedPara"/>
        <w:tabs>
          <w:tab w:val="left" w:pos="720"/>
        </w:tabs>
      </w:pPr>
      <w:r>
        <w:t xml:space="preserve">Funded by the Department under an SDA, </w:t>
      </w:r>
      <w:r w:rsidR="00954ACB">
        <w:t xml:space="preserve">NIRC </w:t>
      </w:r>
      <w:r w:rsidR="00C37DB0">
        <w:t xml:space="preserve">operated airport fire service also provides fire services for the Island. </w:t>
      </w:r>
      <w:r w:rsidR="00954ACB">
        <w:t xml:space="preserve">NIRC </w:t>
      </w:r>
      <w:r w:rsidR="00C37DB0">
        <w:t>does not use volunteer fire fighters.</w:t>
      </w:r>
    </w:p>
    <w:p w14:paraId="41EC75A7" w14:textId="77777777" w:rsidR="00C37DB0" w:rsidRDefault="00C37DB0" w:rsidP="00C37DB0">
      <w:pPr>
        <w:pStyle w:val="Heading4"/>
      </w:pPr>
      <w:bookmarkStart w:id="683" w:name="_Toc17380560"/>
      <w:bookmarkStart w:id="684" w:name="_Toc19263016"/>
      <w:bookmarkStart w:id="685" w:name="_Toc23847561"/>
      <w:r>
        <w:t>Assessed cost of Norfolk Island services</w:t>
      </w:r>
      <w:bookmarkEnd w:id="683"/>
      <w:bookmarkEnd w:id="684"/>
      <w:bookmarkEnd w:id="685"/>
      <w:r>
        <w:t xml:space="preserve"> </w:t>
      </w:r>
    </w:p>
    <w:p w14:paraId="276A584B" w14:textId="77777777" w:rsidR="00C37DB0" w:rsidRDefault="00C37DB0" w:rsidP="001E4105">
      <w:pPr>
        <w:pStyle w:val="CGCNumberedPara"/>
        <w:tabs>
          <w:tab w:val="left" w:pos="720"/>
        </w:tabs>
      </w:pPr>
      <w:r>
        <w:t>We used average per capita State expenses as the base for the relevant portion of Other expenses. To begin, we removed expenses not relevant for Norfolk Island, which included:</w:t>
      </w:r>
    </w:p>
    <w:p w14:paraId="35C9F9CE" w14:textId="77777777" w:rsidR="00C37DB0" w:rsidRPr="00590308" w:rsidRDefault="00C37DB0" w:rsidP="00590308">
      <w:pPr>
        <w:pStyle w:val="CGCBulletlist"/>
        <w:numPr>
          <w:ilvl w:val="0"/>
          <w:numId w:val="15"/>
        </w:numPr>
      </w:pPr>
      <w:r>
        <w:t xml:space="preserve">natural disaster relief expenses as Norfolk Island is not funded under mainland </w:t>
      </w:r>
      <w:r w:rsidRPr="00590308">
        <w:t>arrangements and it has not suffered from a natural disaster in recent years</w:t>
      </w:r>
    </w:p>
    <w:p w14:paraId="20813565" w14:textId="77777777" w:rsidR="00C37DB0" w:rsidRDefault="00C37DB0" w:rsidP="00590308">
      <w:pPr>
        <w:pStyle w:val="CGCBulletlist"/>
      </w:pPr>
      <w:r w:rsidRPr="00590308">
        <w:t>general public services expenses because they mostly relate to State legislature and central</w:t>
      </w:r>
      <w:r>
        <w:t xml:space="preserve"> policy agencies. </w:t>
      </w:r>
    </w:p>
    <w:p w14:paraId="17EA2A34" w14:textId="77777777" w:rsidR="00C37DB0" w:rsidRDefault="00C37DB0" w:rsidP="001E4105">
      <w:pPr>
        <w:pStyle w:val="CGCNumberedPara"/>
        <w:tabs>
          <w:tab w:val="left" w:pos="720"/>
        </w:tabs>
      </w:pPr>
      <w:r>
        <w:t xml:space="preserve">The remaining expenses for recreation and culture, public safety, and communications were assessed by taking State average per capita net expenses for those services and applying allowances for Norfolk Island’s remoteness and the extra </w:t>
      </w:r>
      <w:r>
        <w:lastRenderedPageBreak/>
        <w:t>costs arising from its isolated island nature and the administration of State services. However, in the case of public safety (fire and emergency services) we made a further allowance to reflect the higher per capita costs incurred because: there is a minimum level of service which must be provided in isolated communities regardless of the population of the community; and a high level of fire and emergency services is required by an airport which receives the equivalent of international flights. That allowance doubled the assessed public safety expenses.</w:t>
      </w:r>
      <w:r>
        <w:rPr>
          <w:rStyle w:val="FootnoteReference"/>
        </w:rPr>
        <w:footnoteReference w:id="56"/>
      </w:r>
      <w:r>
        <w:t xml:space="preserve"> The resulting total assessed Other expenses were $</w:t>
      </w:r>
      <w:r w:rsidR="00894069">
        <w:t>584 000</w:t>
      </w:r>
      <w:r>
        <w:t xml:space="preserve"> in 2017</w:t>
      </w:r>
      <w:r>
        <w:noBreakHyphen/>
        <w:t xml:space="preserve">18. </w:t>
      </w:r>
    </w:p>
    <w:p w14:paraId="0D61BD73" w14:textId="77777777" w:rsidR="00C37DB0" w:rsidRDefault="00C37DB0" w:rsidP="001E4105">
      <w:pPr>
        <w:pStyle w:val="CGCNumberedPara"/>
        <w:tabs>
          <w:tab w:val="left" w:pos="720"/>
        </w:tabs>
      </w:pPr>
      <w:r>
        <w:t>However, since general public services expenses were excluded, that estimate does not recognise a</w:t>
      </w:r>
      <w:r w:rsidR="00590308">
        <w:t xml:space="preserve">ny administrative costs for </w:t>
      </w:r>
      <w:r w:rsidR="00752A82">
        <w:t>the Department</w:t>
      </w:r>
      <w:r w:rsidR="00590308">
        <w:t xml:space="preserve"> </w:t>
      </w:r>
      <w:r>
        <w:t>or</w:t>
      </w:r>
      <w:r w:rsidR="00590308">
        <w:t xml:space="preserve"> the</w:t>
      </w:r>
      <w:r>
        <w:t xml:space="preserve"> Administrator.</w:t>
      </w:r>
    </w:p>
    <w:p w14:paraId="79AD8CDC" w14:textId="77777777" w:rsidR="00C37DB0" w:rsidRDefault="00C37DB0" w:rsidP="001E4105">
      <w:pPr>
        <w:pStyle w:val="CGCNumberedPara"/>
        <w:tabs>
          <w:tab w:val="num" w:pos="567"/>
        </w:tabs>
      </w:pPr>
      <w:r>
        <w:t xml:space="preserve">Since responsibility for State-type services and associated infrastructure rests with the Commonwealth, we have not assessed any debt charge expenses. </w:t>
      </w:r>
    </w:p>
    <w:p w14:paraId="1201DAF2" w14:textId="77777777" w:rsidR="00C37DB0" w:rsidRDefault="00C37DB0" w:rsidP="00C37DB0"/>
    <w:p w14:paraId="6C3935AD" w14:textId="77777777" w:rsidR="00C37DB0" w:rsidRDefault="00C37DB0">
      <w:pPr>
        <w:tabs>
          <w:tab w:val="clear" w:pos="567"/>
        </w:tabs>
        <w:spacing w:after="200" w:line="276" w:lineRule="auto"/>
        <w:rPr>
          <w:sz w:val="22"/>
          <w:szCs w:val="24"/>
        </w:rPr>
      </w:pPr>
      <w:r>
        <w:rPr>
          <w:sz w:val="22"/>
        </w:rPr>
        <w:br w:type="page"/>
      </w:r>
    </w:p>
    <w:p w14:paraId="69CD1DCA" w14:textId="77777777" w:rsidR="00841ED1" w:rsidRDefault="00C37DB0" w:rsidP="00583068">
      <w:pPr>
        <w:pStyle w:val="Heading2"/>
      </w:pPr>
      <w:bookmarkStart w:id="686" w:name="_Toc19263017"/>
      <w:bookmarkStart w:id="687" w:name="_Toc23847562"/>
      <w:r>
        <w:lastRenderedPageBreak/>
        <w:t>Attachment F</w:t>
      </w:r>
      <w:r w:rsidR="00841ED1">
        <w:t>:</w:t>
      </w:r>
      <w:r w:rsidR="00841ED1" w:rsidRPr="00841ED1">
        <w:t xml:space="preserve"> </w:t>
      </w:r>
      <w:r w:rsidR="00841ED1">
        <w:t>Local Government services</w:t>
      </w:r>
      <w:bookmarkEnd w:id="686"/>
      <w:bookmarkEnd w:id="687"/>
    </w:p>
    <w:p w14:paraId="7CFCB69B" w14:textId="77777777" w:rsidR="00C37DB0" w:rsidRDefault="00C37DB0" w:rsidP="00C37DB0">
      <w:pPr>
        <w:pStyle w:val="Heading3"/>
      </w:pPr>
      <w:bookmarkStart w:id="688" w:name="_Toc17380561"/>
      <w:bookmarkStart w:id="689" w:name="_Toc19263018"/>
      <w:bookmarkStart w:id="690" w:name="_Toc23847563"/>
      <w:r>
        <w:t>Introduction</w:t>
      </w:r>
      <w:bookmarkEnd w:id="688"/>
      <w:bookmarkEnd w:id="689"/>
      <w:bookmarkEnd w:id="690"/>
    </w:p>
    <w:p w14:paraId="05F64B8D" w14:textId="77777777" w:rsidR="00C37DB0" w:rsidRDefault="00C37DB0" w:rsidP="001E4105">
      <w:pPr>
        <w:pStyle w:val="CGCNumberedPara"/>
        <w:tabs>
          <w:tab w:val="num" w:pos="567"/>
        </w:tabs>
      </w:pPr>
      <w:r>
        <w:t xml:space="preserve">The </w:t>
      </w:r>
      <w:r w:rsidR="00D974B2">
        <w:t>T</w:t>
      </w:r>
      <w:r>
        <w:t xml:space="preserve">erms of </w:t>
      </w:r>
      <w:r w:rsidR="00D974B2">
        <w:t>R</w:t>
      </w:r>
      <w:r>
        <w:t xml:space="preserve">eference for this inquiry asked us to: </w:t>
      </w:r>
    </w:p>
    <w:p w14:paraId="54BD21C9" w14:textId="77777777" w:rsidR="00C37DB0" w:rsidRDefault="00C37DB0" w:rsidP="00C37DB0">
      <w:pPr>
        <w:pStyle w:val="CGCQuotation"/>
      </w:pPr>
      <w:r>
        <w:t>(1)   Calculate the amount of annual expenditure, including infrastructure costs, required to provide state-type government services, local government services and support for legacy state-type government business enterprises on Norfolk Island, taking into account the circumstances of Norfolk Island.</w:t>
      </w:r>
    </w:p>
    <w:p w14:paraId="76C5F362" w14:textId="77777777" w:rsidR="00C37DB0" w:rsidRDefault="00C37DB0" w:rsidP="001E4105">
      <w:pPr>
        <w:pStyle w:val="CGCNumberedPara"/>
        <w:tabs>
          <w:tab w:val="left" w:pos="567"/>
          <w:tab w:val="num" w:pos="1134"/>
        </w:tabs>
      </w:pPr>
      <w:r>
        <w:t xml:space="preserve">The reference also says that estimates of annual services must have regard to services available in comparable communities, and assume that Norfolk Island operates at the average level of efficiency. </w:t>
      </w:r>
    </w:p>
    <w:p w14:paraId="2316EEDD" w14:textId="77777777" w:rsidR="00C37DB0" w:rsidRDefault="00C37DB0" w:rsidP="00C37DB0">
      <w:pPr>
        <w:pStyle w:val="Heading3"/>
      </w:pPr>
      <w:bookmarkStart w:id="691" w:name="_Toc17380562"/>
      <w:bookmarkStart w:id="692" w:name="_Toc19263019"/>
      <w:bookmarkStart w:id="693" w:name="_Toc23847564"/>
      <w:r>
        <w:t>Scope of Local Government Services</w:t>
      </w:r>
      <w:bookmarkEnd w:id="691"/>
      <w:bookmarkEnd w:id="692"/>
      <w:bookmarkEnd w:id="693"/>
    </w:p>
    <w:p w14:paraId="41D65C4B" w14:textId="77777777" w:rsidR="00C37DB0" w:rsidRDefault="00C37DB0" w:rsidP="001E4105">
      <w:pPr>
        <w:pStyle w:val="CGCNumberedPara"/>
        <w:tabs>
          <w:tab w:val="num" w:pos="567"/>
        </w:tabs>
      </w:pPr>
      <w:r>
        <w:t>In the rest of Australia, the delivery of local government services is the responsibility of an elected council, supported by an administrative arm. The services provided by councils vary between States. Generally, councils provide property related services including waste management, storm water, local roads and building and planning services, as well as cultural and recreation facilities. In addition, many councils provide a limited range of health, education, aged and welfare services. Some councils provide water, sewerage and airport services.</w:t>
      </w:r>
      <w:r>
        <w:rPr>
          <w:rStyle w:val="FootnoteReference"/>
        </w:rPr>
        <w:footnoteReference w:id="57"/>
      </w:r>
    </w:p>
    <w:p w14:paraId="579F7213" w14:textId="77777777" w:rsidR="00C37DB0" w:rsidRDefault="00C37DB0" w:rsidP="001E4105">
      <w:pPr>
        <w:pStyle w:val="CGCNumberedPara"/>
        <w:tabs>
          <w:tab w:val="num" w:pos="567"/>
        </w:tabs>
      </w:pPr>
      <w:r>
        <w:t>Norfolk Island Regional Council (NIRC) provides the normal range of local government services, including an airport, plus some Commonwealth</w:t>
      </w:r>
      <w:r>
        <w:noBreakHyphen/>
        <w:t>type services, notably telecommunications, and State</w:t>
      </w:r>
      <w:r>
        <w:noBreakHyphen/>
        <w:t>type services including electricity. NIRC also provides a number of Commonwealth and State-type services on behalf of the Commonwealth including port management, management of Kingston and Arthur’s Vale Historic Area (KAVHA), registry, licensing and regulatory services, and pest and noxious weed control. In 2017</w:t>
      </w:r>
      <w:r>
        <w:noBreakHyphen/>
        <w:t xml:space="preserve">18, </w:t>
      </w:r>
      <w:r w:rsidR="003977EF">
        <w:t xml:space="preserve">NIRC </w:t>
      </w:r>
      <w:r>
        <w:t>employed 184 staff including 103 full-time staff, 81 casual staff and 5 part-time staff.</w:t>
      </w:r>
    </w:p>
    <w:p w14:paraId="1AE83206" w14:textId="77777777" w:rsidR="00C37DB0" w:rsidRDefault="00C37DB0" w:rsidP="001E4105">
      <w:pPr>
        <w:pStyle w:val="CGCNumberedPara"/>
        <w:tabs>
          <w:tab w:val="num" w:pos="567"/>
        </w:tabs>
      </w:pPr>
      <w:r>
        <w:t>In the States, some functions such as tourism are the responsibility of both the State and local governments. Local governments usually operate visitor information centres, provide promotional material for local attractions, organise local events and provide local business support. States provide a similar range of services with a State</w:t>
      </w:r>
      <w:r>
        <w:noBreakHyphen/>
        <w:t xml:space="preserve">wide focus. We have treated Norfolk Island tourism as a State </w:t>
      </w:r>
      <w:r w:rsidR="00F5015E">
        <w:t xml:space="preserve">and local </w:t>
      </w:r>
      <w:r w:rsidR="00F5015E">
        <w:lastRenderedPageBreak/>
        <w:t>government, split</w:t>
      </w:r>
      <w:r>
        <w:t xml:space="preserve"> across both levels of government. Attachment E discusses the </w:t>
      </w:r>
      <w:r w:rsidR="004C79AF">
        <w:t xml:space="preserve">State </w:t>
      </w:r>
      <w:r>
        <w:t>assessment of tourism expenses.</w:t>
      </w:r>
    </w:p>
    <w:p w14:paraId="58D3D1F7" w14:textId="15B5F5B0" w:rsidR="00C37DB0" w:rsidRDefault="00C37DB0" w:rsidP="001E4105">
      <w:pPr>
        <w:pStyle w:val="CGCNumberedPara"/>
        <w:tabs>
          <w:tab w:val="num" w:pos="567"/>
        </w:tabs>
      </w:pPr>
      <w:r>
        <w:t xml:space="preserve">The costings in this attachment are for local government type services. </w:t>
      </w:r>
      <w:r>
        <w:fldChar w:fldCharType="begin"/>
      </w:r>
      <w:r>
        <w:instrText xml:space="preserve"> REF _Ref15575031 \h </w:instrText>
      </w:r>
      <w:r>
        <w:fldChar w:fldCharType="separate"/>
      </w:r>
      <w:r w:rsidR="00DE7AA1">
        <w:t>Table F-</w:t>
      </w:r>
      <w:r>
        <w:fldChar w:fldCharType="end"/>
      </w:r>
      <w:r w:rsidR="00CD3307">
        <w:t>1</w:t>
      </w:r>
      <w:r>
        <w:t xml:space="preserve"> shows the classification of local government services for this inquiry. It is based on the Australian Bureau of Statistics (ABS) Classification of Functions of Government — Australia (COFOG-A).</w:t>
      </w:r>
      <w:r>
        <w:rPr>
          <w:rStyle w:val="FootnoteReference"/>
        </w:rPr>
        <w:footnoteReference w:id="58"/>
      </w:r>
    </w:p>
    <w:p w14:paraId="512ADD00" w14:textId="77777777" w:rsidR="00C37DB0" w:rsidRDefault="00C37DB0" w:rsidP="00C37DB0">
      <w:pPr>
        <w:pStyle w:val="Caption"/>
      </w:pPr>
      <w:bookmarkStart w:id="694" w:name="_Ref15575031"/>
      <w:r>
        <w:t>Table F-</w:t>
      </w:r>
      <w:bookmarkEnd w:id="694"/>
      <w:r w:rsidR="00CD3307">
        <w:t>1</w:t>
      </w:r>
      <w:r>
        <w:tab/>
        <w:t>Classification of local government services</w:t>
      </w:r>
    </w:p>
    <w:tbl>
      <w:tblPr>
        <w:tblW w:w="8647" w:type="dxa"/>
        <w:tblLook w:val="04A0" w:firstRow="1" w:lastRow="0" w:firstColumn="1" w:lastColumn="0" w:noHBand="0" w:noVBand="1"/>
      </w:tblPr>
      <w:tblGrid>
        <w:gridCol w:w="2440"/>
        <w:gridCol w:w="6207"/>
      </w:tblGrid>
      <w:tr w:rsidR="00C37DB0" w14:paraId="53F05268" w14:textId="77777777" w:rsidTr="00C37DB0">
        <w:trPr>
          <w:trHeight w:val="510"/>
        </w:trPr>
        <w:tc>
          <w:tcPr>
            <w:tcW w:w="2440" w:type="dxa"/>
            <w:tcBorders>
              <w:top w:val="single" w:sz="4" w:space="0" w:color="auto"/>
              <w:left w:val="nil"/>
              <w:bottom w:val="single" w:sz="4" w:space="0" w:color="auto"/>
              <w:right w:val="nil"/>
            </w:tcBorders>
            <w:noWrap/>
            <w:vAlign w:val="center"/>
            <w:hideMark/>
          </w:tcPr>
          <w:p w14:paraId="746D34E5"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Functional classification</w:t>
            </w:r>
          </w:p>
        </w:tc>
        <w:tc>
          <w:tcPr>
            <w:tcW w:w="6207" w:type="dxa"/>
            <w:tcBorders>
              <w:top w:val="single" w:sz="4" w:space="0" w:color="auto"/>
              <w:left w:val="nil"/>
              <w:bottom w:val="single" w:sz="4" w:space="0" w:color="auto"/>
              <w:right w:val="nil"/>
            </w:tcBorders>
            <w:noWrap/>
            <w:vAlign w:val="center"/>
            <w:hideMark/>
          </w:tcPr>
          <w:p w14:paraId="1C93249D"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Description</w:t>
            </w:r>
          </w:p>
        </w:tc>
      </w:tr>
      <w:tr w:rsidR="00C37DB0" w14:paraId="3CAE66B4" w14:textId="77777777" w:rsidTr="00C37DB0">
        <w:trPr>
          <w:trHeight w:val="533"/>
        </w:trPr>
        <w:tc>
          <w:tcPr>
            <w:tcW w:w="2440" w:type="dxa"/>
            <w:hideMark/>
          </w:tcPr>
          <w:p w14:paraId="45964289" w14:textId="77777777" w:rsidR="00C37DB0" w:rsidRDefault="00C37DB0" w:rsidP="007D3666">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General </w:t>
            </w:r>
            <w:r w:rsidR="007D3666">
              <w:rPr>
                <w:rFonts w:ascii="Calibri" w:eastAsia="Times New Roman" w:hAnsi="Calibri" w:cs="Calibri"/>
                <w:sz w:val="20"/>
                <w:szCs w:val="20"/>
                <w:lang w:eastAsia="en-AU"/>
              </w:rPr>
              <w:t>a</w:t>
            </w:r>
            <w:r>
              <w:rPr>
                <w:rFonts w:ascii="Calibri" w:eastAsia="Times New Roman" w:hAnsi="Calibri" w:cs="Calibri"/>
                <w:sz w:val="20"/>
                <w:szCs w:val="20"/>
                <w:lang w:eastAsia="en-AU"/>
              </w:rPr>
              <w:t>dministration</w:t>
            </w:r>
          </w:p>
        </w:tc>
        <w:tc>
          <w:tcPr>
            <w:tcW w:w="6207" w:type="dxa"/>
            <w:hideMark/>
          </w:tcPr>
          <w:p w14:paraId="30836B0C"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Legislative, executive, financial and fiscal affairs relating to general purposes only.</w:t>
            </w:r>
          </w:p>
        </w:tc>
      </w:tr>
      <w:tr w:rsidR="00C37DB0" w14:paraId="4C5B2B12" w14:textId="77777777" w:rsidTr="00C37DB0">
        <w:trPr>
          <w:trHeight w:val="535"/>
        </w:trPr>
        <w:tc>
          <w:tcPr>
            <w:tcW w:w="2440" w:type="dxa"/>
            <w:hideMark/>
          </w:tcPr>
          <w:p w14:paraId="09A6DBD7"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Health, housing and welfare</w:t>
            </w:r>
          </w:p>
        </w:tc>
        <w:tc>
          <w:tcPr>
            <w:tcW w:w="6207" w:type="dxa"/>
            <w:hideMark/>
          </w:tcPr>
          <w:p w14:paraId="614C6F6A"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Services for the aged, community health services, health inspections, family and child welfare, housing services.</w:t>
            </w:r>
          </w:p>
        </w:tc>
      </w:tr>
      <w:tr w:rsidR="00C37DB0" w14:paraId="0E98FB5E" w14:textId="77777777" w:rsidTr="00C37DB0">
        <w:trPr>
          <w:trHeight w:val="533"/>
        </w:trPr>
        <w:tc>
          <w:tcPr>
            <w:tcW w:w="2440" w:type="dxa"/>
            <w:hideMark/>
          </w:tcPr>
          <w:p w14:paraId="60902B27"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Law order and public safety</w:t>
            </w:r>
          </w:p>
        </w:tc>
        <w:tc>
          <w:tcPr>
            <w:tcW w:w="6207" w:type="dxa"/>
            <w:hideMark/>
          </w:tcPr>
          <w:p w14:paraId="15D45A4D"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Fire protection, emergency services, animal control and other public order and control.</w:t>
            </w:r>
          </w:p>
        </w:tc>
      </w:tr>
      <w:tr w:rsidR="00C37DB0" w14:paraId="666A9116" w14:textId="77777777" w:rsidTr="00C37DB0">
        <w:trPr>
          <w:trHeight w:val="579"/>
        </w:trPr>
        <w:tc>
          <w:tcPr>
            <w:tcW w:w="2440" w:type="dxa"/>
            <w:hideMark/>
          </w:tcPr>
          <w:p w14:paraId="1DEFEBE4"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Planning and community amenities</w:t>
            </w:r>
          </w:p>
        </w:tc>
        <w:tc>
          <w:tcPr>
            <w:tcW w:w="6207" w:type="dxa"/>
            <w:hideMark/>
          </w:tcPr>
          <w:p w14:paraId="183939C9"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Planning and building services, street lighting, public conveniences, libraries, shopping malls, cemeteries and crematoria.</w:t>
            </w:r>
          </w:p>
        </w:tc>
      </w:tr>
      <w:tr w:rsidR="00C37DB0" w14:paraId="57F23309" w14:textId="77777777" w:rsidTr="00C37DB0">
        <w:trPr>
          <w:trHeight w:val="795"/>
        </w:trPr>
        <w:tc>
          <w:tcPr>
            <w:tcW w:w="2440" w:type="dxa"/>
            <w:hideMark/>
          </w:tcPr>
          <w:p w14:paraId="214CD442"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Environmental protection</w:t>
            </w:r>
          </w:p>
        </w:tc>
        <w:tc>
          <w:tcPr>
            <w:tcW w:w="6207" w:type="dxa"/>
            <w:hideMark/>
          </w:tcPr>
          <w:p w14:paraId="1B77A499"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Household and other garbage services, urban storm water drainage, street cleaning, flood mitigation, waste-water and other protection of the environment.</w:t>
            </w:r>
          </w:p>
        </w:tc>
      </w:tr>
      <w:tr w:rsidR="00C37DB0" w14:paraId="5DAC876B" w14:textId="77777777" w:rsidTr="00C37DB0">
        <w:trPr>
          <w:trHeight w:val="768"/>
        </w:trPr>
        <w:tc>
          <w:tcPr>
            <w:tcW w:w="2440" w:type="dxa"/>
            <w:hideMark/>
          </w:tcPr>
          <w:p w14:paraId="019CB59E"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Recreation and culture</w:t>
            </w:r>
          </w:p>
        </w:tc>
        <w:tc>
          <w:tcPr>
            <w:tcW w:w="6207" w:type="dxa"/>
            <w:hideMark/>
          </w:tcPr>
          <w:p w14:paraId="73F01D9A"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Public halls and civic centres, swimming pools, parks and playing grounds, sports assistance and promotion, libraries, radio and other cultural services.</w:t>
            </w:r>
          </w:p>
        </w:tc>
      </w:tr>
      <w:tr w:rsidR="00977F69" w14:paraId="5BD33F97" w14:textId="77777777" w:rsidTr="00C37DB0">
        <w:trPr>
          <w:trHeight w:val="317"/>
        </w:trPr>
        <w:tc>
          <w:tcPr>
            <w:tcW w:w="2440" w:type="dxa"/>
          </w:tcPr>
          <w:p w14:paraId="3ED3FD98" w14:textId="77777777" w:rsidR="00977F69" w:rsidRDefault="00977F69">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Tourism</w:t>
            </w:r>
          </w:p>
        </w:tc>
        <w:tc>
          <w:tcPr>
            <w:tcW w:w="6207" w:type="dxa"/>
          </w:tcPr>
          <w:p w14:paraId="65B4955F" w14:textId="77777777" w:rsidR="00977F69" w:rsidRDefault="00977F69">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Tourism services</w:t>
            </w:r>
          </w:p>
        </w:tc>
      </w:tr>
      <w:tr w:rsidR="00C37DB0" w14:paraId="668416A9" w14:textId="77777777" w:rsidTr="00C37DB0">
        <w:trPr>
          <w:trHeight w:val="317"/>
        </w:trPr>
        <w:tc>
          <w:tcPr>
            <w:tcW w:w="2440" w:type="dxa"/>
            <w:hideMark/>
          </w:tcPr>
          <w:p w14:paraId="523B7B24"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Roads </w:t>
            </w:r>
          </w:p>
        </w:tc>
        <w:tc>
          <w:tcPr>
            <w:tcW w:w="6207" w:type="dxa"/>
            <w:hideMark/>
          </w:tcPr>
          <w:p w14:paraId="4EEFF483"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Re-construction and maintenance of roads and bridges.</w:t>
            </w:r>
          </w:p>
        </w:tc>
      </w:tr>
      <w:tr w:rsidR="00C37DB0" w14:paraId="1D192107" w14:textId="77777777" w:rsidTr="00C37DB0">
        <w:trPr>
          <w:trHeight w:val="315"/>
        </w:trPr>
        <w:tc>
          <w:tcPr>
            <w:tcW w:w="2440" w:type="dxa"/>
            <w:hideMark/>
          </w:tcPr>
          <w:p w14:paraId="74663FC3"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Depreciation </w:t>
            </w:r>
          </w:p>
        </w:tc>
        <w:tc>
          <w:tcPr>
            <w:tcW w:w="6207" w:type="dxa"/>
            <w:hideMark/>
          </w:tcPr>
          <w:p w14:paraId="11A90B09"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Depreciation for all functions </w:t>
            </w:r>
          </w:p>
        </w:tc>
      </w:tr>
      <w:tr w:rsidR="00C37DB0" w14:paraId="43EDA7EB" w14:textId="77777777" w:rsidTr="00C37DB0">
        <w:trPr>
          <w:trHeight w:val="533"/>
        </w:trPr>
        <w:tc>
          <w:tcPr>
            <w:tcW w:w="2440" w:type="dxa"/>
            <w:tcBorders>
              <w:top w:val="nil"/>
              <w:left w:val="nil"/>
              <w:bottom w:val="single" w:sz="4" w:space="0" w:color="auto"/>
              <w:right w:val="nil"/>
            </w:tcBorders>
            <w:hideMark/>
          </w:tcPr>
          <w:p w14:paraId="6814CB54"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Other expenses</w:t>
            </w:r>
          </w:p>
        </w:tc>
        <w:tc>
          <w:tcPr>
            <w:tcW w:w="6207" w:type="dxa"/>
            <w:tcBorders>
              <w:top w:val="nil"/>
              <w:left w:val="nil"/>
              <w:bottom w:val="single" w:sz="4" w:space="0" w:color="auto"/>
              <w:right w:val="nil"/>
            </w:tcBorders>
            <w:hideMark/>
          </w:tcPr>
          <w:p w14:paraId="00C941CB"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Expenditure on items not elsewhere classified including public works not elsewhere classified.</w:t>
            </w:r>
          </w:p>
        </w:tc>
      </w:tr>
    </w:tbl>
    <w:p w14:paraId="0F4FAB6E" w14:textId="77777777" w:rsidR="00C37DB0" w:rsidRDefault="00C37DB0" w:rsidP="00C37DB0">
      <w:pPr>
        <w:pStyle w:val="CGCTableFootnote"/>
        <w:tabs>
          <w:tab w:val="clear" w:pos="709"/>
          <w:tab w:val="left" w:pos="720"/>
        </w:tabs>
      </w:pPr>
      <w:r>
        <w:t xml:space="preserve"> (a)</w:t>
      </w:r>
      <w:r>
        <w:tab/>
        <w:t>Tourism is a State and local government function.</w:t>
      </w:r>
    </w:p>
    <w:p w14:paraId="7E705DB8" w14:textId="77777777" w:rsidR="00C37DB0" w:rsidRDefault="00C37DB0" w:rsidP="00C37DB0">
      <w:pPr>
        <w:pStyle w:val="CGCTableFootnote"/>
        <w:tabs>
          <w:tab w:val="clear" w:pos="709"/>
          <w:tab w:val="left" w:pos="720"/>
        </w:tabs>
      </w:pPr>
      <w:r>
        <w:t>Source:</w:t>
      </w:r>
      <w:r>
        <w:tab/>
        <w:t>Commission classification based on COFOG-A.</w:t>
      </w:r>
    </w:p>
    <w:p w14:paraId="37C855FA" w14:textId="77777777" w:rsidR="00C37DB0" w:rsidRDefault="00C37DB0" w:rsidP="00C37DB0">
      <w:pPr>
        <w:pStyle w:val="Heading3"/>
      </w:pPr>
      <w:bookmarkStart w:id="695" w:name="_Toc17380563"/>
      <w:bookmarkStart w:id="696" w:name="_Toc19263020"/>
      <w:bookmarkStart w:id="697" w:name="_Toc23847565"/>
      <w:r>
        <w:t>Method</w:t>
      </w:r>
      <w:bookmarkEnd w:id="695"/>
      <w:bookmarkEnd w:id="696"/>
      <w:bookmarkEnd w:id="697"/>
    </w:p>
    <w:p w14:paraId="1B9734A9" w14:textId="77777777" w:rsidR="00C37DB0" w:rsidRDefault="00C37DB0" w:rsidP="001E4105">
      <w:pPr>
        <w:pStyle w:val="CGCNumberedPara"/>
        <w:tabs>
          <w:tab w:val="num" w:pos="567"/>
        </w:tabs>
      </w:pPr>
      <w:r>
        <w:t>The amount of annual expenditure, including infrastructure costs, required to provide local government services on Norfolk Island has been calculated in one of two ways.</w:t>
      </w:r>
    </w:p>
    <w:p w14:paraId="12CBECE5" w14:textId="77777777" w:rsidR="00C37DB0" w:rsidRDefault="00C37DB0" w:rsidP="00C37DB0">
      <w:pPr>
        <w:pStyle w:val="CGCBulletlist"/>
        <w:numPr>
          <w:ilvl w:val="0"/>
          <w:numId w:val="15"/>
        </w:numPr>
        <w:tabs>
          <w:tab w:val="clear" w:pos="927"/>
        </w:tabs>
        <w:ind w:left="1134" w:hanging="567"/>
      </w:pPr>
      <w:r>
        <w:lastRenderedPageBreak/>
        <w:t>For most services, the calculation began with the Australian average spending by all councils</w:t>
      </w:r>
      <w:r>
        <w:rPr>
          <w:rStyle w:val="FootnoteReference"/>
        </w:rPr>
        <w:footnoteReference w:id="59"/>
      </w:r>
      <w:r>
        <w:t xml:space="preserve"> with adjustments for remoteness (34%), isolation (5%) and wages. </w:t>
      </w:r>
    </w:p>
    <w:p w14:paraId="344BDB31" w14:textId="77777777" w:rsidR="00C37DB0" w:rsidRDefault="007D3666" w:rsidP="00C37DB0">
      <w:pPr>
        <w:pStyle w:val="CGCBulletlist"/>
        <w:numPr>
          <w:ilvl w:val="0"/>
          <w:numId w:val="15"/>
        </w:numPr>
        <w:tabs>
          <w:tab w:val="clear" w:pos="927"/>
        </w:tabs>
        <w:ind w:left="1134" w:hanging="567"/>
      </w:pPr>
      <w:r>
        <w:t>For General administration and d</w:t>
      </w:r>
      <w:r w:rsidR="00C37DB0">
        <w:t xml:space="preserve">epreciation, King Island actual per capita expenses and asset values provided the starting point with adjustments for isolation and wages. Using King Island as the comparable community benchmark ensures the assessed local government expenditure for Norfolk Island recognises the higher per capita costs of providing services to a small remote community. The cost loadings recognises the </w:t>
      </w:r>
      <w:r w:rsidR="008F5114">
        <w:t>e</w:t>
      </w:r>
      <w:r w:rsidR="00C37DB0">
        <w:t xml:space="preserve">ffects of Norfolk Island’s additional isolation and lower wage input costs. </w:t>
      </w:r>
    </w:p>
    <w:p w14:paraId="5D24C403" w14:textId="77777777" w:rsidR="00BB3FD1" w:rsidRDefault="00DA235D" w:rsidP="001E4105">
      <w:pPr>
        <w:pStyle w:val="CGCNumberedPara"/>
        <w:tabs>
          <w:tab w:val="num" w:pos="567"/>
        </w:tabs>
      </w:pPr>
      <w:r>
        <w:t xml:space="preserve">Table F-2 </w:t>
      </w:r>
      <w:r w:rsidR="00C37DB0">
        <w:t xml:space="preserve">shows the methods used to calculate </w:t>
      </w:r>
      <w:r>
        <w:t>comparable</w:t>
      </w:r>
      <w:r w:rsidR="00C37DB0">
        <w:t xml:space="preserve"> Norfolk Island local government expenses for this inquiry.</w:t>
      </w:r>
    </w:p>
    <w:p w14:paraId="66807F6E" w14:textId="77777777" w:rsidR="00BB3FD1" w:rsidRDefault="00BB3FD1">
      <w:pPr>
        <w:tabs>
          <w:tab w:val="clear" w:pos="567"/>
        </w:tabs>
        <w:spacing w:after="200" w:line="276" w:lineRule="auto"/>
        <w:rPr>
          <w:szCs w:val="24"/>
        </w:rPr>
      </w:pPr>
      <w:r>
        <w:br w:type="page"/>
      </w:r>
    </w:p>
    <w:p w14:paraId="6AA57EB8" w14:textId="77777777" w:rsidR="00C37DB0" w:rsidRDefault="00C37DB0" w:rsidP="00C37DB0">
      <w:pPr>
        <w:pStyle w:val="Caption"/>
      </w:pPr>
      <w:bookmarkStart w:id="698" w:name="_Ref16249437"/>
      <w:r>
        <w:lastRenderedPageBreak/>
        <w:t>Table F-</w:t>
      </w:r>
      <w:bookmarkEnd w:id="698"/>
      <w:r w:rsidR="00DA235D">
        <w:t>2</w:t>
      </w:r>
      <w:r>
        <w:tab/>
        <w:t>Summary of assessment methods for local government type expenses</w:t>
      </w:r>
    </w:p>
    <w:tbl>
      <w:tblPr>
        <w:tblW w:w="8940" w:type="dxa"/>
        <w:tblLook w:val="04A0" w:firstRow="1" w:lastRow="0" w:firstColumn="1" w:lastColumn="0" w:noHBand="0" w:noVBand="1"/>
      </w:tblPr>
      <w:tblGrid>
        <w:gridCol w:w="2268"/>
        <w:gridCol w:w="6672"/>
      </w:tblGrid>
      <w:tr w:rsidR="00C37DB0" w14:paraId="634C7F9F" w14:textId="77777777" w:rsidTr="00C96662">
        <w:trPr>
          <w:trHeight w:val="315"/>
        </w:trPr>
        <w:tc>
          <w:tcPr>
            <w:tcW w:w="2268" w:type="dxa"/>
            <w:tcBorders>
              <w:top w:val="single" w:sz="4" w:space="0" w:color="auto"/>
              <w:left w:val="nil"/>
              <w:bottom w:val="single" w:sz="4" w:space="0" w:color="auto"/>
              <w:right w:val="nil"/>
            </w:tcBorders>
            <w:noWrap/>
            <w:vAlign w:val="center"/>
            <w:hideMark/>
          </w:tcPr>
          <w:p w14:paraId="69FB37ED"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Function</w:t>
            </w:r>
          </w:p>
        </w:tc>
        <w:tc>
          <w:tcPr>
            <w:tcW w:w="6672" w:type="dxa"/>
            <w:tcBorders>
              <w:top w:val="single" w:sz="4" w:space="0" w:color="auto"/>
              <w:left w:val="nil"/>
              <w:bottom w:val="single" w:sz="4" w:space="0" w:color="auto"/>
              <w:right w:val="nil"/>
            </w:tcBorders>
            <w:noWrap/>
            <w:vAlign w:val="center"/>
            <w:hideMark/>
          </w:tcPr>
          <w:p w14:paraId="659D6C31"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Assessment method</w:t>
            </w:r>
          </w:p>
        </w:tc>
      </w:tr>
      <w:tr w:rsidR="00C37DB0" w14:paraId="220AB078" w14:textId="77777777" w:rsidTr="00C96662">
        <w:trPr>
          <w:trHeight w:val="315"/>
        </w:trPr>
        <w:tc>
          <w:tcPr>
            <w:tcW w:w="2268" w:type="dxa"/>
            <w:hideMark/>
          </w:tcPr>
          <w:p w14:paraId="08C8DF37"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General administration  </w:t>
            </w:r>
          </w:p>
        </w:tc>
        <w:tc>
          <w:tcPr>
            <w:tcW w:w="6672" w:type="dxa"/>
            <w:noWrap/>
            <w:hideMark/>
          </w:tcPr>
          <w:p w14:paraId="1D27FC67"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King Island actual per capita expense with isolation and wages adjustments.</w:t>
            </w:r>
          </w:p>
        </w:tc>
      </w:tr>
      <w:tr w:rsidR="00C37DB0" w14:paraId="01072256" w14:textId="77777777" w:rsidTr="00C96662">
        <w:trPr>
          <w:trHeight w:val="315"/>
        </w:trPr>
        <w:tc>
          <w:tcPr>
            <w:tcW w:w="2268" w:type="dxa"/>
            <w:hideMark/>
          </w:tcPr>
          <w:p w14:paraId="0F20B627"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Health, housing and welfare  </w:t>
            </w:r>
          </w:p>
        </w:tc>
        <w:tc>
          <w:tcPr>
            <w:tcW w:w="6672" w:type="dxa"/>
            <w:noWrap/>
            <w:hideMark/>
          </w:tcPr>
          <w:p w14:paraId="74F89F60"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Average council expenses with very remote costs, isolation and wages adjustments. </w:t>
            </w:r>
          </w:p>
        </w:tc>
      </w:tr>
      <w:tr w:rsidR="00C37DB0" w14:paraId="0CEB653F" w14:textId="77777777" w:rsidTr="00C96662">
        <w:trPr>
          <w:trHeight w:val="315"/>
        </w:trPr>
        <w:tc>
          <w:tcPr>
            <w:tcW w:w="2268" w:type="dxa"/>
            <w:hideMark/>
          </w:tcPr>
          <w:p w14:paraId="09BCE57B"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Law</w:t>
            </w:r>
            <w:r w:rsidR="00DC51B7">
              <w:rPr>
                <w:rFonts w:ascii="Calibri" w:eastAsia="Times New Roman" w:hAnsi="Calibri" w:cs="Calibri"/>
                <w:sz w:val="20"/>
                <w:szCs w:val="20"/>
                <w:lang w:eastAsia="en-AU"/>
              </w:rPr>
              <w:t>,</w:t>
            </w:r>
            <w:r>
              <w:rPr>
                <w:rFonts w:ascii="Calibri" w:eastAsia="Times New Roman" w:hAnsi="Calibri" w:cs="Calibri"/>
                <w:sz w:val="20"/>
                <w:szCs w:val="20"/>
                <w:lang w:eastAsia="en-AU"/>
              </w:rPr>
              <w:t xml:space="preserve"> order and public safety  </w:t>
            </w:r>
          </w:p>
        </w:tc>
        <w:tc>
          <w:tcPr>
            <w:tcW w:w="6672" w:type="dxa"/>
            <w:noWrap/>
            <w:hideMark/>
          </w:tcPr>
          <w:p w14:paraId="2EBC67EB"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Average council expenses with very remote costs, isolation and wages adjustments.</w:t>
            </w:r>
          </w:p>
        </w:tc>
      </w:tr>
      <w:tr w:rsidR="00C37DB0" w14:paraId="4574D28B" w14:textId="77777777" w:rsidTr="00C96662">
        <w:trPr>
          <w:trHeight w:val="555"/>
        </w:trPr>
        <w:tc>
          <w:tcPr>
            <w:tcW w:w="2268" w:type="dxa"/>
            <w:hideMark/>
          </w:tcPr>
          <w:p w14:paraId="3D97ECEE"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Planning and community amenities  </w:t>
            </w:r>
          </w:p>
        </w:tc>
        <w:tc>
          <w:tcPr>
            <w:tcW w:w="6672" w:type="dxa"/>
            <w:noWrap/>
            <w:hideMark/>
          </w:tcPr>
          <w:p w14:paraId="086929CA"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Average council expenses with very remote costs, isolation and wages adjustments.</w:t>
            </w:r>
          </w:p>
        </w:tc>
      </w:tr>
      <w:tr w:rsidR="00C37DB0" w14:paraId="391A2248" w14:textId="77777777" w:rsidTr="00C96662">
        <w:trPr>
          <w:trHeight w:val="315"/>
        </w:trPr>
        <w:tc>
          <w:tcPr>
            <w:tcW w:w="2268" w:type="dxa"/>
            <w:hideMark/>
          </w:tcPr>
          <w:p w14:paraId="2DBE0620"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Environmental protection</w:t>
            </w:r>
          </w:p>
        </w:tc>
        <w:tc>
          <w:tcPr>
            <w:tcW w:w="6672" w:type="dxa"/>
            <w:noWrap/>
            <w:hideMark/>
          </w:tcPr>
          <w:p w14:paraId="6DFDB51E"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Method as above with a $200 000 additional allowance for waste management.</w:t>
            </w:r>
          </w:p>
        </w:tc>
      </w:tr>
      <w:tr w:rsidR="00C37DB0" w14:paraId="50D4854C" w14:textId="77777777" w:rsidTr="00C96662">
        <w:trPr>
          <w:trHeight w:val="315"/>
        </w:trPr>
        <w:tc>
          <w:tcPr>
            <w:tcW w:w="2268" w:type="dxa"/>
            <w:hideMark/>
          </w:tcPr>
          <w:p w14:paraId="3AA1EAAA"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Recreation and culture</w:t>
            </w:r>
          </w:p>
        </w:tc>
        <w:tc>
          <w:tcPr>
            <w:tcW w:w="6672" w:type="dxa"/>
            <w:noWrap/>
            <w:hideMark/>
          </w:tcPr>
          <w:p w14:paraId="70B452AC"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Average council expenses with very remote cost, isolation, tourism and wages adjustments.</w:t>
            </w:r>
          </w:p>
        </w:tc>
      </w:tr>
      <w:tr w:rsidR="000052EA" w14:paraId="75645A1B" w14:textId="77777777" w:rsidTr="00C96662">
        <w:trPr>
          <w:trHeight w:val="795"/>
        </w:trPr>
        <w:tc>
          <w:tcPr>
            <w:tcW w:w="2268" w:type="dxa"/>
          </w:tcPr>
          <w:p w14:paraId="040A9559" w14:textId="77777777" w:rsidR="000052EA" w:rsidRDefault="000052EA">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Tourism</w:t>
            </w:r>
          </w:p>
        </w:tc>
        <w:tc>
          <w:tcPr>
            <w:tcW w:w="6672" w:type="dxa"/>
          </w:tcPr>
          <w:p w14:paraId="2510178E" w14:textId="77777777" w:rsidR="000052EA" w:rsidRDefault="002C386F" w:rsidP="00C96662">
            <w:pPr>
              <w:tabs>
                <w:tab w:val="clear" w:pos="567"/>
              </w:tabs>
              <w:spacing w:after="0" w:line="240" w:lineRule="auto"/>
              <w:rPr>
                <w:rFonts w:ascii="Calibri" w:eastAsia="Times New Roman" w:hAnsi="Calibri" w:cs="Calibri"/>
                <w:sz w:val="20"/>
                <w:szCs w:val="20"/>
                <w:lang w:eastAsia="en-AU"/>
              </w:rPr>
            </w:pPr>
            <w:r>
              <w:rPr>
                <w:rFonts w:ascii="Calibri" w:hAnsi="Calibri"/>
                <w:sz w:val="20"/>
                <w:szCs w:val="20"/>
              </w:rPr>
              <w:t>32% of total assessed tourism expenses. Regional costs, isolation and wages adjustments.</w:t>
            </w:r>
          </w:p>
        </w:tc>
      </w:tr>
      <w:tr w:rsidR="00C37DB0" w14:paraId="65A854DC" w14:textId="77777777" w:rsidTr="00C96662">
        <w:trPr>
          <w:trHeight w:val="795"/>
        </w:trPr>
        <w:tc>
          <w:tcPr>
            <w:tcW w:w="2268" w:type="dxa"/>
            <w:hideMark/>
          </w:tcPr>
          <w:p w14:paraId="25E1AE81"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Road maintenance</w:t>
            </w:r>
          </w:p>
        </w:tc>
        <w:tc>
          <w:tcPr>
            <w:tcW w:w="6672" w:type="dxa"/>
            <w:hideMark/>
          </w:tcPr>
          <w:p w14:paraId="5DF04588" w14:textId="77777777" w:rsidR="00C37DB0" w:rsidRDefault="00C37DB0" w:rsidP="002C6193">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Per km expenditure on local government sealed roads multiplied by the length of Norfolk Island sealed</w:t>
            </w:r>
            <w:r w:rsidR="002C6193">
              <w:rPr>
                <w:rFonts w:ascii="Calibri" w:eastAsia="Times New Roman" w:hAnsi="Calibri" w:cs="Calibri"/>
                <w:sz w:val="20"/>
                <w:szCs w:val="20"/>
                <w:lang w:eastAsia="en-AU"/>
              </w:rPr>
              <w:t xml:space="preserve"> roads</w:t>
            </w:r>
            <w:r>
              <w:rPr>
                <w:rFonts w:ascii="Calibri" w:eastAsia="Times New Roman" w:hAnsi="Calibri" w:cs="Calibri"/>
                <w:sz w:val="20"/>
                <w:szCs w:val="20"/>
                <w:lang w:eastAsia="en-AU"/>
              </w:rPr>
              <w:t xml:space="preserve"> with very remote costs, isolation, tourism and wages adjustments.</w:t>
            </w:r>
          </w:p>
        </w:tc>
      </w:tr>
      <w:tr w:rsidR="00C37DB0" w14:paraId="153CF827" w14:textId="77777777" w:rsidTr="00C96662">
        <w:trPr>
          <w:trHeight w:val="1515"/>
        </w:trPr>
        <w:tc>
          <w:tcPr>
            <w:tcW w:w="2268" w:type="dxa"/>
            <w:hideMark/>
          </w:tcPr>
          <w:p w14:paraId="05CC6FB1"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Depreciation - Roads and bridges</w:t>
            </w:r>
          </w:p>
        </w:tc>
        <w:tc>
          <w:tcPr>
            <w:tcW w:w="6672" w:type="dxa"/>
            <w:hideMark/>
          </w:tcPr>
          <w:p w14:paraId="0EE57EC5"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The value of Norfolk Island roads assets was estimated using the value of sealed roads per kilometre for King Island multiplied by the length of Norfolk Island sealed roads. The depreciation rates for King Island roads and bridges were applied to the estimated value of Norfolk Island roads and the actual value of Norfolk Island bridges respectively to obtain comparable depreciation expenses for Norfolk Island. Isolation, tourism and wages adjustments were also applied.</w:t>
            </w:r>
          </w:p>
        </w:tc>
      </w:tr>
      <w:tr w:rsidR="00C37DB0" w14:paraId="7242FC28" w14:textId="77777777" w:rsidTr="00C96662">
        <w:trPr>
          <w:trHeight w:val="1214"/>
        </w:trPr>
        <w:tc>
          <w:tcPr>
            <w:tcW w:w="2268" w:type="dxa"/>
            <w:hideMark/>
          </w:tcPr>
          <w:p w14:paraId="5F08A690"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Depreciation - Other assets</w:t>
            </w:r>
          </w:p>
        </w:tc>
        <w:tc>
          <w:tcPr>
            <w:tcW w:w="6672" w:type="dxa"/>
            <w:hideMark/>
          </w:tcPr>
          <w:p w14:paraId="69EADD91"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The value of Norfolk Island non-roads assets was estimated by multiplying the per capita value of non-road assets for King Island by the Norfolk Island population. The depreciation rate for King Island was applied to the estimated value of Norfolk Island non-roads assets to obtain comparable depreciation expenses for Norfolk Island. Isolation and wages adjustments were also applied.</w:t>
            </w:r>
          </w:p>
        </w:tc>
      </w:tr>
      <w:tr w:rsidR="00C37DB0" w14:paraId="5745B1FB" w14:textId="77777777" w:rsidTr="00C96662">
        <w:trPr>
          <w:trHeight w:val="315"/>
        </w:trPr>
        <w:tc>
          <w:tcPr>
            <w:tcW w:w="2268" w:type="dxa"/>
            <w:tcBorders>
              <w:top w:val="nil"/>
              <w:left w:val="nil"/>
              <w:bottom w:val="single" w:sz="4" w:space="0" w:color="auto"/>
              <w:right w:val="nil"/>
            </w:tcBorders>
            <w:hideMark/>
          </w:tcPr>
          <w:p w14:paraId="0ED08DBC"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Other services</w:t>
            </w:r>
          </w:p>
        </w:tc>
        <w:tc>
          <w:tcPr>
            <w:tcW w:w="6672" w:type="dxa"/>
            <w:tcBorders>
              <w:top w:val="nil"/>
              <w:left w:val="nil"/>
              <w:bottom w:val="single" w:sz="4" w:space="0" w:color="auto"/>
              <w:right w:val="nil"/>
            </w:tcBorders>
            <w:noWrap/>
            <w:hideMark/>
          </w:tcPr>
          <w:p w14:paraId="71DA1ADE"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Average council expenses with very remote costs, isolation and wages adjustments.  </w:t>
            </w:r>
          </w:p>
        </w:tc>
      </w:tr>
    </w:tbl>
    <w:p w14:paraId="27C9C36D" w14:textId="77777777" w:rsidR="00C37DB0" w:rsidRDefault="00C37DB0" w:rsidP="00C37DB0">
      <w:pPr>
        <w:pStyle w:val="CGCTableFootnote"/>
      </w:pPr>
      <w:r>
        <w:t>Source: Commission method.</w:t>
      </w:r>
    </w:p>
    <w:p w14:paraId="025AECE4" w14:textId="77777777" w:rsidR="00F570F2" w:rsidRDefault="00A53B0D" w:rsidP="001E4105">
      <w:pPr>
        <w:pStyle w:val="CGCNumberedPara"/>
        <w:tabs>
          <w:tab w:val="num" w:pos="567"/>
        </w:tabs>
      </w:pPr>
      <w:r>
        <w:t xml:space="preserve">Table F-3 </w:t>
      </w:r>
      <w:r w:rsidR="00C37DB0">
        <w:t xml:space="preserve">shows the average local government expenses and Norfolk Island assessed and actual expenses for 2017-18. </w:t>
      </w:r>
    </w:p>
    <w:p w14:paraId="753E9475" w14:textId="77777777" w:rsidR="00F570F2" w:rsidRDefault="00F570F2">
      <w:pPr>
        <w:tabs>
          <w:tab w:val="clear" w:pos="567"/>
        </w:tabs>
        <w:spacing w:after="200" w:line="276" w:lineRule="auto"/>
        <w:rPr>
          <w:szCs w:val="24"/>
        </w:rPr>
      </w:pPr>
      <w:r>
        <w:br w:type="page"/>
      </w:r>
    </w:p>
    <w:p w14:paraId="7CD23E18" w14:textId="77777777" w:rsidR="00C37DB0" w:rsidRDefault="00C37DB0" w:rsidP="00C37DB0">
      <w:pPr>
        <w:pStyle w:val="Caption"/>
      </w:pPr>
      <w:r>
        <w:lastRenderedPageBreak/>
        <w:t>Table F-</w:t>
      </w:r>
      <w:r w:rsidR="00A53B0D">
        <w:t>3</w:t>
      </w:r>
      <w:r>
        <w:tab/>
        <w:t>Local government expenses, Norfolk Island, 2017-18 — summary</w:t>
      </w:r>
    </w:p>
    <w:tbl>
      <w:tblPr>
        <w:tblW w:w="8940" w:type="dxa"/>
        <w:tblLook w:val="04A0" w:firstRow="1" w:lastRow="0" w:firstColumn="1" w:lastColumn="0" w:noHBand="0" w:noVBand="1"/>
      </w:tblPr>
      <w:tblGrid>
        <w:gridCol w:w="3820"/>
        <w:gridCol w:w="960"/>
        <w:gridCol w:w="900"/>
        <w:gridCol w:w="1180"/>
        <w:gridCol w:w="900"/>
        <w:gridCol w:w="1180"/>
      </w:tblGrid>
      <w:tr w:rsidR="00C37DB0" w14:paraId="67949CDB" w14:textId="77777777" w:rsidTr="00C37DB0">
        <w:trPr>
          <w:trHeight w:val="315"/>
        </w:trPr>
        <w:tc>
          <w:tcPr>
            <w:tcW w:w="3820" w:type="dxa"/>
            <w:vMerge w:val="restart"/>
            <w:tcBorders>
              <w:top w:val="single" w:sz="4" w:space="0" w:color="auto"/>
              <w:left w:val="nil"/>
              <w:bottom w:val="single" w:sz="4" w:space="0" w:color="000000"/>
              <w:right w:val="nil"/>
            </w:tcBorders>
            <w:vAlign w:val="center"/>
            <w:hideMark/>
          </w:tcPr>
          <w:p w14:paraId="28A51DB9" w14:textId="77777777" w:rsidR="00C37DB0" w:rsidRDefault="00C37DB0">
            <w:pPr>
              <w:tabs>
                <w:tab w:val="clear" w:pos="567"/>
                <w:tab w:val="left" w:pos="720"/>
              </w:tabs>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 </w:t>
            </w:r>
          </w:p>
        </w:tc>
        <w:tc>
          <w:tcPr>
            <w:tcW w:w="960" w:type="dxa"/>
            <w:vMerge w:val="restart"/>
            <w:tcBorders>
              <w:top w:val="single" w:sz="4" w:space="0" w:color="auto"/>
              <w:left w:val="nil"/>
              <w:bottom w:val="single" w:sz="4" w:space="0" w:color="000000"/>
              <w:right w:val="single" w:sz="4" w:space="0" w:color="auto"/>
            </w:tcBorders>
            <w:vAlign w:val="center"/>
            <w:hideMark/>
          </w:tcPr>
          <w:p w14:paraId="6172178C" w14:textId="77777777" w:rsidR="00C37DB0" w:rsidRDefault="00C37DB0">
            <w:pPr>
              <w:tabs>
                <w:tab w:val="clear" w:pos="567"/>
                <w:tab w:val="left" w:pos="720"/>
              </w:tabs>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State average</w:t>
            </w:r>
          </w:p>
        </w:tc>
        <w:tc>
          <w:tcPr>
            <w:tcW w:w="4160" w:type="dxa"/>
            <w:gridSpan w:val="4"/>
            <w:tcBorders>
              <w:top w:val="single" w:sz="4" w:space="0" w:color="auto"/>
              <w:left w:val="nil"/>
              <w:bottom w:val="single" w:sz="4" w:space="0" w:color="auto"/>
              <w:right w:val="nil"/>
            </w:tcBorders>
            <w:vAlign w:val="center"/>
            <w:hideMark/>
          </w:tcPr>
          <w:p w14:paraId="70FE51CA" w14:textId="77777777" w:rsidR="00C37DB0" w:rsidRDefault="00C37DB0">
            <w:pPr>
              <w:tabs>
                <w:tab w:val="clear" w:pos="567"/>
                <w:tab w:val="left" w:pos="720"/>
              </w:tabs>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Norfolk Island</w:t>
            </w:r>
          </w:p>
        </w:tc>
      </w:tr>
      <w:tr w:rsidR="00C37DB0" w14:paraId="6FE87E85" w14:textId="77777777" w:rsidTr="00C37DB0">
        <w:trPr>
          <w:trHeight w:val="555"/>
        </w:trPr>
        <w:tc>
          <w:tcPr>
            <w:tcW w:w="0" w:type="auto"/>
            <w:vMerge/>
            <w:tcBorders>
              <w:top w:val="single" w:sz="4" w:space="0" w:color="auto"/>
              <w:left w:val="nil"/>
              <w:bottom w:val="single" w:sz="4" w:space="0" w:color="000000"/>
              <w:right w:val="nil"/>
            </w:tcBorders>
            <w:vAlign w:val="center"/>
            <w:hideMark/>
          </w:tcPr>
          <w:p w14:paraId="4B525BBE" w14:textId="77777777" w:rsidR="00C37DB0" w:rsidRDefault="00C37DB0">
            <w:pPr>
              <w:tabs>
                <w:tab w:val="clear" w:pos="567"/>
              </w:tabs>
              <w:spacing w:after="0" w:line="276" w:lineRule="auto"/>
              <w:rPr>
                <w:rFonts w:ascii="Calibri" w:eastAsia="Times New Roman" w:hAnsi="Calibri" w:cs="Calibri"/>
                <w:sz w:val="20"/>
                <w:szCs w:val="20"/>
                <w:lang w:eastAsia="en-AU"/>
              </w:rPr>
            </w:pPr>
          </w:p>
        </w:tc>
        <w:tc>
          <w:tcPr>
            <w:tcW w:w="0" w:type="auto"/>
            <w:vMerge/>
            <w:tcBorders>
              <w:top w:val="single" w:sz="4" w:space="0" w:color="auto"/>
              <w:left w:val="nil"/>
              <w:bottom w:val="single" w:sz="4" w:space="0" w:color="000000"/>
              <w:right w:val="single" w:sz="4" w:space="0" w:color="auto"/>
            </w:tcBorders>
            <w:vAlign w:val="center"/>
            <w:hideMark/>
          </w:tcPr>
          <w:p w14:paraId="31966E3A" w14:textId="77777777" w:rsidR="00C37DB0" w:rsidRDefault="00C37DB0">
            <w:pPr>
              <w:tabs>
                <w:tab w:val="clear" w:pos="567"/>
              </w:tabs>
              <w:spacing w:after="0" w:line="276" w:lineRule="auto"/>
              <w:rPr>
                <w:rFonts w:ascii="Calibri" w:eastAsia="Times New Roman" w:hAnsi="Calibri" w:cs="Calibri"/>
                <w:sz w:val="20"/>
                <w:szCs w:val="20"/>
                <w:lang w:eastAsia="en-AU"/>
              </w:rPr>
            </w:pPr>
          </w:p>
        </w:tc>
        <w:tc>
          <w:tcPr>
            <w:tcW w:w="2080" w:type="dxa"/>
            <w:gridSpan w:val="2"/>
            <w:tcBorders>
              <w:top w:val="single" w:sz="4" w:space="0" w:color="auto"/>
              <w:left w:val="nil"/>
              <w:bottom w:val="single" w:sz="4" w:space="0" w:color="auto"/>
              <w:right w:val="nil"/>
            </w:tcBorders>
            <w:noWrap/>
            <w:vAlign w:val="center"/>
            <w:hideMark/>
          </w:tcPr>
          <w:p w14:paraId="730F779E" w14:textId="77777777" w:rsidR="00C37DB0" w:rsidRDefault="00C37DB0">
            <w:pPr>
              <w:tabs>
                <w:tab w:val="clear" w:pos="567"/>
                <w:tab w:val="left" w:pos="720"/>
              </w:tabs>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Assessed</w:t>
            </w:r>
          </w:p>
        </w:tc>
        <w:tc>
          <w:tcPr>
            <w:tcW w:w="2080" w:type="dxa"/>
            <w:gridSpan w:val="2"/>
            <w:tcBorders>
              <w:top w:val="single" w:sz="4" w:space="0" w:color="auto"/>
              <w:left w:val="nil"/>
              <w:bottom w:val="single" w:sz="4" w:space="0" w:color="auto"/>
              <w:right w:val="nil"/>
            </w:tcBorders>
            <w:noWrap/>
            <w:vAlign w:val="center"/>
            <w:hideMark/>
          </w:tcPr>
          <w:p w14:paraId="336CCC5B" w14:textId="77777777" w:rsidR="00C37DB0" w:rsidRDefault="00C37DB0">
            <w:pPr>
              <w:tabs>
                <w:tab w:val="clear" w:pos="567"/>
                <w:tab w:val="left" w:pos="720"/>
              </w:tabs>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Actual</w:t>
            </w:r>
          </w:p>
        </w:tc>
      </w:tr>
      <w:tr w:rsidR="00C37DB0" w14:paraId="76E7CB51" w14:textId="77777777" w:rsidTr="00C37DB0">
        <w:trPr>
          <w:trHeight w:val="259"/>
        </w:trPr>
        <w:tc>
          <w:tcPr>
            <w:tcW w:w="3820" w:type="dxa"/>
            <w:noWrap/>
            <w:vAlign w:val="bottom"/>
            <w:hideMark/>
          </w:tcPr>
          <w:p w14:paraId="454AAEC0" w14:textId="77777777" w:rsidR="00C37DB0" w:rsidRDefault="00C37DB0">
            <w:pPr>
              <w:rPr>
                <w:rFonts w:ascii="Calibri" w:eastAsia="Times New Roman" w:hAnsi="Calibri" w:cs="Calibri"/>
                <w:sz w:val="20"/>
                <w:szCs w:val="20"/>
                <w:lang w:eastAsia="en-AU"/>
              </w:rPr>
            </w:pPr>
          </w:p>
        </w:tc>
        <w:tc>
          <w:tcPr>
            <w:tcW w:w="960" w:type="dxa"/>
            <w:tcBorders>
              <w:top w:val="nil"/>
              <w:left w:val="nil"/>
              <w:bottom w:val="nil"/>
              <w:right w:val="single" w:sz="4" w:space="0" w:color="auto"/>
            </w:tcBorders>
            <w:vAlign w:val="center"/>
            <w:hideMark/>
          </w:tcPr>
          <w:p w14:paraId="5D1ECE18"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$pc</w:t>
            </w:r>
          </w:p>
        </w:tc>
        <w:tc>
          <w:tcPr>
            <w:tcW w:w="900" w:type="dxa"/>
            <w:vAlign w:val="center"/>
            <w:hideMark/>
          </w:tcPr>
          <w:p w14:paraId="01D56077"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$pc</w:t>
            </w:r>
          </w:p>
        </w:tc>
        <w:tc>
          <w:tcPr>
            <w:tcW w:w="1180" w:type="dxa"/>
            <w:vAlign w:val="center"/>
            <w:hideMark/>
          </w:tcPr>
          <w:p w14:paraId="71E25E5D"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w:t>
            </w:r>
          </w:p>
        </w:tc>
        <w:tc>
          <w:tcPr>
            <w:tcW w:w="900" w:type="dxa"/>
            <w:vAlign w:val="center"/>
            <w:hideMark/>
          </w:tcPr>
          <w:p w14:paraId="144B0B47"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$pc</w:t>
            </w:r>
          </w:p>
        </w:tc>
        <w:tc>
          <w:tcPr>
            <w:tcW w:w="1180" w:type="dxa"/>
            <w:vAlign w:val="center"/>
            <w:hideMark/>
          </w:tcPr>
          <w:p w14:paraId="1DFC6628"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w:t>
            </w:r>
          </w:p>
        </w:tc>
      </w:tr>
      <w:tr w:rsidR="00C37DB0" w14:paraId="044E2609" w14:textId="77777777" w:rsidTr="00C37DB0">
        <w:trPr>
          <w:trHeight w:val="315"/>
        </w:trPr>
        <w:tc>
          <w:tcPr>
            <w:tcW w:w="3820" w:type="dxa"/>
            <w:noWrap/>
            <w:vAlign w:val="bottom"/>
            <w:hideMark/>
          </w:tcPr>
          <w:p w14:paraId="356FEADF" w14:textId="77777777" w:rsidR="00C37DB0" w:rsidRDefault="003B40C2">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General a</w:t>
            </w:r>
            <w:r w:rsidR="00C37DB0">
              <w:rPr>
                <w:rFonts w:ascii="Calibri" w:eastAsia="Times New Roman" w:hAnsi="Calibri" w:cs="Calibri"/>
                <w:sz w:val="20"/>
                <w:szCs w:val="20"/>
                <w:lang w:eastAsia="en-AU"/>
              </w:rPr>
              <w:t>dministration</w:t>
            </w:r>
          </w:p>
        </w:tc>
        <w:tc>
          <w:tcPr>
            <w:tcW w:w="960" w:type="dxa"/>
            <w:tcBorders>
              <w:top w:val="nil"/>
              <w:left w:val="nil"/>
              <w:bottom w:val="nil"/>
              <w:right w:val="single" w:sz="4" w:space="0" w:color="auto"/>
            </w:tcBorders>
            <w:vAlign w:val="center"/>
            <w:hideMark/>
          </w:tcPr>
          <w:p w14:paraId="21923E03"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270</w:t>
            </w:r>
          </w:p>
        </w:tc>
        <w:tc>
          <w:tcPr>
            <w:tcW w:w="900" w:type="dxa"/>
            <w:vAlign w:val="center"/>
            <w:hideMark/>
          </w:tcPr>
          <w:p w14:paraId="0261BA22"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813</w:t>
            </w:r>
          </w:p>
        </w:tc>
        <w:tc>
          <w:tcPr>
            <w:tcW w:w="1180" w:type="dxa"/>
            <w:vAlign w:val="center"/>
            <w:hideMark/>
          </w:tcPr>
          <w:p w14:paraId="7A2E50F0"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1 428 480</w:t>
            </w:r>
          </w:p>
        </w:tc>
        <w:tc>
          <w:tcPr>
            <w:tcW w:w="900" w:type="dxa"/>
            <w:vAlign w:val="center"/>
            <w:hideMark/>
          </w:tcPr>
          <w:p w14:paraId="5DE3F5EF"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456</w:t>
            </w:r>
          </w:p>
        </w:tc>
        <w:tc>
          <w:tcPr>
            <w:tcW w:w="1180" w:type="dxa"/>
            <w:vAlign w:val="center"/>
            <w:hideMark/>
          </w:tcPr>
          <w:p w14:paraId="0D5EAE37"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800 209</w:t>
            </w:r>
          </w:p>
        </w:tc>
      </w:tr>
      <w:tr w:rsidR="00C37DB0" w14:paraId="3B28FFAB" w14:textId="77777777" w:rsidTr="00C37DB0">
        <w:trPr>
          <w:trHeight w:val="315"/>
        </w:trPr>
        <w:tc>
          <w:tcPr>
            <w:tcW w:w="3820" w:type="dxa"/>
            <w:noWrap/>
            <w:vAlign w:val="bottom"/>
            <w:hideMark/>
          </w:tcPr>
          <w:p w14:paraId="4515E7A2"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Health, housing and welfare</w:t>
            </w:r>
          </w:p>
        </w:tc>
        <w:tc>
          <w:tcPr>
            <w:tcW w:w="960" w:type="dxa"/>
            <w:tcBorders>
              <w:top w:val="nil"/>
              <w:left w:val="nil"/>
              <w:bottom w:val="nil"/>
              <w:right w:val="single" w:sz="4" w:space="0" w:color="auto"/>
            </w:tcBorders>
            <w:vAlign w:val="center"/>
            <w:hideMark/>
          </w:tcPr>
          <w:p w14:paraId="74640CD0"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89</w:t>
            </w:r>
          </w:p>
        </w:tc>
        <w:tc>
          <w:tcPr>
            <w:tcW w:w="900" w:type="dxa"/>
            <w:vAlign w:val="center"/>
            <w:hideMark/>
          </w:tcPr>
          <w:p w14:paraId="3D4C7509"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122</w:t>
            </w:r>
          </w:p>
        </w:tc>
        <w:tc>
          <w:tcPr>
            <w:tcW w:w="1180" w:type="dxa"/>
            <w:vAlign w:val="center"/>
            <w:hideMark/>
          </w:tcPr>
          <w:p w14:paraId="39329C48"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213 842</w:t>
            </w:r>
          </w:p>
        </w:tc>
        <w:tc>
          <w:tcPr>
            <w:tcW w:w="900" w:type="dxa"/>
            <w:vAlign w:val="center"/>
            <w:hideMark/>
          </w:tcPr>
          <w:p w14:paraId="65A250F8"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0</w:t>
            </w:r>
          </w:p>
        </w:tc>
        <w:tc>
          <w:tcPr>
            <w:tcW w:w="1180" w:type="dxa"/>
            <w:vAlign w:val="center"/>
            <w:hideMark/>
          </w:tcPr>
          <w:p w14:paraId="1F0919A1"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0</w:t>
            </w:r>
          </w:p>
        </w:tc>
      </w:tr>
      <w:tr w:rsidR="00C37DB0" w14:paraId="12CCE219" w14:textId="77777777" w:rsidTr="00C37DB0">
        <w:trPr>
          <w:trHeight w:val="315"/>
        </w:trPr>
        <w:tc>
          <w:tcPr>
            <w:tcW w:w="3820" w:type="dxa"/>
            <w:noWrap/>
            <w:vAlign w:val="bottom"/>
            <w:hideMark/>
          </w:tcPr>
          <w:p w14:paraId="2EE51638"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Law</w:t>
            </w:r>
            <w:r w:rsidR="003B40C2">
              <w:rPr>
                <w:rFonts w:ascii="Calibri" w:eastAsia="Times New Roman" w:hAnsi="Calibri" w:cs="Calibri"/>
                <w:sz w:val="20"/>
                <w:szCs w:val="20"/>
                <w:lang w:eastAsia="en-AU"/>
              </w:rPr>
              <w:t>,</w:t>
            </w:r>
            <w:r>
              <w:rPr>
                <w:rFonts w:ascii="Calibri" w:eastAsia="Times New Roman" w:hAnsi="Calibri" w:cs="Calibri"/>
                <w:sz w:val="20"/>
                <w:szCs w:val="20"/>
                <w:lang w:eastAsia="en-AU"/>
              </w:rPr>
              <w:t xml:space="preserve"> order and public safety </w:t>
            </w:r>
          </w:p>
        </w:tc>
        <w:tc>
          <w:tcPr>
            <w:tcW w:w="960" w:type="dxa"/>
            <w:tcBorders>
              <w:top w:val="nil"/>
              <w:left w:val="nil"/>
              <w:bottom w:val="nil"/>
              <w:right w:val="single" w:sz="4" w:space="0" w:color="auto"/>
            </w:tcBorders>
            <w:vAlign w:val="center"/>
            <w:hideMark/>
          </w:tcPr>
          <w:p w14:paraId="259226AE"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37</w:t>
            </w:r>
          </w:p>
        </w:tc>
        <w:tc>
          <w:tcPr>
            <w:tcW w:w="900" w:type="dxa"/>
            <w:vAlign w:val="center"/>
            <w:hideMark/>
          </w:tcPr>
          <w:p w14:paraId="72E2ADDC"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51</w:t>
            </w:r>
          </w:p>
        </w:tc>
        <w:tc>
          <w:tcPr>
            <w:tcW w:w="1180" w:type="dxa"/>
            <w:vAlign w:val="center"/>
            <w:hideMark/>
          </w:tcPr>
          <w:p w14:paraId="7D34CA27"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89 060</w:t>
            </w:r>
          </w:p>
        </w:tc>
        <w:tc>
          <w:tcPr>
            <w:tcW w:w="900" w:type="dxa"/>
            <w:vAlign w:val="center"/>
            <w:hideMark/>
          </w:tcPr>
          <w:p w14:paraId="6D3C3679"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0</w:t>
            </w:r>
          </w:p>
        </w:tc>
        <w:tc>
          <w:tcPr>
            <w:tcW w:w="1180" w:type="dxa"/>
            <w:vAlign w:val="center"/>
            <w:hideMark/>
          </w:tcPr>
          <w:p w14:paraId="3A02A6FC"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0</w:t>
            </w:r>
          </w:p>
        </w:tc>
      </w:tr>
      <w:tr w:rsidR="00C37DB0" w14:paraId="524B4710" w14:textId="77777777" w:rsidTr="00C37DB0">
        <w:trPr>
          <w:trHeight w:val="315"/>
        </w:trPr>
        <w:tc>
          <w:tcPr>
            <w:tcW w:w="3820" w:type="dxa"/>
            <w:noWrap/>
            <w:vAlign w:val="bottom"/>
            <w:hideMark/>
          </w:tcPr>
          <w:p w14:paraId="590A96AC"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Planning and community amenities</w:t>
            </w:r>
          </w:p>
        </w:tc>
        <w:tc>
          <w:tcPr>
            <w:tcW w:w="960" w:type="dxa"/>
            <w:tcBorders>
              <w:top w:val="nil"/>
              <w:left w:val="nil"/>
              <w:bottom w:val="nil"/>
              <w:right w:val="single" w:sz="4" w:space="0" w:color="auto"/>
            </w:tcBorders>
            <w:vAlign w:val="center"/>
            <w:hideMark/>
          </w:tcPr>
          <w:p w14:paraId="06432A2A"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128</w:t>
            </w:r>
          </w:p>
        </w:tc>
        <w:tc>
          <w:tcPr>
            <w:tcW w:w="900" w:type="dxa"/>
            <w:vAlign w:val="center"/>
            <w:hideMark/>
          </w:tcPr>
          <w:p w14:paraId="59B55364"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175</w:t>
            </w:r>
          </w:p>
        </w:tc>
        <w:tc>
          <w:tcPr>
            <w:tcW w:w="1180" w:type="dxa"/>
            <w:vAlign w:val="center"/>
            <w:hideMark/>
          </w:tcPr>
          <w:p w14:paraId="1C4CFDC5"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307 823</w:t>
            </w:r>
          </w:p>
        </w:tc>
        <w:tc>
          <w:tcPr>
            <w:tcW w:w="900" w:type="dxa"/>
            <w:vAlign w:val="center"/>
            <w:hideMark/>
          </w:tcPr>
          <w:p w14:paraId="50B02B42"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525</w:t>
            </w:r>
          </w:p>
        </w:tc>
        <w:tc>
          <w:tcPr>
            <w:tcW w:w="1180" w:type="dxa"/>
            <w:vAlign w:val="center"/>
            <w:hideMark/>
          </w:tcPr>
          <w:p w14:paraId="117861C4"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921 736</w:t>
            </w:r>
          </w:p>
        </w:tc>
      </w:tr>
      <w:tr w:rsidR="00C37DB0" w14:paraId="54A9BA85" w14:textId="77777777" w:rsidTr="00C37DB0">
        <w:trPr>
          <w:trHeight w:val="315"/>
        </w:trPr>
        <w:tc>
          <w:tcPr>
            <w:tcW w:w="3820" w:type="dxa"/>
            <w:noWrap/>
            <w:vAlign w:val="bottom"/>
            <w:hideMark/>
          </w:tcPr>
          <w:p w14:paraId="2CF206C2"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Environmental protection </w:t>
            </w:r>
          </w:p>
        </w:tc>
        <w:tc>
          <w:tcPr>
            <w:tcW w:w="960" w:type="dxa"/>
            <w:tcBorders>
              <w:top w:val="nil"/>
              <w:left w:val="nil"/>
              <w:bottom w:val="nil"/>
              <w:right w:val="single" w:sz="4" w:space="0" w:color="auto"/>
            </w:tcBorders>
            <w:vAlign w:val="center"/>
            <w:hideMark/>
          </w:tcPr>
          <w:p w14:paraId="5BFA0110"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183</w:t>
            </w:r>
          </w:p>
        </w:tc>
        <w:tc>
          <w:tcPr>
            <w:tcW w:w="900" w:type="dxa"/>
            <w:vAlign w:val="center"/>
            <w:hideMark/>
          </w:tcPr>
          <w:p w14:paraId="2107B2AF"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364</w:t>
            </w:r>
          </w:p>
        </w:tc>
        <w:tc>
          <w:tcPr>
            <w:tcW w:w="1180" w:type="dxa"/>
            <w:vAlign w:val="center"/>
            <w:hideMark/>
          </w:tcPr>
          <w:p w14:paraId="3F5E9E52"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639 592</w:t>
            </w:r>
          </w:p>
        </w:tc>
        <w:tc>
          <w:tcPr>
            <w:tcW w:w="900" w:type="dxa"/>
            <w:vAlign w:val="center"/>
            <w:hideMark/>
          </w:tcPr>
          <w:p w14:paraId="2BEC72DA"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529</w:t>
            </w:r>
          </w:p>
        </w:tc>
        <w:tc>
          <w:tcPr>
            <w:tcW w:w="1180" w:type="dxa"/>
            <w:vAlign w:val="center"/>
            <w:hideMark/>
          </w:tcPr>
          <w:p w14:paraId="28FEDE7A"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929 210</w:t>
            </w:r>
          </w:p>
        </w:tc>
      </w:tr>
      <w:tr w:rsidR="00C37DB0" w14:paraId="78FD4FC3" w14:textId="77777777" w:rsidTr="00C37DB0">
        <w:trPr>
          <w:trHeight w:val="315"/>
        </w:trPr>
        <w:tc>
          <w:tcPr>
            <w:tcW w:w="3820" w:type="dxa"/>
            <w:noWrap/>
            <w:vAlign w:val="bottom"/>
            <w:hideMark/>
          </w:tcPr>
          <w:p w14:paraId="0E65761B"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Recreation and culture</w:t>
            </w:r>
          </w:p>
        </w:tc>
        <w:tc>
          <w:tcPr>
            <w:tcW w:w="960" w:type="dxa"/>
            <w:tcBorders>
              <w:top w:val="nil"/>
              <w:left w:val="nil"/>
              <w:bottom w:val="nil"/>
              <w:right w:val="single" w:sz="4" w:space="0" w:color="auto"/>
            </w:tcBorders>
            <w:vAlign w:val="center"/>
            <w:hideMark/>
          </w:tcPr>
          <w:p w14:paraId="6570B1F6"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206</w:t>
            </w:r>
          </w:p>
        </w:tc>
        <w:tc>
          <w:tcPr>
            <w:tcW w:w="900" w:type="dxa"/>
            <w:vAlign w:val="center"/>
            <w:hideMark/>
          </w:tcPr>
          <w:p w14:paraId="2F682780"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314</w:t>
            </w:r>
          </w:p>
        </w:tc>
        <w:tc>
          <w:tcPr>
            <w:tcW w:w="1180" w:type="dxa"/>
            <w:vAlign w:val="center"/>
            <w:hideMark/>
          </w:tcPr>
          <w:p w14:paraId="49C01A03"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550 984</w:t>
            </w:r>
          </w:p>
        </w:tc>
        <w:tc>
          <w:tcPr>
            <w:tcW w:w="900" w:type="dxa"/>
            <w:vAlign w:val="center"/>
            <w:hideMark/>
          </w:tcPr>
          <w:p w14:paraId="69B2CDFD"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0</w:t>
            </w:r>
          </w:p>
        </w:tc>
        <w:tc>
          <w:tcPr>
            <w:tcW w:w="1180" w:type="dxa"/>
            <w:vAlign w:val="center"/>
            <w:hideMark/>
          </w:tcPr>
          <w:p w14:paraId="0B954824"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0</w:t>
            </w:r>
          </w:p>
        </w:tc>
      </w:tr>
      <w:tr w:rsidR="00C37DB0" w14:paraId="4076AD5A" w14:textId="77777777" w:rsidTr="00C37DB0">
        <w:trPr>
          <w:trHeight w:val="315"/>
        </w:trPr>
        <w:tc>
          <w:tcPr>
            <w:tcW w:w="3820" w:type="dxa"/>
            <w:noWrap/>
            <w:vAlign w:val="bottom"/>
            <w:hideMark/>
          </w:tcPr>
          <w:p w14:paraId="28E9DF02"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Tourism</w:t>
            </w:r>
          </w:p>
        </w:tc>
        <w:tc>
          <w:tcPr>
            <w:tcW w:w="960" w:type="dxa"/>
            <w:tcBorders>
              <w:top w:val="nil"/>
              <w:left w:val="nil"/>
              <w:bottom w:val="nil"/>
              <w:right w:val="single" w:sz="4" w:space="0" w:color="auto"/>
            </w:tcBorders>
            <w:vAlign w:val="center"/>
            <w:hideMark/>
          </w:tcPr>
          <w:p w14:paraId="2F1D0A3F"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19</w:t>
            </w:r>
          </w:p>
        </w:tc>
        <w:tc>
          <w:tcPr>
            <w:tcW w:w="900" w:type="dxa"/>
            <w:vAlign w:val="center"/>
            <w:hideMark/>
          </w:tcPr>
          <w:p w14:paraId="081EE769"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230</w:t>
            </w:r>
          </w:p>
        </w:tc>
        <w:tc>
          <w:tcPr>
            <w:tcW w:w="1180" w:type="dxa"/>
            <w:vAlign w:val="center"/>
            <w:hideMark/>
          </w:tcPr>
          <w:p w14:paraId="24A0566D"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403 376</w:t>
            </w:r>
          </w:p>
        </w:tc>
        <w:tc>
          <w:tcPr>
            <w:tcW w:w="900" w:type="dxa"/>
            <w:vAlign w:val="center"/>
            <w:hideMark/>
          </w:tcPr>
          <w:p w14:paraId="36205EAD"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283</w:t>
            </w:r>
          </w:p>
        </w:tc>
        <w:tc>
          <w:tcPr>
            <w:tcW w:w="1180" w:type="dxa"/>
            <w:vAlign w:val="center"/>
            <w:hideMark/>
          </w:tcPr>
          <w:p w14:paraId="12DCECD7"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497 613</w:t>
            </w:r>
          </w:p>
        </w:tc>
      </w:tr>
      <w:tr w:rsidR="00C37DB0" w14:paraId="7C99EAB4" w14:textId="77777777" w:rsidTr="00C37DB0">
        <w:trPr>
          <w:trHeight w:val="315"/>
        </w:trPr>
        <w:tc>
          <w:tcPr>
            <w:tcW w:w="3820" w:type="dxa"/>
            <w:noWrap/>
            <w:vAlign w:val="bottom"/>
            <w:hideMark/>
          </w:tcPr>
          <w:p w14:paraId="23E526D8"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Roads and bridges</w:t>
            </w:r>
          </w:p>
        </w:tc>
        <w:tc>
          <w:tcPr>
            <w:tcW w:w="960" w:type="dxa"/>
            <w:tcBorders>
              <w:top w:val="nil"/>
              <w:left w:val="nil"/>
              <w:bottom w:val="nil"/>
              <w:right w:val="single" w:sz="4" w:space="0" w:color="auto"/>
            </w:tcBorders>
            <w:vAlign w:val="center"/>
            <w:hideMark/>
          </w:tcPr>
          <w:p w14:paraId="290FFB72"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169</w:t>
            </w:r>
          </w:p>
        </w:tc>
        <w:tc>
          <w:tcPr>
            <w:tcW w:w="900" w:type="dxa"/>
            <w:vAlign w:val="center"/>
            <w:hideMark/>
          </w:tcPr>
          <w:p w14:paraId="652E091F"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382</w:t>
            </w:r>
          </w:p>
        </w:tc>
        <w:tc>
          <w:tcPr>
            <w:tcW w:w="1180" w:type="dxa"/>
            <w:vAlign w:val="center"/>
            <w:hideMark/>
          </w:tcPr>
          <w:p w14:paraId="3220D9C2"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670 027</w:t>
            </w:r>
          </w:p>
        </w:tc>
        <w:tc>
          <w:tcPr>
            <w:tcW w:w="900" w:type="dxa"/>
            <w:vAlign w:val="center"/>
            <w:hideMark/>
          </w:tcPr>
          <w:p w14:paraId="314EA5BE"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802</w:t>
            </w:r>
          </w:p>
        </w:tc>
        <w:tc>
          <w:tcPr>
            <w:tcW w:w="1180" w:type="dxa"/>
            <w:vAlign w:val="center"/>
            <w:hideMark/>
          </w:tcPr>
          <w:p w14:paraId="313941B1"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1 408 135</w:t>
            </w:r>
          </w:p>
        </w:tc>
      </w:tr>
      <w:tr w:rsidR="00C37DB0" w14:paraId="533882C1" w14:textId="77777777" w:rsidTr="00C37DB0">
        <w:trPr>
          <w:trHeight w:val="315"/>
        </w:trPr>
        <w:tc>
          <w:tcPr>
            <w:tcW w:w="3820" w:type="dxa"/>
            <w:noWrap/>
            <w:vAlign w:val="bottom"/>
            <w:hideMark/>
          </w:tcPr>
          <w:p w14:paraId="37CDFF91" w14:textId="77777777" w:rsidR="00C37DB0" w:rsidRDefault="003B40C2" w:rsidP="003B40C2">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Depreciation –  ro</w:t>
            </w:r>
            <w:r w:rsidR="00C37DB0">
              <w:rPr>
                <w:rFonts w:ascii="Calibri" w:eastAsia="Times New Roman" w:hAnsi="Calibri" w:cs="Calibri"/>
                <w:sz w:val="20"/>
                <w:szCs w:val="20"/>
                <w:lang w:eastAsia="en-AU"/>
              </w:rPr>
              <w:t>ads and bridges</w:t>
            </w:r>
          </w:p>
        </w:tc>
        <w:tc>
          <w:tcPr>
            <w:tcW w:w="960" w:type="dxa"/>
            <w:tcBorders>
              <w:top w:val="nil"/>
              <w:left w:val="nil"/>
              <w:bottom w:val="nil"/>
              <w:right w:val="single" w:sz="4" w:space="0" w:color="auto"/>
            </w:tcBorders>
            <w:noWrap/>
            <w:vAlign w:val="bottom"/>
            <w:hideMark/>
          </w:tcPr>
          <w:p w14:paraId="74D22109"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141</w:t>
            </w:r>
          </w:p>
        </w:tc>
        <w:tc>
          <w:tcPr>
            <w:tcW w:w="900" w:type="dxa"/>
            <w:noWrap/>
            <w:vAlign w:val="bottom"/>
            <w:hideMark/>
          </w:tcPr>
          <w:p w14:paraId="3C4A3B6C"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394</w:t>
            </w:r>
          </w:p>
        </w:tc>
        <w:tc>
          <w:tcPr>
            <w:tcW w:w="1180" w:type="dxa"/>
            <w:noWrap/>
            <w:vAlign w:val="bottom"/>
            <w:hideMark/>
          </w:tcPr>
          <w:p w14:paraId="06D68078"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692 001</w:t>
            </w:r>
          </w:p>
        </w:tc>
        <w:tc>
          <w:tcPr>
            <w:tcW w:w="900" w:type="dxa"/>
            <w:noWrap/>
            <w:vAlign w:val="bottom"/>
            <w:hideMark/>
          </w:tcPr>
          <w:p w14:paraId="6E0B3416"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523</w:t>
            </w:r>
          </w:p>
        </w:tc>
        <w:tc>
          <w:tcPr>
            <w:tcW w:w="1180" w:type="dxa"/>
            <w:noWrap/>
            <w:vAlign w:val="bottom"/>
            <w:hideMark/>
          </w:tcPr>
          <w:p w14:paraId="3EDA2E8C"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918 433</w:t>
            </w:r>
          </w:p>
        </w:tc>
      </w:tr>
      <w:tr w:rsidR="00C37DB0" w14:paraId="7EA99B21" w14:textId="77777777" w:rsidTr="00C37DB0">
        <w:trPr>
          <w:trHeight w:val="315"/>
        </w:trPr>
        <w:tc>
          <w:tcPr>
            <w:tcW w:w="3820" w:type="dxa"/>
            <w:noWrap/>
            <w:vAlign w:val="bottom"/>
            <w:hideMark/>
          </w:tcPr>
          <w:p w14:paraId="39FD1469" w14:textId="77777777" w:rsidR="00C37DB0" w:rsidRDefault="003B40C2" w:rsidP="003B40C2">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Depreciation – o</w:t>
            </w:r>
            <w:r w:rsidR="00C37DB0">
              <w:rPr>
                <w:rFonts w:ascii="Calibri" w:eastAsia="Times New Roman" w:hAnsi="Calibri" w:cs="Calibri"/>
                <w:sz w:val="20"/>
                <w:szCs w:val="20"/>
                <w:lang w:eastAsia="en-AU"/>
              </w:rPr>
              <w:t>ther assets</w:t>
            </w:r>
          </w:p>
        </w:tc>
        <w:tc>
          <w:tcPr>
            <w:tcW w:w="960" w:type="dxa"/>
            <w:tcBorders>
              <w:top w:val="nil"/>
              <w:left w:val="nil"/>
              <w:bottom w:val="nil"/>
              <w:right w:val="single" w:sz="4" w:space="0" w:color="auto"/>
            </w:tcBorders>
            <w:noWrap/>
            <w:vAlign w:val="bottom"/>
            <w:hideMark/>
          </w:tcPr>
          <w:p w14:paraId="3D04C202"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183</w:t>
            </w:r>
          </w:p>
        </w:tc>
        <w:tc>
          <w:tcPr>
            <w:tcW w:w="900" w:type="dxa"/>
            <w:noWrap/>
            <w:vAlign w:val="bottom"/>
            <w:hideMark/>
          </w:tcPr>
          <w:p w14:paraId="7A93939A"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231</w:t>
            </w:r>
          </w:p>
        </w:tc>
        <w:tc>
          <w:tcPr>
            <w:tcW w:w="1180" w:type="dxa"/>
            <w:noWrap/>
            <w:vAlign w:val="bottom"/>
            <w:hideMark/>
          </w:tcPr>
          <w:p w14:paraId="0A9262B9"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406 194</w:t>
            </w:r>
          </w:p>
        </w:tc>
        <w:tc>
          <w:tcPr>
            <w:tcW w:w="900" w:type="dxa"/>
            <w:noWrap/>
            <w:vAlign w:val="bottom"/>
            <w:hideMark/>
          </w:tcPr>
          <w:p w14:paraId="2CE21CB7"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407</w:t>
            </w:r>
          </w:p>
        </w:tc>
        <w:tc>
          <w:tcPr>
            <w:tcW w:w="1180" w:type="dxa"/>
            <w:noWrap/>
            <w:vAlign w:val="bottom"/>
            <w:hideMark/>
          </w:tcPr>
          <w:p w14:paraId="79745339"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714 157</w:t>
            </w:r>
          </w:p>
        </w:tc>
      </w:tr>
      <w:tr w:rsidR="00C37DB0" w14:paraId="7069A0B7" w14:textId="77777777" w:rsidTr="00C37DB0">
        <w:trPr>
          <w:trHeight w:val="315"/>
        </w:trPr>
        <w:tc>
          <w:tcPr>
            <w:tcW w:w="3820" w:type="dxa"/>
            <w:noWrap/>
            <w:vAlign w:val="bottom"/>
            <w:hideMark/>
          </w:tcPr>
          <w:p w14:paraId="4BB130B5"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Debt charges</w:t>
            </w:r>
          </w:p>
        </w:tc>
        <w:tc>
          <w:tcPr>
            <w:tcW w:w="960" w:type="dxa"/>
            <w:tcBorders>
              <w:top w:val="nil"/>
              <w:left w:val="nil"/>
              <w:bottom w:val="nil"/>
              <w:right w:val="single" w:sz="4" w:space="0" w:color="auto"/>
            </w:tcBorders>
            <w:noWrap/>
            <w:vAlign w:val="bottom"/>
            <w:hideMark/>
          </w:tcPr>
          <w:p w14:paraId="67A662FF"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25</w:t>
            </w:r>
          </w:p>
        </w:tc>
        <w:tc>
          <w:tcPr>
            <w:tcW w:w="900" w:type="dxa"/>
            <w:noWrap/>
            <w:vAlign w:val="bottom"/>
            <w:hideMark/>
          </w:tcPr>
          <w:p w14:paraId="7530C945"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0</w:t>
            </w:r>
          </w:p>
        </w:tc>
        <w:tc>
          <w:tcPr>
            <w:tcW w:w="1180" w:type="dxa"/>
            <w:noWrap/>
            <w:vAlign w:val="bottom"/>
            <w:hideMark/>
          </w:tcPr>
          <w:p w14:paraId="6BA646D6"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0</w:t>
            </w:r>
          </w:p>
        </w:tc>
        <w:tc>
          <w:tcPr>
            <w:tcW w:w="900" w:type="dxa"/>
            <w:noWrap/>
            <w:vAlign w:val="bottom"/>
            <w:hideMark/>
          </w:tcPr>
          <w:p w14:paraId="64F879CC"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0</w:t>
            </w:r>
          </w:p>
        </w:tc>
        <w:tc>
          <w:tcPr>
            <w:tcW w:w="1180" w:type="dxa"/>
            <w:noWrap/>
            <w:vAlign w:val="bottom"/>
            <w:hideMark/>
          </w:tcPr>
          <w:p w14:paraId="2B658344"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0</w:t>
            </w:r>
          </w:p>
        </w:tc>
      </w:tr>
      <w:tr w:rsidR="00C37DB0" w14:paraId="42AE2790" w14:textId="77777777" w:rsidTr="00C37DB0">
        <w:trPr>
          <w:trHeight w:val="315"/>
        </w:trPr>
        <w:tc>
          <w:tcPr>
            <w:tcW w:w="3820" w:type="dxa"/>
            <w:noWrap/>
            <w:vAlign w:val="bottom"/>
            <w:hideMark/>
          </w:tcPr>
          <w:p w14:paraId="1F478498"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Other</w:t>
            </w:r>
          </w:p>
        </w:tc>
        <w:tc>
          <w:tcPr>
            <w:tcW w:w="960" w:type="dxa"/>
            <w:tcBorders>
              <w:top w:val="nil"/>
              <w:left w:val="nil"/>
              <w:bottom w:val="nil"/>
              <w:right w:val="single" w:sz="4" w:space="0" w:color="auto"/>
            </w:tcBorders>
            <w:noWrap/>
            <w:vAlign w:val="bottom"/>
            <w:hideMark/>
          </w:tcPr>
          <w:p w14:paraId="15B6754B"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67</w:t>
            </w:r>
          </w:p>
        </w:tc>
        <w:tc>
          <w:tcPr>
            <w:tcW w:w="900" w:type="dxa"/>
            <w:noWrap/>
            <w:vAlign w:val="bottom"/>
            <w:hideMark/>
          </w:tcPr>
          <w:p w14:paraId="13BE68F5"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92</w:t>
            </w:r>
          </w:p>
        </w:tc>
        <w:tc>
          <w:tcPr>
            <w:tcW w:w="1180" w:type="dxa"/>
            <w:noWrap/>
            <w:vAlign w:val="bottom"/>
            <w:hideMark/>
          </w:tcPr>
          <w:p w14:paraId="0ACD4703"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160 898</w:t>
            </w:r>
          </w:p>
        </w:tc>
        <w:tc>
          <w:tcPr>
            <w:tcW w:w="900" w:type="dxa"/>
            <w:noWrap/>
            <w:vAlign w:val="bottom"/>
            <w:hideMark/>
          </w:tcPr>
          <w:p w14:paraId="002A06ED"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456</w:t>
            </w:r>
          </w:p>
        </w:tc>
        <w:tc>
          <w:tcPr>
            <w:tcW w:w="1180" w:type="dxa"/>
            <w:noWrap/>
            <w:vAlign w:val="bottom"/>
            <w:hideMark/>
          </w:tcPr>
          <w:p w14:paraId="6758547D"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800 209</w:t>
            </w:r>
          </w:p>
        </w:tc>
      </w:tr>
      <w:tr w:rsidR="00C37DB0" w14:paraId="3C4521A0" w14:textId="77777777" w:rsidTr="00C37DB0">
        <w:trPr>
          <w:trHeight w:val="315"/>
        </w:trPr>
        <w:tc>
          <w:tcPr>
            <w:tcW w:w="3820" w:type="dxa"/>
            <w:tcBorders>
              <w:top w:val="nil"/>
              <w:left w:val="nil"/>
              <w:bottom w:val="single" w:sz="4" w:space="0" w:color="auto"/>
              <w:right w:val="nil"/>
            </w:tcBorders>
            <w:noWrap/>
            <w:vAlign w:val="bottom"/>
            <w:hideMark/>
          </w:tcPr>
          <w:p w14:paraId="2E30939C" w14:textId="77777777" w:rsidR="00C37DB0" w:rsidRDefault="00C37DB0">
            <w:pPr>
              <w:tabs>
                <w:tab w:val="clear" w:pos="567"/>
                <w:tab w:val="left" w:pos="720"/>
              </w:tabs>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Total</w:t>
            </w:r>
          </w:p>
        </w:tc>
        <w:tc>
          <w:tcPr>
            <w:tcW w:w="960" w:type="dxa"/>
            <w:tcBorders>
              <w:top w:val="single" w:sz="4" w:space="0" w:color="auto"/>
              <w:left w:val="nil"/>
              <w:bottom w:val="single" w:sz="4" w:space="0" w:color="auto"/>
              <w:right w:val="single" w:sz="4" w:space="0" w:color="auto"/>
            </w:tcBorders>
            <w:vAlign w:val="center"/>
            <w:hideMark/>
          </w:tcPr>
          <w:p w14:paraId="189B886A"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1 519</w:t>
            </w:r>
          </w:p>
        </w:tc>
        <w:tc>
          <w:tcPr>
            <w:tcW w:w="900" w:type="dxa"/>
            <w:tcBorders>
              <w:top w:val="single" w:sz="4" w:space="0" w:color="auto"/>
              <w:left w:val="nil"/>
              <w:bottom w:val="single" w:sz="4" w:space="0" w:color="auto"/>
              <w:right w:val="nil"/>
            </w:tcBorders>
            <w:vAlign w:val="center"/>
            <w:hideMark/>
          </w:tcPr>
          <w:p w14:paraId="21CCFB97"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3 168</w:t>
            </w:r>
          </w:p>
        </w:tc>
        <w:tc>
          <w:tcPr>
            <w:tcW w:w="1180" w:type="dxa"/>
            <w:tcBorders>
              <w:top w:val="single" w:sz="4" w:space="0" w:color="auto"/>
              <w:left w:val="nil"/>
              <w:bottom w:val="single" w:sz="4" w:space="0" w:color="auto"/>
              <w:right w:val="nil"/>
            </w:tcBorders>
            <w:vAlign w:val="center"/>
            <w:hideMark/>
          </w:tcPr>
          <w:p w14:paraId="4FDC825B"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5 562 278</w:t>
            </w:r>
          </w:p>
        </w:tc>
        <w:tc>
          <w:tcPr>
            <w:tcW w:w="900" w:type="dxa"/>
            <w:tcBorders>
              <w:top w:val="single" w:sz="4" w:space="0" w:color="auto"/>
              <w:left w:val="nil"/>
              <w:bottom w:val="single" w:sz="4" w:space="0" w:color="auto"/>
              <w:right w:val="nil"/>
            </w:tcBorders>
            <w:vAlign w:val="center"/>
            <w:hideMark/>
          </w:tcPr>
          <w:p w14:paraId="5981C73B"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3 980</w:t>
            </w:r>
          </w:p>
        </w:tc>
        <w:tc>
          <w:tcPr>
            <w:tcW w:w="1180" w:type="dxa"/>
            <w:tcBorders>
              <w:top w:val="single" w:sz="4" w:space="0" w:color="auto"/>
              <w:left w:val="nil"/>
              <w:bottom w:val="single" w:sz="4" w:space="0" w:color="auto"/>
              <w:right w:val="nil"/>
            </w:tcBorders>
            <w:vAlign w:val="center"/>
            <w:hideMark/>
          </w:tcPr>
          <w:p w14:paraId="62C50B08" w14:textId="77777777" w:rsidR="00C37DB0" w:rsidRDefault="00C37DB0">
            <w:pPr>
              <w:tabs>
                <w:tab w:val="clear" w:pos="567"/>
                <w:tab w:val="left" w:pos="720"/>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6 989 701</w:t>
            </w:r>
          </w:p>
        </w:tc>
      </w:tr>
    </w:tbl>
    <w:p w14:paraId="4327CA4C" w14:textId="77777777" w:rsidR="00C37DB0" w:rsidRDefault="00C37DB0" w:rsidP="00C37DB0">
      <w:pPr>
        <w:pStyle w:val="CGCTableFootnote"/>
      </w:pPr>
      <w:r>
        <w:t>Note:</w:t>
      </w:r>
      <w:r>
        <w:tab/>
        <w:t>No actual expenses are shown fo</w:t>
      </w:r>
      <w:r w:rsidR="000C77B0">
        <w:t>r Health, housing and welfare, l</w:t>
      </w:r>
      <w:r>
        <w:t>aw order and public safety</w:t>
      </w:r>
      <w:r w:rsidR="000C77B0">
        <w:t xml:space="preserve"> </w:t>
      </w:r>
      <w:r>
        <w:t xml:space="preserve">and </w:t>
      </w:r>
      <w:r w:rsidR="007766CC">
        <w:t>r</w:t>
      </w:r>
      <w:r>
        <w:t xml:space="preserve">ecreation and culture. This is due to limited data for allocating </w:t>
      </w:r>
      <w:r w:rsidR="00F00AE2">
        <w:t>NIRC</w:t>
      </w:r>
      <w:r>
        <w:t xml:space="preserve"> expenses by function. Actual expenses for these functions are included in Other</w:t>
      </w:r>
      <w:r w:rsidR="00F00AE2">
        <w:t xml:space="preserve"> expenses</w:t>
      </w:r>
      <w:r>
        <w:t xml:space="preserve">. </w:t>
      </w:r>
    </w:p>
    <w:p w14:paraId="688890E9" w14:textId="77777777" w:rsidR="00C37DB0" w:rsidRDefault="00C37DB0" w:rsidP="00C37DB0">
      <w:pPr>
        <w:pStyle w:val="CGCTableFootnote"/>
      </w:pPr>
      <w:r>
        <w:t xml:space="preserve">Source: </w:t>
      </w:r>
      <w:r>
        <w:tab/>
        <w:t>Commission staff analysis.</w:t>
      </w:r>
    </w:p>
    <w:p w14:paraId="5A2C298A" w14:textId="77777777" w:rsidR="00C37DB0" w:rsidRDefault="005D555B" w:rsidP="001E4105">
      <w:pPr>
        <w:pStyle w:val="CGCNumberedPara"/>
        <w:tabs>
          <w:tab w:val="num" w:pos="567"/>
        </w:tabs>
      </w:pPr>
      <w:r>
        <w:t xml:space="preserve">Table F-3 </w:t>
      </w:r>
      <w:r w:rsidR="00C37DB0">
        <w:t>shows that assessed Norfolk Island per capita expenses are almost twice the all-Council average expenses but significantly less than Norfolk Island actual expenses. The results are discussed in Chapter 3.</w:t>
      </w:r>
    </w:p>
    <w:p w14:paraId="6B426660" w14:textId="77777777" w:rsidR="00C37DB0" w:rsidRDefault="00C37DB0" w:rsidP="00C37DB0">
      <w:pPr>
        <w:pStyle w:val="Heading3"/>
      </w:pPr>
      <w:bookmarkStart w:id="699" w:name="_Toc17380564"/>
      <w:bookmarkStart w:id="700" w:name="_Toc19263021"/>
      <w:bookmarkStart w:id="701" w:name="_Toc23847566"/>
      <w:r>
        <w:t>General administration</w:t>
      </w:r>
      <w:bookmarkEnd w:id="699"/>
      <w:bookmarkEnd w:id="700"/>
      <w:bookmarkEnd w:id="701"/>
    </w:p>
    <w:p w14:paraId="6D5E6982" w14:textId="77777777" w:rsidR="00C37DB0" w:rsidRDefault="00C37DB0" w:rsidP="001E4105">
      <w:pPr>
        <w:pStyle w:val="CGCNumberedPara"/>
        <w:tabs>
          <w:tab w:val="num" w:pos="567"/>
        </w:tabs>
      </w:pPr>
      <w:r>
        <w:t>These services include the provision of an elected government and its support staff, corporate and financial services, and other administrative functions.</w:t>
      </w:r>
    </w:p>
    <w:p w14:paraId="5A028B26" w14:textId="77777777" w:rsidR="00C37DB0" w:rsidRDefault="00C37DB0" w:rsidP="001E4105">
      <w:pPr>
        <w:pStyle w:val="CGCNumberedPara"/>
        <w:tabs>
          <w:tab w:val="num" w:pos="567"/>
        </w:tabs>
      </w:pPr>
      <w:r>
        <w:t xml:space="preserve">Norfolk Island has five elected councillors including the mayor and deputy mayor. The day-to-day management of council is the responsibility of the General Manager, supported by two Group managers and one Executive manager. </w:t>
      </w:r>
      <w:r w:rsidR="000C695B">
        <w:t>NIRC</w:t>
      </w:r>
      <w:r>
        <w:t xml:space="preserve"> is required to act in accordance with the </w:t>
      </w:r>
      <w:r>
        <w:rPr>
          <w:i/>
          <w:iCs/>
        </w:rPr>
        <w:t>Local Government Act 1993 (NSW) (Norfolk Island)</w:t>
      </w:r>
      <w:r>
        <w:t>. The governance arrangements, including the number of executive positions, are similar to mainland councils.</w:t>
      </w:r>
    </w:p>
    <w:p w14:paraId="2EA11270" w14:textId="77777777" w:rsidR="00C37DB0" w:rsidRDefault="00C37DB0" w:rsidP="001E4105">
      <w:pPr>
        <w:pStyle w:val="CGCNumberedPara"/>
        <w:tabs>
          <w:tab w:val="num" w:pos="567"/>
        </w:tabs>
      </w:pPr>
      <w:r>
        <w:t xml:space="preserve">The average local government expenses per capita on these functions in 2017-18 was $270 per capita and those for King Island were $807 per capita. Councils with smaller populations have higher per capita costs because the minimum governance requirements are similar regardless of council population. As in the 2011 </w:t>
      </w:r>
      <w:r w:rsidR="00F547A5">
        <w:t>inquiry</w:t>
      </w:r>
      <w:r>
        <w:t xml:space="preserve">, we </w:t>
      </w:r>
      <w:r>
        <w:lastRenderedPageBreak/>
        <w:t>have assumed that a reasonable expense for Norfolk Island would be that applicable on King Island, which recognises the higher per capita costs for a small remote council.</w:t>
      </w:r>
      <w:r>
        <w:rPr>
          <w:rStyle w:val="FootnoteReference"/>
        </w:rPr>
        <w:footnoteReference w:id="60"/>
      </w:r>
      <w:r>
        <w:t xml:space="preserve"> Since Norfolk Island is more isolated than King Island an additional isolation factor of 5% is applied. Finally, adjustment</w:t>
      </w:r>
      <w:r w:rsidR="00322F18">
        <w:t xml:space="preserve">s were </w:t>
      </w:r>
      <w:r>
        <w:t>made to recognise the island’s lower wages to obtain the assessed Norfolk Island expense of $813 per capita in 2017</w:t>
      </w:r>
      <w:r>
        <w:noBreakHyphen/>
        <w:t>18.</w:t>
      </w:r>
    </w:p>
    <w:p w14:paraId="744D2029" w14:textId="77777777" w:rsidR="00C37DB0" w:rsidRDefault="00C37DB0" w:rsidP="001E4105">
      <w:pPr>
        <w:pStyle w:val="CGCNumberedPara"/>
        <w:tabs>
          <w:tab w:val="num" w:pos="567"/>
        </w:tabs>
      </w:pPr>
      <w:r>
        <w:t xml:space="preserve">In the 2011 </w:t>
      </w:r>
      <w:r w:rsidR="00F547A5">
        <w:t>inquiry</w:t>
      </w:r>
      <w:r>
        <w:t xml:space="preserve">, a tourism adjustment was applied to General administration expenses. We determined there is no case for applying a tourism adjustment in this update because we were unable to identify how tourism would increase general administration costs. The category specific expense and revenue assessments recognise the effects of tourism where necessary.  </w:t>
      </w:r>
    </w:p>
    <w:p w14:paraId="4DD7BE0E" w14:textId="77777777" w:rsidR="00C37DB0" w:rsidRDefault="00C37DB0" w:rsidP="00C37DB0">
      <w:pPr>
        <w:pStyle w:val="Heading3"/>
      </w:pPr>
      <w:bookmarkStart w:id="702" w:name="_Toc17380565"/>
      <w:bookmarkStart w:id="703" w:name="_Toc19263022"/>
      <w:bookmarkStart w:id="704" w:name="_Toc23847567"/>
      <w:r>
        <w:t>Health, housing and welfare</w:t>
      </w:r>
      <w:bookmarkEnd w:id="702"/>
      <w:bookmarkEnd w:id="703"/>
      <w:bookmarkEnd w:id="704"/>
    </w:p>
    <w:p w14:paraId="68A2EDFC" w14:textId="77777777" w:rsidR="00C37DB0" w:rsidRDefault="00C37DB0" w:rsidP="001E4105">
      <w:pPr>
        <w:pStyle w:val="CGCNumberedPara"/>
        <w:tabs>
          <w:tab w:val="num" w:pos="567"/>
        </w:tabs>
      </w:pPr>
      <w:r>
        <w:t>Most local government spending on these functions relates to public health and general welfare services. Average local government spending on this function varies between States reflecting differences in the extent to which councils in each State provide services.</w:t>
      </w:r>
      <w:r>
        <w:rPr>
          <w:rStyle w:val="FootnoteReference"/>
        </w:rPr>
        <w:footnoteReference w:id="61"/>
      </w:r>
      <w:r>
        <w:t xml:space="preserve"> The average per capita expense in 2017</w:t>
      </w:r>
      <w:r>
        <w:noBreakHyphen/>
        <w:t xml:space="preserve">18 is $89 per capita. We applied a very remote cost loading (34%), an isolation cost loading (5%) and wages adjustment to average expenses to obtain the assessed Norfolk Island expense of $122 per capita. </w:t>
      </w:r>
    </w:p>
    <w:p w14:paraId="4D90C0A7" w14:textId="77777777" w:rsidR="00C37DB0" w:rsidRDefault="00C37DB0" w:rsidP="00C37DB0">
      <w:pPr>
        <w:pStyle w:val="Heading3"/>
      </w:pPr>
      <w:bookmarkStart w:id="705" w:name="_Toc17380566"/>
      <w:bookmarkStart w:id="706" w:name="_Toc19263023"/>
      <w:bookmarkStart w:id="707" w:name="_Toc23847568"/>
      <w:r>
        <w:t>Law, order and public safety</w:t>
      </w:r>
      <w:bookmarkEnd w:id="705"/>
      <w:bookmarkEnd w:id="706"/>
      <w:bookmarkEnd w:id="707"/>
    </w:p>
    <w:p w14:paraId="453B93EB" w14:textId="77777777" w:rsidR="00C37DB0" w:rsidRDefault="00C37DB0" w:rsidP="001E4105">
      <w:pPr>
        <w:pStyle w:val="CGCNumberedPara"/>
        <w:tabs>
          <w:tab w:val="num" w:pos="567"/>
        </w:tabs>
      </w:pPr>
      <w:r>
        <w:t>Average per capita spending in 2017</w:t>
      </w:r>
      <w:r>
        <w:noBreakHyphen/>
        <w:t xml:space="preserve">18 was $37 which mainly covered animal control and contributions for rural fire services. We applied a very remote cost loading (34%), an isolation cost loading (5%) and wages adjustment to average expenses to obtain the assessed Norfolk Island expense of $51 per capita. </w:t>
      </w:r>
    </w:p>
    <w:p w14:paraId="19A682A1" w14:textId="77777777" w:rsidR="00C37DB0" w:rsidRDefault="00C37DB0" w:rsidP="00C37DB0">
      <w:pPr>
        <w:pStyle w:val="Heading3"/>
      </w:pPr>
      <w:bookmarkStart w:id="708" w:name="_Toc17380567"/>
      <w:bookmarkStart w:id="709" w:name="_Toc19263024"/>
      <w:bookmarkStart w:id="710" w:name="_Toc23847569"/>
      <w:r>
        <w:t>Planning and community amenities</w:t>
      </w:r>
      <w:bookmarkEnd w:id="708"/>
      <w:bookmarkEnd w:id="709"/>
      <w:bookmarkEnd w:id="710"/>
    </w:p>
    <w:p w14:paraId="23EE0F51" w14:textId="77777777" w:rsidR="00C37DB0" w:rsidRDefault="00C37DB0" w:rsidP="001E4105">
      <w:pPr>
        <w:pStyle w:val="CGCNumberedPara"/>
        <w:tabs>
          <w:tab w:val="num" w:pos="567"/>
        </w:tabs>
      </w:pPr>
      <w:r>
        <w:t xml:space="preserve">Local government is responsible for the use and development of land including building applications, inspections and compliance. The key legislation that guides planning and development on Norfolk Island are the </w:t>
      </w:r>
      <w:r>
        <w:rPr>
          <w:i/>
        </w:rPr>
        <w:t>Planning Act 2002</w:t>
      </w:r>
      <w:r>
        <w:t xml:space="preserve"> </w:t>
      </w:r>
      <w:r>
        <w:rPr>
          <w:i/>
        </w:rPr>
        <w:t>(Norfolk Island)</w:t>
      </w:r>
      <w:r>
        <w:t xml:space="preserve"> and </w:t>
      </w:r>
      <w:r>
        <w:rPr>
          <w:i/>
        </w:rPr>
        <w:t>Building Act 2002</w:t>
      </w:r>
      <w:r>
        <w:t xml:space="preserve"> </w:t>
      </w:r>
      <w:r>
        <w:rPr>
          <w:i/>
        </w:rPr>
        <w:t>(Norfolk Island).</w:t>
      </w:r>
      <w:r>
        <w:t xml:space="preserve"> In 2017-18, NIRC classified all public </w:t>
      </w:r>
      <w:r>
        <w:lastRenderedPageBreak/>
        <w:t xml:space="preserve">land vested in </w:t>
      </w:r>
      <w:r w:rsidR="00BA21D8">
        <w:t>NIRC</w:t>
      </w:r>
      <w:r>
        <w:t xml:space="preserve"> as either ‘community’ or ‘operational’ to comply with the </w:t>
      </w:r>
      <w:r>
        <w:rPr>
          <w:i/>
        </w:rPr>
        <w:t>Local Government Act 1993 (NSW) (Norfolk Island).</w:t>
      </w:r>
    </w:p>
    <w:p w14:paraId="7ECE4C12" w14:textId="77777777" w:rsidR="00C37DB0" w:rsidRDefault="00C37DB0" w:rsidP="001E4105">
      <w:pPr>
        <w:pStyle w:val="CGCNumberedPara"/>
        <w:tabs>
          <w:tab w:val="num" w:pos="567"/>
        </w:tabs>
      </w:pPr>
      <w:r>
        <w:t>Average per capita spending in 2017</w:t>
      </w:r>
      <w:r>
        <w:noBreakHyphen/>
        <w:t xml:space="preserve">18 was $90. This amount excludes New South Wales and Queensland local government spending on water services. In most States, this is a State government function. We applied a very remote cost loading (34%), an isolation cost loading (5%) and wages adjustment to average expenses to obtain the assessed Norfolk Island expense of $175 per capita. </w:t>
      </w:r>
    </w:p>
    <w:p w14:paraId="4B4950D7" w14:textId="77777777" w:rsidR="00C37DB0" w:rsidRDefault="00C37DB0" w:rsidP="00C37DB0">
      <w:pPr>
        <w:pStyle w:val="Heading3"/>
      </w:pPr>
      <w:bookmarkStart w:id="711" w:name="_Toc17380568"/>
      <w:bookmarkStart w:id="712" w:name="_Toc19263025"/>
      <w:bookmarkStart w:id="713" w:name="_Toc23847570"/>
      <w:r>
        <w:t>Environmental Protection</w:t>
      </w:r>
      <w:bookmarkEnd w:id="711"/>
      <w:bookmarkEnd w:id="712"/>
      <w:bookmarkEnd w:id="713"/>
    </w:p>
    <w:p w14:paraId="56AF1D26" w14:textId="77777777" w:rsidR="00C37DB0" w:rsidRDefault="00C37DB0" w:rsidP="001E4105">
      <w:pPr>
        <w:pStyle w:val="CGCNumberedPara"/>
        <w:tabs>
          <w:tab w:val="num" w:pos="567"/>
        </w:tabs>
      </w:pPr>
      <w:r>
        <w:t xml:space="preserve">Waste management is a local government function and a major component of the environmental protection category. </w:t>
      </w:r>
      <w:r w:rsidR="00A00AA8">
        <w:t>NIRC</w:t>
      </w:r>
      <w:r>
        <w:t xml:space="preserve"> provides similar waste management services to comparable Australian councils.</w:t>
      </w:r>
    </w:p>
    <w:p w14:paraId="16FE1ADE" w14:textId="77777777" w:rsidR="00C37DB0" w:rsidRDefault="00C37DB0" w:rsidP="001E4105">
      <w:pPr>
        <w:pStyle w:val="CGCNumberedPara"/>
        <w:tabs>
          <w:tab w:val="num" w:pos="567"/>
        </w:tabs>
      </w:pPr>
      <w:r>
        <w:t xml:space="preserve">Since kerbside waste collection is not available on the Island, residents take their waste to the main waste management centre, which is located just outside Burnt Pine. Commercial waste is taken directly to the Headstone Disposal Centre. A significant amount of recyclable material is sorted on the Island and sent to mainland Australia or New Zealand for disposal. </w:t>
      </w:r>
    </w:p>
    <w:p w14:paraId="2D5964E1" w14:textId="710A44AA" w:rsidR="00C37DB0" w:rsidRDefault="00C37DB0" w:rsidP="001E4105">
      <w:pPr>
        <w:pStyle w:val="CGCNumberedPara"/>
        <w:tabs>
          <w:tab w:val="num" w:pos="567"/>
        </w:tabs>
      </w:pPr>
      <w:r>
        <w:t>Significant effort is being applied to cease ocean outfall of</w:t>
      </w:r>
      <w:r w:rsidR="00DE792B">
        <w:t xml:space="preserve"> Norfolk</w:t>
      </w:r>
      <w:r>
        <w:t xml:space="preserve"> Island waste. Waste expenses were 61% higher in 2017-18 compared to 2016</w:t>
      </w:r>
      <w:r>
        <w:noBreakHyphen/>
        <w:t>17</w:t>
      </w:r>
      <w:r w:rsidR="00DE792B">
        <w:t>,</w:t>
      </w:r>
      <w:r>
        <w:t xml:space="preserve"> due to initiatives to divert more waste into an on</w:t>
      </w:r>
      <w:r>
        <w:noBreakHyphen/>
        <w:t>island composting system</w:t>
      </w:r>
      <w:r w:rsidR="00824C2E">
        <w:t xml:space="preserve"> and</w:t>
      </w:r>
      <w:r>
        <w:t xml:space="preserve"> increase the recycling streams to include plastics and steel</w:t>
      </w:r>
      <w:r w:rsidR="00824C2E">
        <w:t>.</w:t>
      </w:r>
      <w:r>
        <w:t xml:space="preserve"> </w:t>
      </w:r>
      <w:r w:rsidR="00893E3A">
        <w:t xml:space="preserve"> </w:t>
      </w:r>
      <w:r w:rsidR="00824C2E">
        <w:t>A</w:t>
      </w:r>
      <w:r w:rsidR="00893E3A">
        <w:t xml:space="preserve"> NIRC</w:t>
      </w:r>
      <w:r w:rsidR="00A00AA8">
        <w:t xml:space="preserve"> Environmental Strategy</w:t>
      </w:r>
      <w:r w:rsidR="00824C2E">
        <w:t>, co-funded by the Building Better Regions Fund and</w:t>
      </w:r>
      <w:r w:rsidR="00A00AA8">
        <w:t xml:space="preserve"> NIRC</w:t>
      </w:r>
      <w:r w:rsidR="00824C2E">
        <w:t xml:space="preserve">, </w:t>
      </w:r>
      <w:r w:rsidR="00925C3E">
        <w:t>includes waste management</w:t>
      </w:r>
      <w:r w:rsidR="00824C2E">
        <w:t xml:space="preserve"> but </w:t>
      </w:r>
      <w:r w:rsidR="00925C3E">
        <w:t>is</w:t>
      </w:r>
      <w:r w:rsidR="00824C2E">
        <w:t xml:space="preserve"> more broadly</w:t>
      </w:r>
      <w:r w:rsidR="00925C3E">
        <w:t xml:space="preserve"> focussed on addressing all aspects of environmental issues on Norfolk Island. </w:t>
      </w:r>
      <w:r>
        <w:t>Two major contracts were awarded during the year to facilitate this work. In addition to recurrent expenses, new waste management equipment valued at about $670 000 was acquired during the year.</w:t>
      </w:r>
    </w:p>
    <w:p w14:paraId="597FE859" w14:textId="77777777" w:rsidR="00C37DB0" w:rsidRDefault="00C37DB0" w:rsidP="001E4105">
      <w:pPr>
        <w:pStyle w:val="CGCNumberedPara"/>
        <w:tabs>
          <w:tab w:val="num" w:pos="567"/>
        </w:tabs>
      </w:pPr>
      <w:r>
        <w:t>The all-council average per capita spending in 2017</w:t>
      </w:r>
      <w:r>
        <w:noBreakHyphen/>
        <w:t xml:space="preserve">18 was $183 per capita. We applied a very remote cost loading (34%), an isolation cost loading (5%) and wages adjustment to this estimate to obtain a preliminary expense of $440 000. However, we considered that this would not fully recognise the costs associated with managing waste on a geographically small and isolated island. The Western Australian Local Government Grants Commission recently included an extra allowance in its grant recommended for Christmas Island and Cocos (Keeling) Islands to meet the higher costs of waste management on the islands. Therefore we included an extra isolation allowance of $200 000 to reflect the higher costs on Norfolk Island due to the need to upgrade its waste management and sanitation processes. </w:t>
      </w:r>
      <w:r w:rsidR="007E2149">
        <w:t>This gave a total of $364 per capita in 2017-18.</w:t>
      </w:r>
    </w:p>
    <w:p w14:paraId="1B018BA8" w14:textId="77777777" w:rsidR="00C37DB0" w:rsidRDefault="00C37DB0" w:rsidP="00C37DB0">
      <w:pPr>
        <w:pStyle w:val="Heading3"/>
      </w:pPr>
      <w:bookmarkStart w:id="714" w:name="_Toc17380569"/>
      <w:bookmarkStart w:id="715" w:name="_Toc19263026"/>
      <w:bookmarkStart w:id="716" w:name="_Toc23847571"/>
      <w:r>
        <w:lastRenderedPageBreak/>
        <w:t>Recreation and Culture</w:t>
      </w:r>
      <w:bookmarkEnd w:id="714"/>
      <w:bookmarkEnd w:id="715"/>
      <w:bookmarkEnd w:id="716"/>
    </w:p>
    <w:p w14:paraId="25576009" w14:textId="77777777" w:rsidR="00C37DB0" w:rsidRDefault="00C37DB0" w:rsidP="001E4105">
      <w:pPr>
        <w:pStyle w:val="CGCNumberedPara"/>
        <w:tabs>
          <w:tab w:val="num" w:pos="567"/>
        </w:tabs>
      </w:pPr>
      <w:r>
        <w:t xml:space="preserve">In the rest of Australia, local governments generally provide local cultural and recreational facilities and grants to support local cultural and recreational initiatives. This includes the provision of park and barbeque facilities, libraries, halls, play equipment, local sporting grounds and grants for local sporting and cultural activities, such as support for a sporting team, art displays and theatre groups. State governments also provide culture and recreation services. An assessment for State services is in Attachment E. </w:t>
      </w:r>
    </w:p>
    <w:p w14:paraId="240BEEFF" w14:textId="77777777" w:rsidR="00C37DB0" w:rsidRDefault="00C37DB0" w:rsidP="001E4105">
      <w:pPr>
        <w:pStyle w:val="CGCNumberedPara"/>
        <w:tabs>
          <w:tab w:val="num" w:pos="567"/>
        </w:tabs>
      </w:pPr>
      <w:r>
        <w:t xml:space="preserve">NIRC provides local government recreational facilities at picnic areas, sporting ovals and netball courts. It operates a library, Radio Norfolk and the public hall. It also provides some </w:t>
      </w:r>
      <w:r w:rsidR="00586B62">
        <w:t>cultural activities.</w:t>
      </w:r>
      <w:r>
        <w:t xml:space="preserve"> </w:t>
      </w:r>
      <w:r w:rsidR="00A00AA8">
        <w:t xml:space="preserve">NIRC </w:t>
      </w:r>
      <w:r>
        <w:t>operates a Community Grants Program, which allocated about $70 000 in grants during 2017</w:t>
      </w:r>
      <w:r>
        <w:noBreakHyphen/>
        <w:t>18. The Commonwealth Government is responsible for the maintenance of KAHVA buildings and grounds</w:t>
      </w:r>
      <w:r w:rsidR="004966BD">
        <w:t xml:space="preserve"> and KAVHA museums, delivered by NIRC under the SDA,</w:t>
      </w:r>
      <w:r>
        <w:t xml:space="preserve"> and the Norfolk Island National Park.</w:t>
      </w:r>
    </w:p>
    <w:p w14:paraId="78DC692D" w14:textId="77777777" w:rsidR="00C37DB0" w:rsidRDefault="00C37DB0" w:rsidP="001E4105">
      <w:pPr>
        <w:pStyle w:val="CGCNumberedPara"/>
        <w:tabs>
          <w:tab w:val="num" w:pos="567"/>
        </w:tabs>
      </w:pPr>
      <w:r>
        <w:t>All-council average per capita spending in 2017</w:t>
      </w:r>
      <w:r>
        <w:noBreakHyphen/>
        <w:t xml:space="preserve">18 was $206. We applied a very remote cost loading (34%), an isolation cost loading (5%), tourism loading (16%) and wages adjustment to average expenses to obtain the assessed Norfolk Island expense of $314 per capita. </w:t>
      </w:r>
    </w:p>
    <w:p w14:paraId="3ABBDA8F" w14:textId="77777777" w:rsidR="00C37DB0" w:rsidRDefault="00C37DB0" w:rsidP="00C37DB0">
      <w:pPr>
        <w:pStyle w:val="Heading3"/>
      </w:pPr>
      <w:bookmarkStart w:id="717" w:name="_Toc17380570"/>
      <w:bookmarkStart w:id="718" w:name="_Toc19263027"/>
      <w:bookmarkStart w:id="719" w:name="_Toc23847572"/>
      <w:r>
        <w:t>Roads and bridges</w:t>
      </w:r>
      <w:bookmarkEnd w:id="717"/>
      <w:bookmarkEnd w:id="718"/>
      <w:bookmarkEnd w:id="719"/>
    </w:p>
    <w:p w14:paraId="53BC797D" w14:textId="77777777" w:rsidR="00C37DB0" w:rsidRDefault="00C37DB0" w:rsidP="001E4105">
      <w:pPr>
        <w:pStyle w:val="CGCNumberedPara"/>
        <w:tabs>
          <w:tab w:val="num" w:pos="567"/>
        </w:tabs>
      </w:pPr>
      <w:r>
        <w:t>This category includes expenditure on the re-construction and maintenance of roads and bridges. Roads and bridges depreciation is assessed in a separate category.</w:t>
      </w:r>
    </w:p>
    <w:p w14:paraId="008D8C93" w14:textId="77777777" w:rsidR="00C37DB0" w:rsidRDefault="00C37DB0" w:rsidP="001E4105">
      <w:pPr>
        <w:pStyle w:val="CGCNumberedPara"/>
        <w:tabs>
          <w:tab w:val="num" w:pos="567"/>
        </w:tabs>
      </w:pPr>
      <w:r>
        <w:t>Norfolk Island has a road network consisting of 78 kilometres of sealed roads and 4 kilometres of unsealed roads</w:t>
      </w:r>
      <w:r>
        <w:rPr>
          <w:rStyle w:val="FootnoteReference"/>
        </w:rPr>
        <w:footnoteReference w:id="62"/>
      </w:r>
      <w:r>
        <w:t xml:space="preserve">, which is a relatively small network when compared with most remote and very remote local government areas in the rest of Australia. Norfolk Island only has local roads – it does not have any State-type roads. </w:t>
      </w:r>
    </w:p>
    <w:p w14:paraId="5156A6E9" w14:textId="77777777" w:rsidR="00C37DB0" w:rsidRDefault="00C37DB0" w:rsidP="001E4105">
      <w:pPr>
        <w:pStyle w:val="CGCNumberedPara"/>
        <w:tabs>
          <w:tab w:val="num" w:pos="567"/>
        </w:tabs>
      </w:pPr>
      <w:r>
        <w:t>Tabl</w:t>
      </w:r>
      <w:r w:rsidR="006A1401">
        <w:t>e F-3</w:t>
      </w:r>
      <w:r>
        <w:t xml:space="preserve"> shows Norfolk Island per cap</w:t>
      </w:r>
      <w:r w:rsidR="009948AA">
        <w:t>ita expenses for roads were $802 in 2017-18 or $1.4 million</w:t>
      </w:r>
      <w:r>
        <w:t xml:space="preserve">. </w:t>
      </w:r>
    </w:p>
    <w:p w14:paraId="044E2BBD" w14:textId="77777777" w:rsidR="00C37DB0" w:rsidRDefault="00C37DB0" w:rsidP="001E4105">
      <w:pPr>
        <w:pStyle w:val="CGCNumberedPara"/>
        <w:tabs>
          <w:tab w:val="num" w:pos="567"/>
        </w:tabs>
      </w:pPr>
      <w:r>
        <w:t xml:space="preserve">Some road upgrades and major maintenance have been completed in recent years, in part funded by a Commonwealth grant of $250 000 for upgrading Channers </w:t>
      </w:r>
      <w:r w:rsidR="006F3686">
        <w:t>C</w:t>
      </w:r>
      <w:r>
        <w:t>orner. Like other local governments, Norfolk Island receives financial assistance grants from the Commonwealth for local roads. Those local roads grants were $106 000 in 2017</w:t>
      </w:r>
      <w:r>
        <w:noBreakHyphen/>
        <w:t>18.</w:t>
      </w:r>
      <w:r>
        <w:rPr>
          <w:rStyle w:val="FootnoteReference"/>
        </w:rPr>
        <w:footnoteReference w:id="63"/>
      </w:r>
    </w:p>
    <w:p w14:paraId="45F0B09A" w14:textId="77777777" w:rsidR="00C37DB0" w:rsidRDefault="00C37DB0" w:rsidP="001E4105">
      <w:pPr>
        <w:pStyle w:val="CGCNumberedPara"/>
        <w:tabs>
          <w:tab w:val="num" w:pos="567"/>
        </w:tabs>
        <w:rPr>
          <w:lang w:eastAsia="en-AU"/>
        </w:rPr>
      </w:pPr>
      <w:r>
        <w:rPr>
          <w:lang w:eastAsia="en-AU"/>
        </w:rPr>
        <w:lastRenderedPageBreak/>
        <w:t>We estimated assessed spending on Norfolk Island roads by multiplying the length of Norfolk Island sealed roads (78 kilometres) by an estimate of the average per kilometre expenditure on local government sealed roads ($5 736 per kilometre).</w:t>
      </w:r>
      <w:r>
        <w:rPr>
          <w:rStyle w:val="FootnoteReference"/>
          <w:lang w:eastAsia="en-AU"/>
        </w:rPr>
        <w:footnoteReference w:id="64"/>
      </w:r>
      <w:r w:rsidR="00565BFD">
        <w:rPr>
          <w:lang w:eastAsia="en-AU"/>
        </w:rPr>
        <w:t xml:space="preserve">, </w:t>
      </w:r>
      <w:r>
        <w:rPr>
          <w:rStyle w:val="FootnoteReference"/>
          <w:lang w:eastAsia="en-AU"/>
        </w:rPr>
        <w:footnoteReference w:id="65"/>
      </w:r>
      <w:r>
        <w:rPr>
          <w:lang w:eastAsia="en-AU"/>
        </w:rPr>
        <w:t xml:space="preserve"> </w:t>
      </w:r>
      <w:r>
        <w:t>We then applied a very remote cost loading (34%), isolation loading of (5%), tourism adjustment (16%) and wages adjustment to obtain a assessed Norfolk Island expense of $670 000 or $382 per capita.</w:t>
      </w:r>
    </w:p>
    <w:p w14:paraId="3DB3CD9A" w14:textId="77777777" w:rsidR="00C37DB0" w:rsidRDefault="00C37DB0" w:rsidP="00C37DB0">
      <w:pPr>
        <w:pStyle w:val="Heading3"/>
      </w:pPr>
      <w:bookmarkStart w:id="720" w:name="_Toc17380571"/>
      <w:bookmarkStart w:id="721" w:name="_Toc19263028"/>
      <w:bookmarkStart w:id="722" w:name="_Toc23847573"/>
      <w:r>
        <w:t>Depreciation</w:t>
      </w:r>
      <w:bookmarkEnd w:id="720"/>
      <w:bookmarkEnd w:id="721"/>
      <w:bookmarkEnd w:id="722"/>
    </w:p>
    <w:p w14:paraId="35E355A0" w14:textId="77777777" w:rsidR="00C37DB0" w:rsidRDefault="00C37DB0" w:rsidP="00C37DB0">
      <w:pPr>
        <w:pStyle w:val="Heading5"/>
      </w:pPr>
      <w:r>
        <w:t>Roads and bridges</w:t>
      </w:r>
    </w:p>
    <w:p w14:paraId="6D58BC4E" w14:textId="77777777" w:rsidR="00C37DB0" w:rsidRDefault="00C37DB0" w:rsidP="001E4105">
      <w:pPr>
        <w:pStyle w:val="CGCNumberedPara"/>
        <w:tabs>
          <w:tab w:val="num" w:pos="567"/>
        </w:tabs>
      </w:pPr>
      <w:r>
        <w:t>For roads depreciation, King Island Council roads data were used as the comparable community benchmark. We were unable to use Norfolk Island road asset values because they differed markedly from the all council average values. King Island values were comparable to the other mainland rural councils. Therefore, it was used as the benchmark. There are relatively few bridges on Norfolk Island and limited information available on bridges in comparable communities. Consequently, we decided to use Norfolk Island bridge actual valuations.</w:t>
      </w:r>
    </w:p>
    <w:p w14:paraId="003CECBC" w14:textId="77777777" w:rsidR="002C442D" w:rsidRDefault="00C37DB0" w:rsidP="001E4105">
      <w:pPr>
        <w:pStyle w:val="CGCNumberedPara"/>
        <w:tabs>
          <w:tab w:val="num" w:pos="567"/>
        </w:tabs>
      </w:pPr>
      <w:r>
        <w:t xml:space="preserve">The value of Norfolk Island roads assets was estimated using the per kilometre value of sealed roads for King Island multiplied by the length of Norfolk Island sealed roads. The depreciation rates for King Island roads and bridges were applied to the estimated value of Norfolk Island roads and actual value of Norfolk Island bridges to obtain a preliminary estimate of assessed roads and bridges depreciation for Norfolk Island. </w:t>
      </w:r>
    </w:p>
    <w:p w14:paraId="3C528718" w14:textId="77777777" w:rsidR="00C37DB0" w:rsidRDefault="00C37DB0" w:rsidP="001E4105">
      <w:pPr>
        <w:pStyle w:val="CGCNumberedPara"/>
        <w:tabs>
          <w:tab w:val="num" w:pos="567"/>
        </w:tabs>
      </w:pPr>
      <w:r>
        <w:t xml:space="preserve">We applied an isolation cost loading (5%), tourism loading (16%) and wages adjustment to this amount to obtain the assessed Norfolk Island expenses </w:t>
      </w:r>
      <w:r w:rsidR="00565BFD">
        <w:t xml:space="preserve">of </w:t>
      </w:r>
      <w:r w:rsidR="00EF40FB">
        <w:t>$</w:t>
      </w:r>
      <w:r>
        <w:t>692 </w:t>
      </w:r>
      <w:r w:rsidR="00565BFD">
        <w:t>0</w:t>
      </w:r>
      <w:r>
        <w:t xml:space="preserve">00 or $394 per capita. We did not apply a very remote cost loading because the asset values used in the calculation were based on King Island data. </w:t>
      </w:r>
    </w:p>
    <w:p w14:paraId="4515704C" w14:textId="77777777" w:rsidR="00C37DB0" w:rsidRDefault="00C37DB0" w:rsidP="00C37DB0">
      <w:pPr>
        <w:pStyle w:val="Heading5"/>
      </w:pPr>
      <w:r>
        <w:t>Other assets</w:t>
      </w:r>
    </w:p>
    <w:p w14:paraId="6281EDE5" w14:textId="77777777" w:rsidR="00C37DB0" w:rsidRDefault="00C37DB0" w:rsidP="001E4105">
      <w:pPr>
        <w:pStyle w:val="CGCNumberedPara"/>
        <w:tabs>
          <w:tab w:val="num" w:pos="567"/>
        </w:tabs>
      </w:pPr>
      <w:r>
        <w:t>Other assets include plant and equipment, buildings and other structures. We were unable to identify the value of local government</w:t>
      </w:r>
      <w:r>
        <w:noBreakHyphen/>
        <w:t>type, non</w:t>
      </w:r>
      <w:r>
        <w:noBreakHyphen/>
        <w:t>road assets on Norfolk Island from NIRC’s financial statements.</w:t>
      </w:r>
    </w:p>
    <w:p w14:paraId="2D9065AD" w14:textId="77777777" w:rsidR="00C37DB0" w:rsidRDefault="00C37DB0" w:rsidP="001E4105">
      <w:pPr>
        <w:pStyle w:val="CGCNumberedPara"/>
        <w:tabs>
          <w:tab w:val="num" w:pos="567"/>
        </w:tabs>
      </w:pPr>
      <w:r>
        <w:lastRenderedPageBreak/>
        <w:t>The value of Norfolk Island non-roads assets was estimated by multiplying the per capita value of non-road assets for King Island ($229) by the Norfolk Island population. The depreciation rate for King Island (3.6%) was applied to the estimated value of Norfolk Island non-roads assets, to obtain assessed depreciation for Norfolk Island. Isolation and wages adjustments were also applied. The estimated Norfolk Island assessed expense for 2017-18 was $406 000 or $231 per capita. We did not apply a very remote cost loading because the asset values used in the calculation were based on King Island data.</w:t>
      </w:r>
    </w:p>
    <w:p w14:paraId="17995E83" w14:textId="77777777" w:rsidR="00C37DB0" w:rsidRDefault="00072BE9" w:rsidP="00F923CC">
      <w:pPr>
        <w:pStyle w:val="Heading3"/>
      </w:pPr>
      <w:bookmarkStart w:id="723" w:name="_Toc17380572"/>
      <w:bookmarkStart w:id="724" w:name="_Toc19263029"/>
      <w:bookmarkStart w:id="725" w:name="_Toc23847574"/>
      <w:r>
        <w:t>Airport</w:t>
      </w:r>
      <w:bookmarkEnd w:id="723"/>
      <w:bookmarkEnd w:id="724"/>
      <w:bookmarkEnd w:id="725"/>
    </w:p>
    <w:p w14:paraId="71CB980F" w14:textId="77777777" w:rsidR="00C37DB0" w:rsidRDefault="00042C81" w:rsidP="001E4105">
      <w:pPr>
        <w:pStyle w:val="CGCNumberedPara"/>
        <w:tabs>
          <w:tab w:val="num" w:pos="567"/>
        </w:tabs>
      </w:pPr>
      <w:r>
        <w:t>NIRC</w:t>
      </w:r>
      <w:r w:rsidR="00C37DB0">
        <w:t xml:space="preserve"> operates the airport and terminal facilities at the standard of an international airport and there </w:t>
      </w:r>
      <w:r w:rsidR="006E2510">
        <w:t xml:space="preserve">are </w:t>
      </w:r>
      <w:r w:rsidR="00C37DB0">
        <w:t xml:space="preserve">regular, </w:t>
      </w:r>
      <w:r w:rsidR="000149CF">
        <w:t>underwritten</w:t>
      </w:r>
      <w:r w:rsidR="00C37DB0">
        <w:t xml:space="preserve"> flights to and from Sydney, including some extra flights in the peak tourist season. Flights to and from Auckland, however, have been less regular – some flights were provided up to June 2018 and </w:t>
      </w:r>
      <w:r>
        <w:t xml:space="preserve">NIRC </w:t>
      </w:r>
      <w:r w:rsidR="00C37DB0">
        <w:t xml:space="preserve">has secured agreement for a service to recommence from September 2019. </w:t>
      </w:r>
    </w:p>
    <w:p w14:paraId="2A957ACD" w14:textId="77777777" w:rsidR="00C37DB0" w:rsidRDefault="00C37DB0" w:rsidP="001E4105">
      <w:pPr>
        <w:pStyle w:val="CGCNumberedPara"/>
        <w:tabs>
          <w:tab w:val="num" w:pos="567"/>
        </w:tabs>
      </w:pPr>
      <w:r>
        <w:t xml:space="preserve">The services operated by Air New Zealand are </w:t>
      </w:r>
      <w:r w:rsidR="000149CF">
        <w:t xml:space="preserve">underwritten </w:t>
      </w:r>
      <w:r>
        <w:t>by the Commonwealth. On the mainland, a subsidy of a similar scale is provided on 100 routes to regional centres under the Regional Aviation Access Program. This also includes a scheme to refund airlines for air traffic control charges for flights to regional centres.</w:t>
      </w:r>
      <w:r>
        <w:rPr>
          <w:rStyle w:val="FootnoteReference"/>
        </w:rPr>
        <w:footnoteReference w:id="66"/>
      </w:r>
    </w:p>
    <w:p w14:paraId="4394CDFC" w14:textId="77777777" w:rsidR="00C37DB0" w:rsidRDefault="00042C81" w:rsidP="001E4105">
      <w:pPr>
        <w:pStyle w:val="CGCNumberedPara"/>
        <w:tabs>
          <w:tab w:val="num" w:pos="567"/>
        </w:tabs>
      </w:pPr>
      <w:r>
        <w:t xml:space="preserve">NIRC </w:t>
      </w:r>
      <w:r w:rsidR="00C37DB0">
        <w:t>operates the airport at an international divergence standard – that is, the airport is maintained and operated as ready for divergences that cannot be dealt with by the nearest other international airports at Noumea and Auckland. The airport is equipped for narrow body jet aircraft (single aisle, such as Boeing</w:t>
      </w:r>
      <w:r w:rsidR="006B7AE9">
        <w:t xml:space="preserve"> </w:t>
      </w:r>
      <w:r w:rsidR="00C37DB0">
        <w:t xml:space="preserve">737s), although some wide-body (twin aisle Airbus A330s and Boeing 767s and 777s) aircraft can land under some circumstances. </w:t>
      </w:r>
      <w:r>
        <w:t xml:space="preserve">NIRC </w:t>
      </w:r>
      <w:r w:rsidR="00C37DB0">
        <w:t>receives revenues of around $168 000 per annum to account for that albeit remote possibility.</w:t>
      </w:r>
      <w:r w:rsidR="00C37DB0">
        <w:rPr>
          <w:rStyle w:val="FootnoteReference"/>
        </w:rPr>
        <w:footnoteReference w:id="67"/>
      </w:r>
      <w:r w:rsidR="00C37DB0">
        <w:t xml:space="preserve"> </w:t>
      </w:r>
    </w:p>
    <w:p w14:paraId="3EAF0946" w14:textId="77777777" w:rsidR="00C37DB0" w:rsidRDefault="00C37DB0" w:rsidP="001E4105">
      <w:pPr>
        <w:pStyle w:val="CGCNumberedPara"/>
        <w:tabs>
          <w:tab w:val="num" w:pos="567"/>
        </w:tabs>
      </w:pPr>
      <w:r>
        <w:t xml:space="preserve">Norfolk Island airport is unlike other mainland airports that are operated by local governments, since despite being a small and very remote location, it accommodates jets with regular air services from major airlines. We have been unable to determine the comparable cost of operating this type of airport. Nevertheless, we note that the airport operating result in 2017-18 was positive ($29 200), indicating that the operating costs can be fully met through airport fees and charges. The small profit on continuing operations has been included as a revenue in the local government revenue assessment. </w:t>
      </w:r>
    </w:p>
    <w:p w14:paraId="5C039C44" w14:textId="77777777" w:rsidR="00C37DB0" w:rsidRDefault="00C37DB0" w:rsidP="001E4105">
      <w:pPr>
        <w:pStyle w:val="CGCNumberedPara"/>
        <w:tabs>
          <w:tab w:val="num" w:pos="567"/>
        </w:tabs>
      </w:pPr>
      <w:r>
        <w:lastRenderedPageBreak/>
        <w:t xml:space="preserve">Given the size of the operating result for the airport we consider that NIRC may not be able to fund any major runway upgrade without a significant increase in fees, which would have adverse implications for tourism, given its small scale. </w:t>
      </w:r>
      <w:r w:rsidR="00752A82">
        <w:t>The Department</w:t>
      </w:r>
      <w:r>
        <w:t xml:space="preserve"> provides capital grants for capital expenditure at the airport that have not been assessed in this inquiry. </w:t>
      </w:r>
    </w:p>
    <w:p w14:paraId="118ED4BE" w14:textId="77777777" w:rsidR="00C37DB0" w:rsidRDefault="00C37DB0" w:rsidP="00C37DB0">
      <w:pPr>
        <w:pStyle w:val="Heading3"/>
      </w:pPr>
      <w:bookmarkStart w:id="726" w:name="_Toc17380573"/>
      <w:bookmarkStart w:id="727" w:name="_Toc19263030"/>
      <w:bookmarkStart w:id="728" w:name="_Toc23847575"/>
      <w:r>
        <w:t>Other services</w:t>
      </w:r>
      <w:bookmarkEnd w:id="726"/>
      <w:bookmarkEnd w:id="727"/>
      <w:bookmarkEnd w:id="728"/>
    </w:p>
    <w:p w14:paraId="2F84300D" w14:textId="77777777" w:rsidR="00E62C80" w:rsidRPr="009206DB" w:rsidRDefault="00C37DB0" w:rsidP="0086279A">
      <w:pPr>
        <w:pStyle w:val="CGCNumberedPara"/>
        <w:tabs>
          <w:tab w:val="num" w:pos="567"/>
        </w:tabs>
        <w:spacing w:after="200" w:line="276" w:lineRule="auto"/>
        <w:rPr>
          <w:sz w:val="22"/>
        </w:rPr>
      </w:pPr>
      <w:r>
        <w:t>Average per capita spending in 2017</w:t>
      </w:r>
      <w:r>
        <w:noBreakHyphen/>
        <w:t xml:space="preserve">18 was $67. We applied a very remote cost loading of 34% and an isolation loading of 5% to this average expense to obtain a comparable Norfolk Island expense of $92 per capita or $161 000. </w:t>
      </w:r>
    </w:p>
    <w:p w14:paraId="7D3430F2" w14:textId="77777777" w:rsidR="005E3291" w:rsidRPr="005E3291" w:rsidRDefault="005E3291" w:rsidP="00C10454">
      <w:pPr>
        <w:pStyle w:val="CGCNumberedPara"/>
        <w:numPr>
          <w:ilvl w:val="0"/>
          <w:numId w:val="0"/>
        </w:numPr>
        <w:ind w:left="567" w:hanging="567"/>
        <w:rPr>
          <w:sz w:val="22"/>
        </w:rPr>
      </w:pPr>
    </w:p>
    <w:sectPr w:rsidR="005E3291" w:rsidRPr="005E3291" w:rsidSect="0027063F">
      <w:pgSz w:w="11899" w:h="16838" w:code="9"/>
      <w:pgMar w:top="1701" w:right="1474" w:bottom="1701" w:left="1474" w:header="709" w:footer="709"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B602CE" w16cid:durableId="21043375"/>
  <w16cid:commentId w16cid:paraId="44F62E4E" w16cid:durableId="21042BBE"/>
  <w16cid:commentId w16cid:paraId="1EE34E25" w16cid:durableId="2104353B"/>
  <w16cid:commentId w16cid:paraId="40ED1AFA" w16cid:durableId="21044D15"/>
  <w16cid:commentId w16cid:paraId="24DEC02A" w16cid:durableId="21044EAB"/>
  <w16cid:commentId w16cid:paraId="73E3AFBD" w16cid:durableId="21045217"/>
  <w16cid:commentId w16cid:paraId="5FE81D23" w16cid:durableId="21045B97"/>
  <w16cid:commentId w16cid:paraId="2E7088D1" w16cid:durableId="21045FB7"/>
  <w16cid:commentId w16cid:paraId="2BE97323" w16cid:durableId="21046125"/>
  <w16cid:commentId w16cid:paraId="40A2301C" w16cid:durableId="210465F1"/>
  <w16cid:commentId w16cid:paraId="2D5ED90A" w16cid:durableId="21046B86"/>
  <w16cid:commentId w16cid:paraId="3EBA12FC" w16cid:durableId="21046D96"/>
  <w16cid:commentId w16cid:paraId="1A6B0946" w16cid:durableId="21046E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BD091" w14:textId="77777777" w:rsidR="00F2304C" w:rsidRDefault="00F2304C">
      <w:r>
        <w:separator/>
      </w:r>
    </w:p>
  </w:endnote>
  <w:endnote w:type="continuationSeparator" w:id="0">
    <w:p w14:paraId="383E5AEF" w14:textId="77777777" w:rsidR="00F2304C" w:rsidRDefault="00F2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842013981"/>
      <w:docPartObj>
        <w:docPartGallery w:val="Page Numbers (Bottom of Page)"/>
        <w:docPartUnique/>
      </w:docPartObj>
    </w:sdtPr>
    <w:sdtEndPr/>
    <w:sdtContent>
      <w:p w14:paraId="0920FDD8" w14:textId="77777777" w:rsidR="0086279A" w:rsidRPr="003929D2" w:rsidRDefault="0086279A" w:rsidP="00477324">
        <w:pPr>
          <w:pStyle w:val="Footer"/>
          <w:jc w:val="right"/>
          <w:rPr>
            <w:b/>
          </w:rPr>
        </w:pPr>
        <w:r w:rsidRPr="003929D2">
          <w:rPr>
            <w:b/>
          </w:rPr>
          <w:fldChar w:fldCharType="begin"/>
        </w:r>
        <w:r w:rsidRPr="003929D2">
          <w:rPr>
            <w:b/>
          </w:rPr>
          <w:instrText xml:space="preserve"> PAGE  \* Arabic  \* MERGEFORMAT </w:instrText>
        </w:r>
        <w:r w:rsidRPr="003929D2">
          <w:rPr>
            <w:b/>
          </w:rPr>
          <w:fldChar w:fldCharType="separate"/>
        </w:r>
        <w:r>
          <w:rPr>
            <w:b/>
            <w:noProof/>
          </w:rPr>
          <w:t>1</w:t>
        </w:r>
        <w:r w:rsidRPr="003929D2">
          <w:rPr>
            <w:b/>
          </w:rPr>
          <w:fldChar w:fldCharType="end"/>
        </w:r>
      </w:p>
    </w:sdtContent>
  </w:sdt>
  <w:p w14:paraId="51B6F6D3" w14:textId="77777777" w:rsidR="0086279A" w:rsidRPr="0028293D" w:rsidRDefault="0086279A" w:rsidP="00282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35566"/>
      <w:docPartObj>
        <w:docPartGallery w:val="Page Numbers (Bottom of Page)"/>
        <w:docPartUnique/>
      </w:docPartObj>
    </w:sdtPr>
    <w:sdtEndPr>
      <w:rPr>
        <w:noProof/>
        <w:sz w:val="20"/>
        <w:szCs w:val="20"/>
      </w:rPr>
    </w:sdtEndPr>
    <w:sdtContent>
      <w:p w14:paraId="59317EE5" w14:textId="44BCF607" w:rsidR="0086279A" w:rsidRPr="0028293D" w:rsidRDefault="0086279A" w:rsidP="0028293D">
        <w:pPr>
          <w:pStyle w:val="Footer"/>
          <w:jc w:val="right"/>
          <w:rPr>
            <w:sz w:val="20"/>
            <w:szCs w:val="20"/>
          </w:rPr>
        </w:pPr>
        <w:r w:rsidRPr="0028293D">
          <w:rPr>
            <w:sz w:val="20"/>
            <w:szCs w:val="20"/>
          </w:rPr>
          <w:fldChar w:fldCharType="begin"/>
        </w:r>
        <w:r w:rsidRPr="0028293D">
          <w:rPr>
            <w:sz w:val="20"/>
            <w:szCs w:val="20"/>
          </w:rPr>
          <w:instrText xml:space="preserve"> PAGE   \* MERGEFORMAT </w:instrText>
        </w:r>
        <w:r w:rsidRPr="0028293D">
          <w:rPr>
            <w:sz w:val="20"/>
            <w:szCs w:val="20"/>
          </w:rPr>
          <w:fldChar w:fldCharType="separate"/>
        </w:r>
        <w:r w:rsidR="00150A14">
          <w:rPr>
            <w:noProof/>
            <w:sz w:val="20"/>
            <w:szCs w:val="20"/>
          </w:rPr>
          <w:t>viii</w:t>
        </w:r>
        <w:r w:rsidRPr="0028293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606B8" w14:textId="77777777" w:rsidR="0086279A" w:rsidRPr="007E487F" w:rsidRDefault="0086279A" w:rsidP="00DC0F02">
    <w:pPr>
      <w:pStyle w:val="Footer"/>
      <w:tabs>
        <w:tab w:val="right" w:pos="8931"/>
      </w:tabs>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485854"/>
      <w:docPartObj>
        <w:docPartGallery w:val="Page Numbers (Bottom of Page)"/>
        <w:docPartUnique/>
      </w:docPartObj>
    </w:sdtPr>
    <w:sdtEndPr>
      <w:rPr>
        <w:noProof/>
        <w:sz w:val="20"/>
        <w:szCs w:val="20"/>
      </w:rPr>
    </w:sdtEndPr>
    <w:sdtContent>
      <w:p w14:paraId="1F7381CB" w14:textId="105C252F" w:rsidR="0086279A" w:rsidRPr="0028293D" w:rsidRDefault="0086279A" w:rsidP="0028293D">
        <w:pPr>
          <w:pStyle w:val="Footer"/>
          <w:jc w:val="right"/>
          <w:rPr>
            <w:sz w:val="20"/>
            <w:szCs w:val="20"/>
          </w:rPr>
        </w:pPr>
        <w:r w:rsidRPr="0028293D">
          <w:rPr>
            <w:sz w:val="20"/>
            <w:szCs w:val="20"/>
          </w:rPr>
          <w:fldChar w:fldCharType="begin"/>
        </w:r>
        <w:r w:rsidRPr="0028293D">
          <w:rPr>
            <w:sz w:val="20"/>
            <w:szCs w:val="20"/>
          </w:rPr>
          <w:instrText xml:space="preserve"> PAGE   \* MERGEFORMAT </w:instrText>
        </w:r>
        <w:r w:rsidRPr="0028293D">
          <w:rPr>
            <w:sz w:val="20"/>
            <w:szCs w:val="20"/>
          </w:rPr>
          <w:fldChar w:fldCharType="separate"/>
        </w:r>
        <w:r w:rsidR="00150A14">
          <w:rPr>
            <w:noProof/>
            <w:sz w:val="20"/>
            <w:szCs w:val="20"/>
          </w:rPr>
          <w:t>4</w:t>
        </w:r>
        <w:r w:rsidRPr="0028293D">
          <w:rPr>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3ED8E" w14:textId="77777777" w:rsidR="0086279A" w:rsidRPr="007E487F" w:rsidRDefault="0086279A" w:rsidP="00DC0F02">
    <w:pPr>
      <w:pStyle w:val="Footer"/>
      <w:tabs>
        <w:tab w:val="right" w:pos="8931"/>
      </w:tabs>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209077735"/>
      <w:docPartObj>
        <w:docPartGallery w:val="Page Numbers (Bottom of Page)"/>
        <w:docPartUnique/>
      </w:docPartObj>
    </w:sdtPr>
    <w:sdtEndPr>
      <w:rPr>
        <w:b w:val="0"/>
        <w:sz w:val="20"/>
        <w:szCs w:val="20"/>
      </w:rPr>
    </w:sdtEndPr>
    <w:sdtContent>
      <w:p w14:paraId="38AB289B" w14:textId="08C2258B" w:rsidR="0086279A" w:rsidRPr="00AD77C8" w:rsidRDefault="0086279A" w:rsidP="00AD77C8">
        <w:pPr>
          <w:pStyle w:val="Footer"/>
          <w:jc w:val="right"/>
          <w:rPr>
            <w:sz w:val="20"/>
            <w:szCs w:val="20"/>
          </w:rPr>
        </w:pPr>
        <w:r w:rsidRPr="00AD77C8">
          <w:rPr>
            <w:sz w:val="20"/>
            <w:szCs w:val="20"/>
          </w:rPr>
          <w:fldChar w:fldCharType="begin"/>
        </w:r>
        <w:r w:rsidRPr="00AD77C8">
          <w:rPr>
            <w:sz w:val="20"/>
            <w:szCs w:val="20"/>
          </w:rPr>
          <w:instrText xml:space="preserve"> PAGE  \* Arabic  \* MERGEFORMAT </w:instrText>
        </w:r>
        <w:r w:rsidRPr="00AD77C8">
          <w:rPr>
            <w:sz w:val="20"/>
            <w:szCs w:val="20"/>
          </w:rPr>
          <w:fldChar w:fldCharType="separate"/>
        </w:r>
        <w:r w:rsidR="00150A14">
          <w:rPr>
            <w:noProof/>
            <w:sz w:val="20"/>
            <w:szCs w:val="20"/>
          </w:rPr>
          <w:t>1</w:t>
        </w:r>
        <w:r w:rsidRPr="00AD77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2F1D1" w14:textId="77777777" w:rsidR="00F2304C" w:rsidRDefault="00F2304C">
      <w:r>
        <w:separator/>
      </w:r>
    </w:p>
  </w:footnote>
  <w:footnote w:type="continuationSeparator" w:id="0">
    <w:p w14:paraId="0C3878D8" w14:textId="77777777" w:rsidR="00F2304C" w:rsidRDefault="00F2304C">
      <w:r>
        <w:continuationSeparator/>
      </w:r>
    </w:p>
  </w:footnote>
  <w:footnote w:id="1">
    <w:p w14:paraId="7F0EF3A1" w14:textId="77777777" w:rsidR="0086279A" w:rsidRDefault="0086279A" w:rsidP="00863190">
      <w:pPr>
        <w:pStyle w:val="FootnoteText"/>
      </w:pPr>
      <w:r>
        <w:rPr>
          <w:rStyle w:val="FootnoteReference"/>
        </w:rPr>
        <w:footnoteRef/>
      </w:r>
      <w:r>
        <w:t xml:space="preserve"> </w:t>
      </w:r>
      <w:r>
        <w:tab/>
        <w:t>Post-secondary education services were introduced in 2018-19 but other services remain unavailable. National disability services are available to Norfolk Island residents and we included an allowance for the average per capita State contribution to the National Disability Insurance Agency. However, the actual mechanism for scheme contributions is unclear.</w:t>
      </w:r>
    </w:p>
  </w:footnote>
  <w:footnote w:id="2">
    <w:p w14:paraId="7BA57028" w14:textId="77777777" w:rsidR="0086279A" w:rsidRDefault="0086279A">
      <w:pPr>
        <w:pStyle w:val="FootnoteText"/>
      </w:pPr>
      <w:r>
        <w:rPr>
          <w:rStyle w:val="FootnoteReference"/>
        </w:rPr>
        <w:footnoteRef/>
      </w:r>
      <w:r>
        <w:t xml:space="preserve"> </w:t>
      </w:r>
      <w:r>
        <w:tab/>
        <w:t xml:space="preserve">The 2006 Norfolk Island inquiry was an official CGC inquiry under the </w:t>
      </w:r>
      <w:r w:rsidRPr="00DC6B7A">
        <w:rPr>
          <w:i/>
        </w:rPr>
        <w:t>CGC Act</w:t>
      </w:r>
      <w:r>
        <w:t xml:space="preserve"> involving Commissioners, whereas staff of the Commission undertook the 2011 inquiry. References to staff in this report are to staff of the CGC, unless otherwise stated.</w:t>
      </w:r>
    </w:p>
  </w:footnote>
  <w:footnote w:id="3">
    <w:p w14:paraId="14CC9FE7" w14:textId="77777777" w:rsidR="0086279A" w:rsidRDefault="0086279A">
      <w:pPr>
        <w:pStyle w:val="FootnoteText"/>
      </w:pPr>
      <w:r>
        <w:rPr>
          <w:rStyle w:val="FootnoteReference"/>
        </w:rPr>
        <w:footnoteRef/>
      </w:r>
      <w:r>
        <w:t xml:space="preserve"> </w:t>
      </w:r>
      <w:r>
        <w:tab/>
        <w:t xml:space="preserve">ICSEA is compiled by the Australian Curriculum and Reporting Authority – see </w:t>
      </w:r>
      <w:hyperlink r:id="rId1" w:history="1">
        <w:r>
          <w:rPr>
            <w:rStyle w:val="Hyperlink"/>
          </w:rPr>
          <w:t>http://docs.acara.edu.au/resources/About_icsea_2014.pdf</w:t>
        </w:r>
      </w:hyperlink>
      <w:r>
        <w:t xml:space="preserve"> for an overview of this data. </w:t>
      </w:r>
    </w:p>
  </w:footnote>
  <w:footnote w:id="4">
    <w:p w14:paraId="091F0DA7" w14:textId="77777777" w:rsidR="0086279A" w:rsidRDefault="0086279A" w:rsidP="007117CE">
      <w:pPr>
        <w:pStyle w:val="FootnoteText"/>
      </w:pPr>
      <w:r>
        <w:rPr>
          <w:rStyle w:val="FootnoteReference"/>
        </w:rPr>
        <w:footnoteRef/>
      </w:r>
      <w:r>
        <w:t xml:space="preserve"> </w:t>
      </w:r>
      <w:r>
        <w:tab/>
        <w:t xml:space="preserve">KPMG, </w:t>
      </w:r>
      <w:r w:rsidRPr="005D4775">
        <w:rPr>
          <w:i/>
        </w:rPr>
        <w:t>Analysis of Remote Island Disadvantages – Norfolk Island</w:t>
      </w:r>
      <w:r>
        <w:t>, December 2017.</w:t>
      </w:r>
    </w:p>
  </w:footnote>
  <w:footnote w:id="5">
    <w:p w14:paraId="075B8402" w14:textId="77777777" w:rsidR="0086279A" w:rsidRPr="00B42144" w:rsidRDefault="0086279A" w:rsidP="00B42144">
      <w:pPr>
        <w:pStyle w:val="FootnoteText"/>
      </w:pPr>
      <w:r>
        <w:rPr>
          <w:rStyle w:val="FootnoteReference"/>
        </w:rPr>
        <w:footnoteRef/>
      </w:r>
      <w:r>
        <w:t xml:space="preserve"> </w:t>
      </w:r>
      <w:r>
        <w:tab/>
      </w:r>
      <w:r w:rsidRPr="00B42144">
        <w:t xml:space="preserve">This was </w:t>
      </w:r>
      <w:r>
        <w:t xml:space="preserve">calculated on the assumption that NIRC employee expenses were wage levels in the rest of Australia plus a 5.5% superannuation (an index of 105.5) relative to employee costs in other councils of wage levels plus superannuation contributions of 9.5% (an index of 109.5). It is </w:t>
      </w:r>
      <w:r w:rsidRPr="00B42144">
        <w:t>equivalent to a 1.6% reduction to total local government expenses because employee expenses were, on average, only 44% of total local government expenses.</w:t>
      </w:r>
    </w:p>
  </w:footnote>
  <w:footnote w:id="6">
    <w:p w14:paraId="5CE3E703" w14:textId="77777777" w:rsidR="0086279A" w:rsidRDefault="0086279A">
      <w:pPr>
        <w:pStyle w:val="FootnoteText"/>
      </w:pPr>
      <w:r>
        <w:rPr>
          <w:rStyle w:val="FootnoteReference"/>
        </w:rPr>
        <w:footnoteRef/>
      </w:r>
      <w:r>
        <w:t xml:space="preserve"> </w:t>
      </w:r>
      <w:r>
        <w:tab/>
      </w:r>
      <w:r w:rsidRPr="00D84A8B">
        <w:t>KPMG</w:t>
      </w:r>
      <w:r w:rsidRPr="00D84A8B">
        <w:rPr>
          <w:i/>
        </w:rPr>
        <w:t>, Analysis of Remote Island Disadvantages – Norfolk Island</w:t>
      </w:r>
      <w:r w:rsidRPr="00D84A8B">
        <w:t>, December 2017.</w:t>
      </w:r>
    </w:p>
  </w:footnote>
  <w:footnote w:id="7">
    <w:p w14:paraId="2E225753" w14:textId="77777777" w:rsidR="0086279A" w:rsidRDefault="0086279A" w:rsidP="00230A0D">
      <w:pPr>
        <w:pStyle w:val="FootnoteText"/>
      </w:pPr>
      <w:r>
        <w:rPr>
          <w:rStyle w:val="FootnoteReference"/>
        </w:rPr>
        <w:footnoteRef/>
      </w:r>
      <w:r>
        <w:t xml:space="preserve"> </w:t>
      </w:r>
      <w:r>
        <w:tab/>
        <w:t>The Commonwealth is responsible for delivering of disability services. Funding is a shared Commonwealth-State responsibility. The total State contribution to the scheme is agreed between the Commonwealth and States. States fund the total State contribution on an equal per capita basis.</w:t>
      </w:r>
    </w:p>
  </w:footnote>
  <w:footnote w:id="8">
    <w:p w14:paraId="767CE0F1" w14:textId="77777777" w:rsidR="0086279A" w:rsidRDefault="0086279A">
      <w:pPr>
        <w:pStyle w:val="FootnoteText"/>
      </w:pPr>
      <w:r>
        <w:rPr>
          <w:rStyle w:val="FootnoteReference"/>
        </w:rPr>
        <w:footnoteRef/>
      </w:r>
      <w:r>
        <w:t xml:space="preserve"> </w:t>
      </w:r>
      <w:r>
        <w:tab/>
        <w:t xml:space="preserve">Kingston, Cascade and Ball Bay. </w:t>
      </w:r>
    </w:p>
  </w:footnote>
  <w:footnote w:id="9">
    <w:p w14:paraId="2FCE7CEE" w14:textId="77777777" w:rsidR="0086279A" w:rsidRDefault="0086279A">
      <w:pPr>
        <w:pStyle w:val="FootnoteText"/>
      </w:pPr>
      <w:r>
        <w:rPr>
          <w:rStyle w:val="FootnoteReference"/>
        </w:rPr>
        <w:footnoteRef/>
      </w:r>
      <w:r>
        <w:t xml:space="preserve"> </w:t>
      </w:r>
      <w:r>
        <w:tab/>
        <w:t>In some States, the major ports have been privatised.</w:t>
      </w:r>
    </w:p>
  </w:footnote>
  <w:footnote w:id="10">
    <w:p w14:paraId="1F9B8836" w14:textId="77777777" w:rsidR="0086279A" w:rsidRPr="00C51C33" w:rsidRDefault="0086279A">
      <w:pPr>
        <w:pStyle w:val="FootnoteText"/>
      </w:pPr>
      <w:r>
        <w:rPr>
          <w:rStyle w:val="FootnoteReference"/>
        </w:rPr>
        <w:footnoteRef/>
      </w:r>
      <w:r>
        <w:t xml:space="preserve"> </w:t>
      </w:r>
      <w:r>
        <w:tab/>
        <w:t>For details of this program, see</w:t>
      </w:r>
      <w:r w:rsidRPr="00C51C33">
        <w:t xml:space="preserve"> </w:t>
      </w:r>
      <w:hyperlink r:id="rId2" w:history="1">
        <w:r w:rsidRPr="00C51C33">
          <w:rPr>
            <w:color w:val="0000FF"/>
            <w:u w:val="single"/>
          </w:rPr>
          <w:t>https://www.infrastructure.gov.au/aviation/regional/</w:t>
        </w:r>
      </w:hyperlink>
    </w:p>
  </w:footnote>
  <w:footnote w:id="11">
    <w:p w14:paraId="2CC5399D" w14:textId="77777777" w:rsidR="0086279A" w:rsidRDefault="0086279A">
      <w:pPr>
        <w:pStyle w:val="FootnoteText"/>
      </w:pPr>
      <w:r>
        <w:rPr>
          <w:rStyle w:val="FootnoteReference"/>
        </w:rPr>
        <w:footnoteRef/>
      </w:r>
      <w:r>
        <w:t xml:space="preserve"> </w:t>
      </w:r>
      <w:r>
        <w:tab/>
        <w:t>We included the net contributions of the Liquor Bond and airport because they were considered local government functions.</w:t>
      </w:r>
    </w:p>
  </w:footnote>
  <w:footnote w:id="12">
    <w:p w14:paraId="25400624" w14:textId="77777777" w:rsidR="0086279A" w:rsidRDefault="0086279A" w:rsidP="00C35EB3">
      <w:pPr>
        <w:pStyle w:val="FootnoteText"/>
      </w:pPr>
      <w:r>
        <w:rPr>
          <w:rStyle w:val="FootnoteReference"/>
        </w:rPr>
        <w:footnoteRef/>
      </w:r>
      <w:r>
        <w:t xml:space="preserve"> </w:t>
      </w:r>
      <w:r>
        <w:tab/>
        <w:t xml:space="preserve">In simplified terms, the service delivery agreement between the Department and NIRC provided for NIRC to retain the revenue from those taxes and charges to offset expenses incurred under the agreement and for the Department to reimburse NIRC for the unrecovered expenses. </w:t>
      </w:r>
    </w:p>
  </w:footnote>
  <w:footnote w:id="13">
    <w:p w14:paraId="24385F35" w14:textId="77777777" w:rsidR="0086279A" w:rsidRDefault="0086279A" w:rsidP="00C35EB3">
      <w:pPr>
        <w:pStyle w:val="FootnoteText"/>
      </w:pPr>
      <w:r>
        <w:rPr>
          <w:rStyle w:val="FootnoteReference"/>
        </w:rPr>
        <w:footnoteRef/>
      </w:r>
      <w:r>
        <w:t xml:space="preserve"> </w:t>
      </w:r>
      <w:r>
        <w:tab/>
        <w:t>However, expenses of the Office of the Administrator as specified in the service delivery agreement between the Department and NIRC are included.</w:t>
      </w:r>
    </w:p>
  </w:footnote>
  <w:footnote w:id="14">
    <w:p w14:paraId="21A93CB6" w14:textId="77777777" w:rsidR="0086279A" w:rsidRDefault="0086279A" w:rsidP="00967F53">
      <w:pPr>
        <w:pStyle w:val="FootnoteText"/>
      </w:pPr>
      <w:r>
        <w:rPr>
          <w:rStyle w:val="FootnoteReference"/>
        </w:rPr>
        <w:footnoteRef/>
      </w:r>
      <w:r>
        <w:t xml:space="preserve"> </w:t>
      </w:r>
      <w:r>
        <w:tab/>
        <w:t>The ACT land tax is imposed on only income producing residential property and commercial property is exempt.</w:t>
      </w:r>
    </w:p>
  </w:footnote>
  <w:footnote w:id="15">
    <w:p w14:paraId="748ADE64" w14:textId="77777777" w:rsidR="0086279A" w:rsidRDefault="0086279A" w:rsidP="00967F53">
      <w:pPr>
        <w:pStyle w:val="FootnoteText"/>
      </w:pPr>
      <w:r>
        <w:rPr>
          <w:rStyle w:val="FootnoteReference"/>
        </w:rPr>
        <w:footnoteRef/>
      </w:r>
      <w:r>
        <w:rPr>
          <w:rStyle w:val="FootnoteReference"/>
        </w:rPr>
        <w:t xml:space="preserve"> </w:t>
      </w:r>
      <w:r>
        <w:rPr>
          <w:rStyle w:val="FootnoteReference"/>
        </w:rPr>
        <w:tab/>
      </w:r>
      <w:r>
        <w:t xml:space="preserve">Some also levy duty on the transfer of non-real property such as copyright, goodwill, patents, partnership interest, options to purchase and units in a trust. However, they are to be abolished when budget circumstances allow. </w:t>
      </w:r>
    </w:p>
  </w:footnote>
  <w:footnote w:id="16">
    <w:p w14:paraId="0E829F16" w14:textId="77777777" w:rsidR="0086279A" w:rsidRDefault="0086279A">
      <w:pPr>
        <w:pStyle w:val="FootnoteText"/>
      </w:pPr>
      <w:r>
        <w:rPr>
          <w:rStyle w:val="FootnoteReference"/>
        </w:rPr>
        <w:footnoteRef/>
      </w:r>
      <w:r>
        <w:t xml:space="preserve"> </w:t>
      </w:r>
      <w:r>
        <w:tab/>
      </w:r>
      <w:r>
        <w:rPr>
          <w:lang w:val="en"/>
        </w:rPr>
        <w:t>For the purposes of residential properties, foreign individuals are: not an Australian citizen, a permanent resident, a New Zealand Citizen with a Special Category Visa, or a person ordinarily resident in Australia.</w:t>
      </w:r>
    </w:p>
  </w:footnote>
  <w:footnote w:id="17">
    <w:p w14:paraId="441DD31A" w14:textId="77777777" w:rsidR="0086279A" w:rsidRDefault="0086279A" w:rsidP="00967F53">
      <w:pPr>
        <w:pStyle w:val="FootnoteText"/>
      </w:pPr>
      <w:r>
        <w:rPr>
          <w:rStyle w:val="FootnoteReference"/>
        </w:rPr>
        <w:footnoteRef/>
      </w:r>
      <w:r>
        <w:t xml:space="preserve"> </w:t>
      </w:r>
      <w:r>
        <w:tab/>
        <w:t xml:space="preserve">All figures include transfers where a value was recorded and those for ‘natural love and affection’ but exclude transfers usually exempt under State taxation provisions (such as transfers following the death of a joint tenant or under the terms of a will). </w:t>
      </w:r>
    </w:p>
  </w:footnote>
  <w:footnote w:id="18">
    <w:p w14:paraId="47386A8E" w14:textId="77777777" w:rsidR="0086279A" w:rsidRDefault="0086279A" w:rsidP="00967F53">
      <w:pPr>
        <w:pStyle w:val="FootnoteText"/>
      </w:pPr>
      <w:r>
        <w:rPr>
          <w:rStyle w:val="FootnoteReference"/>
        </w:rPr>
        <w:footnoteRef/>
      </w:r>
      <w:r>
        <w:t xml:space="preserve"> </w:t>
      </w:r>
      <w:r>
        <w:tab/>
        <w:t>The estimated value of premiums on Norfolk Island for 2009-10 was $2 632 per capita compared with the all State average premiums of $1 248 per capita and the Tasmanian premiums of $975 per capita.</w:t>
      </w:r>
    </w:p>
  </w:footnote>
  <w:footnote w:id="19">
    <w:p w14:paraId="5A5CA8D2" w14:textId="77777777" w:rsidR="0086279A" w:rsidRDefault="0086279A" w:rsidP="00967F53">
      <w:pPr>
        <w:pStyle w:val="FootnoteText"/>
      </w:pPr>
      <w:r>
        <w:rPr>
          <w:rStyle w:val="FootnoteReference"/>
        </w:rPr>
        <w:footnoteRef/>
      </w:r>
      <w:r>
        <w:t xml:space="preserve"> </w:t>
      </w:r>
      <w:r>
        <w:tab/>
        <w:t xml:space="preserve">This is the average rate applied in 2013-14, which is the most recent data available. The data were obtained from: Western Australian Departments of State Development and Mines and Petroleum, </w:t>
      </w:r>
      <w:r>
        <w:rPr>
          <w:i/>
        </w:rPr>
        <w:t>Mineral Royalty Rate Analysis, Final Report</w:t>
      </w:r>
      <w:r>
        <w:t>, 2015.</w:t>
      </w:r>
    </w:p>
  </w:footnote>
  <w:footnote w:id="20">
    <w:p w14:paraId="2FC554F6" w14:textId="77777777" w:rsidR="0086279A" w:rsidRDefault="0086279A" w:rsidP="00967F53">
      <w:pPr>
        <w:pStyle w:val="FootnoteText"/>
      </w:pPr>
      <w:r>
        <w:rPr>
          <w:rStyle w:val="FootnoteReference"/>
        </w:rPr>
        <w:footnoteRef/>
      </w:r>
      <w:r>
        <w:t xml:space="preserve"> </w:t>
      </w:r>
      <w:r>
        <w:tab/>
        <w:t>There were three main classifications of property use – residential, farmland and business.</w:t>
      </w:r>
    </w:p>
  </w:footnote>
  <w:footnote w:id="21">
    <w:p w14:paraId="40591E95" w14:textId="77777777" w:rsidR="0086279A" w:rsidRDefault="0086279A" w:rsidP="00967F53">
      <w:pPr>
        <w:pStyle w:val="FootnoteText"/>
      </w:pPr>
      <w:r>
        <w:rPr>
          <w:rStyle w:val="FootnoteReference"/>
        </w:rPr>
        <w:footnoteRef/>
      </w:r>
      <w:r>
        <w:t xml:space="preserve"> </w:t>
      </w:r>
      <w:r>
        <w:tab/>
        <w:t xml:space="preserve">An allowance for the equivalent of the State funded component of the pensioner concessions is included in the calculation of the State-type expenses for concessions in the Welfare category.  </w:t>
      </w:r>
    </w:p>
  </w:footnote>
  <w:footnote w:id="22">
    <w:p w14:paraId="35F72354" w14:textId="77777777" w:rsidR="0086279A" w:rsidRDefault="0086279A" w:rsidP="00967F53">
      <w:pPr>
        <w:pStyle w:val="FootnoteText"/>
      </w:pPr>
      <w:r>
        <w:rPr>
          <w:rStyle w:val="FootnoteReference"/>
        </w:rPr>
        <w:footnoteRef/>
      </w:r>
      <w:r>
        <w:t xml:space="preserve"> </w:t>
      </w:r>
      <w:r>
        <w:tab/>
        <w:t>The Shoalhaven area depends on tourism, fishing, pastoral and horticultural activities.</w:t>
      </w:r>
    </w:p>
  </w:footnote>
  <w:footnote w:id="23">
    <w:p w14:paraId="65132840" w14:textId="77777777" w:rsidR="0086279A" w:rsidRDefault="0086279A" w:rsidP="00967F53">
      <w:pPr>
        <w:pStyle w:val="FootnoteText"/>
      </w:pPr>
      <w:r>
        <w:rPr>
          <w:rStyle w:val="FootnoteReference"/>
        </w:rPr>
        <w:footnoteRef/>
      </w:r>
      <w:r>
        <w:t xml:space="preserve"> </w:t>
      </w:r>
      <w:r>
        <w:tab/>
        <w:t xml:space="preserve">Norfolk Island Regional Council </w:t>
      </w:r>
      <w:r>
        <w:rPr>
          <w:i/>
        </w:rPr>
        <w:t>Financial Statement for 2017-18</w:t>
      </w:r>
      <w:r>
        <w:t xml:space="preserve">, notes 3(c) and 3(d), page 16. </w:t>
      </w:r>
    </w:p>
  </w:footnote>
  <w:footnote w:id="24">
    <w:p w14:paraId="2AFC1E2E" w14:textId="77777777" w:rsidR="0086279A" w:rsidRDefault="0086279A" w:rsidP="00967F53">
      <w:pPr>
        <w:pStyle w:val="FootnoteText"/>
      </w:pPr>
      <w:r>
        <w:rPr>
          <w:rStyle w:val="FootnoteReference"/>
        </w:rPr>
        <w:footnoteRef/>
      </w:r>
      <w:r>
        <w:t xml:space="preserve"> </w:t>
      </w:r>
      <w:r>
        <w:tab/>
        <w:t xml:space="preserve">The King Island Council </w:t>
      </w:r>
      <w:r>
        <w:rPr>
          <w:i/>
        </w:rPr>
        <w:t>Financial Statement for 2017-18</w:t>
      </w:r>
      <w:r>
        <w:t xml:space="preserve">, notes 2.7 and 2.8, pages 10 and 11, indicate it collected rents of $70 705 ($44 per capita) and interest and investment income of $227 780 ($143 per capita). </w:t>
      </w:r>
    </w:p>
  </w:footnote>
  <w:footnote w:id="25">
    <w:p w14:paraId="251E9903" w14:textId="77777777" w:rsidR="0086279A" w:rsidRDefault="0086279A" w:rsidP="00967F53">
      <w:pPr>
        <w:pStyle w:val="FootnoteText"/>
      </w:pPr>
      <w:r>
        <w:rPr>
          <w:rStyle w:val="FootnoteReference"/>
        </w:rPr>
        <w:footnoteRef/>
      </w:r>
      <w:r>
        <w:t xml:space="preserve"> </w:t>
      </w:r>
      <w:r>
        <w:tab/>
        <w:t xml:space="preserve">In its calculations, the New South Wales Local Government Grants Commission used a Norfolk Island population of 1 800 which is slightly larger than the 1 756 figure used in our assessments. </w:t>
      </w:r>
    </w:p>
  </w:footnote>
  <w:footnote w:id="26">
    <w:p w14:paraId="21E0DAD0" w14:textId="77777777" w:rsidR="0086279A" w:rsidRDefault="0086279A" w:rsidP="00C37DB0">
      <w:pPr>
        <w:pStyle w:val="FootnoteText"/>
      </w:pPr>
      <w:r>
        <w:rPr>
          <w:rStyle w:val="FootnoteReference"/>
        </w:rPr>
        <w:footnoteRef/>
      </w:r>
      <w:r>
        <w:t xml:space="preserve"> </w:t>
      </w:r>
      <w:r>
        <w:tab/>
        <w:t>The Commonwealth contributes to the cost of pre-school through the National Partnership Agreement on Universal Access to Early Childhood Education. This program supports a minimum of 15 hours of pre-school per week.</w:t>
      </w:r>
    </w:p>
  </w:footnote>
  <w:footnote w:id="27">
    <w:p w14:paraId="4A37256B" w14:textId="77777777" w:rsidR="0086279A" w:rsidRDefault="0086279A" w:rsidP="00C37DB0">
      <w:pPr>
        <w:pStyle w:val="FootnoteText"/>
      </w:pPr>
      <w:r>
        <w:rPr>
          <w:rStyle w:val="FootnoteReference"/>
        </w:rPr>
        <w:footnoteRef/>
      </w:r>
      <w:r>
        <w:t xml:space="preserve"> </w:t>
      </w:r>
      <w:r>
        <w:tab/>
        <w:t>Teachers at the school are recruited on a three-year contract from New South Wales and complete a minimum two-year term. Recent funding to improve the school’s IT infrastructure has enabled students and staff to access a greater range of services. The diverse school curriculum includes classes in the Norf’k language and culture.</w:t>
      </w:r>
    </w:p>
  </w:footnote>
  <w:footnote w:id="28">
    <w:p w14:paraId="40A35B21" w14:textId="77777777" w:rsidR="0086279A" w:rsidRDefault="0086279A" w:rsidP="00C37DB0">
      <w:pPr>
        <w:pStyle w:val="FootnoteText"/>
      </w:pPr>
      <w:r>
        <w:rPr>
          <w:rStyle w:val="FootnoteReference"/>
        </w:rPr>
        <w:footnoteRef/>
      </w:r>
      <w:r>
        <w:t xml:space="preserve"> </w:t>
      </w:r>
      <w:r>
        <w:tab/>
        <w:t>This per capita amount is calculated by dividing total assessed expenses by the Norfolk Island population. Tables E-3 shows costs per student.</w:t>
      </w:r>
    </w:p>
  </w:footnote>
  <w:footnote w:id="29">
    <w:p w14:paraId="55EBD1FC" w14:textId="77777777" w:rsidR="0086279A" w:rsidRDefault="0086279A" w:rsidP="00C37DB0">
      <w:pPr>
        <w:pStyle w:val="FootnoteText"/>
      </w:pPr>
      <w:r>
        <w:rPr>
          <w:rStyle w:val="FootnoteReference"/>
        </w:rPr>
        <w:footnoteRef/>
      </w:r>
      <w:r>
        <w:t xml:space="preserve"> </w:t>
      </w:r>
      <w:r>
        <w:tab/>
        <w:t>Norfolk Island Central School does not currently provide pre-school services.</w:t>
      </w:r>
    </w:p>
  </w:footnote>
  <w:footnote w:id="30">
    <w:p w14:paraId="52E397F2" w14:textId="77777777" w:rsidR="0086279A" w:rsidRDefault="0086279A" w:rsidP="00C37DB0">
      <w:pPr>
        <w:pStyle w:val="FootnoteText"/>
      </w:pPr>
      <w:r>
        <w:rPr>
          <w:rStyle w:val="FootnoteReference"/>
        </w:rPr>
        <w:footnoteRef/>
      </w:r>
      <w:r>
        <w:t xml:space="preserve"> </w:t>
      </w:r>
      <w:r>
        <w:tab/>
        <w:t xml:space="preserve">Other higher education, which is mostly post-secondary education, accounts for about 5% of the total. </w:t>
      </w:r>
    </w:p>
  </w:footnote>
  <w:footnote w:id="31">
    <w:p w14:paraId="0049123C" w14:textId="77777777" w:rsidR="0086279A" w:rsidRDefault="0086279A" w:rsidP="00C37DB0">
      <w:pPr>
        <w:pStyle w:val="FootnoteText"/>
      </w:pPr>
      <w:r>
        <w:rPr>
          <w:rStyle w:val="FootnoteReference"/>
        </w:rPr>
        <w:footnoteRef/>
      </w:r>
      <w:r>
        <w:t xml:space="preserve"> </w:t>
      </w:r>
      <w:r>
        <w:tab/>
        <w:t xml:space="preserve">Block funded hospitals are smaller, typically regional and remote hospital facilities that receive a Commonwealth contribution in a single ‘block’, based on the volume of services they provide and their remoteness. In contrast, activity based funding hospitals are funded for the number and mix of patients they treat. See the Independent Health Pricing Authority website </w:t>
      </w:r>
      <w:hyperlink r:id="rId3" w:history="1">
        <w:r>
          <w:rPr>
            <w:rStyle w:val="Hyperlink"/>
          </w:rPr>
          <w:t>https://www.ihpa.gov.au</w:t>
        </w:r>
      </w:hyperlink>
      <w:r>
        <w:t xml:space="preserve"> for more information. </w:t>
      </w:r>
    </w:p>
  </w:footnote>
  <w:footnote w:id="32">
    <w:p w14:paraId="0E4D29D1" w14:textId="77777777" w:rsidR="0086279A" w:rsidRDefault="0086279A" w:rsidP="00C37DB0">
      <w:pPr>
        <w:pStyle w:val="FootnoteText"/>
      </w:pPr>
      <w:r>
        <w:rPr>
          <w:rStyle w:val="FootnoteReference"/>
        </w:rPr>
        <w:footnoteRef/>
      </w:r>
      <w:r>
        <w:t xml:space="preserve"> </w:t>
      </w:r>
      <w:r>
        <w:tab/>
        <w:t xml:space="preserve">The transfers are subject to a clinically determined protocol, but are primarily for procedures that cannot be resolved at Norfolk Island’s health facility, more complex procedures and emergency procedures. </w:t>
      </w:r>
    </w:p>
  </w:footnote>
  <w:footnote w:id="33">
    <w:p w14:paraId="4149FC3C" w14:textId="77777777" w:rsidR="0086279A" w:rsidRDefault="0086279A" w:rsidP="00C37DB0">
      <w:pPr>
        <w:pStyle w:val="FootnoteText"/>
      </w:pPr>
      <w:r>
        <w:rPr>
          <w:rStyle w:val="FootnoteReference"/>
        </w:rPr>
        <w:footnoteRef/>
      </w:r>
      <w:r>
        <w:t xml:space="preserve"> </w:t>
      </w:r>
      <w:r>
        <w:tab/>
      </w:r>
      <w:hyperlink r:id="rId4" w:history="1">
        <w:r>
          <w:rPr>
            <w:rStyle w:val="Hyperlink"/>
          </w:rPr>
          <w:t>https://www.health.nsw.gov.au/transport/Pages/iptaas.aspx</w:t>
        </w:r>
      </w:hyperlink>
      <w:r>
        <w:t xml:space="preserve"> [accessed 9/6/2019].</w:t>
      </w:r>
    </w:p>
  </w:footnote>
  <w:footnote w:id="34">
    <w:p w14:paraId="4E5E72AD" w14:textId="77777777" w:rsidR="0086279A" w:rsidRDefault="0086279A" w:rsidP="00C37DB0">
      <w:pPr>
        <w:pStyle w:val="FootnoteText"/>
      </w:pPr>
      <w:r>
        <w:rPr>
          <w:rStyle w:val="FootnoteReference"/>
        </w:rPr>
        <w:footnoteRef/>
      </w:r>
      <w:r>
        <w:t xml:space="preserve"> </w:t>
      </w:r>
      <w:r>
        <w:tab/>
      </w:r>
      <w:hyperlink r:id="rId5" w:history="1">
        <w:r>
          <w:rPr>
            <w:rStyle w:val="Hyperlink"/>
          </w:rPr>
          <w:t>https://www.regional.gov.au/territories/norfolk_island/administrator/media/2018/ni-a-mr-201801.aspx</w:t>
        </w:r>
      </w:hyperlink>
      <w:r>
        <w:t xml:space="preserve"> [accessed 24/07/2019].</w:t>
      </w:r>
    </w:p>
  </w:footnote>
  <w:footnote w:id="35">
    <w:p w14:paraId="186243F2" w14:textId="77777777" w:rsidR="0086279A" w:rsidRDefault="0086279A" w:rsidP="00C37DB0">
      <w:pPr>
        <w:pStyle w:val="FootnoteText"/>
      </w:pPr>
      <w:r>
        <w:rPr>
          <w:rStyle w:val="FootnoteReference"/>
        </w:rPr>
        <w:footnoteRef/>
      </w:r>
      <w:r>
        <w:t xml:space="preserve"> </w:t>
      </w:r>
      <w:r>
        <w:tab/>
      </w:r>
      <w:r>
        <w:rPr>
          <w:i/>
        </w:rPr>
        <w:t xml:space="preserve">Norfolk Island Health and Residential Aged Care Service Revenue Management Plan 2018-2021. </w:t>
      </w:r>
      <w:r>
        <w:t>Provided to the Commission by NIHRACS in August 2019.</w:t>
      </w:r>
    </w:p>
  </w:footnote>
  <w:footnote w:id="36">
    <w:p w14:paraId="0CD56060" w14:textId="77777777" w:rsidR="0086279A" w:rsidRDefault="0086279A" w:rsidP="00C37DB0">
      <w:pPr>
        <w:pStyle w:val="FootnoteText"/>
      </w:pPr>
      <w:r>
        <w:rPr>
          <w:rStyle w:val="FootnoteReference"/>
        </w:rPr>
        <w:footnoteRef/>
      </w:r>
      <w:r>
        <w:t xml:space="preserve"> </w:t>
      </w:r>
      <w:r>
        <w:tab/>
        <w:t xml:space="preserve">See the Independent Health Pricing Authority’s </w:t>
      </w:r>
      <w:r>
        <w:rPr>
          <w:i/>
        </w:rPr>
        <w:t>National Efficient Cost Determination 2017</w:t>
      </w:r>
      <w:r>
        <w:rPr>
          <w:i/>
        </w:rPr>
        <w:noBreakHyphen/>
        <w:t xml:space="preserve">18, </w:t>
      </w:r>
      <w:r>
        <w:t xml:space="preserve">sourced from </w:t>
      </w:r>
      <w:hyperlink r:id="rId6" w:history="1">
        <w:r>
          <w:rPr>
            <w:rStyle w:val="Hyperlink"/>
          </w:rPr>
          <w:t>https://www.ihpa.gov.au/publications/national-efficient-cost-determination-2017-18</w:t>
        </w:r>
      </w:hyperlink>
      <w:r>
        <w:t xml:space="preserve"> in March 2017.</w:t>
      </w:r>
    </w:p>
  </w:footnote>
  <w:footnote w:id="37">
    <w:p w14:paraId="70DF04F6" w14:textId="77777777" w:rsidR="0086279A" w:rsidRDefault="0086279A" w:rsidP="00C37DB0">
      <w:pPr>
        <w:pStyle w:val="FootnoteText"/>
      </w:pPr>
      <w:r>
        <w:rPr>
          <w:rStyle w:val="FootnoteReference"/>
        </w:rPr>
        <w:footnoteRef/>
      </w:r>
      <w:r>
        <w:tab/>
        <w:t xml:space="preserve">In some very remote communities privately practicing general practitioners operate out of community health clinics working partially for themselves and for the State health authority. However, this is the exception. </w:t>
      </w:r>
    </w:p>
  </w:footnote>
  <w:footnote w:id="38">
    <w:p w14:paraId="36CE3326" w14:textId="77777777" w:rsidR="0086279A" w:rsidRDefault="0086279A">
      <w:pPr>
        <w:pStyle w:val="FootnoteText"/>
      </w:pPr>
      <w:r>
        <w:rPr>
          <w:rStyle w:val="FootnoteReference"/>
        </w:rPr>
        <w:footnoteRef/>
      </w:r>
      <w:r>
        <w:t xml:space="preserve"> </w:t>
      </w:r>
      <w:r>
        <w:tab/>
        <w:t xml:space="preserve">Source: Email communication from the General-Manager of the NIRC, in response to the draft report, 24 September 2019. </w:t>
      </w:r>
    </w:p>
  </w:footnote>
  <w:footnote w:id="39">
    <w:p w14:paraId="1F8D144B" w14:textId="77777777" w:rsidR="0086279A" w:rsidRDefault="0086279A" w:rsidP="00C37DB0">
      <w:pPr>
        <w:pStyle w:val="FootnoteText"/>
      </w:pPr>
      <w:r>
        <w:rPr>
          <w:rStyle w:val="FootnoteReference"/>
        </w:rPr>
        <w:footnoteRef/>
      </w:r>
      <w:r>
        <w:t xml:space="preserve"> </w:t>
      </w:r>
      <w:r>
        <w:tab/>
        <w:t xml:space="preserve">Substantiations are interventions by the authorities in respect of child welfare. </w:t>
      </w:r>
    </w:p>
  </w:footnote>
  <w:footnote w:id="40">
    <w:p w14:paraId="025052C6" w14:textId="77777777" w:rsidR="0086279A" w:rsidRDefault="0086279A" w:rsidP="00C37DB0">
      <w:pPr>
        <w:pStyle w:val="FootnoteText"/>
      </w:pPr>
      <w:r>
        <w:rPr>
          <w:rStyle w:val="FootnoteReference"/>
        </w:rPr>
        <w:footnoteRef/>
      </w:r>
      <w:r>
        <w:t xml:space="preserve"> </w:t>
      </w:r>
      <w:r>
        <w:tab/>
        <w:t>Households are categorised into two categories by socio-economic status – the bottom 40% and the top 60%, which is the approach the Commission takes with States’ inquiries.</w:t>
      </w:r>
    </w:p>
  </w:footnote>
  <w:footnote w:id="41">
    <w:p w14:paraId="5E841B05" w14:textId="77777777" w:rsidR="0086279A" w:rsidRDefault="0086279A" w:rsidP="00C37DB0">
      <w:pPr>
        <w:pStyle w:val="FootnoteText"/>
      </w:pPr>
      <w:r>
        <w:rPr>
          <w:rStyle w:val="FootnoteReference"/>
        </w:rPr>
        <w:footnoteRef/>
      </w:r>
      <w:r>
        <w:t xml:space="preserve"> </w:t>
      </w:r>
      <w:r>
        <w:tab/>
        <w:t xml:space="preserve">In the State inquiries, 2011 Census populations are used to estimate State contributions to the National Disability Insurance Scheme. This aligns the assessment with the agreed Commonwealth-State funding arrangements. For simplicity, we have used 2017-18 populations to estimate Norfolk Island’s contribution. </w:t>
      </w:r>
    </w:p>
  </w:footnote>
  <w:footnote w:id="42">
    <w:p w14:paraId="0D0D654A" w14:textId="77777777" w:rsidR="0086279A" w:rsidRDefault="0086279A" w:rsidP="00C37DB0">
      <w:pPr>
        <w:pStyle w:val="FootnoteText"/>
      </w:pPr>
      <w:r>
        <w:rPr>
          <w:rStyle w:val="FootnoteReference"/>
        </w:rPr>
        <w:footnoteRef/>
      </w:r>
      <w:r>
        <w:t xml:space="preserve"> </w:t>
      </w:r>
      <w:r>
        <w:tab/>
        <w:t>Comprising 132 Centrelink and 12 Department of Veteran’s Affairs concession card holders. Information provided by the Norfolk Island Regional Council in May 2019.</w:t>
      </w:r>
    </w:p>
  </w:footnote>
  <w:footnote w:id="43">
    <w:p w14:paraId="55F38386" w14:textId="77777777" w:rsidR="0086279A" w:rsidRDefault="0086279A">
      <w:pPr>
        <w:pStyle w:val="FootnoteText"/>
      </w:pPr>
      <w:r>
        <w:rPr>
          <w:rStyle w:val="FootnoteReference"/>
        </w:rPr>
        <w:footnoteRef/>
      </w:r>
      <w:r>
        <w:t xml:space="preserve"> </w:t>
      </w:r>
      <w:r>
        <w:tab/>
        <w:t xml:space="preserve">The Commission does not have information on the actual gross expenses incurred by the NIRC in managing these properties in 2016-17 and 2017-18. The actuals data in the expense tables in this report therefore show nil gross social housing expenses. However, rents from the DCA circle  housing have been included in other income for the NIRC. </w:t>
      </w:r>
    </w:p>
  </w:footnote>
  <w:footnote w:id="44">
    <w:p w14:paraId="7A099BFE" w14:textId="77777777" w:rsidR="0086279A" w:rsidRDefault="0086279A" w:rsidP="00C37DB0">
      <w:pPr>
        <w:pStyle w:val="FootnoteText"/>
      </w:pPr>
      <w:r>
        <w:rPr>
          <w:rStyle w:val="FootnoteReference"/>
        </w:rPr>
        <w:footnoteRef/>
      </w:r>
      <w:r>
        <w:t xml:space="preserve"> </w:t>
      </w:r>
      <w:r>
        <w:tab/>
        <w:t>Based on 2015-16 cost data supplied to the Commission by five States for 172 small, isolated off-grid electricity generation schemes.</w:t>
      </w:r>
    </w:p>
  </w:footnote>
  <w:footnote w:id="45">
    <w:p w14:paraId="5DB26A30" w14:textId="77777777" w:rsidR="0086279A" w:rsidRDefault="0086279A" w:rsidP="00C37DB0">
      <w:pPr>
        <w:pStyle w:val="FootnoteText"/>
      </w:pPr>
      <w:r>
        <w:rPr>
          <w:rStyle w:val="FootnoteReference"/>
        </w:rPr>
        <w:footnoteRef/>
      </w:r>
      <w:r>
        <w:t xml:space="preserve"> </w:t>
      </w:r>
      <w:r>
        <w:tab/>
        <w:t xml:space="preserve">Based on advice provided by NIRC. </w:t>
      </w:r>
    </w:p>
  </w:footnote>
  <w:footnote w:id="46">
    <w:p w14:paraId="20A0AAA7" w14:textId="77777777" w:rsidR="0086279A" w:rsidRDefault="0086279A" w:rsidP="00C37DB0">
      <w:pPr>
        <w:pStyle w:val="FootnoteText"/>
      </w:pPr>
      <w:r>
        <w:rPr>
          <w:rStyle w:val="FootnoteReference"/>
        </w:rPr>
        <w:footnoteRef/>
      </w:r>
      <w:r>
        <w:t xml:space="preserve"> </w:t>
      </w:r>
      <w:r>
        <w:tab/>
        <w:t xml:space="preserve">Derived by subtracting the electricity charges revenue published in NIRC’s </w:t>
      </w:r>
      <w:r w:rsidRPr="00042C81">
        <w:rPr>
          <w:i/>
        </w:rPr>
        <w:t>Financial Statement for 2017-18</w:t>
      </w:r>
      <w:r>
        <w:t xml:space="preserve"> (page 15) of $2 803 149 from the gross expenses advised by NIRC.</w:t>
      </w:r>
    </w:p>
  </w:footnote>
  <w:footnote w:id="47">
    <w:p w14:paraId="4EBF7BC5" w14:textId="77777777" w:rsidR="0086279A" w:rsidRDefault="0086279A" w:rsidP="00C37DB0">
      <w:pPr>
        <w:pStyle w:val="FootnoteText"/>
      </w:pPr>
      <w:r>
        <w:rPr>
          <w:rStyle w:val="FootnoteReference"/>
        </w:rPr>
        <w:footnoteRef/>
      </w:r>
      <w:r>
        <w:t xml:space="preserve"> </w:t>
      </w:r>
      <w:r>
        <w:tab/>
        <w:t>Based on 2015-16 cost data supplied to the Commission by States.</w:t>
      </w:r>
    </w:p>
  </w:footnote>
  <w:footnote w:id="48">
    <w:p w14:paraId="22FC09C3" w14:textId="77777777" w:rsidR="0086279A" w:rsidRDefault="0086279A" w:rsidP="00C37DB0">
      <w:pPr>
        <w:pStyle w:val="FootnoteText"/>
      </w:pPr>
      <w:r>
        <w:rPr>
          <w:rStyle w:val="FootnoteReference"/>
        </w:rPr>
        <w:footnoteRef/>
      </w:r>
      <w:r>
        <w:t xml:space="preserve"> </w:t>
      </w:r>
      <w:r>
        <w:tab/>
        <w:t>This cost is higher for households with installed photovoltaic (PV) systems, and lower for non</w:t>
      </w:r>
      <w:r>
        <w:noBreakHyphen/>
        <w:t>PV households. Norfolk Island has had a moratorium on new PV installations since 2013.</w:t>
      </w:r>
    </w:p>
  </w:footnote>
  <w:footnote w:id="49">
    <w:p w14:paraId="3A0F4579" w14:textId="77777777" w:rsidR="0086279A" w:rsidRDefault="0086279A" w:rsidP="00C37DB0">
      <w:pPr>
        <w:pStyle w:val="FootnoteText"/>
      </w:pPr>
      <w:r>
        <w:rPr>
          <w:rStyle w:val="FootnoteReference"/>
        </w:rPr>
        <w:footnoteRef/>
      </w:r>
      <w:r>
        <w:t xml:space="preserve"> </w:t>
      </w:r>
      <w:r>
        <w:tab/>
        <w:t xml:space="preserve">National average data sourced from the Australian Energy Market Commission, </w:t>
      </w:r>
      <w:r>
        <w:rPr>
          <w:i/>
        </w:rPr>
        <w:t xml:space="preserve">2018 Residential Electricity Price Trends Review, </w:t>
      </w:r>
      <w:r>
        <w:t xml:space="preserve">Final Report, Figure 4. </w:t>
      </w:r>
    </w:p>
  </w:footnote>
  <w:footnote w:id="50">
    <w:p w14:paraId="76E8FF4E" w14:textId="77777777" w:rsidR="0086279A" w:rsidRDefault="0086279A" w:rsidP="00C37DB0">
      <w:pPr>
        <w:pStyle w:val="FootnoteText"/>
      </w:pPr>
      <w:r>
        <w:rPr>
          <w:rStyle w:val="FootnoteReference"/>
        </w:rPr>
        <w:footnoteRef/>
      </w:r>
      <w:r>
        <w:t xml:space="preserve"> </w:t>
      </w:r>
      <w:r>
        <w:tab/>
        <w:t xml:space="preserve">Office of the Tasmanian Economic Regulator, </w:t>
      </w:r>
      <w:r>
        <w:rPr>
          <w:i/>
        </w:rPr>
        <w:t>Energy in Tasmania Report 2017-18</w:t>
      </w:r>
      <w:r>
        <w:t>.</w:t>
      </w:r>
    </w:p>
  </w:footnote>
  <w:footnote w:id="51">
    <w:p w14:paraId="6397570F" w14:textId="77777777" w:rsidR="0086279A" w:rsidRDefault="0086279A" w:rsidP="00C37DB0">
      <w:pPr>
        <w:pStyle w:val="FootnoteText"/>
      </w:pPr>
      <w:r>
        <w:rPr>
          <w:rStyle w:val="FootnoteReference"/>
        </w:rPr>
        <w:footnoteRef/>
      </w:r>
      <w:r>
        <w:t xml:space="preserve"> </w:t>
      </w:r>
      <w:r>
        <w:tab/>
        <w:t xml:space="preserve">The total subsidy for King Island and Flinders Island was $10 million (Hydro Tasmania, </w:t>
      </w:r>
      <w:r>
        <w:rPr>
          <w:i/>
        </w:rPr>
        <w:t>Annual report 2017-18.)</w:t>
      </w:r>
    </w:p>
  </w:footnote>
  <w:footnote w:id="52">
    <w:p w14:paraId="3FF3C0E0" w14:textId="77777777" w:rsidR="0086279A" w:rsidRDefault="0086279A" w:rsidP="00C37DB0">
      <w:pPr>
        <w:pStyle w:val="FootnoteText"/>
      </w:pPr>
      <w:r>
        <w:rPr>
          <w:rStyle w:val="FootnoteReference"/>
        </w:rPr>
        <w:footnoteRef/>
      </w:r>
      <w:r>
        <w:t xml:space="preserve"> </w:t>
      </w:r>
      <w:r>
        <w:tab/>
        <w:t xml:space="preserve">The number of people living in each dwelling receiving services (2.4) was based on information from the Bureau of Meteorology, </w:t>
      </w:r>
      <w:r>
        <w:rPr>
          <w:i/>
        </w:rPr>
        <w:t xml:space="preserve">National performance report 2017–18: Urban water utilities. </w:t>
      </w:r>
      <w:r>
        <w:t xml:space="preserve">This figure is similar to the 2016 Census value of 2.2 persons per household on Norfolk Island. The number of persons per sewerage connection is higher because one connection may service more than one dwelling, as noted in the Norfolk Island Regional Council’s </w:t>
      </w:r>
      <w:r>
        <w:rPr>
          <w:i/>
        </w:rPr>
        <w:t>Annual Report 2017-18</w:t>
      </w:r>
      <w:r>
        <w:t xml:space="preserve"> (page 32).</w:t>
      </w:r>
    </w:p>
  </w:footnote>
  <w:footnote w:id="53">
    <w:p w14:paraId="053B36D5" w14:textId="77777777" w:rsidR="0086279A" w:rsidRDefault="0086279A" w:rsidP="00C37DB0">
      <w:pPr>
        <w:pStyle w:val="FootnoteText"/>
      </w:pPr>
      <w:r>
        <w:rPr>
          <w:rStyle w:val="FootnoteReference"/>
        </w:rPr>
        <w:footnoteRef/>
      </w:r>
      <w:r>
        <w:t xml:space="preserve"> </w:t>
      </w:r>
      <w:r>
        <w:tab/>
        <w:t xml:space="preserve">Regional Development Australia is an Australian Government initiative that brings together all levels of government to enhance the development of Australia's regions. A national network of regional development committees has been set up to achieve this objective. See </w:t>
      </w:r>
      <w:hyperlink r:id="rId7" w:history="1">
        <w:r>
          <w:rPr>
            <w:rStyle w:val="Hyperlink"/>
          </w:rPr>
          <w:t>https://www.rda.gov.au/</w:t>
        </w:r>
      </w:hyperlink>
      <w:r>
        <w:t xml:space="preserve">. </w:t>
      </w:r>
    </w:p>
  </w:footnote>
  <w:footnote w:id="54">
    <w:p w14:paraId="4BB33A9B" w14:textId="77777777" w:rsidR="0086279A" w:rsidRDefault="0086279A" w:rsidP="00C37DB0">
      <w:pPr>
        <w:pStyle w:val="FootnoteText"/>
      </w:pPr>
      <w:r>
        <w:rPr>
          <w:rStyle w:val="FootnoteReference"/>
        </w:rPr>
        <w:footnoteRef/>
      </w:r>
      <w:r>
        <w:t xml:space="preserve"> </w:t>
      </w:r>
      <w:r>
        <w:tab/>
        <w:t xml:space="preserve">Estimate based on data from the 2016 Census. </w:t>
      </w:r>
    </w:p>
  </w:footnote>
  <w:footnote w:id="55">
    <w:p w14:paraId="35DC331C" w14:textId="77777777" w:rsidR="0086279A" w:rsidRDefault="0086279A">
      <w:pPr>
        <w:pStyle w:val="FootnoteText"/>
      </w:pPr>
      <w:r>
        <w:rPr>
          <w:rStyle w:val="FootnoteReference"/>
        </w:rPr>
        <w:footnoteRef/>
      </w:r>
      <w:r>
        <w:t xml:space="preserve"> </w:t>
      </w:r>
      <w:r>
        <w:tab/>
        <w:t xml:space="preserve">The staff estimate accounts for a team leader, staff covering tourist promotion, industry development, events and business support, ICT and website management, visitor information centre management and staffing, and administrative support. The Commission considered the approach by other State and local governments in relation to tourism support in other parts of Australia, and adopted those approaches and structures to this function as a benchmark. </w:t>
      </w:r>
    </w:p>
  </w:footnote>
  <w:footnote w:id="56">
    <w:p w14:paraId="5BA19B1A" w14:textId="77777777" w:rsidR="0086279A" w:rsidRDefault="0086279A" w:rsidP="00C37DB0">
      <w:pPr>
        <w:pStyle w:val="FootnoteText"/>
      </w:pPr>
      <w:r>
        <w:rPr>
          <w:rStyle w:val="FootnoteReference"/>
        </w:rPr>
        <w:footnoteRef/>
      </w:r>
      <w:r>
        <w:t xml:space="preserve"> </w:t>
      </w:r>
      <w:r>
        <w:tab/>
        <w:t>The local government type assessments also include a small amount of assessed expense for fire services but it cannot be distinguished from other local government expenses for law, order and public safety services.</w:t>
      </w:r>
    </w:p>
  </w:footnote>
  <w:footnote w:id="57">
    <w:p w14:paraId="61C81DCB" w14:textId="77777777" w:rsidR="0086279A" w:rsidRDefault="0086279A" w:rsidP="00C37DB0">
      <w:pPr>
        <w:pStyle w:val="FootnoteText"/>
      </w:pPr>
      <w:r>
        <w:rPr>
          <w:rStyle w:val="FootnoteReference"/>
        </w:rPr>
        <w:footnoteRef/>
      </w:r>
      <w:r>
        <w:t xml:space="preserve"> </w:t>
      </w:r>
      <w:r>
        <w:tab/>
        <w:t>In most States, State owned corporations provide water and sewerage services. In New South Wales and Queensland it is a local government responsibility.</w:t>
      </w:r>
    </w:p>
  </w:footnote>
  <w:footnote w:id="58">
    <w:p w14:paraId="552BDD6C" w14:textId="77777777" w:rsidR="0086279A" w:rsidRDefault="0086279A" w:rsidP="00C37DB0">
      <w:pPr>
        <w:pStyle w:val="FootnoteText"/>
      </w:pPr>
      <w:r>
        <w:rPr>
          <w:rStyle w:val="FootnoteReference"/>
        </w:rPr>
        <w:footnoteRef/>
      </w:r>
      <w:r>
        <w:t xml:space="preserve"> </w:t>
      </w:r>
      <w:r>
        <w:tab/>
        <w:t>ABS 5514.0, A</w:t>
      </w:r>
      <w:r>
        <w:rPr>
          <w:i/>
        </w:rPr>
        <w:t xml:space="preserve">ustralian System of Government Finance Statistics: Concepts, Sources and Methods, Australia, 2015, </w:t>
      </w:r>
      <w:r>
        <w:t>Appendix 1, Part C.</w:t>
      </w:r>
    </w:p>
  </w:footnote>
  <w:footnote w:id="59">
    <w:p w14:paraId="0EDA4890" w14:textId="77777777" w:rsidR="0086279A" w:rsidRDefault="0086279A" w:rsidP="00C37DB0">
      <w:pPr>
        <w:pStyle w:val="FootnoteText"/>
      </w:pPr>
      <w:r>
        <w:rPr>
          <w:rStyle w:val="FootnoteReference"/>
        </w:rPr>
        <w:footnoteRef/>
      </w:r>
      <w:r>
        <w:t xml:space="preserve"> </w:t>
      </w:r>
      <w:r>
        <w:tab/>
        <w:t>Australian average spending was calculated by dividing total expenditure by local governments in all States and the Northern Territory by the total population for those jurisdictions. The ACT was not included in the calculation because it does not have a separate local government.</w:t>
      </w:r>
    </w:p>
  </w:footnote>
  <w:footnote w:id="60">
    <w:p w14:paraId="671E64FF" w14:textId="77777777" w:rsidR="0086279A" w:rsidRDefault="0086279A" w:rsidP="00C37DB0">
      <w:pPr>
        <w:pStyle w:val="FootnoteText"/>
      </w:pPr>
      <w:r>
        <w:rPr>
          <w:rStyle w:val="FootnoteReference"/>
        </w:rPr>
        <w:footnoteRef/>
      </w:r>
      <w:r>
        <w:t xml:space="preserve"> </w:t>
      </w:r>
      <w:r>
        <w:tab/>
        <w:t>The population of King Island in 2016-17 was 1 614. This compares to the Norfolk Island population of 1 752.</w:t>
      </w:r>
    </w:p>
  </w:footnote>
  <w:footnote w:id="61">
    <w:p w14:paraId="14157CAE" w14:textId="77777777" w:rsidR="0086279A" w:rsidRDefault="0086279A" w:rsidP="00C37DB0">
      <w:pPr>
        <w:pStyle w:val="FootnoteText"/>
      </w:pPr>
      <w:r>
        <w:rPr>
          <w:rStyle w:val="FootnoteReference"/>
        </w:rPr>
        <w:footnoteRef/>
      </w:r>
      <w:r>
        <w:t xml:space="preserve"> </w:t>
      </w:r>
      <w:r>
        <w:tab/>
        <w:t>For example, in a few States, local governments provide residential aged care services.</w:t>
      </w:r>
    </w:p>
  </w:footnote>
  <w:footnote w:id="62">
    <w:p w14:paraId="175CE439" w14:textId="77777777" w:rsidR="0086279A" w:rsidRDefault="0086279A" w:rsidP="00C37DB0">
      <w:pPr>
        <w:pStyle w:val="FootnoteText"/>
      </w:pPr>
      <w:r>
        <w:rPr>
          <w:rStyle w:val="FootnoteReference"/>
        </w:rPr>
        <w:footnoteRef/>
      </w:r>
      <w:r>
        <w:t xml:space="preserve"> </w:t>
      </w:r>
      <w:r>
        <w:tab/>
      </w:r>
      <w:r>
        <w:rPr>
          <w:i/>
        </w:rPr>
        <w:t xml:space="preserve">Norfolk Island Regional Council 2017-18 Annual Report, </w:t>
      </w:r>
      <w:r>
        <w:t xml:space="preserve">page 37. </w:t>
      </w:r>
    </w:p>
  </w:footnote>
  <w:footnote w:id="63">
    <w:p w14:paraId="61AC1D58" w14:textId="77777777" w:rsidR="0086279A" w:rsidRDefault="0086279A" w:rsidP="00C37DB0">
      <w:pPr>
        <w:pStyle w:val="FootnoteText"/>
      </w:pPr>
      <w:r>
        <w:rPr>
          <w:rStyle w:val="FootnoteReference"/>
        </w:rPr>
        <w:footnoteRef/>
      </w:r>
      <w:r>
        <w:t xml:space="preserve"> </w:t>
      </w:r>
      <w:r>
        <w:tab/>
        <w:t>Local roads grants are provided on an untied basis, meaning there is not requirement for councils to spend the money on roads.</w:t>
      </w:r>
    </w:p>
  </w:footnote>
  <w:footnote w:id="64">
    <w:p w14:paraId="22EEB37B" w14:textId="77777777" w:rsidR="0086279A" w:rsidRDefault="0086279A" w:rsidP="00C37DB0">
      <w:pPr>
        <w:pStyle w:val="FootnoteText"/>
      </w:pPr>
      <w:r>
        <w:rPr>
          <w:rStyle w:val="FootnoteReference"/>
        </w:rPr>
        <w:footnoteRef/>
      </w:r>
      <w:r>
        <w:t xml:space="preserve"> </w:t>
      </w:r>
      <w:r>
        <w:tab/>
        <w:t xml:space="preserve">Sourced from the </w:t>
      </w:r>
      <w:r>
        <w:rPr>
          <w:lang w:eastAsia="en-AU"/>
        </w:rPr>
        <w:t xml:space="preserve">National Local Roads Data System, which is maintained by the Australian Local Government Association, </w:t>
      </w:r>
      <w:hyperlink r:id="rId8" w:history="1">
        <w:r>
          <w:rPr>
            <w:rStyle w:val="Hyperlink"/>
          </w:rPr>
          <w:t>http://www.jr.net.au/NLRDS/other.asp</w:t>
        </w:r>
      </w:hyperlink>
      <w:r>
        <w:t xml:space="preserve"> </w:t>
      </w:r>
      <w:r>
        <w:rPr>
          <w:lang w:eastAsia="en-AU"/>
        </w:rPr>
        <w:t>accessed on 9/8/2019.</w:t>
      </w:r>
    </w:p>
  </w:footnote>
  <w:footnote w:id="65">
    <w:p w14:paraId="3A68287C" w14:textId="77777777" w:rsidR="0086279A" w:rsidRDefault="0086279A" w:rsidP="00C37DB0">
      <w:pPr>
        <w:pStyle w:val="FootnoteText"/>
      </w:pPr>
      <w:r>
        <w:rPr>
          <w:rStyle w:val="FootnoteReference"/>
        </w:rPr>
        <w:footnoteRef/>
      </w:r>
      <w:r>
        <w:t xml:space="preserve"> </w:t>
      </w:r>
      <w:r>
        <w:tab/>
        <w:t>The estimated total expenditure per kilometre on local government sealed roads in 2017-18 was $13 519. The proportion attributed to maintenance expenditure was 42%, or $5 736 per kilometre. Road construction and upgrade accounted for the balance.</w:t>
      </w:r>
    </w:p>
  </w:footnote>
  <w:footnote w:id="66">
    <w:p w14:paraId="48E5FCBB" w14:textId="77777777" w:rsidR="0086279A" w:rsidRDefault="0086279A" w:rsidP="00774272">
      <w:pPr>
        <w:pStyle w:val="FootnoteText"/>
      </w:pPr>
      <w:r>
        <w:rPr>
          <w:rStyle w:val="FootnoteReference"/>
        </w:rPr>
        <w:footnoteRef/>
      </w:r>
      <w:r>
        <w:t xml:space="preserve"> </w:t>
      </w:r>
      <w:r>
        <w:tab/>
        <w:t>See the Department’s website for program details –  https://www.infrastructure.gov.au/aviation/regional/</w:t>
      </w:r>
    </w:p>
  </w:footnote>
  <w:footnote w:id="67">
    <w:p w14:paraId="3A1D6A0D" w14:textId="77777777" w:rsidR="0086279A" w:rsidRDefault="0086279A" w:rsidP="00C37DB0">
      <w:pPr>
        <w:pStyle w:val="FootnoteText"/>
      </w:pPr>
      <w:r>
        <w:rPr>
          <w:rStyle w:val="FootnoteReference"/>
        </w:rPr>
        <w:footnoteRef/>
      </w:r>
      <w:r>
        <w:t xml:space="preserve"> </w:t>
      </w:r>
      <w:r>
        <w:tab/>
        <w:t>With Noumea and Auckland relatively close, it is highly unlikely that a diversion for such large aircraft would occur frequently.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4EA7"/>
    <w:multiLevelType w:val="hybridMultilevel"/>
    <w:tmpl w:val="EA124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3D7BB4"/>
    <w:multiLevelType w:val="multilevel"/>
    <w:tmpl w:val="B81C832A"/>
    <w:lvl w:ilvl="0">
      <w:start w:val="1"/>
      <w:numFmt w:val="decimal"/>
      <w:suff w:val="space"/>
      <w:lvlText w:val="Chapter %1"/>
      <w:lvlJc w:val="left"/>
      <w:pPr>
        <w:ind w:left="425" w:firstLine="0"/>
      </w:pPr>
      <w:rPr>
        <w:rFonts w:hint="default"/>
      </w:rPr>
    </w:lvl>
    <w:lvl w:ilvl="1">
      <w:start w:val="1"/>
      <w:numFmt w:val="decimal"/>
      <w:pStyle w:val="CGCNumberedPara"/>
      <w:lvlText w:val="%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7F66151"/>
    <w:multiLevelType w:val="multilevel"/>
    <w:tmpl w:val="54EC4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690A30"/>
    <w:multiLevelType w:val="hybridMultilevel"/>
    <w:tmpl w:val="900A340E"/>
    <w:lvl w:ilvl="0" w:tplc="608C77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1108CD"/>
    <w:multiLevelType w:val="hybridMultilevel"/>
    <w:tmpl w:val="2746FDE2"/>
    <w:lvl w:ilvl="0" w:tplc="222E9058">
      <w:start w:val="1"/>
      <w:numFmt w:val="bullet"/>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A0651A7"/>
    <w:multiLevelType w:val="hybridMultilevel"/>
    <w:tmpl w:val="900A340E"/>
    <w:lvl w:ilvl="0" w:tplc="608C77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0"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
  </w:num>
  <w:num w:numId="4">
    <w:abstractNumId w:val="4"/>
  </w:num>
  <w:num w:numId="5">
    <w:abstractNumId w:val="10"/>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num>
  <w:num w:numId="18">
    <w:abstractNumId w:val="5"/>
  </w:num>
  <w:num w:numId="19">
    <w:abstractNumId w:val="8"/>
  </w:num>
  <w:num w:numId="20">
    <w:abstractNumId w:val="1"/>
  </w:num>
  <w:num w:numId="21">
    <w:abstractNumId w:val="0"/>
  </w:num>
  <w:num w:numId="22">
    <w:abstractNumId w:val="1"/>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6C"/>
    <w:rsid w:val="0000070B"/>
    <w:rsid w:val="000009F2"/>
    <w:rsid w:val="000011E0"/>
    <w:rsid w:val="00001720"/>
    <w:rsid w:val="000023D4"/>
    <w:rsid w:val="00002970"/>
    <w:rsid w:val="00002E85"/>
    <w:rsid w:val="000052EA"/>
    <w:rsid w:val="0000590B"/>
    <w:rsid w:val="00007084"/>
    <w:rsid w:val="000122A9"/>
    <w:rsid w:val="0001463E"/>
    <w:rsid w:val="000149CF"/>
    <w:rsid w:val="000155D4"/>
    <w:rsid w:val="00015D31"/>
    <w:rsid w:val="00016FE0"/>
    <w:rsid w:val="000223EF"/>
    <w:rsid w:val="00022EA9"/>
    <w:rsid w:val="000236A9"/>
    <w:rsid w:val="0002384A"/>
    <w:rsid w:val="00024288"/>
    <w:rsid w:val="00024745"/>
    <w:rsid w:val="000250E7"/>
    <w:rsid w:val="0002582C"/>
    <w:rsid w:val="000275B5"/>
    <w:rsid w:val="000278E1"/>
    <w:rsid w:val="00030D19"/>
    <w:rsid w:val="00032A61"/>
    <w:rsid w:val="00032F41"/>
    <w:rsid w:val="00035198"/>
    <w:rsid w:val="00035483"/>
    <w:rsid w:val="000364FA"/>
    <w:rsid w:val="00036FAC"/>
    <w:rsid w:val="00040F56"/>
    <w:rsid w:val="0004123E"/>
    <w:rsid w:val="00041748"/>
    <w:rsid w:val="00041E84"/>
    <w:rsid w:val="000424EA"/>
    <w:rsid w:val="00042C81"/>
    <w:rsid w:val="000478CB"/>
    <w:rsid w:val="0005064B"/>
    <w:rsid w:val="00050EF6"/>
    <w:rsid w:val="00053374"/>
    <w:rsid w:val="00056373"/>
    <w:rsid w:val="00057C83"/>
    <w:rsid w:val="00061111"/>
    <w:rsid w:val="000624BB"/>
    <w:rsid w:val="000648E8"/>
    <w:rsid w:val="00064F3E"/>
    <w:rsid w:val="000657C1"/>
    <w:rsid w:val="00072BE9"/>
    <w:rsid w:val="000737B6"/>
    <w:rsid w:val="000740F0"/>
    <w:rsid w:val="00074670"/>
    <w:rsid w:val="00075A3A"/>
    <w:rsid w:val="00075D22"/>
    <w:rsid w:val="00080705"/>
    <w:rsid w:val="000816B8"/>
    <w:rsid w:val="00082454"/>
    <w:rsid w:val="00083B51"/>
    <w:rsid w:val="00084015"/>
    <w:rsid w:val="0008418D"/>
    <w:rsid w:val="00084C37"/>
    <w:rsid w:val="00084CFA"/>
    <w:rsid w:val="00086861"/>
    <w:rsid w:val="00087EB3"/>
    <w:rsid w:val="000906BD"/>
    <w:rsid w:val="00090836"/>
    <w:rsid w:val="00092AE3"/>
    <w:rsid w:val="00093796"/>
    <w:rsid w:val="0009509C"/>
    <w:rsid w:val="00096B70"/>
    <w:rsid w:val="000A0E28"/>
    <w:rsid w:val="000A1EBF"/>
    <w:rsid w:val="000A20CF"/>
    <w:rsid w:val="000A3898"/>
    <w:rsid w:val="000A39E3"/>
    <w:rsid w:val="000A52A1"/>
    <w:rsid w:val="000A55D4"/>
    <w:rsid w:val="000B1C76"/>
    <w:rsid w:val="000B2942"/>
    <w:rsid w:val="000B3353"/>
    <w:rsid w:val="000B3557"/>
    <w:rsid w:val="000B64E3"/>
    <w:rsid w:val="000C2182"/>
    <w:rsid w:val="000C4A4E"/>
    <w:rsid w:val="000C4B88"/>
    <w:rsid w:val="000C559B"/>
    <w:rsid w:val="000C5803"/>
    <w:rsid w:val="000C695B"/>
    <w:rsid w:val="000C77B0"/>
    <w:rsid w:val="000D00A3"/>
    <w:rsid w:val="000D059E"/>
    <w:rsid w:val="000D1354"/>
    <w:rsid w:val="000D1700"/>
    <w:rsid w:val="000D1F31"/>
    <w:rsid w:val="000D202F"/>
    <w:rsid w:val="000D2876"/>
    <w:rsid w:val="000D4F13"/>
    <w:rsid w:val="000D5934"/>
    <w:rsid w:val="000D7260"/>
    <w:rsid w:val="000D7543"/>
    <w:rsid w:val="000D7C54"/>
    <w:rsid w:val="000E0210"/>
    <w:rsid w:val="000E2A5C"/>
    <w:rsid w:val="000E321D"/>
    <w:rsid w:val="000E3924"/>
    <w:rsid w:val="000E6AA5"/>
    <w:rsid w:val="000E7F56"/>
    <w:rsid w:val="000F1CDA"/>
    <w:rsid w:val="000F45C8"/>
    <w:rsid w:val="000F49E3"/>
    <w:rsid w:val="00101ACF"/>
    <w:rsid w:val="001039C2"/>
    <w:rsid w:val="00103EA9"/>
    <w:rsid w:val="001040AD"/>
    <w:rsid w:val="001040D4"/>
    <w:rsid w:val="001105BD"/>
    <w:rsid w:val="001114D8"/>
    <w:rsid w:val="0011178C"/>
    <w:rsid w:val="00111998"/>
    <w:rsid w:val="00111A5D"/>
    <w:rsid w:val="00111CE0"/>
    <w:rsid w:val="00112620"/>
    <w:rsid w:val="00112CF0"/>
    <w:rsid w:val="00113300"/>
    <w:rsid w:val="001148EF"/>
    <w:rsid w:val="00116105"/>
    <w:rsid w:val="001211AB"/>
    <w:rsid w:val="001218B8"/>
    <w:rsid w:val="00124ED1"/>
    <w:rsid w:val="001253B9"/>
    <w:rsid w:val="0012760B"/>
    <w:rsid w:val="00132689"/>
    <w:rsid w:val="00133B32"/>
    <w:rsid w:val="00136497"/>
    <w:rsid w:val="00136EA8"/>
    <w:rsid w:val="00136EDB"/>
    <w:rsid w:val="00140520"/>
    <w:rsid w:val="00141033"/>
    <w:rsid w:val="00141BD1"/>
    <w:rsid w:val="00142216"/>
    <w:rsid w:val="00143412"/>
    <w:rsid w:val="00145FD1"/>
    <w:rsid w:val="00147115"/>
    <w:rsid w:val="00147373"/>
    <w:rsid w:val="001477CE"/>
    <w:rsid w:val="00150A14"/>
    <w:rsid w:val="00150CB4"/>
    <w:rsid w:val="00152989"/>
    <w:rsid w:val="00154784"/>
    <w:rsid w:val="00154863"/>
    <w:rsid w:val="001570C4"/>
    <w:rsid w:val="00161367"/>
    <w:rsid w:val="001661EB"/>
    <w:rsid w:val="0016723A"/>
    <w:rsid w:val="00167267"/>
    <w:rsid w:val="00171A05"/>
    <w:rsid w:val="00172F3A"/>
    <w:rsid w:val="001730FD"/>
    <w:rsid w:val="00173798"/>
    <w:rsid w:val="00173BE6"/>
    <w:rsid w:val="00173E72"/>
    <w:rsid w:val="001747AA"/>
    <w:rsid w:val="00175351"/>
    <w:rsid w:val="0017618E"/>
    <w:rsid w:val="00176686"/>
    <w:rsid w:val="00176872"/>
    <w:rsid w:val="00176A30"/>
    <w:rsid w:val="0018004B"/>
    <w:rsid w:val="001807C0"/>
    <w:rsid w:val="001811DE"/>
    <w:rsid w:val="00181CF0"/>
    <w:rsid w:val="001824FD"/>
    <w:rsid w:val="00182E10"/>
    <w:rsid w:val="00186D0C"/>
    <w:rsid w:val="00187145"/>
    <w:rsid w:val="00190E31"/>
    <w:rsid w:val="00191D78"/>
    <w:rsid w:val="001926D0"/>
    <w:rsid w:val="00192703"/>
    <w:rsid w:val="001927A7"/>
    <w:rsid w:val="0019338D"/>
    <w:rsid w:val="001A0A56"/>
    <w:rsid w:val="001A3244"/>
    <w:rsid w:val="001A3CBD"/>
    <w:rsid w:val="001A7B72"/>
    <w:rsid w:val="001B0110"/>
    <w:rsid w:val="001B1A91"/>
    <w:rsid w:val="001B2887"/>
    <w:rsid w:val="001B3048"/>
    <w:rsid w:val="001B4F43"/>
    <w:rsid w:val="001B6622"/>
    <w:rsid w:val="001B696E"/>
    <w:rsid w:val="001B6A56"/>
    <w:rsid w:val="001B6F12"/>
    <w:rsid w:val="001C1F64"/>
    <w:rsid w:val="001C469B"/>
    <w:rsid w:val="001C4EF2"/>
    <w:rsid w:val="001C5638"/>
    <w:rsid w:val="001C6763"/>
    <w:rsid w:val="001C6A71"/>
    <w:rsid w:val="001C799A"/>
    <w:rsid w:val="001D1A25"/>
    <w:rsid w:val="001D2011"/>
    <w:rsid w:val="001D277F"/>
    <w:rsid w:val="001D2F1B"/>
    <w:rsid w:val="001D4B99"/>
    <w:rsid w:val="001D57F2"/>
    <w:rsid w:val="001D638B"/>
    <w:rsid w:val="001D6DFA"/>
    <w:rsid w:val="001E00B0"/>
    <w:rsid w:val="001E0115"/>
    <w:rsid w:val="001E061E"/>
    <w:rsid w:val="001E08C0"/>
    <w:rsid w:val="001E1CD0"/>
    <w:rsid w:val="001E21BC"/>
    <w:rsid w:val="001E4105"/>
    <w:rsid w:val="001E6180"/>
    <w:rsid w:val="001E674B"/>
    <w:rsid w:val="001E68FC"/>
    <w:rsid w:val="001F15FF"/>
    <w:rsid w:val="001F196B"/>
    <w:rsid w:val="001F4552"/>
    <w:rsid w:val="00200695"/>
    <w:rsid w:val="0020089D"/>
    <w:rsid w:val="0020152D"/>
    <w:rsid w:val="00203463"/>
    <w:rsid w:val="00204026"/>
    <w:rsid w:val="002076C6"/>
    <w:rsid w:val="00210026"/>
    <w:rsid w:val="0021108D"/>
    <w:rsid w:val="00212948"/>
    <w:rsid w:val="00213793"/>
    <w:rsid w:val="00215D35"/>
    <w:rsid w:val="0021656D"/>
    <w:rsid w:val="00216775"/>
    <w:rsid w:val="00217839"/>
    <w:rsid w:val="00220354"/>
    <w:rsid w:val="00221335"/>
    <w:rsid w:val="00221584"/>
    <w:rsid w:val="00225A3B"/>
    <w:rsid w:val="002264F6"/>
    <w:rsid w:val="0022657A"/>
    <w:rsid w:val="002277E0"/>
    <w:rsid w:val="0023035C"/>
    <w:rsid w:val="0023081D"/>
    <w:rsid w:val="00230A0D"/>
    <w:rsid w:val="00230DAE"/>
    <w:rsid w:val="00231E6F"/>
    <w:rsid w:val="002323DB"/>
    <w:rsid w:val="00233016"/>
    <w:rsid w:val="0023329C"/>
    <w:rsid w:val="00233C2A"/>
    <w:rsid w:val="0023670B"/>
    <w:rsid w:val="00236DC0"/>
    <w:rsid w:val="002372AE"/>
    <w:rsid w:val="002373A2"/>
    <w:rsid w:val="0024009D"/>
    <w:rsid w:val="002416B6"/>
    <w:rsid w:val="00241E40"/>
    <w:rsid w:val="00242517"/>
    <w:rsid w:val="0024260B"/>
    <w:rsid w:val="00242722"/>
    <w:rsid w:val="0024401F"/>
    <w:rsid w:val="00244571"/>
    <w:rsid w:val="0024569B"/>
    <w:rsid w:val="002470B2"/>
    <w:rsid w:val="002507E9"/>
    <w:rsid w:val="00252A6A"/>
    <w:rsid w:val="00252D82"/>
    <w:rsid w:val="00253973"/>
    <w:rsid w:val="00254729"/>
    <w:rsid w:val="00255B5A"/>
    <w:rsid w:val="00255E9E"/>
    <w:rsid w:val="00256327"/>
    <w:rsid w:val="00257069"/>
    <w:rsid w:val="00257A1F"/>
    <w:rsid w:val="00257FE9"/>
    <w:rsid w:val="0026199F"/>
    <w:rsid w:val="0026258D"/>
    <w:rsid w:val="00263303"/>
    <w:rsid w:val="00263C1F"/>
    <w:rsid w:val="00263EDD"/>
    <w:rsid w:val="00264081"/>
    <w:rsid w:val="002650C0"/>
    <w:rsid w:val="0026671A"/>
    <w:rsid w:val="002671A2"/>
    <w:rsid w:val="00267496"/>
    <w:rsid w:val="0027063F"/>
    <w:rsid w:val="00270BA1"/>
    <w:rsid w:val="00274725"/>
    <w:rsid w:val="0027588F"/>
    <w:rsid w:val="00275B68"/>
    <w:rsid w:val="00275B6C"/>
    <w:rsid w:val="002776C2"/>
    <w:rsid w:val="0028080F"/>
    <w:rsid w:val="0028098B"/>
    <w:rsid w:val="00280FB6"/>
    <w:rsid w:val="00281214"/>
    <w:rsid w:val="00281C71"/>
    <w:rsid w:val="00281E74"/>
    <w:rsid w:val="00282841"/>
    <w:rsid w:val="0028293D"/>
    <w:rsid w:val="002845EA"/>
    <w:rsid w:val="002869E0"/>
    <w:rsid w:val="00286EBE"/>
    <w:rsid w:val="00287F09"/>
    <w:rsid w:val="0029007E"/>
    <w:rsid w:val="00291057"/>
    <w:rsid w:val="00293CD2"/>
    <w:rsid w:val="00295B70"/>
    <w:rsid w:val="002961ED"/>
    <w:rsid w:val="0029660B"/>
    <w:rsid w:val="002970C6"/>
    <w:rsid w:val="002A13FE"/>
    <w:rsid w:val="002A1675"/>
    <w:rsid w:val="002A2A08"/>
    <w:rsid w:val="002A2D93"/>
    <w:rsid w:val="002A37E5"/>
    <w:rsid w:val="002A4234"/>
    <w:rsid w:val="002A474A"/>
    <w:rsid w:val="002A4E42"/>
    <w:rsid w:val="002A59A8"/>
    <w:rsid w:val="002A693B"/>
    <w:rsid w:val="002A77C3"/>
    <w:rsid w:val="002B03DA"/>
    <w:rsid w:val="002B0BCA"/>
    <w:rsid w:val="002B10B0"/>
    <w:rsid w:val="002B169C"/>
    <w:rsid w:val="002B27B4"/>
    <w:rsid w:val="002B3677"/>
    <w:rsid w:val="002B486D"/>
    <w:rsid w:val="002B6D5B"/>
    <w:rsid w:val="002B6DF2"/>
    <w:rsid w:val="002B6EFD"/>
    <w:rsid w:val="002B6F33"/>
    <w:rsid w:val="002B79F0"/>
    <w:rsid w:val="002B7EEB"/>
    <w:rsid w:val="002B7F3E"/>
    <w:rsid w:val="002C1D9C"/>
    <w:rsid w:val="002C2C1C"/>
    <w:rsid w:val="002C366F"/>
    <w:rsid w:val="002C386F"/>
    <w:rsid w:val="002C442D"/>
    <w:rsid w:val="002C4CA9"/>
    <w:rsid w:val="002C5F16"/>
    <w:rsid w:val="002C6193"/>
    <w:rsid w:val="002C6C13"/>
    <w:rsid w:val="002C73A7"/>
    <w:rsid w:val="002D1EDD"/>
    <w:rsid w:val="002D21EF"/>
    <w:rsid w:val="002D2270"/>
    <w:rsid w:val="002D286C"/>
    <w:rsid w:val="002D2A02"/>
    <w:rsid w:val="002D2CDB"/>
    <w:rsid w:val="002D2FDD"/>
    <w:rsid w:val="002D35D2"/>
    <w:rsid w:val="002D4E40"/>
    <w:rsid w:val="002D6071"/>
    <w:rsid w:val="002D68A9"/>
    <w:rsid w:val="002E0E69"/>
    <w:rsid w:val="002E25A8"/>
    <w:rsid w:val="002E2E9A"/>
    <w:rsid w:val="002E55F0"/>
    <w:rsid w:val="002F04DE"/>
    <w:rsid w:val="002F1CD3"/>
    <w:rsid w:val="002F3330"/>
    <w:rsid w:val="002F4150"/>
    <w:rsid w:val="002F493D"/>
    <w:rsid w:val="002F6E28"/>
    <w:rsid w:val="002F7DE7"/>
    <w:rsid w:val="002F7E68"/>
    <w:rsid w:val="00302E5E"/>
    <w:rsid w:val="0030641D"/>
    <w:rsid w:val="00307355"/>
    <w:rsid w:val="003079D4"/>
    <w:rsid w:val="00307A8B"/>
    <w:rsid w:val="00307DEF"/>
    <w:rsid w:val="003105F3"/>
    <w:rsid w:val="00311980"/>
    <w:rsid w:val="00311D33"/>
    <w:rsid w:val="00312133"/>
    <w:rsid w:val="0031249D"/>
    <w:rsid w:val="00313664"/>
    <w:rsid w:val="00313E66"/>
    <w:rsid w:val="00314F90"/>
    <w:rsid w:val="00316A79"/>
    <w:rsid w:val="00316E1D"/>
    <w:rsid w:val="0031770C"/>
    <w:rsid w:val="00322F18"/>
    <w:rsid w:val="00323168"/>
    <w:rsid w:val="003238DA"/>
    <w:rsid w:val="00325A5A"/>
    <w:rsid w:val="00325F82"/>
    <w:rsid w:val="00326BC8"/>
    <w:rsid w:val="00326DB0"/>
    <w:rsid w:val="0032725B"/>
    <w:rsid w:val="003278F8"/>
    <w:rsid w:val="0033102E"/>
    <w:rsid w:val="00331401"/>
    <w:rsid w:val="0033207B"/>
    <w:rsid w:val="00333234"/>
    <w:rsid w:val="00333DD1"/>
    <w:rsid w:val="00335790"/>
    <w:rsid w:val="00335ED1"/>
    <w:rsid w:val="00337BD8"/>
    <w:rsid w:val="00337EF8"/>
    <w:rsid w:val="00341FFB"/>
    <w:rsid w:val="00342A60"/>
    <w:rsid w:val="0034379D"/>
    <w:rsid w:val="00344739"/>
    <w:rsid w:val="00345290"/>
    <w:rsid w:val="003463FA"/>
    <w:rsid w:val="0034646D"/>
    <w:rsid w:val="003464CA"/>
    <w:rsid w:val="00347956"/>
    <w:rsid w:val="00347BE5"/>
    <w:rsid w:val="00350226"/>
    <w:rsid w:val="00351E43"/>
    <w:rsid w:val="00352070"/>
    <w:rsid w:val="003522E0"/>
    <w:rsid w:val="0035267F"/>
    <w:rsid w:val="00354341"/>
    <w:rsid w:val="003546D1"/>
    <w:rsid w:val="003547F1"/>
    <w:rsid w:val="003548B9"/>
    <w:rsid w:val="0035580D"/>
    <w:rsid w:val="00355B5C"/>
    <w:rsid w:val="00356534"/>
    <w:rsid w:val="00356598"/>
    <w:rsid w:val="003566F0"/>
    <w:rsid w:val="00362E0E"/>
    <w:rsid w:val="003639FB"/>
    <w:rsid w:val="00363BF7"/>
    <w:rsid w:val="003640DB"/>
    <w:rsid w:val="003649C3"/>
    <w:rsid w:val="00364B8A"/>
    <w:rsid w:val="00366099"/>
    <w:rsid w:val="0036615B"/>
    <w:rsid w:val="00366FA1"/>
    <w:rsid w:val="003712D7"/>
    <w:rsid w:val="003717DC"/>
    <w:rsid w:val="00372062"/>
    <w:rsid w:val="003722EE"/>
    <w:rsid w:val="0037344B"/>
    <w:rsid w:val="003747DF"/>
    <w:rsid w:val="00375951"/>
    <w:rsid w:val="00376DAD"/>
    <w:rsid w:val="00382AE5"/>
    <w:rsid w:val="003832E7"/>
    <w:rsid w:val="00383C03"/>
    <w:rsid w:val="003841CA"/>
    <w:rsid w:val="00386D65"/>
    <w:rsid w:val="003872E7"/>
    <w:rsid w:val="00387363"/>
    <w:rsid w:val="00391027"/>
    <w:rsid w:val="00391AEC"/>
    <w:rsid w:val="00391DC9"/>
    <w:rsid w:val="003929D2"/>
    <w:rsid w:val="00392E7C"/>
    <w:rsid w:val="00393C3C"/>
    <w:rsid w:val="00393FA5"/>
    <w:rsid w:val="003945DD"/>
    <w:rsid w:val="00394899"/>
    <w:rsid w:val="00395644"/>
    <w:rsid w:val="0039738C"/>
    <w:rsid w:val="003977EF"/>
    <w:rsid w:val="003A217C"/>
    <w:rsid w:val="003A27BB"/>
    <w:rsid w:val="003A429E"/>
    <w:rsid w:val="003A42D0"/>
    <w:rsid w:val="003A56A1"/>
    <w:rsid w:val="003A5F16"/>
    <w:rsid w:val="003A6048"/>
    <w:rsid w:val="003A6629"/>
    <w:rsid w:val="003A6FEE"/>
    <w:rsid w:val="003B27C7"/>
    <w:rsid w:val="003B3E12"/>
    <w:rsid w:val="003B40C2"/>
    <w:rsid w:val="003B4CC2"/>
    <w:rsid w:val="003B5095"/>
    <w:rsid w:val="003B5485"/>
    <w:rsid w:val="003B5F47"/>
    <w:rsid w:val="003B66A9"/>
    <w:rsid w:val="003B673D"/>
    <w:rsid w:val="003C0D3D"/>
    <w:rsid w:val="003C2577"/>
    <w:rsid w:val="003C3420"/>
    <w:rsid w:val="003C4448"/>
    <w:rsid w:val="003C54E6"/>
    <w:rsid w:val="003C641E"/>
    <w:rsid w:val="003D27C2"/>
    <w:rsid w:val="003D3D91"/>
    <w:rsid w:val="003D4708"/>
    <w:rsid w:val="003D477A"/>
    <w:rsid w:val="003D48C3"/>
    <w:rsid w:val="003D48DB"/>
    <w:rsid w:val="003D69FC"/>
    <w:rsid w:val="003E1573"/>
    <w:rsid w:val="003E1AE4"/>
    <w:rsid w:val="003E3874"/>
    <w:rsid w:val="003E6615"/>
    <w:rsid w:val="003E7215"/>
    <w:rsid w:val="003E79F9"/>
    <w:rsid w:val="003F078E"/>
    <w:rsid w:val="003F11B1"/>
    <w:rsid w:val="003F12E9"/>
    <w:rsid w:val="003F45A8"/>
    <w:rsid w:val="003F4769"/>
    <w:rsid w:val="003F59F4"/>
    <w:rsid w:val="003F5D74"/>
    <w:rsid w:val="00400FB2"/>
    <w:rsid w:val="00404317"/>
    <w:rsid w:val="00404DCD"/>
    <w:rsid w:val="004051A6"/>
    <w:rsid w:val="00406B8B"/>
    <w:rsid w:val="004077D6"/>
    <w:rsid w:val="0041038F"/>
    <w:rsid w:val="004121E7"/>
    <w:rsid w:val="00412AB7"/>
    <w:rsid w:val="004136C3"/>
    <w:rsid w:val="00414E51"/>
    <w:rsid w:val="00416139"/>
    <w:rsid w:val="00420A3F"/>
    <w:rsid w:val="00420D59"/>
    <w:rsid w:val="00420F04"/>
    <w:rsid w:val="00421DB8"/>
    <w:rsid w:val="00423099"/>
    <w:rsid w:val="00423D23"/>
    <w:rsid w:val="004244EE"/>
    <w:rsid w:val="00424DB4"/>
    <w:rsid w:val="00424E79"/>
    <w:rsid w:val="0042661C"/>
    <w:rsid w:val="004269D9"/>
    <w:rsid w:val="004274B3"/>
    <w:rsid w:val="00427D9C"/>
    <w:rsid w:val="004323AF"/>
    <w:rsid w:val="00434776"/>
    <w:rsid w:val="004348FC"/>
    <w:rsid w:val="00435713"/>
    <w:rsid w:val="00435CBF"/>
    <w:rsid w:val="004405AF"/>
    <w:rsid w:val="00441C25"/>
    <w:rsid w:val="004421AA"/>
    <w:rsid w:val="0044257B"/>
    <w:rsid w:val="00443EC1"/>
    <w:rsid w:val="00445557"/>
    <w:rsid w:val="00445A4B"/>
    <w:rsid w:val="00446B06"/>
    <w:rsid w:val="00446D8C"/>
    <w:rsid w:val="004502C3"/>
    <w:rsid w:val="004517EC"/>
    <w:rsid w:val="004524FE"/>
    <w:rsid w:val="00452BD5"/>
    <w:rsid w:val="00453264"/>
    <w:rsid w:val="00454BD7"/>
    <w:rsid w:val="0045589A"/>
    <w:rsid w:val="00455DAB"/>
    <w:rsid w:val="00456082"/>
    <w:rsid w:val="00457774"/>
    <w:rsid w:val="004603F4"/>
    <w:rsid w:val="00461FAA"/>
    <w:rsid w:val="00462B54"/>
    <w:rsid w:val="00463064"/>
    <w:rsid w:val="00463782"/>
    <w:rsid w:val="004657C5"/>
    <w:rsid w:val="00466FF2"/>
    <w:rsid w:val="00472461"/>
    <w:rsid w:val="00475048"/>
    <w:rsid w:val="0047573A"/>
    <w:rsid w:val="00475C92"/>
    <w:rsid w:val="00477324"/>
    <w:rsid w:val="00480118"/>
    <w:rsid w:val="004809B8"/>
    <w:rsid w:val="00480BFD"/>
    <w:rsid w:val="0048121A"/>
    <w:rsid w:val="00481D0B"/>
    <w:rsid w:val="004821B9"/>
    <w:rsid w:val="00482642"/>
    <w:rsid w:val="00483ECE"/>
    <w:rsid w:val="00484699"/>
    <w:rsid w:val="00486184"/>
    <w:rsid w:val="00486294"/>
    <w:rsid w:val="00490630"/>
    <w:rsid w:val="00490F02"/>
    <w:rsid w:val="00491D88"/>
    <w:rsid w:val="0049219F"/>
    <w:rsid w:val="00494FD1"/>
    <w:rsid w:val="0049605C"/>
    <w:rsid w:val="004961AA"/>
    <w:rsid w:val="004965F7"/>
    <w:rsid w:val="004966BD"/>
    <w:rsid w:val="00496906"/>
    <w:rsid w:val="00497519"/>
    <w:rsid w:val="0049788A"/>
    <w:rsid w:val="004A58BC"/>
    <w:rsid w:val="004A5E23"/>
    <w:rsid w:val="004A7048"/>
    <w:rsid w:val="004B0A0A"/>
    <w:rsid w:val="004B1C4B"/>
    <w:rsid w:val="004B4E15"/>
    <w:rsid w:val="004B60CB"/>
    <w:rsid w:val="004B75D8"/>
    <w:rsid w:val="004C009E"/>
    <w:rsid w:val="004C1CB5"/>
    <w:rsid w:val="004C2770"/>
    <w:rsid w:val="004C6680"/>
    <w:rsid w:val="004C72D5"/>
    <w:rsid w:val="004C79AF"/>
    <w:rsid w:val="004C7BAF"/>
    <w:rsid w:val="004D10D7"/>
    <w:rsid w:val="004D1242"/>
    <w:rsid w:val="004D1B6E"/>
    <w:rsid w:val="004D2ED1"/>
    <w:rsid w:val="004D3071"/>
    <w:rsid w:val="004D43EC"/>
    <w:rsid w:val="004E42C2"/>
    <w:rsid w:val="004E6EBD"/>
    <w:rsid w:val="004E769A"/>
    <w:rsid w:val="004E7FBC"/>
    <w:rsid w:val="004F40BA"/>
    <w:rsid w:val="004F68E3"/>
    <w:rsid w:val="00500ACD"/>
    <w:rsid w:val="0050331F"/>
    <w:rsid w:val="00503DCF"/>
    <w:rsid w:val="00504061"/>
    <w:rsid w:val="005050DF"/>
    <w:rsid w:val="0050564A"/>
    <w:rsid w:val="00505BAE"/>
    <w:rsid w:val="00505FA4"/>
    <w:rsid w:val="00506956"/>
    <w:rsid w:val="005129DD"/>
    <w:rsid w:val="00515380"/>
    <w:rsid w:val="00517067"/>
    <w:rsid w:val="005176CA"/>
    <w:rsid w:val="005177E7"/>
    <w:rsid w:val="0052025F"/>
    <w:rsid w:val="00524AF9"/>
    <w:rsid w:val="0052752E"/>
    <w:rsid w:val="00527A1B"/>
    <w:rsid w:val="00532269"/>
    <w:rsid w:val="00537939"/>
    <w:rsid w:val="00537A77"/>
    <w:rsid w:val="00537A9A"/>
    <w:rsid w:val="00540B27"/>
    <w:rsid w:val="00541A14"/>
    <w:rsid w:val="005434F2"/>
    <w:rsid w:val="00543F9C"/>
    <w:rsid w:val="005459A5"/>
    <w:rsid w:val="00546D39"/>
    <w:rsid w:val="005500F1"/>
    <w:rsid w:val="00550556"/>
    <w:rsid w:val="00550E84"/>
    <w:rsid w:val="0055124C"/>
    <w:rsid w:val="00551368"/>
    <w:rsid w:val="00553227"/>
    <w:rsid w:val="0055489D"/>
    <w:rsid w:val="005577B0"/>
    <w:rsid w:val="00562084"/>
    <w:rsid w:val="00564CA5"/>
    <w:rsid w:val="00564E71"/>
    <w:rsid w:val="00565BFD"/>
    <w:rsid w:val="005668CA"/>
    <w:rsid w:val="00566DFD"/>
    <w:rsid w:val="00570CDE"/>
    <w:rsid w:val="00570EED"/>
    <w:rsid w:val="00571189"/>
    <w:rsid w:val="005716FC"/>
    <w:rsid w:val="005723BB"/>
    <w:rsid w:val="00575DEF"/>
    <w:rsid w:val="005761AD"/>
    <w:rsid w:val="005764FB"/>
    <w:rsid w:val="00576F53"/>
    <w:rsid w:val="00580AC7"/>
    <w:rsid w:val="0058218B"/>
    <w:rsid w:val="00583068"/>
    <w:rsid w:val="00583A33"/>
    <w:rsid w:val="0058557F"/>
    <w:rsid w:val="005867D2"/>
    <w:rsid w:val="00586B62"/>
    <w:rsid w:val="0058777F"/>
    <w:rsid w:val="00590308"/>
    <w:rsid w:val="005904F9"/>
    <w:rsid w:val="00592CAD"/>
    <w:rsid w:val="00592DC5"/>
    <w:rsid w:val="00596317"/>
    <w:rsid w:val="005963CC"/>
    <w:rsid w:val="0059656F"/>
    <w:rsid w:val="00596E19"/>
    <w:rsid w:val="0059707B"/>
    <w:rsid w:val="005A057B"/>
    <w:rsid w:val="005A17C3"/>
    <w:rsid w:val="005A241E"/>
    <w:rsid w:val="005A25BA"/>
    <w:rsid w:val="005A3B75"/>
    <w:rsid w:val="005A45CB"/>
    <w:rsid w:val="005A53B2"/>
    <w:rsid w:val="005A5524"/>
    <w:rsid w:val="005A5E30"/>
    <w:rsid w:val="005A6FED"/>
    <w:rsid w:val="005B12C7"/>
    <w:rsid w:val="005B1BC4"/>
    <w:rsid w:val="005B2877"/>
    <w:rsid w:val="005B5119"/>
    <w:rsid w:val="005B65B2"/>
    <w:rsid w:val="005B6894"/>
    <w:rsid w:val="005B76CA"/>
    <w:rsid w:val="005C0819"/>
    <w:rsid w:val="005C1342"/>
    <w:rsid w:val="005C13B2"/>
    <w:rsid w:val="005C1447"/>
    <w:rsid w:val="005C1EFA"/>
    <w:rsid w:val="005C209D"/>
    <w:rsid w:val="005C27E3"/>
    <w:rsid w:val="005C37CB"/>
    <w:rsid w:val="005C4017"/>
    <w:rsid w:val="005C41D0"/>
    <w:rsid w:val="005C459C"/>
    <w:rsid w:val="005C60F7"/>
    <w:rsid w:val="005C6874"/>
    <w:rsid w:val="005C6D0E"/>
    <w:rsid w:val="005C7196"/>
    <w:rsid w:val="005D05C2"/>
    <w:rsid w:val="005D0B63"/>
    <w:rsid w:val="005D14EB"/>
    <w:rsid w:val="005D1A9F"/>
    <w:rsid w:val="005D271F"/>
    <w:rsid w:val="005D4BDD"/>
    <w:rsid w:val="005D52FA"/>
    <w:rsid w:val="005D555B"/>
    <w:rsid w:val="005D6580"/>
    <w:rsid w:val="005D666F"/>
    <w:rsid w:val="005E03C2"/>
    <w:rsid w:val="005E1775"/>
    <w:rsid w:val="005E266F"/>
    <w:rsid w:val="005E3291"/>
    <w:rsid w:val="005E3EA9"/>
    <w:rsid w:val="005E4587"/>
    <w:rsid w:val="005E5734"/>
    <w:rsid w:val="005E6D31"/>
    <w:rsid w:val="005E73CE"/>
    <w:rsid w:val="005F07DC"/>
    <w:rsid w:val="005F2042"/>
    <w:rsid w:val="005F3826"/>
    <w:rsid w:val="005F53C3"/>
    <w:rsid w:val="005F5E44"/>
    <w:rsid w:val="005F5FD2"/>
    <w:rsid w:val="005F64FB"/>
    <w:rsid w:val="005F7A8F"/>
    <w:rsid w:val="0060251E"/>
    <w:rsid w:val="00602DDE"/>
    <w:rsid w:val="0060327B"/>
    <w:rsid w:val="00605C6C"/>
    <w:rsid w:val="00607A47"/>
    <w:rsid w:val="00607EC8"/>
    <w:rsid w:val="006107EE"/>
    <w:rsid w:val="0061084D"/>
    <w:rsid w:val="00610BE6"/>
    <w:rsid w:val="00611737"/>
    <w:rsid w:val="00612295"/>
    <w:rsid w:val="00612CDB"/>
    <w:rsid w:val="00612D9F"/>
    <w:rsid w:val="00614DE8"/>
    <w:rsid w:val="006156E4"/>
    <w:rsid w:val="00616E9E"/>
    <w:rsid w:val="00622669"/>
    <w:rsid w:val="00622FE1"/>
    <w:rsid w:val="006239C4"/>
    <w:rsid w:val="00625C6F"/>
    <w:rsid w:val="00625CE5"/>
    <w:rsid w:val="0063017A"/>
    <w:rsid w:val="00630FF5"/>
    <w:rsid w:val="006338A7"/>
    <w:rsid w:val="00635027"/>
    <w:rsid w:val="006355FD"/>
    <w:rsid w:val="006361A5"/>
    <w:rsid w:val="00637318"/>
    <w:rsid w:val="006378D7"/>
    <w:rsid w:val="00641BFF"/>
    <w:rsid w:val="00642401"/>
    <w:rsid w:val="00642497"/>
    <w:rsid w:val="00642B89"/>
    <w:rsid w:val="00644A7B"/>
    <w:rsid w:val="00647034"/>
    <w:rsid w:val="00647A39"/>
    <w:rsid w:val="006530B0"/>
    <w:rsid w:val="00654749"/>
    <w:rsid w:val="00654CA9"/>
    <w:rsid w:val="006556D9"/>
    <w:rsid w:val="00655725"/>
    <w:rsid w:val="006563A9"/>
    <w:rsid w:val="0066006C"/>
    <w:rsid w:val="00661204"/>
    <w:rsid w:val="00661C46"/>
    <w:rsid w:val="006652D3"/>
    <w:rsid w:val="00665A10"/>
    <w:rsid w:val="00666D10"/>
    <w:rsid w:val="00667A37"/>
    <w:rsid w:val="00667CF3"/>
    <w:rsid w:val="0067128C"/>
    <w:rsid w:val="00671A2E"/>
    <w:rsid w:val="0067377F"/>
    <w:rsid w:val="00673965"/>
    <w:rsid w:val="00673C3A"/>
    <w:rsid w:val="00673CEE"/>
    <w:rsid w:val="00674C3D"/>
    <w:rsid w:val="006769C4"/>
    <w:rsid w:val="00677627"/>
    <w:rsid w:val="00677BD5"/>
    <w:rsid w:val="0068025E"/>
    <w:rsid w:val="006815E9"/>
    <w:rsid w:val="00681726"/>
    <w:rsid w:val="00682C04"/>
    <w:rsid w:val="00682F3F"/>
    <w:rsid w:val="006837D8"/>
    <w:rsid w:val="00684209"/>
    <w:rsid w:val="00684880"/>
    <w:rsid w:val="0068607F"/>
    <w:rsid w:val="00693C87"/>
    <w:rsid w:val="0069648E"/>
    <w:rsid w:val="00696906"/>
    <w:rsid w:val="006A05C7"/>
    <w:rsid w:val="006A1401"/>
    <w:rsid w:val="006A14A8"/>
    <w:rsid w:val="006A3206"/>
    <w:rsid w:val="006A44EB"/>
    <w:rsid w:val="006A4574"/>
    <w:rsid w:val="006A47BE"/>
    <w:rsid w:val="006A4BCB"/>
    <w:rsid w:val="006A5271"/>
    <w:rsid w:val="006A607B"/>
    <w:rsid w:val="006A65D0"/>
    <w:rsid w:val="006A6E27"/>
    <w:rsid w:val="006A72B0"/>
    <w:rsid w:val="006A776A"/>
    <w:rsid w:val="006A796E"/>
    <w:rsid w:val="006B058F"/>
    <w:rsid w:val="006B0EAE"/>
    <w:rsid w:val="006B1644"/>
    <w:rsid w:val="006B1801"/>
    <w:rsid w:val="006B3E4D"/>
    <w:rsid w:val="006B41E5"/>
    <w:rsid w:val="006B6FAD"/>
    <w:rsid w:val="006B7AE9"/>
    <w:rsid w:val="006C1D77"/>
    <w:rsid w:val="006C2824"/>
    <w:rsid w:val="006C2FEC"/>
    <w:rsid w:val="006C31BF"/>
    <w:rsid w:val="006C3650"/>
    <w:rsid w:val="006C52B9"/>
    <w:rsid w:val="006C5A56"/>
    <w:rsid w:val="006C5EB1"/>
    <w:rsid w:val="006C6024"/>
    <w:rsid w:val="006C6A48"/>
    <w:rsid w:val="006D01D5"/>
    <w:rsid w:val="006D0549"/>
    <w:rsid w:val="006D08D7"/>
    <w:rsid w:val="006D1DA2"/>
    <w:rsid w:val="006D1DFE"/>
    <w:rsid w:val="006D3730"/>
    <w:rsid w:val="006D39EC"/>
    <w:rsid w:val="006D5436"/>
    <w:rsid w:val="006D5ADD"/>
    <w:rsid w:val="006D61DB"/>
    <w:rsid w:val="006D71AF"/>
    <w:rsid w:val="006E0C67"/>
    <w:rsid w:val="006E145A"/>
    <w:rsid w:val="006E1E91"/>
    <w:rsid w:val="006E2510"/>
    <w:rsid w:val="006E25AB"/>
    <w:rsid w:val="006E2949"/>
    <w:rsid w:val="006E30B2"/>
    <w:rsid w:val="006E3F41"/>
    <w:rsid w:val="006E41D4"/>
    <w:rsid w:val="006E4A1C"/>
    <w:rsid w:val="006E50E5"/>
    <w:rsid w:val="006E6369"/>
    <w:rsid w:val="006E638C"/>
    <w:rsid w:val="006E6638"/>
    <w:rsid w:val="006E6BC2"/>
    <w:rsid w:val="006E6F44"/>
    <w:rsid w:val="006E77BB"/>
    <w:rsid w:val="006F0B42"/>
    <w:rsid w:val="006F0D9F"/>
    <w:rsid w:val="006F2BD4"/>
    <w:rsid w:val="006F2E0B"/>
    <w:rsid w:val="006F3686"/>
    <w:rsid w:val="006F5620"/>
    <w:rsid w:val="00701034"/>
    <w:rsid w:val="0070150E"/>
    <w:rsid w:val="00701F92"/>
    <w:rsid w:val="007026FA"/>
    <w:rsid w:val="00703552"/>
    <w:rsid w:val="007039D0"/>
    <w:rsid w:val="00705DB8"/>
    <w:rsid w:val="007104FC"/>
    <w:rsid w:val="00710F80"/>
    <w:rsid w:val="007117CE"/>
    <w:rsid w:val="0071254D"/>
    <w:rsid w:val="00713225"/>
    <w:rsid w:val="00713DEE"/>
    <w:rsid w:val="00716A70"/>
    <w:rsid w:val="00716B4E"/>
    <w:rsid w:val="00717036"/>
    <w:rsid w:val="00720F1C"/>
    <w:rsid w:val="00720FF0"/>
    <w:rsid w:val="00724B49"/>
    <w:rsid w:val="0072512A"/>
    <w:rsid w:val="00725C69"/>
    <w:rsid w:val="00726369"/>
    <w:rsid w:val="00726B1E"/>
    <w:rsid w:val="00726BE1"/>
    <w:rsid w:val="007278C9"/>
    <w:rsid w:val="00727A3E"/>
    <w:rsid w:val="007306B2"/>
    <w:rsid w:val="00731E4D"/>
    <w:rsid w:val="00731EE6"/>
    <w:rsid w:val="0073311B"/>
    <w:rsid w:val="00733122"/>
    <w:rsid w:val="00733467"/>
    <w:rsid w:val="0073395F"/>
    <w:rsid w:val="007340AE"/>
    <w:rsid w:val="007355A6"/>
    <w:rsid w:val="00736FE0"/>
    <w:rsid w:val="00737770"/>
    <w:rsid w:val="00737F0F"/>
    <w:rsid w:val="00740A71"/>
    <w:rsid w:val="00740DA7"/>
    <w:rsid w:val="0074167B"/>
    <w:rsid w:val="007429F5"/>
    <w:rsid w:val="00742B62"/>
    <w:rsid w:val="00744C0E"/>
    <w:rsid w:val="00745125"/>
    <w:rsid w:val="00746926"/>
    <w:rsid w:val="00746CAF"/>
    <w:rsid w:val="007477C5"/>
    <w:rsid w:val="00747938"/>
    <w:rsid w:val="00751B4C"/>
    <w:rsid w:val="00752A82"/>
    <w:rsid w:val="00753E12"/>
    <w:rsid w:val="00754FA8"/>
    <w:rsid w:val="007604EC"/>
    <w:rsid w:val="007608E5"/>
    <w:rsid w:val="00760B8F"/>
    <w:rsid w:val="007610B3"/>
    <w:rsid w:val="00761DCA"/>
    <w:rsid w:val="00762AFB"/>
    <w:rsid w:val="00765596"/>
    <w:rsid w:val="00765BA8"/>
    <w:rsid w:val="00766007"/>
    <w:rsid w:val="00766343"/>
    <w:rsid w:val="0076655B"/>
    <w:rsid w:val="00767AF8"/>
    <w:rsid w:val="00770A26"/>
    <w:rsid w:val="007717D6"/>
    <w:rsid w:val="007728F4"/>
    <w:rsid w:val="00773D51"/>
    <w:rsid w:val="00773D6F"/>
    <w:rsid w:val="0077420B"/>
    <w:rsid w:val="00774272"/>
    <w:rsid w:val="007747A8"/>
    <w:rsid w:val="007756F3"/>
    <w:rsid w:val="0077664F"/>
    <w:rsid w:val="007766CC"/>
    <w:rsid w:val="007766F3"/>
    <w:rsid w:val="007804DB"/>
    <w:rsid w:val="00785F76"/>
    <w:rsid w:val="0078667B"/>
    <w:rsid w:val="007914FE"/>
    <w:rsid w:val="00793798"/>
    <w:rsid w:val="00793936"/>
    <w:rsid w:val="00795071"/>
    <w:rsid w:val="00795D7C"/>
    <w:rsid w:val="00796BC1"/>
    <w:rsid w:val="007977EF"/>
    <w:rsid w:val="00797D01"/>
    <w:rsid w:val="007A0B06"/>
    <w:rsid w:val="007A1364"/>
    <w:rsid w:val="007A24A0"/>
    <w:rsid w:val="007A334D"/>
    <w:rsid w:val="007A3530"/>
    <w:rsid w:val="007A4AB2"/>
    <w:rsid w:val="007A5C98"/>
    <w:rsid w:val="007A5E68"/>
    <w:rsid w:val="007A6CCE"/>
    <w:rsid w:val="007B1BF7"/>
    <w:rsid w:val="007B1F8B"/>
    <w:rsid w:val="007B29BE"/>
    <w:rsid w:val="007B2C36"/>
    <w:rsid w:val="007B4BD5"/>
    <w:rsid w:val="007B6938"/>
    <w:rsid w:val="007B76B8"/>
    <w:rsid w:val="007C0799"/>
    <w:rsid w:val="007C2203"/>
    <w:rsid w:val="007C24BA"/>
    <w:rsid w:val="007C404B"/>
    <w:rsid w:val="007C4BAE"/>
    <w:rsid w:val="007C60E1"/>
    <w:rsid w:val="007C7BAD"/>
    <w:rsid w:val="007D0B40"/>
    <w:rsid w:val="007D1D3B"/>
    <w:rsid w:val="007D3666"/>
    <w:rsid w:val="007D45F6"/>
    <w:rsid w:val="007D4678"/>
    <w:rsid w:val="007D4A45"/>
    <w:rsid w:val="007D57AC"/>
    <w:rsid w:val="007D5960"/>
    <w:rsid w:val="007E114E"/>
    <w:rsid w:val="007E2149"/>
    <w:rsid w:val="007E31FB"/>
    <w:rsid w:val="007E487F"/>
    <w:rsid w:val="007E4B2D"/>
    <w:rsid w:val="007E587D"/>
    <w:rsid w:val="007E606A"/>
    <w:rsid w:val="007E6CA3"/>
    <w:rsid w:val="007E71E9"/>
    <w:rsid w:val="007E7B8E"/>
    <w:rsid w:val="007F14DE"/>
    <w:rsid w:val="007F1D06"/>
    <w:rsid w:val="007F3207"/>
    <w:rsid w:val="007F4818"/>
    <w:rsid w:val="007F529C"/>
    <w:rsid w:val="007F651B"/>
    <w:rsid w:val="007F674C"/>
    <w:rsid w:val="007F6F0B"/>
    <w:rsid w:val="008004F6"/>
    <w:rsid w:val="008010D7"/>
    <w:rsid w:val="008021ED"/>
    <w:rsid w:val="00803443"/>
    <w:rsid w:val="008040E2"/>
    <w:rsid w:val="0080430F"/>
    <w:rsid w:val="00804679"/>
    <w:rsid w:val="00804884"/>
    <w:rsid w:val="00804B85"/>
    <w:rsid w:val="0080539A"/>
    <w:rsid w:val="008056F0"/>
    <w:rsid w:val="0080680D"/>
    <w:rsid w:val="00806C02"/>
    <w:rsid w:val="008116F7"/>
    <w:rsid w:val="00812C05"/>
    <w:rsid w:val="0081322A"/>
    <w:rsid w:val="00816137"/>
    <w:rsid w:val="008162AB"/>
    <w:rsid w:val="008169CC"/>
    <w:rsid w:val="008174F9"/>
    <w:rsid w:val="00820059"/>
    <w:rsid w:val="00821DF0"/>
    <w:rsid w:val="0082373B"/>
    <w:rsid w:val="00823C15"/>
    <w:rsid w:val="00824065"/>
    <w:rsid w:val="00824C2E"/>
    <w:rsid w:val="00825B92"/>
    <w:rsid w:val="00827880"/>
    <w:rsid w:val="00832108"/>
    <w:rsid w:val="00835044"/>
    <w:rsid w:val="0083587B"/>
    <w:rsid w:val="00840243"/>
    <w:rsid w:val="00841ED1"/>
    <w:rsid w:val="00842308"/>
    <w:rsid w:val="00843DF7"/>
    <w:rsid w:val="00843E6F"/>
    <w:rsid w:val="00843EF3"/>
    <w:rsid w:val="00844001"/>
    <w:rsid w:val="008441F2"/>
    <w:rsid w:val="00844395"/>
    <w:rsid w:val="008445D4"/>
    <w:rsid w:val="00845C3D"/>
    <w:rsid w:val="00846E4A"/>
    <w:rsid w:val="00851AF5"/>
    <w:rsid w:val="00851FB5"/>
    <w:rsid w:val="008548AD"/>
    <w:rsid w:val="00857985"/>
    <w:rsid w:val="00857E1C"/>
    <w:rsid w:val="00857F22"/>
    <w:rsid w:val="00860920"/>
    <w:rsid w:val="008616B6"/>
    <w:rsid w:val="00861AD8"/>
    <w:rsid w:val="0086279A"/>
    <w:rsid w:val="00863190"/>
    <w:rsid w:val="008647DE"/>
    <w:rsid w:val="00864B95"/>
    <w:rsid w:val="00865BFC"/>
    <w:rsid w:val="00867586"/>
    <w:rsid w:val="00870851"/>
    <w:rsid w:val="00871E3F"/>
    <w:rsid w:val="00876C3C"/>
    <w:rsid w:val="008800D3"/>
    <w:rsid w:val="00882CF5"/>
    <w:rsid w:val="00883DE6"/>
    <w:rsid w:val="00884E7A"/>
    <w:rsid w:val="00886CDD"/>
    <w:rsid w:val="00890509"/>
    <w:rsid w:val="00890550"/>
    <w:rsid w:val="00890EF4"/>
    <w:rsid w:val="008910EB"/>
    <w:rsid w:val="0089214D"/>
    <w:rsid w:val="0089393B"/>
    <w:rsid w:val="00893C0D"/>
    <w:rsid w:val="00893CA1"/>
    <w:rsid w:val="00893E3A"/>
    <w:rsid w:val="00893EE6"/>
    <w:rsid w:val="00893EE8"/>
    <w:rsid w:val="00893F45"/>
    <w:rsid w:val="00894069"/>
    <w:rsid w:val="00894B80"/>
    <w:rsid w:val="008954A7"/>
    <w:rsid w:val="008960FD"/>
    <w:rsid w:val="00896B42"/>
    <w:rsid w:val="008A20DA"/>
    <w:rsid w:val="008A2123"/>
    <w:rsid w:val="008A312B"/>
    <w:rsid w:val="008A466F"/>
    <w:rsid w:val="008B014C"/>
    <w:rsid w:val="008B0AA9"/>
    <w:rsid w:val="008B2174"/>
    <w:rsid w:val="008B2D6B"/>
    <w:rsid w:val="008B3E9A"/>
    <w:rsid w:val="008B3EE3"/>
    <w:rsid w:val="008B5C8F"/>
    <w:rsid w:val="008B5F16"/>
    <w:rsid w:val="008B7722"/>
    <w:rsid w:val="008B79CF"/>
    <w:rsid w:val="008C0386"/>
    <w:rsid w:val="008C049D"/>
    <w:rsid w:val="008C06DF"/>
    <w:rsid w:val="008C0E5C"/>
    <w:rsid w:val="008C0E6B"/>
    <w:rsid w:val="008C239C"/>
    <w:rsid w:val="008C6CAA"/>
    <w:rsid w:val="008C7B71"/>
    <w:rsid w:val="008D0904"/>
    <w:rsid w:val="008D1C3F"/>
    <w:rsid w:val="008D217C"/>
    <w:rsid w:val="008D334F"/>
    <w:rsid w:val="008D348B"/>
    <w:rsid w:val="008D45F9"/>
    <w:rsid w:val="008D46A9"/>
    <w:rsid w:val="008D7F0E"/>
    <w:rsid w:val="008E0DE7"/>
    <w:rsid w:val="008E0E40"/>
    <w:rsid w:val="008E10CF"/>
    <w:rsid w:val="008E2064"/>
    <w:rsid w:val="008E2BE4"/>
    <w:rsid w:val="008E326E"/>
    <w:rsid w:val="008E557D"/>
    <w:rsid w:val="008E5AF6"/>
    <w:rsid w:val="008E6B4E"/>
    <w:rsid w:val="008E7970"/>
    <w:rsid w:val="008E7C34"/>
    <w:rsid w:val="008F0C36"/>
    <w:rsid w:val="008F3619"/>
    <w:rsid w:val="008F377B"/>
    <w:rsid w:val="008F4885"/>
    <w:rsid w:val="008F5114"/>
    <w:rsid w:val="008F5E4F"/>
    <w:rsid w:val="008F5F4A"/>
    <w:rsid w:val="008F6606"/>
    <w:rsid w:val="008F771D"/>
    <w:rsid w:val="008F7D26"/>
    <w:rsid w:val="00904311"/>
    <w:rsid w:val="0090481F"/>
    <w:rsid w:val="00905829"/>
    <w:rsid w:val="009119EA"/>
    <w:rsid w:val="009153B9"/>
    <w:rsid w:val="00915512"/>
    <w:rsid w:val="00915FAB"/>
    <w:rsid w:val="0092009D"/>
    <w:rsid w:val="009206DB"/>
    <w:rsid w:val="009209CE"/>
    <w:rsid w:val="009233CC"/>
    <w:rsid w:val="009240D8"/>
    <w:rsid w:val="0092509E"/>
    <w:rsid w:val="009254B4"/>
    <w:rsid w:val="00925C3E"/>
    <w:rsid w:val="009321F6"/>
    <w:rsid w:val="00933B04"/>
    <w:rsid w:val="00933BC5"/>
    <w:rsid w:val="009360D7"/>
    <w:rsid w:val="009362C9"/>
    <w:rsid w:val="00936FDF"/>
    <w:rsid w:val="00937FED"/>
    <w:rsid w:val="00940230"/>
    <w:rsid w:val="009403DC"/>
    <w:rsid w:val="00942387"/>
    <w:rsid w:val="00942CA4"/>
    <w:rsid w:val="0094626F"/>
    <w:rsid w:val="009462D2"/>
    <w:rsid w:val="00946E70"/>
    <w:rsid w:val="0095200F"/>
    <w:rsid w:val="00954474"/>
    <w:rsid w:val="00954ACB"/>
    <w:rsid w:val="00955788"/>
    <w:rsid w:val="00955AEF"/>
    <w:rsid w:val="00955B80"/>
    <w:rsid w:val="00957E7D"/>
    <w:rsid w:val="009601B4"/>
    <w:rsid w:val="00960504"/>
    <w:rsid w:val="009644A2"/>
    <w:rsid w:val="009652D5"/>
    <w:rsid w:val="00965D0A"/>
    <w:rsid w:val="00966A0A"/>
    <w:rsid w:val="009672C2"/>
    <w:rsid w:val="009676B5"/>
    <w:rsid w:val="009677F8"/>
    <w:rsid w:val="00967AE2"/>
    <w:rsid w:val="00967F53"/>
    <w:rsid w:val="00970C62"/>
    <w:rsid w:val="009710AC"/>
    <w:rsid w:val="00971146"/>
    <w:rsid w:val="00971A2C"/>
    <w:rsid w:val="00971FE7"/>
    <w:rsid w:val="00972A9A"/>
    <w:rsid w:val="009757D0"/>
    <w:rsid w:val="00975E27"/>
    <w:rsid w:val="00977F69"/>
    <w:rsid w:val="009821BA"/>
    <w:rsid w:val="00983559"/>
    <w:rsid w:val="00983661"/>
    <w:rsid w:val="00985C13"/>
    <w:rsid w:val="00987E98"/>
    <w:rsid w:val="00991675"/>
    <w:rsid w:val="00992008"/>
    <w:rsid w:val="00992FC4"/>
    <w:rsid w:val="00993C2D"/>
    <w:rsid w:val="009948AA"/>
    <w:rsid w:val="00994970"/>
    <w:rsid w:val="00995A18"/>
    <w:rsid w:val="00996409"/>
    <w:rsid w:val="00996C2F"/>
    <w:rsid w:val="00996D00"/>
    <w:rsid w:val="009A03DC"/>
    <w:rsid w:val="009A18D1"/>
    <w:rsid w:val="009A1B95"/>
    <w:rsid w:val="009A228E"/>
    <w:rsid w:val="009A3060"/>
    <w:rsid w:val="009A418F"/>
    <w:rsid w:val="009A6CF3"/>
    <w:rsid w:val="009B08F4"/>
    <w:rsid w:val="009B24ED"/>
    <w:rsid w:val="009B2A6D"/>
    <w:rsid w:val="009B39F4"/>
    <w:rsid w:val="009B419F"/>
    <w:rsid w:val="009B43BF"/>
    <w:rsid w:val="009B4A2D"/>
    <w:rsid w:val="009B7DD7"/>
    <w:rsid w:val="009B7F84"/>
    <w:rsid w:val="009C1A7D"/>
    <w:rsid w:val="009C1E0B"/>
    <w:rsid w:val="009C3D47"/>
    <w:rsid w:val="009C3E37"/>
    <w:rsid w:val="009C451E"/>
    <w:rsid w:val="009C5845"/>
    <w:rsid w:val="009C6DCC"/>
    <w:rsid w:val="009C720C"/>
    <w:rsid w:val="009C7CDC"/>
    <w:rsid w:val="009C7FE3"/>
    <w:rsid w:val="009D25DE"/>
    <w:rsid w:val="009D274A"/>
    <w:rsid w:val="009D545A"/>
    <w:rsid w:val="009D6485"/>
    <w:rsid w:val="009D6D44"/>
    <w:rsid w:val="009D7E09"/>
    <w:rsid w:val="009D7F97"/>
    <w:rsid w:val="009E0E9D"/>
    <w:rsid w:val="009E1714"/>
    <w:rsid w:val="009E175D"/>
    <w:rsid w:val="009E2146"/>
    <w:rsid w:val="009E22FA"/>
    <w:rsid w:val="009E4744"/>
    <w:rsid w:val="009E4EC9"/>
    <w:rsid w:val="009E5D5A"/>
    <w:rsid w:val="009E7590"/>
    <w:rsid w:val="009E7DA1"/>
    <w:rsid w:val="009F2262"/>
    <w:rsid w:val="009F2AC9"/>
    <w:rsid w:val="009F34F0"/>
    <w:rsid w:val="009F3D58"/>
    <w:rsid w:val="009F4361"/>
    <w:rsid w:val="009F4ADA"/>
    <w:rsid w:val="009F5C99"/>
    <w:rsid w:val="009F65A9"/>
    <w:rsid w:val="009F6A0D"/>
    <w:rsid w:val="00A00AA8"/>
    <w:rsid w:val="00A00E40"/>
    <w:rsid w:val="00A012B1"/>
    <w:rsid w:val="00A0197F"/>
    <w:rsid w:val="00A01B57"/>
    <w:rsid w:val="00A02191"/>
    <w:rsid w:val="00A05704"/>
    <w:rsid w:val="00A06BBA"/>
    <w:rsid w:val="00A06C85"/>
    <w:rsid w:val="00A07991"/>
    <w:rsid w:val="00A10CDE"/>
    <w:rsid w:val="00A11128"/>
    <w:rsid w:val="00A11874"/>
    <w:rsid w:val="00A12664"/>
    <w:rsid w:val="00A12C14"/>
    <w:rsid w:val="00A135E2"/>
    <w:rsid w:val="00A14F32"/>
    <w:rsid w:val="00A1680D"/>
    <w:rsid w:val="00A17910"/>
    <w:rsid w:val="00A206A3"/>
    <w:rsid w:val="00A21154"/>
    <w:rsid w:val="00A21422"/>
    <w:rsid w:val="00A22234"/>
    <w:rsid w:val="00A232B0"/>
    <w:rsid w:val="00A23AB0"/>
    <w:rsid w:val="00A24A4A"/>
    <w:rsid w:val="00A25811"/>
    <w:rsid w:val="00A266C5"/>
    <w:rsid w:val="00A27538"/>
    <w:rsid w:val="00A309C6"/>
    <w:rsid w:val="00A31773"/>
    <w:rsid w:val="00A32E4E"/>
    <w:rsid w:val="00A33E10"/>
    <w:rsid w:val="00A33ED6"/>
    <w:rsid w:val="00A343B6"/>
    <w:rsid w:val="00A41EC6"/>
    <w:rsid w:val="00A4345A"/>
    <w:rsid w:val="00A4440D"/>
    <w:rsid w:val="00A505DE"/>
    <w:rsid w:val="00A50D30"/>
    <w:rsid w:val="00A52FA2"/>
    <w:rsid w:val="00A5327C"/>
    <w:rsid w:val="00A53B0D"/>
    <w:rsid w:val="00A55D75"/>
    <w:rsid w:val="00A5721C"/>
    <w:rsid w:val="00A60D29"/>
    <w:rsid w:val="00A63923"/>
    <w:rsid w:val="00A652F3"/>
    <w:rsid w:val="00A65625"/>
    <w:rsid w:val="00A661FE"/>
    <w:rsid w:val="00A66D72"/>
    <w:rsid w:val="00A67913"/>
    <w:rsid w:val="00A71083"/>
    <w:rsid w:val="00A732F1"/>
    <w:rsid w:val="00A73B9D"/>
    <w:rsid w:val="00A73DA8"/>
    <w:rsid w:val="00A74F2C"/>
    <w:rsid w:val="00A75DA6"/>
    <w:rsid w:val="00A773EA"/>
    <w:rsid w:val="00A815B1"/>
    <w:rsid w:val="00A81A94"/>
    <w:rsid w:val="00A850D5"/>
    <w:rsid w:val="00A901DC"/>
    <w:rsid w:val="00A91204"/>
    <w:rsid w:val="00A9522E"/>
    <w:rsid w:val="00A953D8"/>
    <w:rsid w:val="00A9552D"/>
    <w:rsid w:val="00A9681E"/>
    <w:rsid w:val="00AA007A"/>
    <w:rsid w:val="00AA11CE"/>
    <w:rsid w:val="00AA2133"/>
    <w:rsid w:val="00AA2ADA"/>
    <w:rsid w:val="00AA2DBB"/>
    <w:rsid w:val="00AA364C"/>
    <w:rsid w:val="00AA40C6"/>
    <w:rsid w:val="00AA4C3D"/>
    <w:rsid w:val="00AA5B1E"/>
    <w:rsid w:val="00AA6179"/>
    <w:rsid w:val="00AA724D"/>
    <w:rsid w:val="00AA78A1"/>
    <w:rsid w:val="00AB02F0"/>
    <w:rsid w:val="00AB049A"/>
    <w:rsid w:val="00AB073E"/>
    <w:rsid w:val="00AB1A13"/>
    <w:rsid w:val="00AB286E"/>
    <w:rsid w:val="00AB4E9F"/>
    <w:rsid w:val="00AB5172"/>
    <w:rsid w:val="00AB5F2A"/>
    <w:rsid w:val="00AB79D8"/>
    <w:rsid w:val="00AC079C"/>
    <w:rsid w:val="00AC0CDB"/>
    <w:rsid w:val="00AC10BB"/>
    <w:rsid w:val="00AC1EF8"/>
    <w:rsid w:val="00AC210F"/>
    <w:rsid w:val="00AC319E"/>
    <w:rsid w:val="00AC41B2"/>
    <w:rsid w:val="00AC5597"/>
    <w:rsid w:val="00AC5A2D"/>
    <w:rsid w:val="00AD0A3F"/>
    <w:rsid w:val="00AD1BFE"/>
    <w:rsid w:val="00AD1FF3"/>
    <w:rsid w:val="00AD42AE"/>
    <w:rsid w:val="00AD53BB"/>
    <w:rsid w:val="00AD54AA"/>
    <w:rsid w:val="00AD57F6"/>
    <w:rsid w:val="00AD6535"/>
    <w:rsid w:val="00AD77C8"/>
    <w:rsid w:val="00AE1D37"/>
    <w:rsid w:val="00AE2E7B"/>
    <w:rsid w:val="00AE3A1E"/>
    <w:rsid w:val="00AE4CC1"/>
    <w:rsid w:val="00AE734F"/>
    <w:rsid w:val="00AE7B2E"/>
    <w:rsid w:val="00AF0416"/>
    <w:rsid w:val="00AF14EA"/>
    <w:rsid w:val="00AF2250"/>
    <w:rsid w:val="00AF2656"/>
    <w:rsid w:val="00AF6110"/>
    <w:rsid w:val="00AF6AC6"/>
    <w:rsid w:val="00B00611"/>
    <w:rsid w:val="00B011EE"/>
    <w:rsid w:val="00B01ACD"/>
    <w:rsid w:val="00B037AD"/>
    <w:rsid w:val="00B03863"/>
    <w:rsid w:val="00B03979"/>
    <w:rsid w:val="00B04354"/>
    <w:rsid w:val="00B17B4A"/>
    <w:rsid w:val="00B210C2"/>
    <w:rsid w:val="00B21668"/>
    <w:rsid w:val="00B21D49"/>
    <w:rsid w:val="00B23788"/>
    <w:rsid w:val="00B249FC"/>
    <w:rsid w:val="00B26CE4"/>
    <w:rsid w:val="00B276F8"/>
    <w:rsid w:val="00B30070"/>
    <w:rsid w:val="00B317E7"/>
    <w:rsid w:val="00B31B79"/>
    <w:rsid w:val="00B3242F"/>
    <w:rsid w:val="00B33A57"/>
    <w:rsid w:val="00B34083"/>
    <w:rsid w:val="00B35276"/>
    <w:rsid w:val="00B35FD8"/>
    <w:rsid w:val="00B363EE"/>
    <w:rsid w:val="00B37728"/>
    <w:rsid w:val="00B37ED8"/>
    <w:rsid w:val="00B415A5"/>
    <w:rsid w:val="00B42144"/>
    <w:rsid w:val="00B43F38"/>
    <w:rsid w:val="00B45C64"/>
    <w:rsid w:val="00B464EB"/>
    <w:rsid w:val="00B46A32"/>
    <w:rsid w:val="00B46B29"/>
    <w:rsid w:val="00B477F7"/>
    <w:rsid w:val="00B51EEB"/>
    <w:rsid w:val="00B53547"/>
    <w:rsid w:val="00B53597"/>
    <w:rsid w:val="00B5440F"/>
    <w:rsid w:val="00B54E53"/>
    <w:rsid w:val="00B55B88"/>
    <w:rsid w:val="00B55D3E"/>
    <w:rsid w:val="00B55FE4"/>
    <w:rsid w:val="00B57946"/>
    <w:rsid w:val="00B57A1F"/>
    <w:rsid w:val="00B57B9E"/>
    <w:rsid w:val="00B57CE4"/>
    <w:rsid w:val="00B62590"/>
    <w:rsid w:val="00B6370D"/>
    <w:rsid w:val="00B63FF9"/>
    <w:rsid w:val="00B64A4F"/>
    <w:rsid w:val="00B6729F"/>
    <w:rsid w:val="00B67DE1"/>
    <w:rsid w:val="00B72B05"/>
    <w:rsid w:val="00B72F39"/>
    <w:rsid w:val="00B759A8"/>
    <w:rsid w:val="00B777CC"/>
    <w:rsid w:val="00B80444"/>
    <w:rsid w:val="00B8135E"/>
    <w:rsid w:val="00B82627"/>
    <w:rsid w:val="00B84D73"/>
    <w:rsid w:val="00B86C11"/>
    <w:rsid w:val="00B87477"/>
    <w:rsid w:val="00B9083B"/>
    <w:rsid w:val="00B90AA7"/>
    <w:rsid w:val="00B90B38"/>
    <w:rsid w:val="00B90B5F"/>
    <w:rsid w:val="00B939B3"/>
    <w:rsid w:val="00B94335"/>
    <w:rsid w:val="00B952DA"/>
    <w:rsid w:val="00B96429"/>
    <w:rsid w:val="00B97E35"/>
    <w:rsid w:val="00BA1D28"/>
    <w:rsid w:val="00BA21D8"/>
    <w:rsid w:val="00BA443B"/>
    <w:rsid w:val="00BA4A48"/>
    <w:rsid w:val="00BA65E5"/>
    <w:rsid w:val="00BA6C10"/>
    <w:rsid w:val="00BA6EFA"/>
    <w:rsid w:val="00BA73EB"/>
    <w:rsid w:val="00BA7C95"/>
    <w:rsid w:val="00BB09DF"/>
    <w:rsid w:val="00BB1F9A"/>
    <w:rsid w:val="00BB39F9"/>
    <w:rsid w:val="00BB3FC5"/>
    <w:rsid w:val="00BB3FD1"/>
    <w:rsid w:val="00BB60BE"/>
    <w:rsid w:val="00BB7056"/>
    <w:rsid w:val="00BC039F"/>
    <w:rsid w:val="00BC0418"/>
    <w:rsid w:val="00BC0DFF"/>
    <w:rsid w:val="00BC2B3B"/>
    <w:rsid w:val="00BC4579"/>
    <w:rsid w:val="00BC4885"/>
    <w:rsid w:val="00BC61A1"/>
    <w:rsid w:val="00BC76B9"/>
    <w:rsid w:val="00BC7C02"/>
    <w:rsid w:val="00BC7E32"/>
    <w:rsid w:val="00BC7E9F"/>
    <w:rsid w:val="00BC7FA1"/>
    <w:rsid w:val="00BD1156"/>
    <w:rsid w:val="00BD1825"/>
    <w:rsid w:val="00BD3857"/>
    <w:rsid w:val="00BD38E7"/>
    <w:rsid w:val="00BD3D24"/>
    <w:rsid w:val="00BD4067"/>
    <w:rsid w:val="00BE3E65"/>
    <w:rsid w:val="00BE44F6"/>
    <w:rsid w:val="00BE4941"/>
    <w:rsid w:val="00BF0CFF"/>
    <w:rsid w:val="00BF3913"/>
    <w:rsid w:val="00BF39AA"/>
    <w:rsid w:val="00BF59D2"/>
    <w:rsid w:val="00BF5DF8"/>
    <w:rsid w:val="00BF6D3F"/>
    <w:rsid w:val="00C0018A"/>
    <w:rsid w:val="00C00905"/>
    <w:rsid w:val="00C01155"/>
    <w:rsid w:val="00C0115A"/>
    <w:rsid w:val="00C032C3"/>
    <w:rsid w:val="00C035B5"/>
    <w:rsid w:val="00C038AA"/>
    <w:rsid w:val="00C04841"/>
    <w:rsid w:val="00C04D64"/>
    <w:rsid w:val="00C04E54"/>
    <w:rsid w:val="00C04FF1"/>
    <w:rsid w:val="00C053FE"/>
    <w:rsid w:val="00C0781B"/>
    <w:rsid w:val="00C10454"/>
    <w:rsid w:val="00C11A0C"/>
    <w:rsid w:val="00C11ABD"/>
    <w:rsid w:val="00C14FB2"/>
    <w:rsid w:val="00C15554"/>
    <w:rsid w:val="00C176AC"/>
    <w:rsid w:val="00C20BC8"/>
    <w:rsid w:val="00C20F5D"/>
    <w:rsid w:val="00C21EF9"/>
    <w:rsid w:val="00C222F7"/>
    <w:rsid w:val="00C22975"/>
    <w:rsid w:val="00C2342F"/>
    <w:rsid w:val="00C23A3F"/>
    <w:rsid w:val="00C24839"/>
    <w:rsid w:val="00C2526B"/>
    <w:rsid w:val="00C2533F"/>
    <w:rsid w:val="00C27C23"/>
    <w:rsid w:val="00C30B18"/>
    <w:rsid w:val="00C31E82"/>
    <w:rsid w:val="00C3256D"/>
    <w:rsid w:val="00C3298F"/>
    <w:rsid w:val="00C32E60"/>
    <w:rsid w:val="00C3316C"/>
    <w:rsid w:val="00C33600"/>
    <w:rsid w:val="00C34038"/>
    <w:rsid w:val="00C341B6"/>
    <w:rsid w:val="00C343EA"/>
    <w:rsid w:val="00C35D78"/>
    <w:rsid w:val="00C35E40"/>
    <w:rsid w:val="00C35EB3"/>
    <w:rsid w:val="00C37DB0"/>
    <w:rsid w:val="00C406B2"/>
    <w:rsid w:val="00C40D4D"/>
    <w:rsid w:val="00C418BD"/>
    <w:rsid w:val="00C41B96"/>
    <w:rsid w:val="00C41C4E"/>
    <w:rsid w:val="00C41C84"/>
    <w:rsid w:val="00C42E01"/>
    <w:rsid w:val="00C44202"/>
    <w:rsid w:val="00C44682"/>
    <w:rsid w:val="00C45B71"/>
    <w:rsid w:val="00C46748"/>
    <w:rsid w:val="00C47D6D"/>
    <w:rsid w:val="00C508B4"/>
    <w:rsid w:val="00C51C33"/>
    <w:rsid w:val="00C51EBB"/>
    <w:rsid w:val="00C53597"/>
    <w:rsid w:val="00C554D4"/>
    <w:rsid w:val="00C565F2"/>
    <w:rsid w:val="00C61B02"/>
    <w:rsid w:val="00C61DAB"/>
    <w:rsid w:val="00C6204F"/>
    <w:rsid w:val="00C64A25"/>
    <w:rsid w:val="00C661D5"/>
    <w:rsid w:val="00C6741A"/>
    <w:rsid w:val="00C718D6"/>
    <w:rsid w:val="00C719A2"/>
    <w:rsid w:val="00C72165"/>
    <w:rsid w:val="00C73D95"/>
    <w:rsid w:val="00C74654"/>
    <w:rsid w:val="00C74F4A"/>
    <w:rsid w:val="00C7598D"/>
    <w:rsid w:val="00C80E58"/>
    <w:rsid w:val="00C83041"/>
    <w:rsid w:val="00C849DE"/>
    <w:rsid w:val="00C85C68"/>
    <w:rsid w:val="00C8615A"/>
    <w:rsid w:val="00C90212"/>
    <w:rsid w:val="00C90B42"/>
    <w:rsid w:val="00C9475D"/>
    <w:rsid w:val="00C95056"/>
    <w:rsid w:val="00C951FD"/>
    <w:rsid w:val="00C962AE"/>
    <w:rsid w:val="00C96662"/>
    <w:rsid w:val="00CA0EF1"/>
    <w:rsid w:val="00CA153E"/>
    <w:rsid w:val="00CA1729"/>
    <w:rsid w:val="00CA1A2D"/>
    <w:rsid w:val="00CA2B9C"/>
    <w:rsid w:val="00CA5357"/>
    <w:rsid w:val="00CA5B07"/>
    <w:rsid w:val="00CA7F28"/>
    <w:rsid w:val="00CB0768"/>
    <w:rsid w:val="00CB0792"/>
    <w:rsid w:val="00CB131F"/>
    <w:rsid w:val="00CB2556"/>
    <w:rsid w:val="00CB27A8"/>
    <w:rsid w:val="00CB4DCD"/>
    <w:rsid w:val="00CB4F2D"/>
    <w:rsid w:val="00CB58FE"/>
    <w:rsid w:val="00CB595C"/>
    <w:rsid w:val="00CB71DC"/>
    <w:rsid w:val="00CC1690"/>
    <w:rsid w:val="00CC2142"/>
    <w:rsid w:val="00CC4ACD"/>
    <w:rsid w:val="00CC665A"/>
    <w:rsid w:val="00CC71DF"/>
    <w:rsid w:val="00CC798D"/>
    <w:rsid w:val="00CD316A"/>
    <w:rsid w:val="00CD3307"/>
    <w:rsid w:val="00CD47D0"/>
    <w:rsid w:val="00CD494A"/>
    <w:rsid w:val="00CD4EF0"/>
    <w:rsid w:val="00CD50F3"/>
    <w:rsid w:val="00CD549E"/>
    <w:rsid w:val="00CD72D5"/>
    <w:rsid w:val="00CE04A0"/>
    <w:rsid w:val="00CE10C7"/>
    <w:rsid w:val="00CE2BA1"/>
    <w:rsid w:val="00CE335A"/>
    <w:rsid w:val="00CE34DC"/>
    <w:rsid w:val="00CE3A86"/>
    <w:rsid w:val="00CE3B3E"/>
    <w:rsid w:val="00CE70DA"/>
    <w:rsid w:val="00CF3453"/>
    <w:rsid w:val="00CF3E0E"/>
    <w:rsid w:val="00CF435B"/>
    <w:rsid w:val="00CF5D0D"/>
    <w:rsid w:val="00D009EF"/>
    <w:rsid w:val="00D01012"/>
    <w:rsid w:val="00D01B6A"/>
    <w:rsid w:val="00D01D46"/>
    <w:rsid w:val="00D025A7"/>
    <w:rsid w:val="00D06989"/>
    <w:rsid w:val="00D07FB4"/>
    <w:rsid w:val="00D121CA"/>
    <w:rsid w:val="00D12DA8"/>
    <w:rsid w:val="00D15428"/>
    <w:rsid w:val="00D155EE"/>
    <w:rsid w:val="00D15A32"/>
    <w:rsid w:val="00D15CFF"/>
    <w:rsid w:val="00D1799F"/>
    <w:rsid w:val="00D21FA8"/>
    <w:rsid w:val="00D224F5"/>
    <w:rsid w:val="00D22CDC"/>
    <w:rsid w:val="00D23083"/>
    <w:rsid w:val="00D236B7"/>
    <w:rsid w:val="00D23E48"/>
    <w:rsid w:val="00D244BE"/>
    <w:rsid w:val="00D25A79"/>
    <w:rsid w:val="00D2689A"/>
    <w:rsid w:val="00D3005F"/>
    <w:rsid w:val="00D30C5C"/>
    <w:rsid w:val="00D3438A"/>
    <w:rsid w:val="00D34F8F"/>
    <w:rsid w:val="00D36229"/>
    <w:rsid w:val="00D36C00"/>
    <w:rsid w:val="00D36C6C"/>
    <w:rsid w:val="00D40E36"/>
    <w:rsid w:val="00D41FEE"/>
    <w:rsid w:val="00D4225E"/>
    <w:rsid w:val="00D43096"/>
    <w:rsid w:val="00D43DFE"/>
    <w:rsid w:val="00D44CDA"/>
    <w:rsid w:val="00D45FD4"/>
    <w:rsid w:val="00D46AB2"/>
    <w:rsid w:val="00D47815"/>
    <w:rsid w:val="00D502C6"/>
    <w:rsid w:val="00D50D53"/>
    <w:rsid w:val="00D513A7"/>
    <w:rsid w:val="00D52622"/>
    <w:rsid w:val="00D530B9"/>
    <w:rsid w:val="00D57206"/>
    <w:rsid w:val="00D5743B"/>
    <w:rsid w:val="00D57886"/>
    <w:rsid w:val="00D6077D"/>
    <w:rsid w:val="00D622E3"/>
    <w:rsid w:val="00D63880"/>
    <w:rsid w:val="00D64671"/>
    <w:rsid w:val="00D656EB"/>
    <w:rsid w:val="00D666F8"/>
    <w:rsid w:val="00D66C78"/>
    <w:rsid w:val="00D70433"/>
    <w:rsid w:val="00D7416A"/>
    <w:rsid w:val="00D76DB9"/>
    <w:rsid w:val="00D771FD"/>
    <w:rsid w:val="00D7796D"/>
    <w:rsid w:val="00D77CC1"/>
    <w:rsid w:val="00D81B18"/>
    <w:rsid w:val="00D83541"/>
    <w:rsid w:val="00D84A8B"/>
    <w:rsid w:val="00D8533E"/>
    <w:rsid w:val="00D85AE6"/>
    <w:rsid w:val="00D925CF"/>
    <w:rsid w:val="00D927FB"/>
    <w:rsid w:val="00D93A16"/>
    <w:rsid w:val="00D9496D"/>
    <w:rsid w:val="00D974B2"/>
    <w:rsid w:val="00DA0768"/>
    <w:rsid w:val="00DA161A"/>
    <w:rsid w:val="00DA235D"/>
    <w:rsid w:val="00DA33A7"/>
    <w:rsid w:val="00DA43CA"/>
    <w:rsid w:val="00DA5A94"/>
    <w:rsid w:val="00DA7322"/>
    <w:rsid w:val="00DA7527"/>
    <w:rsid w:val="00DB01BA"/>
    <w:rsid w:val="00DB0F17"/>
    <w:rsid w:val="00DB130A"/>
    <w:rsid w:val="00DB2355"/>
    <w:rsid w:val="00DB25A7"/>
    <w:rsid w:val="00DB3BB4"/>
    <w:rsid w:val="00DB49FB"/>
    <w:rsid w:val="00DB5752"/>
    <w:rsid w:val="00DC0B4B"/>
    <w:rsid w:val="00DC0F02"/>
    <w:rsid w:val="00DC0F8D"/>
    <w:rsid w:val="00DC125A"/>
    <w:rsid w:val="00DC1B2B"/>
    <w:rsid w:val="00DC2284"/>
    <w:rsid w:val="00DC2436"/>
    <w:rsid w:val="00DC2486"/>
    <w:rsid w:val="00DC3B19"/>
    <w:rsid w:val="00DC3CA4"/>
    <w:rsid w:val="00DC3E2D"/>
    <w:rsid w:val="00DC4061"/>
    <w:rsid w:val="00DC45D8"/>
    <w:rsid w:val="00DC49E4"/>
    <w:rsid w:val="00DC51B7"/>
    <w:rsid w:val="00DC651F"/>
    <w:rsid w:val="00DC6B11"/>
    <w:rsid w:val="00DC6B7A"/>
    <w:rsid w:val="00DD05A1"/>
    <w:rsid w:val="00DD05D7"/>
    <w:rsid w:val="00DD0A44"/>
    <w:rsid w:val="00DD0CED"/>
    <w:rsid w:val="00DD0DE3"/>
    <w:rsid w:val="00DD13E8"/>
    <w:rsid w:val="00DD54BE"/>
    <w:rsid w:val="00DD5DBE"/>
    <w:rsid w:val="00DD6646"/>
    <w:rsid w:val="00DD765A"/>
    <w:rsid w:val="00DD7BD4"/>
    <w:rsid w:val="00DE0627"/>
    <w:rsid w:val="00DE0F14"/>
    <w:rsid w:val="00DE1779"/>
    <w:rsid w:val="00DE431F"/>
    <w:rsid w:val="00DE4578"/>
    <w:rsid w:val="00DE6C96"/>
    <w:rsid w:val="00DE748A"/>
    <w:rsid w:val="00DE792B"/>
    <w:rsid w:val="00DE7AA1"/>
    <w:rsid w:val="00DE7BE2"/>
    <w:rsid w:val="00DF04EE"/>
    <w:rsid w:val="00DF3E35"/>
    <w:rsid w:val="00E01FE3"/>
    <w:rsid w:val="00E0382E"/>
    <w:rsid w:val="00E03ED5"/>
    <w:rsid w:val="00E06243"/>
    <w:rsid w:val="00E07169"/>
    <w:rsid w:val="00E1550A"/>
    <w:rsid w:val="00E15618"/>
    <w:rsid w:val="00E1688C"/>
    <w:rsid w:val="00E21C9D"/>
    <w:rsid w:val="00E21D7A"/>
    <w:rsid w:val="00E22665"/>
    <w:rsid w:val="00E23367"/>
    <w:rsid w:val="00E2368C"/>
    <w:rsid w:val="00E23961"/>
    <w:rsid w:val="00E24A60"/>
    <w:rsid w:val="00E268D0"/>
    <w:rsid w:val="00E26D52"/>
    <w:rsid w:val="00E27E8B"/>
    <w:rsid w:val="00E30499"/>
    <w:rsid w:val="00E30B51"/>
    <w:rsid w:val="00E30EAD"/>
    <w:rsid w:val="00E30F7F"/>
    <w:rsid w:val="00E31BFB"/>
    <w:rsid w:val="00E31C56"/>
    <w:rsid w:val="00E32472"/>
    <w:rsid w:val="00E324BB"/>
    <w:rsid w:val="00E35482"/>
    <w:rsid w:val="00E377E8"/>
    <w:rsid w:val="00E37D2C"/>
    <w:rsid w:val="00E421DE"/>
    <w:rsid w:val="00E43464"/>
    <w:rsid w:val="00E47A69"/>
    <w:rsid w:val="00E51660"/>
    <w:rsid w:val="00E522C9"/>
    <w:rsid w:val="00E5494A"/>
    <w:rsid w:val="00E56A69"/>
    <w:rsid w:val="00E571BB"/>
    <w:rsid w:val="00E6077B"/>
    <w:rsid w:val="00E62A64"/>
    <w:rsid w:val="00E62C80"/>
    <w:rsid w:val="00E63779"/>
    <w:rsid w:val="00E74435"/>
    <w:rsid w:val="00E74B89"/>
    <w:rsid w:val="00E758AD"/>
    <w:rsid w:val="00E759DD"/>
    <w:rsid w:val="00E77D4E"/>
    <w:rsid w:val="00E81116"/>
    <w:rsid w:val="00E84E66"/>
    <w:rsid w:val="00E87791"/>
    <w:rsid w:val="00E90CD5"/>
    <w:rsid w:val="00E91860"/>
    <w:rsid w:val="00E93041"/>
    <w:rsid w:val="00E93194"/>
    <w:rsid w:val="00E93263"/>
    <w:rsid w:val="00E939C2"/>
    <w:rsid w:val="00E954B7"/>
    <w:rsid w:val="00E96382"/>
    <w:rsid w:val="00E96577"/>
    <w:rsid w:val="00E96FDB"/>
    <w:rsid w:val="00EA107B"/>
    <w:rsid w:val="00EA1391"/>
    <w:rsid w:val="00EA1C93"/>
    <w:rsid w:val="00EA3B47"/>
    <w:rsid w:val="00EA40E5"/>
    <w:rsid w:val="00EB2AD9"/>
    <w:rsid w:val="00EB2E4A"/>
    <w:rsid w:val="00EB3F51"/>
    <w:rsid w:val="00EB56BA"/>
    <w:rsid w:val="00EB7EFD"/>
    <w:rsid w:val="00EC1236"/>
    <w:rsid w:val="00EC16F1"/>
    <w:rsid w:val="00EC3510"/>
    <w:rsid w:val="00EC3836"/>
    <w:rsid w:val="00EC5AFF"/>
    <w:rsid w:val="00ED05D6"/>
    <w:rsid w:val="00ED0786"/>
    <w:rsid w:val="00ED0C6F"/>
    <w:rsid w:val="00ED24BE"/>
    <w:rsid w:val="00ED2FCC"/>
    <w:rsid w:val="00ED3BCF"/>
    <w:rsid w:val="00ED3C38"/>
    <w:rsid w:val="00ED61B1"/>
    <w:rsid w:val="00ED773F"/>
    <w:rsid w:val="00ED7886"/>
    <w:rsid w:val="00EE1B07"/>
    <w:rsid w:val="00EE1DAA"/>
    <w:rsid w:val="00EE21E6"/>
    <w:rsid w:val="00EE2B5C"/>
    <w:rsid w:val="00EE3606"/>
    <w:rsid w:val="00EE5314"/>
    <w:rsid w:val="00EE5F75"/>
    <w:rsid w:val="00EE685C"/>
    <w:rsid w:val="00EE7050"/>
    <w:rsid w:val="00EF14B4"/>
    <w:rsid w:val="00EF267B"/>
    <w:rsid w:val="00EF2722"/>
    <w:rsid w:val="00EF40FB"/>
    <w:rsid w:val="00EF6805"/>
    <w:rsid w:val="00EF793B"/>
    <w:rsid w:val="00F00508"/>
    <w:rsid w:val="00F00AE2"/>
    <w:rsid w:val="00F01AA6"/>
    <w:rsid w:val="00F01E52"/>
    <w:rsid w:val="00F029B1"/>
    <w:rsid w:val="00F04026"/>
    <w:rsid w:val="00F042DC"/>
    <w:rsid w:val="00F05C3D"/>
    <w:rsid w:val="00F064D2"/>
    <w:rsid w:val="00F06839"/>
    <w:rsid w:val="00F068F8"/>
    <w:rsid w:val="00F07099"/>
    <w:rsid w:val="00F105EA"/>
    <w:rsid w:val="00F10907"/>
    <w:rsid w:val="00F11117"/>
    <w:rsid w:val="00F11B31"/>
    <w:rsid w:val="00F12541"/>
    <w:rsid w:val="00F14DC2"/>
    <w:rsid w:val="00F15BEA"/>
    <w:rsid w:val="00F163FA"/>
    <w:rsid w:val="00F172F5"/>
    <w:rsid w:val="00F21141"/>
    <w:rsid w:val="00F2162F"/>
    <w:rsid w:val="00F22035"/>
    <w:rsid w:val="00F228C4"/>
    <w:rsid w:val="00F22D18"/>
    <w:rsid w:val="00F22EA9"/>
    <w:rsid w:val="00F2304C"/>
    <w:rsid w:val="00F246BF"/>
    <w:rsid w:val="00F25599"/>
    <w:rsid w:val="00F25D94"/>
    <w:rsid w:val="00F2622D"/>
    <w:rsid w:val="00F33FAA"/>
    <w:rsid w:val="00F35ABD"/>
    <w:rsid w:val="00F36403"/>
    <w:rsid w:val="00F36C50"/>
    <w:rsid w:val="00F36C87"/>
    <w:rsid w:val="00F3725B"/>
    <w:rsid w:val="00F3758D"/>
    <w:rsid w:val="00F4074B"/>
    <w:rsid w:val="00F41653"/>
    <w:rsid w:val="00F42AB2"/>
    <w:rsid w:val="00F43845"/>
    <w:rsid w:val="00F46927"/>
    <w:rsid w:val="00F5015E"/>
    <w:rsid w:val="00F52FB9"/>
    <w:rsid w:val="00F547A5"/>
    <w:rsid w:val="00F547CB"/>
    <w:rsid w:val="00F55854"/>
    <w:rsid w:val="00F562D9"/>
    <w:rsid w:val="00F56813"/>
    <w:rsid w:val="00F569D4"/>
    <w:rsid w:val="00F570F2"/>
    <w:rsid w:val="00F60B9D"/>
    <w:rsid w:val="00F61462"/>
    <w:rsid w:val="00F61B5D"/>
    <w:rsid w:val="00F6227F"/>
    <w:rsid w:val="00F633A3"/>
    <w:rsid w:val="00F63783"/>
    <w:rsid w:val="00F64619"/>
    <w:rsid w:val="00F64C0E"/>
    <w:rsid w:val="00F64F7F"/>
    <w:rsid w:val="00F65F80"/>
    <w:rsid w:val="00F70110"/>
    <w:rsid w:val="00F70608"/>
    <w:rsid w:val="00F7243D"/>
    <w:rsid w:val="00F72AEE"/>
    <w:rsid w:val="00F72C93"/>
    <w:rsid w:val="00F74BAA"/>
    <w:rsid w:val="00F76ED8"/>
    <w:rsid w:val="00F772F5"/>
    <w:rsid w:val="00F77403"/>
    <w:rsid w:val="00F77BCF"/>
    <w:rsid w:val="00F80A88"/>
    <w:rsid w:val="00F823F5"/>
    <w:rsid w:val="00F8554E"/>
    <w:rsid w:val="00F863A8"/>
    <w:rsid w:val="00F91190"/>
    <w:rsid w:val="00F9170D"/>
    <w:rsid w:val="00F923CC"/>
    <w:rsid w:val="00F927F7"/>
    <w:rsid w:val="00F93759"/>
    <w:rsid w:val="00F94368"/>
    <w:rsid w:val="00F9494C"/>
    <w:rsid w:val="00F94FB2"/>
    <w:rsid w:val="00F968BA"/>
    <w:rsid w:val="00F9761B"/>
    <w:rsid w:val="00FA0541"/>
    <w:rsid w:val="00FA116D"/>
    <w:rsid w:val="00FA15C8"/>
    <w:rsid w:val="00FA2D86"/>
    <w:rsid w:val="00FA313E"/>
    <w:rsid w:val="00FA348C"/>
    <w:rsid w:val="00FA4CDE"/>
    <w:rsid w:val="00FA4CEF"/>
    <w:rsid w:val="00FA4D82"/>
    <w:rsid w:val="00FA7B7C"/>
    <w:rsid w:val="00FB058F"/>
    <w:rsid w:val="00FB0AD8"/>
    <w:rsid w:val="00FB1071"/>
    <w:rsid w:val="00FB15E5"/>
    <w:rsid w:val="00FB1E57"/>
    <w:rsid w:val="00FB4DBB"/>
    <w:rsid w:val="00FB4EF2"/>
    <w:rsid w:val="00FB5AD5"/>
    <w:rsid w:val="00FB62A4"/>
    <w:rsid w:val="00FC0516"/>
    <w:rsid w:val="00FC1129"/>
    <w:rsid w:val="00FC19E1"/>
    <w:rsid w:val="00FC1BB6"/>
    <w:rsid w:val="00FC327A"/>
    <w:rsid w:val="00FC3D4D"/>
    <w:rsid w:val="00FC543F"/>
    <w:rsid w:val="00FD1D22"/>
    <w:rsid w:val="00FD215B"/>
    <w:rsid w:val="00FD2238"/>
    <w:rsid w:val="00FD4C83"/>
    <w:rsid w:val="00FD4DD1"/>
    <w:rsid w:val="00FE010F"/>
    <w:rsid w:val="00FE0EC7"/>
    <w:rsid w:val="00FE224F"/>
    <w:rsid w:val="00FE2C17"/>
    <w:rsid w:val="00FE2E52"/>
    <w:rsid w:val="00FE44CB"/>
    <w:rsid w:val="00FE471F"/>
    <w:rsid w:val="00FE62EA"/>
    <w:rsid w:val="00FF072F"/>
    <w:rsid w:val="00FF11FF"/>
    <w:rsid w:val="00FF1B29"/>
    <w:rsid w:val="00FF1FAD"/>
    <w:rsid w:val="00FF4C54"/>
    <w:rsid w:val="00FF5C80"/>
    <w:rsid w:val="00FF695E"/>
    <w:rsid w:val="00FF7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9BF054A"/>
  <w15:chartTrackingRefBased/>
  <w15:docId w15:val="{3DE3F767-73B9-4708-AB85-4B837ED0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DC6B11"/>
    <w:pPr>
      <w:keepNext/>
      <w:widowControl w:val="0"/>
      <w:pBdr>
        <w:bottom w:val="single" w:sz="4" w:space="1" w:color="auto"/>
      </w:pBdr>
      <w:spacing w:before="24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2"/>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4"/>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7"/>
      </w:numPr>
      <w:tabs>
        <w:tab w:val="clear" w:pos="567"/>
      </w:tabs>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5"/>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6"/>
      </w:numPr>
      <w:ind w:right="1134"/>
    </w:pPr>
    <w:rPr>
      <w:sz w:val="22"/>
    </w:rPr>
  </w:style>
  <w:style w:type="paragraph" w:customStyle="1" w:styleId="CGCTableFootnote">
    <w:name w:val="CGC Table Footnote"/>
    <w:basedOn w:val="CGCNumberedPara"/>
    <w:next w:val="NoSpacing"/>
    <w:link w:val="CGCTableFootnoteChar"/>
    <w:qFormat/>
    <w:rsid w:val="00B42144"/>
    <w:pPr>
      <w:numPr>
        <w:ilvl w:val="0"/>
        <w:numId w:val="0"/>
      </w:numPr>
      <w:tabs>
        <w:tab w:val="left" w:pos="709"/>
      </w:tabs>
      <w:spacing w:before="0" w:after="0" w:line="240" w:lineRule="auto"/>
      <w:ind w:left="709" w:hanging="709"/>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uiPriority w:val="39"/>
    <w:rsid w:val="00765BA8"/>
    <w:pPr>
      <w:tabs>
        <w:tab w:val="clear" w:pos="567"/>
      </w:tabs>
      <w:spacing w:after="0"/>
      <w:ind w:left="1701"/>
    </w:pPr>
    <w:rPr>
      <w:sz w:val="18"/>
      <w:szCs w:val="18"/>
    </w:rPr>
  </w:style>
  <w:style w:type="paragraph" w:styleId="TOC6">
    <w:name w:val="toc 6"/>
    <w:basedOn w:val="Normal"/>
    <w:next w:val="Normal"/>
    <w:uiPriority w:val="39"/>
    <w:rsid w:val="00765BA8"/>
    <w:pPr>
      <w:tabs>
        <w:tab w:val="clear" w:pos="567"/>
      </w:tabs>
      <w:spacing w:after="0"/>
      <w:ind w:left="1100"/>
    </w:pPr>
    <w:rPr>
      <w:sz w:val="18"/>
      <w:szCs w:val="18"/>
    </w:rPr>
  </w:style>
  <w:style w:type="paragraph" w:styleId="TOC7">
    <w:name w:val="toc 7"/>
    <w:basedOn w:val="Normal"/>
    <w:next w:val="Normal"/>
    <w:uiPriority w:val="39"/>
    <w:rsid w:val="00765BA8"/>
    <w:pPr>
      <w:tabs>
        <w:tab w:val="clear" w:pos="567"/>
      </w:tabs>
      <w:spacing w:after="0"/>
      <w:ind w:left="1320"/>
    </w:pPr>
    <w:rPr>
      <w:sz w:val="18"/>
      <w:szCs w:val="18"/>
    </w:rPr>
  </w:style>
  <w:style w:type="paragraph" w:styleId="TOC8">
    <w:name w:val="toc 8"/>
    <w:basedOn w:val="Normal"/>
    <w:next w:val="Normal"/>
    <w:uiPriority w:val="39"/>
    <w:rsid w:val="00765BA8"/>
    <w:pPr>
      <w:tabs>
        <w:tab w:val="clear" w:pos="567"/>
      </w:tabs>
      <w:spacing w:after="0"/>
      <w:ind w:left="1540"/>
    </w:pPr>
    <w:rPr>
      <w:sz w:val="18"/>
      <w:szCs w:val="18"/>
    </w:rPr>
  </w:style>
  <w:style w:type="paragraph" w:styleId="TOC9">
    <w:name w:val="toc 9"/>
    <w:basedOn w:val="Normal"/>
    <w:next w:val="Normal"/>
    <w:uiPriority w:val="39"/>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DC6B11"/>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aliases w:val="Bullets"/>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ParaNoChar">
    <w:name w:val="CGC Para No Char"/>
    <w:aliases w:val="CGC Numbered Para Char"/>
    <w:basedOn w:val="DefaultParagraphFont"/>
    <w:link w:val="CGCNumberedPara"/>
    <w:rsid w:val="008E10CF"/>
    <w:rPr>
      <w:sz w:val="24"/>
      <w:szCs w:val="24"/>
    </w:rPr>
  </w:style>
  <w:style w:type="character" w:customStyle="1" w:styleId="CGCTableFootnoteChar">
    <w:name w:val="CGC Table Footnote Char"/>
    <w:basedOn w:val="DefaultParagraphFont"/>
    <w:link w:val="CGCTableFootnote"/>
    <w:rsid w:val="00B42144"/>
    <w:rPr>
      <w:sz w:val="20"/>
      <w:szCs w:val="24"/>
    </w:rPr>
  </w:style>
  <w:style w:type="character" w:customStyle="1" w:styleId="CGCBulletlistChar">
    <w:name w:val="CGC Bullet list Char"/>
    <w:aliases w:val="CGC List 1 Char,CGC Bullet list Char1"/>
    <w:basedOn w:val="DefaultParagraphFont"/>
    <w:link w:val="CGCBulletlist"/>
    <w:locked/>
    <w:rsid w:val="00F246BF"/>
    <w:rPr>
      <w:sz w:val="24"/>
      <w:szCs w:val="20"/>
    </w:rPr>
  </w:style>
  <w:style w:type="character" w:customStyle="1" w:styleId="CommentTextChar">
    <w:name w:val="Comment Text Char"/>
    <w:basedOn w:val="DefaultParagraphFont"/>
    <w:link w:val="CommentText"/>
    <w:rsid w:val="00C37DB0"/>
    <w:rPr>
      <w:sz w:val="20"/>
      <w:szCs w:val="20"/>
    </w:rPr>
  </w:style>
  <w:style w:type="paragraph" w:styleId="Revision">
    <w:name w:val="Revision"/>
    <w:hidden/>
    <w:uiPriority w:val="99"/>
    <w:semiHidden/>
    <w:rsid w:val="00A2115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970">
      <w:bodyDiv w:val="1"/>
      <w:marLeft w:val="0"/>
      <w:marRight w:val="0"/>
      <w:marTop w:val="0"/>
      <w:marBottom w:val="0"/>
      <w:divBdr>
        <w:top w:val="none" w:sz="0" w:space="0" w:color="auto"/>
        <w:left w:val="none" w:sz="0" w:space="0" w:color="auto"/>
        <w:bottom w:val="none" w:sz="0" w:space="0" w:color="auto"/>
        <w:right w:val="none" w:sz="0" w:space="0" w:color="auto"/>
      </w:divBdr>
    </w:div>
    <w:div w:id="128281705">
      <w:bodyDiv w:val="1"/>
      <w:marLeft w:val="0"/>
      <w:marRight w:val="0"/>
      <w:marTop w:val="0"/>
      <w:marBottom w:val="0"/>
      <w:divBdr>
        <w:top w:val="none" w:sz="0" w:space="0" w:color="auto"/>
        <w:left w:val="none" w:sz="0" w:space="0" w:color="auto"/>
        <w:bottom w:val="none" w:sz="0" w:space="0" w:color="auto"/>
        <w:right w:val="none" w:sz="0" w:space="0" w:color="auto"/>
      </w:divBdr>
    </w:div>
    <w:div w:id="188763649">
      <w:bodyDiv w:val="1"/>
      <w:marLeft w:val="0"/>
      <w:marRight w:val="0"/>
      <w:marTop w:val="0"/>
      <w:marBottom w:val="0"/>
      <w:divBdr>
        <w:top w:val="none" w:sz="0" w:space="0" w:color="auto"/>
        <w:left w:val="none" w:sz="0" w:space="0" w:color="auto"/>
        <w:bottom w:val="none" w:sz="0" w:space="0" w:color="auto"/>
        <w:right w:val="none" w:sz="0" w:space="0" w:color="auto"/>
      </w:divBdr>
    </w:div>
    <w:div w:id="197282344">
      <w:bodyDiv w:val="1"/>
      <w:marLeft w:val="0"/>
      <w:marRight w:val="0"/>
      <w:marTop w:val="0"/>
      <w:marBottom w:val="0"/>
      <w:divBdr>
        <w:top w:val="none" w:sz="0" w:space="0" w:color="auto"/>
        <w:left w:val="none" w:sz="0" w:space="0" w:color="auto"/>
        <w:bottom w:val="none" w:sz="0" w:space="0" w:color="auto"/>
        <w:right w:val="none" w:sz="0" w:space="0" w:color="auto"/>
      </w:divBdr>
    </w:div>
    <w:div w:id="198591064">
      <w:bodyDiv w:val="1"/>
      <w:marLeft w:val="0"/>
      <w:marRight w:val="0"/>
      <w:marTop w:val="0"/>
      <w:marBottom w:val="0"/>
      <w:divBdr>
        <w:top w:val="none" w:sz="0" w:space="0" w:color="auto"/>
        <w:left w:val="none" w:sz="0" w:space="0" w:color="auto"/>
        <w:bottom w:val="none" w:sz="0" w:space="0" w:color="auto"/>
        <w:right w:val="none" w:sz="0" w:space="0" w:color="auto"/>
      </w:divBdr>
    </w:div>
    <w:div w:id="257492989">
      <w:bodyDiv w:val="1"/>
      <w:marLeft w:val="0"/>
      <w:marRight w:val="0"/>
      <w:marTop w:val="0"/>
      <w:marBottom w:val="0"/>
      <w:divBdr>
        <w:top w:val="none" w:sz="0" w:space="0" w:color="auto"/>
        <w:left w:val="none" w:sz="0" w:space="0" w:color="auto"/>
        <w:bottom w:val="none" w:sz="0" w:space="0" w:color="auto"/>
        <w:right w:val="none" w:sz="0" w:space="0" w:color="auto"/>
      </w:divBdr>
    </w:div>
    <w:div w:id="328481617">
      <w:bodyDiv w:val="1"/>
      <w:marLeft w:val="0"/>
      <w:marRight w:val="0"/>
      <w:marTop w:val="0"/>
      <w:marBottom w:val="0"/>
      <w:divBdr>
        <w:top w:val="none" w:sz="0" w:space="0" w:color="auto"/>
        <w:left w:val="none" w:sz="0" w:space="0" w:color="auto"/>
        <w:bottom w:val="none" w:sz="0" w:space="0" w:color="auto"/>
        <w:right w:val="none" w:sz="0" w:space="0" w:color="auto"/>
      </w:divBdr>
    </w:div>
    <w:div w:id="387993440">
      <w:bodyDiv w:val="1"/>
      <w:marLeft w:val="0"/>
      <w:marRight w:val="0"/>
      <w:marTop w:val="0"/>
      <w:marBottom w:val="0"/>
      <w:divBdr>
        <w:top w:val="none" w:sz="0" w:space="0" w:color="auto"/>
        <w:left w:val="none" w:sz="0" w:space="0" w:color="auto"/>
        <w:bottom w:val="none" w:sz="0" w:space="0" w:color="auto"/>
        <w:right w:val="none" w:sz="0" w:space="0" w:color="auto"/>
      </w:divBdr>
    </w:div>
    <w:div w:id="501817423">
      <w:bodyDiv w:val="1"/>
      <w:marLeft w:val="0"/>
      <w:marRight w:val="0"/>
      <w:marTop w:val="0"/>
      <w:marBottom w:val="0"/>
      <w:divBdr>
        <w:top w:val="none" w:sz="0" w:space="0" w:color="auto"/>
        <w:left w:val="none" w:sz="0" w:space="0" w:color="auto"/>
        <w:bottom w:val="none" w:sz="0" w:space="0" w:color="auto"/>
        <w:right w:val="none" w:sz="0" w:space="0" w:color="auto"/>
      </w:divBdr>
    </w:div>
    <w:div w:id="53550891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753165057">
      <w:bodyDiv w:val="1"/>
      <w:marLeft w:val="0"/>
      <w:marRight w:val="0"/>
      <w:marTop w:val="0"/>
      <w:marBottom w:val="0"/>
      <w:divBdr>
        <w:top w:val="none" w:sz="0" w:space="0" w:color="auto"/>
        <w:left w:val="none" w:sz="0" w:space="0" w:color="auto"/>
        <w:bottom w:val="none" w:sz="0" w:space="0" w:color="auto"/>
        <w:right w:val="none" w:sz="0" w:space="0" w:color="auto"/>
      </w:divBdr>
    </w:div>
    <w:div w:id="770855827">
      <w:bodyDiv w:val="1"/>
      <w:marLeft w:val="0"/>
      <w:marRight w:val="0"/>
      <w:marTop w:val="0"/>
      <w:marBottom w:val="0"/>
      <w:divBdr>
        <w:top w:val="none" w:sz="0" w:space="0" w:color="auto"/>
        <w:left w:val="none" w:sz="0" w:space="0" w:color="auto"/>
        <w:bottom w:val="none" w:sz="0" w:space="0" w:color="auto"/>
        <w:right w:val="none" w:sz="0" w:space="0" w:color="auto"/>
      </w:divBdr>
    </w:div>
    <w:div w:id="801918900">
      <w:bodyDiv w:val="1"/>
      <w:marLeft w:val="0"/>
      <w:marRight w:val="0"/>
      <w:marTop w:val="0"/>
      <w:marBottom w:val="0"/>
      <w:divBdr>
        <w:top w:val="none" w:sz="0" w:space="0" w:color="auto"/>
        <w:left w:val="none" w:sz="0" w:space="0" w:color="auto"/>
        <w:bottom w:val="none" w:sz="0" w:space="0" w:color="auto"/>
        <w:right w:val="none" w:sz="0" w:space="0" w:color="auto"/>
      </w:divBdr>
    </w:div>
    <w:div w:id="867567787">
      <w:bodyDiv w:val="1"/>
      <w:marLeft w:val="0"/>
      <w:marRight w:val="0"/>
      <w:marTop w:val="0"/>
      <w:marBottom w:val="0"/>
      <w:divBdr>
        <w:top w:val="none" w:sz="0" w:space="0" w:color="auto"/>
        <w:left w:val="none" w:sz="0" w:space="0" w:color="auto"/>
        <w:bottom w:val="none" w:sz="0" w:space="0" w:color="auto"/>
        <w:right w:val="none" w:sz="0" w:space="0" w:color="auto"/>
      </w:divBdr>
    </w:div>
    <w:div w:id="943729068">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73315607">
      <w:bodyDiv w:val="1"/>
      <w:marLeft w:val="0"/>
      <w:marRight w:val="0"/>
      <w:marTop w:val="0"/>
      <w:marBottom w:val="0"/>
      <w:divBdr>
        <w:top w:val="none" w:sz="0" w:space="0" w:color="auto"/>
        <w:left w:val="none" w:sz="0" w:space="0" w:color="auto"/>
        <w:bottom w:val="none" w:sz="0" w:space="0" w:color="auto"/>
        <w:right w:val="none" w:sz="0" w:space="0" w:color="auto"/>
      </w:divBdr>
    </w:div>
    <w:div w:id="1099369534">
      <w:bodyDiv w:val="1"/>
      <w:marLeft w:val="0"/>
      <w:marRight w:val="0"/>
      <w:marTop w:val="0"/>
      <w:marBottom w:val="0"/>
      <w:divBdr>
        <w:top w:val="none" w:sz="0" w:space="0" w:color="auto"/>
        <w:left w:val="none" w:sz="0" w:space="0" w:color="auto"/>
        <w:bottom w:val="none" w:sz="0" w:space="0" w:color="auto"/>
        <w:right w:val="none" w:sz="0" w:space="0" w:color="auto"/>
      </w:divBdr>
    </w:div>
    <w:div w:id="1267888904">
      <w:bodyDiv w:val="1"/>
      <w:marLeft w:val="0"/>
      <w:marRight w:val="0"/>
      <w:marTop w:val="0"/>
      <w:marBottom w:val="0"/>
      <w:divBdr>
        <w:top w:val="none" w:sz="0" w:space="0" w:color="auto"/>
        <w:left w:val="none" w:sz="0" w:space="0" w:color="auto"/>
        <w:bottom w:val="none" w:sz="0" w:space="0" w:color="auto"/>
        <w:right w:val="none" w:sz="0" w:space="0" w:color="auto"/>
      </w:divBdr>
    </w:div>
    <w:div w:id="1309240442">
      <w:bodyDiv w:val="1"/>
      <w:marLeft w:val="0"/>
      <w:marRight w:val="0"/>
      <w:marTop w:val="0"/>
      <w:marBottom w:val="0"/>
      <w:divBdr>
        <w:top w:val="none" w:sz="0" w:space="0" w:color="auto"/>
        <w:left w:val="none" w:sz="0" w:space="0" w:color="auto"/>
        <w:bottom w:val="none" w:sz="0" w:space="0" w:color="auto"/>
        <w:right w:val="none" w:sz="0" w:space="0" w:color="auto"/>
      </w:divBdr>
    </w:div>
    <w:div w:id="1310206235">
      <w:bodyDiv w:val="1"/>
      <w:marLeft w:val="0"/>
      <w:marRight w:val="0"/>
      <w:marTop w:val="0"/>
      <w:marBottom w:val="0"/>
      <w:divBdr>
        <w:top w:val="none" w:sz="0" w:space="0" w:color="auto"/>
        <w:left w:val="none" w:sz="0" w:space="0" w:color="auto"/>
        <w:bottom w:val="none" w:sz="0" w:space="0" w:color="auto"/>
        <w:right w:val="none" w:sz="0" w:space="0" w:color="auto"/>
      </w:divBdr>
    </w:div>
    <w:div w:id="1385135462">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3460406">
      <w:bodyDiv w:val="1"/>
      <w:marLeft w:val="0"/>
      <w:marRight w:val="0"/>
      <w:marTop w:val="0"/>
      <w:marBottom w:val="0"/>
      <w:divBdr>
        <w:top w:val="none" w:sz="0" w:space="0" w:color="auto"/>
        <w:left w:val="none" w:sz="0" w:space="0" w:color="auto"/>
        <w:bottom w:val="none" w:sz="0" w:space="0" w:color="auto"/>
        <w:right w:val="none" w:sz="0" w:space="0" w:color="auto"/>
      </w:divBdr>
    </w:div>
    <w:div w:id="1713652302">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62026701">
      <w:bodyDiv w:val="1"/>
      <w:marLeft w:val="0"/>
      <w:marRight w:val="0"/>
      <w:marTop w:val="0"/>
      <w:marBottom w:val="0"/>
      <w:divBdr>
        <w:top w:val="none" w:sz="0" w:space="0" w:color="auto"/>
        <w:left w:val="none" w:sz="0" w:space="0" w:color="auto"/>
        <w:bottom w:val="none" w:sz="0" w:space="0" w:color="auto"/>
        <w:right w:val="none" w:sz="0" w:space="0" w:color="auto"/>
      </w:divBdr>
    </w:div>
    <w:div w:id="1778133776">
      <w:bodyDiv w:val="1"/>
      <w:marLeft w:val="0"/>
      <w:marRight w:val="0"/>
      <w:marTop w:val="0"/>
      <w:marBottom w:val="0"/>
      <w:divBdr>
        <w:top w:val="none" w:sz="0" w:space="0" w:color="auto"/>
        <w:left w:val="none" w:sz="0" w:space="0" w:color="auto"/>
        <w:bottom w:val="none" w:sz="0" w:space="0" w:color="auto"/>
        <w:right w:val="none" w:sz="0" w:space="0" w:color="auto"/>
      </w:divBdr>
    </w:div>
    <w:div w:id="1799950730">
      <w:bodyDiv w:val="1"/>
      <w:marLeft w:val="0"/>
      <w:marRight w:val="0"/>
      <w:marTop w:val="0"/>
      <w:marBottom w:val="0"/>
      <w:divBdr>
        <w:top w:val="none" w:sz="0" w:space="0" w:color="auto"/>
        <w:left w:val="none" w:sz="0" w:space="0" w:color="auto"/>
        <w:bottom w:val="none" w:sz="0" w:space="0" w:color="auto"/>
        <w:right w:val="none" w:sz="0" w:space="0" w:color="auto"/>
      </w:divBdr>
    </w:div>
    <w:div w:id="1879470578">
      <w:bodyDiv w:val="1"/>
      <w:marLeft w:val="0"/>
      <w:marRight w:val="0"/>
      <w:marTop w:val="0"/>
      <w:marBottom w:val="0"/>
      <w:divBdr>
        <w:top w:val="none" w:sz="0" w:space="0" w:color="auto"/>
        <w:left w:val="none" w:sz="0" w:space="0" w:color="auto"/>
        <w:bottom w:val="none" w:sz="0" w:space="0" w:color="auto"/>
        <w:right w:val="none" w:sz="0" w:space="0" w:color="auto"/>
      </w:divBdr>
    </w:div>
    <w:div w:id="1917666929">
      <w:bodyDiv w:val="1"/>
      <w:marLeft w:val="0"/>
      <w:marRight w:val="0"/>
      <w:marTop w:val="0"/>
      <w:marBottom w:val="0"/>
      <w:divBdr>
        <w:top w:val="none" w:sz="0" w:space="0" w:color="auto"/>
        <w:left w:val="none" w:sz="0" w:space="0" w:color="auto"/>
        <w:bottom w:val="none" w:sz="0" w:space="0" w:color="auto"/>
        <w:right w:val="none" w:sz="0" w:space="0" w:color="auto"/>
      </w:divBdr>
    </w:div>
    <w:div w:id="2064518816">
      <w:bodyDiv w:val="1"/>
      <w:marLeft w:val="0"/>
      <w:marRight w:val="0"/>
      <w:marTop w:val="0"/>
      <w:marBottom w:val="0"/>
      <w:divBdr>
        <w:top w:val="none" w:sz="0" w:space="0" w:color="auto"/>
        <w:left w:val="none" w:sz="0" w:space="0" w:color="auto"/>
        <w:bottom w:val="none" w:sz="0" w:space="0" w:color="auto"/>
        <w:right w:val="none" w:sz="0" w:space="0" w:color="auto"/>
      </w:divBdr>
    </w:div>
    <w:div w:id="21207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yperlink" Target="https://myschool.edu.au/school/4215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www.jr.net.au/NLRDS/other.asp" TargetMode="External"/><Relationship Id="rId3" Type="http://schemas.openxmlformats.org/officeDocument/2006/relationships/hyperlink" Target="https://www.ihpa.gov.au" TargetMode="External"/><Relationship Id="rId7" Type="http://schemas.openxmlformats.org/officeDocument/2006/relationships/hyperlink" Target="https://www.rda.gov.au/" TargetMode="External"/><Relationship Id="rId2" Type="http://schemas.openxmlformats.org/officeDocument/2006/relationships/hyperlink" Target="https://www.infrastructure.gov.au/aviation/regional/" TargetMode="External"/><Relationship Id="rId1" Type="http://schemas.openxmlformats.org/officeDocument/2006/relationships/hyperlink" Target="http://docs.acara.edu.au/resources/About_icsea_2014.pdf" TargetMode="External"/><Relationship Id="rId6" Type="http://schemas.openxmlformats.org/officeDocument/2006/relationships/hyperlink" Target="https://www.ihpa.gov.au/publications/national-efficient-cost-determination-2017-18" TargetMode="External"/><Relationship Id="rId5" Type="http://schemas.openxmlformats.org/officeDocument/2006/relationships/hyperlink" Target="https://www.regional.gov.au/territories/norfolk_island/administrator/media/2018/ni-a-mr-201801.aspx" TargetMode="External"/><Relationship Id="rId4" Type="http://schemas.openxmlformats.org/officeDocument/2006/relationships/hyperlink" Target="https://www.health.nsw.gov.au/transport/Pages/iptaas.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Population</a:t>
            </a:r>
            <a:r>
              <a:rPr lang="en-US" baseline="0"/>
              <a:t> proportions by 5-year age grouping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569225721784776"/>
          <c:y val="0.10715783089581001"/>
          <c:w val="0.58709951881014877"/>
          <c:h val="0.7597301689094581"/>
        </c:manualLayout>
      </c:layout>
      <c:barChart>
        <c:barDir val="bar"/>
        <c:grouping val="clustered"/>
        <c:varyColors val="0"/>
        <c:ser>
          <c:idx val="1"/>
          <c:order val="0"/>
          <c:tx>
            <c:v>Norfolk Island</c:v>
          </c:tx>
          <c:spPr>
            <a:solidFill>
              <a:schemeClr val="tx1"/>
            </a:solidFill>
            <a:ln>
              <a:solidFill>
                <a:sysClr val="windowText" lastClr="000000"/>
              </a:solidFill>
            </a:ln>
            <a:effectLst/>
          </c:spPr>
          <c:invertIfNegative val="0"/>
          <c:cat>
            <c:strRef>
              <c:f>'Age pyramid'!$A$39:$A$57</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'Age pyramid'!$B$39:$B$57</c:f>
              <c:numCache>
                <c:formatCode>0.0</c:formatCode>
                <c:ptCount val="18"/>
                <c:pt idx="0">
                  <c:v>4.8</c:v>
                </c:pt>
                <c:pt idx="1">
                  <c:v>6</c:v>
                </c:pt>
                <c:pt idx="2">
                  <c:v>6.1</c:v>
                </c:pt>
                <c:pt idx="3">
                  <c:v>4.4000000000000004</c:v>
                </c:pt>
                <c:pt idx="4">
                  <c:v>1.8</c:v>
                </c:pt>
                <c:pt idx="5">
                  <c:v>3.1</c:v>
                </c:pt>
                <c:pt idx="6">
                  <c:v>3.9</c:v>
                </c:pt>
                <c:pt idx="7">
                  <c:v>6.1</c:v>
                </c:pt>
                <c:pt idx="8">
                  <c:v>6.7</c:v>
                </c:pt>
                <c:pt idx="9">
                  <c:v>7.4</c:v>
                </c:pt>
                <c:pt idx="10">
                  <c:v>8.1999999999999993</c:v>
                </c:pt>
                <c:pt idx="11">
                  <c:v>9</c:v>
                </c:pt>
                <c:pt idx="12">
                  <c:v>8.6999999999999993</c:v>
                </c:pt>
                <c:pt idx="13">
                  <c:v>8.1999999999999993</c:v>
                </c:pt>
                <c:pt idx="14">
                  <c:v>6.2</c:v>
                </c:pt>
                <c:pt idx="15">
                  <c:v>4.4000000000000004</c:v>
                </c:pt>
                <c:pt idx="16">
                  <c:v>2.5</c:v>
                </c:pt>
                <c:pt idx="17">
                  <c:v>2.6</c:v>
                </c:pt>
              </c:numCache>
            </c:numRef>
          </c:val>
          <c:extLst>
            <c:ext xmlns:c16="http://schemas.microsoft.com/office/drawing/2014/chart" uri="{C3380CC4-5D6E-409C-BE32-E72D297353CC}">
              <c16:uniqueId val="{00000000-CE6F-49F7-A3CA-457868D4CD7F}"/>
            </c:ext>
          </c:extLst>
        </c:ser>
        <c:ser>
          <c:idx val="0"/>
          <c:order val="1"/>
          <c:tx>
            <c:v>Australia</c:v>
          </c:tx>
          <c:spPr>
            <a:solidFill>
              <a:srgbClr val="006666"/>
            </a:solidFill>
            <a:ln>
              <a:solidFill>
                <a:sysClr val="windowText" lastClr="000000"/>
              </a:solidFill>
            </a:ln>
            <a:effectLst/>
          </c:spPr>
          <c:invertIfNegative val="0"/>
          <c:cat>
            <c:strRef>
              <c:f>'Age pyramid'!$A$39:$A$57</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'Age pyramid'!$C$39:$C$57</c:f>
              <c:numCache>
                <c:formatCode>0.0</c:formatCode>
                <c:ptCount val="18"/>
                <c:pt idx="0">
                  <c:v>-6.3</c:v>
                </c:pt>
                <c:pt idx="1">
                  <c:v>-6.4</c:v>
                </c:pt>
                <c:pt idx="2">
                  <c:v>-6</c:v>
                </c:pt>
                <c:pt idx="3">
                  <c:v>-6.1</c:v>
                </c:pt>
                <c:pt idx="4">
                  <c:v>-6.7</c:v>
                </c:pt>
                <c:pt idx="5">
                  <c:v>-7.1</c:v>
                </c:pt>
                <c:pt idx="6">
                  <c:v>-7.3</c:v>
                </c:pt>
                <c:pt idx="7">
                  <c:v>-6.7</c:v>
                </c:pt>
                <c:pt idx="8">
                  <c:v>-6.8</c:v>
                </c:pt>
                <c:pt idx="9">
                  <c:v>-6.8</c:v>
                </c:pt>
                <c:pt idx="10">
                  <c:v>-6.5</c:v>
                </c:pt>
                <c:pt idx="11">
                  <c:v>-6.2</c:v>
                </c:pt>
                <c:pt idx="12">
                  <c:v>-5.6</c:v>
                </c:pt>
                <c:pt idx="13">
                  <c:v>-5.0999999999999996</c:v>
                </c:pt>
                <c:pt idx="14">
                  <c:v>-3.8</c:v>
                </c:pt>
                <c:pt idx="15">
                  <c:v>-2.8</c:v>
                </c:pt>
                <c:pt idx="16">
                  <c:v>-2</c:v>
                </c:pt>
                <c:pt idx="17">
                  <c:v>-2.1</c:v>
                </c:pt>
              </c:numCache>
            </c:numRef>
          </c:val>
          <c:extLst>
            <c:ext xmlns:c16="http://schemas.microsoft.com/office/drawing/2014/chart" uri="{C3380CC4-5D6E-409C-BE32-E72D297353CC}">
              <c16:uniqueId val="{00000001-CE6F-49F7-A3CA-457868D4CD7F}"/>
            </c:ext>
          </c:extLst>
        </c:ser>
        <c:dLbls>
          <c:showLegendKey val="0"/>
          <c:showVal val="0"/>
          <c:showCatName val="0"/>
          <c:showSerName val="0"/>
          <c:showPercent val="0"/>
          <c:showBubbleSize val="0"/>
        </c:dLbls>
        <c:gapWidth val="122"/>
        <c:overlap val="100"/>
        <c:axId val="1598783744"/>
        <c:axId val="1598786656"/>
      </c:barChart>
      <c:catAx>
        <c:axId val="15987837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(years)</a:t>
                </a:r>
              </a:p>
            </c:rich>
          </c:tx>
          <c:layout>
            <c:manualLayout>
              <c:xMode val="edge"/>
              <c:yMode val="edge"/>
              <c:x val="6.1111111111111109E-2"/>
              <c:y val="0.412671041613253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8786656"/>
        <c:crosses val="autoZero"/>
        <c:auto val="1"/>
        <c:lblAlgn val="ctr"/>
        <c:lblOffset val="100"/>
        <c:noMultiLvlLbl val="0"/>
      </c:catAx>
      <c:valAx>
        <c:axId val="15987866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low"/>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8783744"/>
        <c:crosses val="autoZero"/>
        <c:crossBetween val="between"/>
      </c:valAx>
      <c:spPr>
        <a:noFill/>
        <a:ln>
          <a:noFill/>
        </a:ln>
        <a:effectLst/>
      </c:spPr>
    </c:plotArea>
    <c:legend>
      <c:legendPos val="r"/>
      <c:layout>
        <c:manualLayout>
          <c:xMode val="edge"/>
          <c:yMode val="edge"/>
          <c:x val="0.80031452318460194"/>
          <c:y val="0.1220147837008481"/>
          <c:w val="0.18579658792650919"/>
          <c:h val="9.7508819239876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DF12-1E18-47DA-9DBE-4E71095A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36447</Words>
  <Characters>207754</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Alison Harper</dc:creator>
  <cp:keywords/>
  <dc:description/>
  <cp:lastModifiedBy>Deborah.Fleming</cp:lastModifiedBy>
  <cp:revision>2</cp:revision>
  <cp:lastPrinted>2019-11-07T02:10:00Z</cp:lastPrinted>
  <dcterms:created xsi:type="dcterms:W3CDTF">2019-11-07T23:32:00Z</dcterms:created>
  <dcterms:modified xsi:type="dcterms:W3CDTF">2019-11-07T23:32:00Z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